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75B495" w14:textId="7D9D8AD9" w:rsidR="00FE3DAB" w:rsidRDefault="00FE3DAB" w:rsidP="00FE3DAB">
      <w:pPr>
        <w:spacing w:line="360" w:lineRule="auto"/>
        <w:jc w:val="both"/>
        <w:rPr>
          <w:rFonts w:ascii="Arial" w:hAnsi="Arial" w:cs="Arial"/>
          <w:b/>
          <w:bCs/>
          <w:sz w:val="40"/>
          <w:szCs w:val="40"/>
        </w:rPr>
      </w:pPr>
      <w:r w:rsidRPr="0077635F">
        <w:rPr>
          <w:rFonts w:ascii="Arial" w:hAnsi="Arial" w:cs="Arial"/>
          <w:noProof/>
        </w:rPr>
        <w:drawing>
          <wp:inline distT="0" distB="0" distL="0" distR="0" wp14:anchorId="1FE4950E" wp14:editId="12B10D81">
            <wp:extent cx="5715000" cy="1895475"/>
            <wp:effectExtent l="0" t="0" r="3810" b="0"/>
            <wp:docPr id="1" name="Picture 1" descr="A black background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560977E" w14:textId="20788AE8" w:rsidR="00FE3DAB" w:rsidRPr="00BC7EB5" w:rsidRDefault="00FE3DAB" w:rsidP="00FE3DAB">
      <w:pPr>
        <w:spacing w:line="360" w:lineRule="auto"/>
        <w:jc w:val="both"/>
        <w:rPr>
          <w:rFonts w:ascii="Arial" w:hAnsi="Arial" w:cs="Arial"/>
          <w:b/>
          <w:bCs/>
          <w:sz w:val="40"/>
          <w:szCs w:val="40"/>
        </w:rPr>
      </w:pPr>
      <w:r w:rsidRPr="00BC7EB5">
        <w:rPr>
          <w:rFonts w:ascii="Arial" w:hAnsi="Arial" w:cs="Arial"/>
          <w:b/>
          <w:bCs/>
          <w:sz w:val="40"/>
          <w:szCs w:val="40"/>
        </w:rPr>
        <w:t>BA (Hons) Leadership and Management</w:t>
      </w:r>
    </w:p>
    <w:p w14:paraId="25A08635" w14:textId="77777777" w:rsidR="00FE3DAB" w:rsidRPr="00BC7EB5" w:rsidRDefault="00FE3DAB" w:rsidP="00FE3DAB">
      <w:pPr>
        <w:spacing w:line="360" w:lineRule="auto"/>
        <w:jc w:val="both"/>
        <w:rPr>
          <w:rFonts w:ascii="Arial" w:hAnsi="Arial" w:cs="Arial"/>
          <w:b/>
          <w:bCs/>
          <w:i/>
          <w:iCs/>
          <w:sz w:val="40"/>
          <w:szCs w:val="40"/>
        </w:rPr>
      </w:pPr>
    </w:p>
    <w:p w14:paraId="1A495308" w14:textId="77777777" w:rsidR="00FE3DAB" w:rsidRPr="00BC7EB5" w:rsidRDefault="00FE3DAB" w:rsidP="00FE3DAB">
      <w:pPr>
        <w:spacing w:line="360" w:lineRule="auto"/>
        <w:jc w:val="both"/>
        <w:rPr>
          <w:rFonts w:ascii="Arial" w:hAnsi="Arial" w:cs="Arial"/>
          <w:b/>
          <w:bCs/>
          <w:i/>
          <w:iCs/>
          <w:sz w:val="40"/>
          <w:szCs w:val="40"/>
        </w:rPr>
      </w:pPr>
      <w:r w:rsidRPr="00BC7EB5">
        <w:rPr>
          <w:rFonts w:ascii="Arial" w:hAnsi="Arial" w:cs="Arial"/>
          <w:b/>
          <w:bCs/>
          <w:i/>
          <w:iCs/>
          <w:sz w:val="40"/>
          <w:szCs w:val="40"/>
        </w:rPr>
        <w:t>Student Name: ERASMUS ONYEUKWU</w:t>
      </w:r>
    </w:p>
    <w:p w14:paraId="0A032117" w14:textId="77777777" w:rsidR="00FE3DAB" w:rsidRPr="00BC7EB5" w:rsidRDefault="00FE3DAB" w:rsidP="00FE3DAB">
      <w:pPr>
        <w:spacing w:line="360" w:lineRule="auto"/>
        <w:jc w:val="both"/>
        <w:rPr>
          <w:rFonts w:ascii="Arial" w:hAnsi="Arial" w:cs="Arial"/>
          <w:b/>
          <w:bCs/>
          <w:i/>
          <w:iCs/>
          <w:sz w:val="40"/>
          <w:szCs w:val="40"/>
        </w:rPr>
      </w:pPr>
      <w:r w:rsidRPr="00BC7EB5">
        <w:rPr>
          <w:rFonts w:ascii="Arial" w:hAnsi="Arial" w:cs="Arial"/>
          <w:b/>
          <w:bCs/>
          <w:i/>
          <w:iCs/>
          <w:sz w:val="40"/>
          <w:szCs w:val="40"/>
        </w:rPr>
        <w:t>Student Number: 2337043</w:t>
      </w:r>
    </w:p>
    <w:p w14:paraId="35193843" w14:textId="052CED77" w:rsidR="00FE3DAB" w:rsidRDefault="00FE3DAB" w:rsidP="00FE3DAB">
      <w:pPr>
        <w:spacing w:line="360" w:lineRule="auto"/>
        <w:jc w:val="both"/>
        <w:rPr>
          <w:rFonts w:ascii="Arial" w:hAnsi="Arial" w:cs="Arial"/>
          <w:b/>
          <w:bCs/>
          <w:i/>
          <w:iCs/>
          <w:sz w:val="40"/>
          <w:szCs w:val="40"/>
        </w:rPr>
      </w:pPr>
      <w:r w:rsidRPr="00BC7EB5">
        <w:rPr>
          <w:rFonts w:ascii="Arial" w:hAnsi="Arial" w:cs="Arial"/>
          <w:b/>
          <w:bCs/>
          <w:i/>
          <w:iCs/>
          <w:sz w:val="40"/>
          <w:szCs w:val="40"/>
        </w:rPr>
        <w:t>Module</w:t>
      </w:r>
      <w:r>
        <w:rPr>
          <w:rFonts w:ascii="Arial" w:hAnsi="Arial" w:cs="Arial"/>
          <w:b/>
          <w:bCs/>
          <w:i/>
          <w:iCs/>
          <w:sz w:val="40"/>
          <w:szCs w:val="40"/>
        </w:rPr>
        <w:t xml:space="preserve"> </w:t>
      </w:r>
      <w:r w:rsidRPr="00BC7EB5">
        <w:rPr>
          <w:rFonts w:ascii="Arial" w:hAnsi="Arial" w:cs="Arial"/>
          <w:b/>
          <w:bCs/>
          <w:i/>
          <w:iCs/>
          <w:sz w:val="40"/>
          <w:szCs w:val="40"/>
        </w:rPr>
        <w:t>Name:</w:t>
      </w:r>
      <w:r>
        <w:rPr>
          <w:rFonts w:ascii="Arial" w:hAnsi="Arial" w:cs="Arial"/>
          <w:b/>
          <w:bCs/>
          <w:i/>
          <w:iCs/>
          <w:sz w:val="40"/>
          <w:szCs w:val="40"/>
        </w:rPr>
        <w:t xml:space="preserve"> Strategic Management for Business</w:t>
      </w:r>
      <w:r w:rsidRPr="00BC7EB5">
        <w:rPr>
          <w:rFonts w:ascii="Arial" w:hAnsi="Arial" w:cs="Arial"/>
          <w:b/>
          <w:bCs/>
          <w:i/>
          <w:iCs/>
          <w:sz w:val="40"/>
          <w:szCs w:val="40"/>
        </w:rPr>
        <w:t xml:space="preserve"> </w:t>
      </w:r>
    </w:p>
    <w:p w14:paraId="23903211" w14:textId="000E79CF" w:rsidR="00FE3DAB" w:rsidRPr="00BC7EB5" w:rsidRDefault="00C138D7" w:rsidP="00FE3DAB">
      <w:pPr>
        <w:spacing w:line="360" w:lineRule="auto"/>
        <w:jc w:val="both"/>
        <w:rPr>
          <w:rFonts w:ascii="Arial" w:hAnsi="Arial" w:cs="Arial"/>
          <w:b/>
          <w:bCs/>
          <w:i/>
          <w:iCs/>
          <w:sz w:val="40"/>
          <w:szCs w:val="40"/>
        </w:rPr>
      </w:pPr>
      <w:r>
        <w:rPr>
          <w:rFonts w:ascii="Arial" w:hAnsi="Arial" w:cs="Arial"/>
          <w:b/>
          <w:bCs/>
          <w:i/>
          <w:iCs/>
          <w:sz w:val="40"/>
          <w:szCs w:val="40"/>
        </w:rPr>
        <w:t>Module Code</w:t>
      </w:r>
      <w:r w:rsidR="00FE3DAB">
        <w:rPr>
          <w:rFonts w:ascii="Arial" w:hAnsi="Arial" w:cs="Arial"/>
          <w:b/>
          <w:bCs/>
          <w:i/>
          <w:iCs/>
          <w:sz w:val="40"/>
          <w:szCs w:val="40"/>
        </w:rPr>
        <w:t xml:space="preserve"> </w:t>
      </w:r>
      <w:r w:rsidR="00FE3DAB" w:rsidRPr="00BC7EB5">
        <w:rPr>
          <w:rFonts w:ascii="Arial" w:hAnsi="Arial" w:cs="Arial"/>
          <w:b/>
          <w:bCs/>
          <w:i/>
          <w:iCs/>
          <w:sz w:val="40"/>
          <w:szCs w:val="40"/>
        </w:rPr>
        <w:t>(LCLM</w:t>
      </w:r>
      <w:r w:rsidR="00FE3DAB">
        <w:rPr>
          <w:rFonts w:ascii="Arial" w:hAnsi="Arial" w:cs="Arial"/>
          <w:b/>
          <w:bCs/>
          <w:i/>
          <w:iCs/>
          <w:sz w:val="40"/>
          <w:szCs w:val="40"/>
        </w:rPr>
        <w:t>6</w:t>
      </w:r>
      <w:r w:rsidR="00FE3DAB" w:rsidRPr="00BC7EB5">
        <w:rPr>
          <w:rFonts w:ascii="Arial" w:hAnsi="Arial" w:cs="Arial"/>
          <w:b/>
          <w:bCs/>
          <w:i/>
          <w:iCs/>
          <w:sz w:val="40"/>
          <w:szCs w:val="40"/>
        </w:rPr>
        <w:t>00</w:t>
      </w:r>
      <w:r w:rsidR="00FE3DAB">
        <w:rPr>
          <w:rFonts w:ascii="Arial" w:hAnsi="Arial" w:cs="Arial"/>
          <w:b/>
          <w:bCs/>
          <w:i/>
          <w:iCs/>
          <w:sz w:val="40"/>
          <w:szCs w:val="40"/>
        </w:rPr>
        <w:t>1</w:t>
      </w:r>
      <w:r w:rsidR="00FE3DAB" w:rsidRPr="00BC7EB5">
        <w:rPr>
          <w:rFonts w:ascii="Arial" w:hAnsi="Arial" w:cs="Arial"/>
          <w:b/>
          <w:bCs/>
          <w:i/>
          <w:iCs/>
          <w:sz w:val="40"/>
          <w:szCs w:val="40"/>
        </w:rPr>
        <w:t>) London</w:t>
      </w:r>
    </w:p>
    <w:p w14:paraId="6DDD73D7" w14:textId="7A94E011" w:rsidR="00FE3DAB" w:rsidRPr="00BC7EB5" w:rsidRDefault="00FE3DAB" w:rsidP="00FE3DAB">
      <w:pPr>
        <w:spacing w:line="360" w:lineRule="auto"/>
        <w:jc w:val="both"/>
        <w:rPr>
          <w:rFonts w:ascii="Arial" w:hAnsi="Arial" w:cs="Arial"/>
          <w:b/>
          <w:bCs/>
          <w:i/>
          <w:iCs/>
          <w:sz w:val="40"/>
          <w:szCs w:val="40"/>
        </w:rPr>
      </w:pPr>
      <w:r w:rsidRPr="00BC7EB5">
        <w:rPr>
          <w:rFonts w:ascii="Arial" w:hAnsi="Arial" w:cs="Arial"/>
          <w:b/>
          <w:bCs/>
          <w:i/>
          <w:iCs/>
          <w:sz w:val="40"/>
          <w:szCs w:val="40"/>
        </w:rPr>
        <w:t xml:space="preserve">Lecturer Name: PROF. </w:t>
      </w:r>
      <w:r>
        <w:rPr>
          <w:rFonts w:ascii="Arial" w:hAnsi="Arial" w:cs="Arial"/>
          <w:b/>
          <w:bCs/>
          <w:i/>
          <w:iCs/>
          <w:sz w:val="40"/>
          <w:szCs w:val="40"/>
        </w:rPr>
        <w:t>Faizu Edu</w:t>
      </w:r>
    </w:p>
    <w:p w14:paraId="63B1EBC0" w14:textId="4E6FCF8F" w:rsidR="00FE3DAB" w:rsidRDefault="00FE3DAB" w:rsidP="00FE3DAB">
      <w:pPr>
        <w:spacing w:line="360" w:lineRule="auto"/>
        <w:jc w:val="both"/>
        <w:rPr>
          <w:rFonts w:ascii="Arial" w:hAnsi="Arial" w:cs="Arial"/>
          <w:b/>
          <w:bCs/>
          <w:i/>
          <w:iCs/>
          <w:sz w:val="40"/>
          <w:szCs w:val="40"/>
        </w:rPr>
      </w:pPr>
      <w:r w:rsidRPr="00BC7EB5">
        <w:rPr>
          <w:rFonts w:ascii="Arial" w:hAnsi="Arial" w:cs="Arial"/>
          <w:b/>
          <w:bCs/>
          <w:i/>
          <w:iCs/>
          <w:sz w:val="40"/>
          <w:szCs w:val="40"/>
        </w:rPr>
        <w:t>Session:</w:t>
      </w:r>
      <w:r>
        <w:rPr>
          <w:rFonts w:ascii="Arial" w:hAnsi="Arial" w:cs="Arial"/>
          <w:b/>
          <w:bCs/>
          <w:i/>
          <w:iCs/>
          <w:sz w:val="40"/>
          <w:szCs w:val="40"/>
        </w:rPr>
        <w:t xml:space="preserve"> June</w:t>
      </w:r>
      <w:r w:rsidRPr="00BC7EB5">
        <w:rPr>
          <w:rFonts w:ascii="Arial" w:hAnsi="Arial" w:cs="Arial"/>
          <w:b/>
          <w:bCs/>
          <w:i/>
          <w:iCs/>
          <w:sz w:val="40"/>
          <w:szCs w:val="40"/>
        </w:rPr>
        <w:t xml:space="preserve"> 2026 Term</w:t>
      </w:r>
    </w:p>
    <w:p w14:paraId="76947F35" w14:textId="77777777" w:rsidR="00FE3DAB" w:rsidRDefault="00FE3DAB" w:rsidP="00FE3DAB">
      <w:pPr>
        <w:spacing w:line="360" w:lineRule="auto"/>
        <w:jc w:val="both"/>
        <w:rPr>
          <w:rFonts w:ascii="Arial" w:hAnsi="Arial" w:cs="Arial"/>
          <w:b/>
          <w:bCs/>
          <w:i/>
          <w:iCs/>
          <w:sz w:val="40"/>
          <w:szCs w:val="40"/>
        </w:rPr>
      </w:pPr>
    </w:p>
    <w:p w14:paraId="0895F861" w14:textId="77777777" w:rsidR="00FE3DAB" w:rsidRDefault="00FE3DAB" w:rsidP="00FE3DAB">
      <w:pPr>
        <w:spacing w:line="360" w:lineRule="auto"/>
        <w:jc w:val="both"/>
        <w:rPr>
          <w:rFonts w:ascii="Arial" w:hAnsi="Arial" w:cs="Arial"/>
          <w:b/>
          <w:bCs/>
          <w:i/>
          <w:iCs/>
          <w:sz w:val="40"/>
          <w:szCs w:val="40"/>
        </w:rPr>
      </w:pPr>
    </w:p>
    <w:p w14:paraId="7C0C2AD0" w14:textId="77777777" w:rsidR="00FE3DAB" w:rsidRDefault="00FE3DAB" w:rsidP="00FE3DAB">
      <w:pPr>
        <w:spacing w:line="360" w:lineRule="auto"/>
        <w:jc w:val="both"/>
        <w:rPr>
          <w:rFonts w:ascii="Arial" w:hAnsi="Arial" w:cs="Arial"/>
          <w:b/>
          <w:bCs/>
          <w:i/>
          <w:iCs/>
          <w:sz w:val="40"/>
          <w:szCs w:val="40"/>
        </w:rPr>
      </w:pPr>
    </w:p>
    <w:p w14:paraId="465386B3" w14:textId="77777777" w:rsidR="00D17DA7" w:rsidRDefault="00D17DA7" w:rsidP="00FE3DAB">
      <w:pPr>
        <w:spacing w:line="360" w:lineRule="auto"/>
        <w:jc w:val="both"/>
        <w:rPr>
          <w:rFonts w:ascii="Arial" w:hAnsi="Arial" w:cs="Arial"/>
          <w:b/>
          <w:bCs/>
          <w:i/>
          <w:iCs/>
          <w:sz w:val="40"/>
          <w:szCs w:val="40"/>
        </w:rPr>
      </w:pPr>
    </w:p>
    <w:p w14:paraId="650A9B6B" w14:textId="3B9B0D21" w:rsidR="000E1A68" w:rsidRDefault="00FE3DAB" w:rsidP="00FE3DAB">
      <w:pPr>
        <w:spacing w:line="360" w:lineRule="auto"/>
        <w:jc w:val="both"/>
        <w:rPr>
          <w:rFonts w:ascii="Arial" w:hAnsi="Arial" w:cs="Arial"/>
          <w:b/>
          <w:bCs/>
          <w:i/>
          <w:iCs/>
          <w:sz w:val="40"/>
          <w:szCs w:val="40"/>
        </w:rPr>
      </w:pPr>
      <w:r>
        <w:rPr>
          <w:rFonts w:ascii="Arial" w:hAnsi="Arial" w:cs="Arial"/>
          <w:b/>
          <w:bCs/>
          <w:i/>
          <w:iCs/>
          <w:sz w:val="40"/>
          <w:szCs w:val="40"/>
        </w:rPr>
        <w:lastRenderedPageBreak/>
        <w:t>Table of Contents</w:t>
      </w:r>
    </w:p>
    <w:p w14:paraId="3984B298" w14:textId="77777777" w:rsidR="00D17DA7" w:rsidRDefault="00D17DA7" w:rsidP="00FE3DAB">
      <w:pPr>
        <w:spacing w:line="360" w:lineRule="auto"/>
        <w:jc w:val="both"/>
        <w:rPr>
          <w:rFonts w:ascii="Arial" w:hAnsi="Arial" w:cs="Arial"/>
          <w:b/>
          <w:bCs/>
          <w:i/>
          <w:iCs/>
          <w:sz w:val="40"/>
          <w:szCs w:val="40"/>
        </w:rPr>
      </w:pPr>
    </w:p>
    <w:p w14:paraId="25B97D26" w14:textId="645C14E9" w:rsidR="00D17DA7" w:rsidRDefault="00D17DA7" w:rsidP="00FE3DAB">
      <w:pPr>
        <w:spacing w:line="360" w:lineRule="auto"/>
        <w:jc w:val="both"/>
        <w:rPr>
          <w:rFonts w:ascii="Arial" w:hAnsi="Arial" w:cs="Arial"/>
          <w:b/>
          <w:bCs/>
          <w:i/>
          <w:iCs/>
          <w:sz w:val="40"/>
          <w:szCs w:val="40"/>
        </w:rPr>
      </w:pPr>
      <w:r>
        <w:rPr>
          <w:rFonts w:ascii="Arial" w:hAnsi="Arial" w:cs="Arial"/>
          <w:b/>
          <w:bCs/>
          <w:i/>
          <w:iCs/>
          <w:sz w:val="40"/>
          <w:szCs w:val="40"/>
        </w:rPr>
        <w:t>1. Executive Summary</w:t>
      </w:r>
    </w:p>
    <w:p w14:paraId="1F535C6E" w14:textId="006E28EA" w:rsidR="00D17DA7" w:rsidRDefault="00D17DA7" w:rsidP="00FE3DAB">
      <w:pPr>
        <w:spacing w:line="360" w:lineRule="auto"/>
        <w:jc w:val="both"/>
        <w:rPr>
          <w:rFonts w:ascii="Arial" w:hAnsi="Arial" w:cs="Arial"/>
          <w:b/>
          <w:bCs/>
          <w:i/>
          <w:iCs/>
          <w:sz w:val="40"/>
          <w:szCs w:val="40"/>
        </w:rPr>
      </w:pPr>
      <w:r>
        <w:rPr>
          <w:rFonts w:ascii="Arial" w:hAnsi="Arial" w:cs="Arial"/>
          <w:b/>
          <w:bCs/>
          <w:i/>
          <w:iCs/>
          <w:sz w:val="40"/>
          <w:szCs w:val="40"/>
        </w:rPr>
        <w:t>2. Introduction</w:t>
      </w:r>
    </w:p>
    <w:p w14:paraId="11B16417" w14:textId="2C9D9FD2" w:rsidR="00D17DA7" w:rsidRDefault="00D17DA7" w:rsidP="00FE3DAB">
      <w:pPr>
        <w:spacing w:line="360" w:lineRule="auto"/>
        <w:jc w:val="both"/>
        <w:rPr>
          <w:rFonts w:ascii="Arial" w:hAnsi="Arial" w:cs="Arial"/>
          <w:b/>
          <w:bCs/>
          <w:i/>
          <w:iCs/>
          <w:sz w:val="40"/>
          <w:szCs w:val="40"/>
        </w:rPr>
      </w:pPr>
      <w:r>
        <w:rPr>
          <w:rFonts w:ascii="Arial" w:hAnsi="Arial" w:cs="Arial"/>
          <w:b/>
          <w:bCs/>
          <w:i/>
          <w:iCs/>
          <w:sz w:val="40"/>
          <w:szCs w:val="40"/>
        </w:rPr>
        <w:t>3.</w:t>
      </w:r>
      <w:r w:rsidR="00C138D7">
        <w:rPr>
          <w:rFonts w:ascii="Arial" w:hAnsi="Arial" w:cs="Arial"/>
          <w:b/>
          <w:bCs/>
          <w:i/>
          <w:iCs/>
          <w:sz w:val="40"/>
          <w:szCs w:val="40"/>
        </w:rPr>
        <w:t xml:space="preserve"> Evaluation</w:t>
      </w:r>
    </w:p>
    <w:p w14:paraId="36226DC6" w14:textId="49105096" w:rsidR="00C138D7" w:rsidRDefault="00C138D7" w:rsidP="00C138D7">
      <w:pPr>
        <w:spacing w:line="360" w:lineRule="auto"/>
        <w:jc w:val="both"/>
        <w:rPr>
          <w:rFonts w:ascii="Arial" w:hAnsi="Arial" w:cs="Arial"/>
          <w:b/>
          <w:bCs/>
          <w:i/>
          <w:iCs/>
          <w:sz w:val="40"/>
          <w:szCs w:val="40"/>
        </w:rPr>
      </w:pPr>
      <w:r>
        <w:rPr>
          <w:rFonts w:ascii="Arial" w:hAnsi="Arial" w:cs="Arial"/>
          <w:b/>
          <w:bCs/>
          <w:i/>
          <w:iCs/>
          <w:sz w:val="40"/>
          <w:szCs w:val="40"/>
        </w:rPr>
        <w:t>4. Strategic Growth and Proposed Strategy</w:t>
      </w:r>
    </w:p>
    <w:p w14:paraId="7907D5BD" w14:textId="07B563C5" w:rsidR="00C138D7" w:rsidRDefault="00C138D7" w:rsidP="00C138D7">
      <w:pPr>
        <w:spacing w:line="360" w:lineRule="auto"/>
        <w:jc w:val="both"/>
        <w:rPr>
          <w:rFonts w:ascii="Arial" w:hAnsi="Arial" w:cs="Arial"/>
          <w:b/>
          <w:bCs/>
          <w:i/>
          <w:iCs/>
          <w:sz w:val="40"/>
          <w:szCs w:val="40"/>
        </w:rPr>
      </w:pPr>
      <w:r>
        <w:rPr>
          <w:rFonts w:ascii="Arial" w:hAnsi="Arial" w:cs="Arial"/>
          <w:b/>
          <w:bCs/>
          <w:i/>
          <w:iCs/>
          <w:sz w:val="40"/>
          <w:szCs w:val="40"/>
        </w:rPr>
        <w:t>5. Strategy Evaluation</w:t>
      </w:r>
    </w:p>
    <w:p w14:paraId="131D7F02" w14:textId="4CB374A8" w:rsidR="00C138D7" w:rsidRDefault="00C138D7" w:rsidP="00C138D7">
      <w:pPr>
        <w:spacing w:line="360" w:lineRule="auto"/>
        <w:jc w:val="both"/>
        <w:rPr>
          <w:rFonts w:ascii="Arial" w:hAnsi="Arial" w:cs="Arial"/>
          <w:b/>
          <w:bCs/>
          <w:i/>
          <w:iCs/>
          <w:sz w:val="40"/>
          <w:szCs w:val="40"/>
        </w:rPr>
      </w:pPr>
      <w:r>
        <w:rPr>
          <w:rFonts w:ascii="Arial" w:hAnsi="Arial" w:cs="Arial"/>
          <w:b/>
          <w:bCs/>
          <w:i/>
          <w:iCs/>
          <w:sz w:val="40"/>
          <w:szCs w:val="40"/>
        </w:rPr>
        <w:t>6. Stakeholder Analysis</w:t>
      </w:r>
    </w:p>
    <w:p w14:paraId="45B381E6" w14:textId="7E082695" w:rsidR="00C138D7" w:rsidRDefault="00C138D7" w:rsidP="00C138D7">
      <w:pPr>
        <w:spacing w:line="360" w:lineRule="auto"/>
        <w:jc w:val="both"/>
        <w:rPr>
          <w:rFonts w:ascii="Arial" w:hAnsi="Arial" w:cs="Arial"/>
          <w:b/>
          <w:bCs/>
          <w:i/>
          <w:iCs/>
          <w:sz w:val="40"/>
          <w:szCs w:val="40"/>
        </w:rPr>
      </w:pPr>
      <w:r>
        <w:rPr>
          <w:rFonts w:ascii="Arial" w:hAnsi="Arial" w:cs="Arial"/>
          <w:b/>
          <w:bCs/>
          <w:i/>
          <w:iCs/>
          <w:sz w:val="40"/>
          <w:szCs w:val="40"/>
        </w:rPr>
        <w:t>7. Implementation and Monitoring</w:t>
      </w:r>
    </w:p>
    <w:p w14:paraId="08D7DD40" w14:textId="1535D101" w:rsidR="00C138D7" w:rsidRDefault="00C138D7" w:rsidP="00C138D7">
      <w:pPr>
        <w:spacing w:line="360" w:lineRule="auto"/>
        <w:jc w:val="both"/>
        <w:rPr>
          <w:rFonts w:ascii="Arial" w:hAnsi="Arial" w:cs="Arial"/>
          <w:b/>
          <w:bCs/>
          <w:i/>
          <w:iCs/>
          <w:sz w:val="40"/>
          <w:szCs w:val="40"/>
        </w:rPr>
      </w:pPr>
      <w:r>
        <w:rPr>
          <w:rFonts w:ascii="Arial" w:hAnsi="Arial" w:cs="Arial"/>
          <w:b/>
          <w:bCs/>
          <w:i/>
          <w:iCs/>
          <w:sz w:val="40"/>
          <w:szCs w:val="40"/>
        </w:rPr>
        <w:t>8. Conclusion</w:t>
      </w:r>
    </w:p>
    <w:p w14:paraId="27B32241" w14:textId="6C6C2415" w:rsidR="00C138D7" w:rsidRPr="00845A4B" w:rsidRDefault="00C138D7" w:rsidP="00C138D7">
      <w:pPr>
        <w:spacing w:line="360" w:lineRule="auto"/>
        <w:jc w:val="both"/>
        <w:rPr>
          <w:rFonts w:ascii="Arial" w:hAnsi="Arial" w:cs="Arial"/>
          <w:b/>
          <w:bCs/>
          <w:sz w:val="22"/>
          <w:szCs w:val="22"/>
        </w:rPr>
      </w:pPr>
      <w:r>
        <w:rPr>
          <w:rFonts w:ascii="Arial" w:hAnsi="Arial" w:cs="Arial"/>
          <w:b/>
          <w:bCs/>
          <w:i/>
          <w:iCs/>
          <w:sz w:val="40"/>
          <w:szCs w:val="40"/>
        </w:rPr>
        <w:t>9. References</w:t>
      </w:r>
    </w:p>
    <w:p w14:paraId="2CD66B53" w14:textId="61DA0A50" w:rsidR="00C138D7" w:rsidRDefault="00C138D7" w:rsidP="00FE3DAB">
      <w:pPr>
        <w:spacing w:line="360" w:lineRule="auto"/>
        <w:jc w:val="both"/>
        <w:rPr>
          <w:rFonts w:ascii="Arial" w:hAnsi="Arial" w:cs="Arial"/>
          <w:b/>
          <w:bCs/>
          <w:i/>
          <w:iCs/>
          <w:sz w:val="40"/>
          <w:szCs w:val="40"/>
        </w:rPr>
      </w:pPr>
    </w:p>
    <w:p w14:paraId="1C1180CD" w14:textId="77777777" w:rsidR="000E1A68" w:rsidRPr="00C138D7" w:rsidRDefault="000E1A68" w:rsidP="00C138D7">
      <w:pPr>
        <w:spacing w:line="360" w:lineRule="auto"/>
        <w:jc w:val="both"/>
        <w:rPr>
          <w:rFonts w:ascii="Arial" w:hAnsi="Arial" w:cs="Arial"/>
          <w:b/>
          <w:bCs/>
          <w:i/>
          <w:iCs/>
        </w:rPr>
      </w:pPr>
    </w:p>
    <w:p w14:paraId="388C519A" w14:textId="77777777" w:rsidR="009F060D" w:rsidRDefault="009F060D" w:rsidP="00C138D7">
      <w:pPr>
        <w:spacing w:line="360" w:lineRule="auto"/>
        <w:jc w:val="both"/>
        <w:rPr>
          <w:rFonts w:ascii="Arial" w:hAnsi="Arial" w:cs="Arial"/>
          <w:b/>
          <w:bCs/>
        </w:rPr>
      </w:pPr>
      <w:r w:rsidRPr="00C138D7">
        <w:rPr>
          <w:rFonts w:ascii="Arial" w:hAnsi="Arial" w:cs="Arial"/>
          <w:b/>
          <w:bCs/>
        </w:rPr>
        <w:t>1. Executive Summary</w:t>
      </w:r>
    </w:p>
    <w:p w14:paraId="305D3BEF" w14:textId="7381EB7D"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Vodafone UK is undergoing a profound strategic transformation following its 2025 merger with Three UK, creating VodafoneThree</w:t>
      </w:r>
      <w:r>
        <w:rPr>
          <w:rFonts w:ascii="Arial" w:hAnsi="Arial" w:cs="Arial"/>
          <w:sz w:val="22"/>
          <w:szCs w:val="22"/>
        </w:rPr>
        <w:t xml:space="preserve">, </w:t>
      </w:r>
      <w:r w:rsidRPr="00C138D7">
        <w:rPr>
          <w:rFonts w:ascii="Arial" w:hAnsi="Arial" w:cs="Arial"/>
          <w:sz w:val="22"/>
          <w:szCs w:val="22"/>
        </w:rPr>
        <w:t xml:space="preserve">now the largest mobile operator in the United Kingdom. This newly formed entity operates within an increasingly complex technological and regulatory landscape, requiring a multidimensional strategic evaluation. Accordingly, this report assesses </w:t>
      </w:r>
      <w:r>
        <w:rPr>
          <w:rFonts w:ascii="Arial" w:hAnsi="Arial" w:cs="Arial"/>
          <w:sz w:val="22"/>
          <w:szCs w:val="22"/>
        </w:rPr>
        <w:t>VodafoneThree’s</w:t>
      </w:r>
      <w:r w:rsidRPr="00C138D7">
        <w:rPr>
          <w:rFonts w:ascii="Arial" w:hAnsi="Arial" w:cs="Arial"/>
          <w:sz w:val="22"/>
          <w:szCs w:val="22"/>
        </w:rPr>
        <w:t xml:space="preserve"> strategic position through </w:t>
      </w:r>
      <w:r w:rsidRPr="00C138D7">
        <w:rPr>
          <w:rFonts w:ascii="Arial" w:hAnsi="Arial" w:cs="Arial"/>
          <w:b/>
          <w:bCs/>
          <w:sz w:val="22"/>
          <w:szCs w:val="22"/>
        </w:rPr>
        <w:t>PESTEL</w:t>
      </w:r>
      <w:r w:rsidRPr="00C138D7">
        <w:rPr>
          <w:rFonts w:ascii="Arial" w:hAnsi="Arial" w:cs="Arial"/>
          <w:sz w:val="22"/>
          <w:szCs w:val="22"/>
        </w:rPr>
        <w:t xml:space="preserve"> analysis, </w:t>
      </w:r>
      <w:r w:rsidRPr="00C138D7">
        <w:rPr>
          <w:rFonts w:ascii="Arial" w:hAnsi="Arial" w:cs="Arial"/>
          <w:b/>
          <w:bCs/>
          <w:sz w:val="22"/>
          <w:szCs w:val="22"/>
        </w:rPr>
        <w:t>Ansoff’s</w:t>
      </w:r>
      <w:r w:rsidRPr="00C138D7">
        <w:rPr>
          <w:rFonts w:ascii="Arial" w:hAnsi="Arial" w:cs="Arial"/>
          <w:sz w:val="22"/>
          <w:szCs w:val="22"/>
        </w:rPr>
        <w:t xml:space="preserve"> Growth Matrix, the Resource</w:t>
      </w:r>
      <w:r w:rsidRPr="00C138D7">
        <w:rPr>
          <w:rFonts w:ascii="Arial" w:hAnsi="Arial" w:cs="Arial"/>
          <w:sz w:val="22"/>
          <w:szCs w:val="22"/>
        </w:rPr>
        <w:noBreakHyphen/>
        <w:t xml:space="preserve">Based View (Barney, 1991), Dynamic Capabilities theory (Teece et al., 1997; Eisenhardt &amp; Martin, 2020), and organisational complexity theory (Stacey, 2011). The </w:t>
      </w:r>
      <w:r w:rsidRPr="00C138D7">
        <w:rPr>
          <w:rFonts w:ascii="Arial" w:hAnsi="Arial" w:cs="Arial"/>
          <w:sz w:val="22"/>
          <w:szCs w:val="22"/>
        </w:rPr>
        <w:lastRenderedPageBreak/>
        <w:t>combined analysis reveals substantial opportunities in converged digital services, IoT and smart</w:t>
      </w:r>
      <w:r w:rsidRPr="00C138D7">
        <w:rPr>
          <w:rFonts w:ascii="Arial" w:hAnsi="Arial" w:cs="Arial"/>
          <w:sz w:val="22"/>
          <w:szCs w:val="22"/>
        </w:rPr>
        <w:noBreakHyphen/>
        <w:t>industry ecosystems, enterprise connectivity solutions, and 5G/6G network leadership, all strengthened by the merged organisation’s expanded resource base and enhanced capability configuration.</w:t>
      </w:r>
    </w:p>
    <w:p w14:paraId="073D6459" w14:textId="6D4DBDCB"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The recommended strategic direction is </w:t>
      </w:r>
      <w:r w:rsidRPr="00C138D7">
        <w:rPr>
          <w:rFonts w:ascii="Arial" w:hAnsi="Arial" w:cs="Arial"/>
          <w:b/>
          <w:bCs/>
          <w:sz w:val="22"/>
          <w:szCs w:val="22"/>
        </w:rPr>
        <w:t>Differentiation</w:t>
      </w:r>
      <w:r w:rsidRPr="00C138D7">
        <w:rPr>
          <w:rFonts w:ascii="Arial" w:hAnsi="Arial" w:cs="Arial"/>
          <w:sz w:val="22"/>
          <w:szCs w:val="22"/>
        </w:rPr>
        <w:t xml:space="preserve"> (Porter, 1985), underpinned by </w:t>
      </w:r>
      <w:r w:rsidRPr="00C138D7">
        <w:rPr>
          <w:rFonts w:ascii="Arial" w:hAnsi="Arial" w:cs="Arial"/>
          <w:b/>
          <w:bCs/>
          <w:sz w:val="22"/>
          <w:szCs w:val="22"/>
        </w:rPr>
        <w:t>Product Development and Diversification</w:t>
      </w:r>
      <w:r w:rsidRPr="00C138D7">
        <w:rPr>
          <w:rFonts w:ascii="Arial" w:hAnsi="Arial" w:cs="Arial"/>
          <w:sz w:val="22"/>
          <w:szCs w:val="22"/>
        </w:rPr>
        <w:t xml:space="preserve"> strategies (Bowman &amp; Faulkner, 1997; Johnson et al., 2023). This approach aligns with Vodafone’s core values of speed, simplicity, and trust, while leveraging VodafoneThree’s augmented technological assets, financial capacity, and dynamic capabilities to create </w:t>
      </w:r>
      <w:r>
        <w:rPr>
          <w:rFonts w:ascii="Arial" w:hAnsi="Arial" w:cs="Arial"/>
          <w:sz w:val="22"/>
          <w:szCs w:val="22"/>
        </w:rPr>
        <w:t xml:space="preserve">a </w:t>
      </w:r>
      <w:r w:rsidRPr="00C138D7">
        <w:rPr>
          <w:rFonts w:ascii="Arial" w:hAnsi="Arial" w:cs="Arial"/>
          <w:sz w:val="22"/>
          <w:szCs w:val="22"/>
        </w:rPr>
        <w:t xml:space="preserve">defensible competitive advantage. Using the </w:t>
      </w:r>
      <w:r w:rsidRPr="00C138D7">
        <w:rPr>
          <w:rFonts w:ascii="Arial" w:hAnsi="Arial" w:cs="Arial"/>
          <w:b/>
          <w:bCs/>
          <w:sz w:val="22"/>
          <w:szCs w:val="22"/>
        </w:rPr>
        <w:t>SFA</w:t>
      </w:r>
      <w:r w:rsidRPr="00C138D7">
        <w:rPr>
          <w:rFonts w:ascii="Arial" w:hAnsi="Arial" w:cs="Arial"/>
          <w:sz w:val="22"/>
          <w:szCs w:val="22"/>
        </w:rPr>
        <w:t xml:space="preserve"> framework (Johnson et al., 2023; Anderson et al., 2025), the proposed strategy is evaluated as highly suitable, operationally feasible, and acceptable to key stakeholders, including regulators, customers, employees, and shareholders. A comprehensive stakeholder engagement plan and a phased implementation </w:t>
      </w:r>
      <w:r>
        <w:rPr>
          <w:rFonts w:ascii="Arial" w:hAnsi="Arial" w:cs="Arial"/>
          <w:sz w:val="22"/>
          <w:szCs w:val="22"/>
        </w:rPr>
        <w:t xml:space="preserve">plan </w:t>
      </w:r>
      <w:r w:rsidRPr="00C138D7">
        <w:rPr>
          <w:rFonts w:ascii="Arial" w:hAnsi="Arial" w:cs="Arial"/>
          <w:sz w:val="22"/>
          <w:szCs w:val="22"/>
        </w:rPr>
        <w:t>supported by measurable KPIs</w:t>
      </w:r>
      <w:r>
        <w:rPr>
          <w:rFonts w:ascii="Arial" w:hAnsi="Arial" w:cs="Arial"/>
          <w:sz w:val="22"/>
          <w:szCs w:val="22"/>
        </w:rPr>
        <w:t xml:space="preserve"> </w:t>
      </w:r>
      <w:r w:rsidRPr="00C138D7">
        <w:rPr>
          <w:rFonts w:ascii="Arial" w:hAnsi="Arial" w:cs="Arial"/>
          <w:sz w:val="22"/>
          <w:szCs w:val="22"/>
        </w:rPr>
        <w:t>are provided to ensure disciplined execution, strategic coherence, and sustained long</w:t>
      </w:r>
      <w:r w:rsidRPr="00C138D7">
        <w:rPr>
          <w:rFonts w:ascii="Arial" w:hAnsi="Arial" w:cs="Arial"/>
          <w:sz w:val="22"/>
          <w:szCs w:val="22"/>
        </w:rPr>
        <w:noBreakHyphen/>
        <w:t>term value creation.</w:t>
      </w:r>
    </w:p>
    <w:p w14:paraId="7C1CE05E" w14:textId="77777777" w:rsidR="00C138D7" w:rsidRDefault="00C138D7" w:rsidP="00C138D7">
      <w:pPr>
        <w:spacing w:line="360" w:lineRule="auto"/>
        <w:jc w:val="both"/>
        <w:rPr>
          <w:rFonts w:ascii="Arial" w:hAnsi="Arial" w:cs="Arial"/>
          <w:b/>
          <w:bCs/>
        </w:rPr>
      </w:pPr>
    </w:p>
    <w:p w14:paraId="5EFBD886" w14:textId="77777777" w:rsidR="00C138D7" w:rsidRPr="00C138D7" w:rsidRDefault="00C138D7" w:rsidP="00C138D7">
      <w:pPr>
        <w:spacing w:line="360" w:lineRule="auto"/>
        <w:jc w:val="both"/>
        <w:rPr>
          <w:rFonts w:ascii="Arial" w:hAnsi="Arial" w:cs="Arial"/>
          <w:b/>
          <w:bCs/>
        </w:rPr>
      </w:pPr>
    </w:p>
    <w:p w14:paraId="59F88FEE" w14:textId="11478AB5" w:rsidR="002E378F" w:rsidRPr="00C138D7" w:rsidRDefault="002E378F" w:rsidP="00C138D7">
      <w:pPr>
        <w:spacing w:line="360" w:lineRule="auto"/>
        <w:jc w:val="both"/>
        <w:rPr>
          <w:rFonts w:ascii="Arial" w:hAnsi="Arial" w:cs="Arial"/>
          <w:b/>
          <w:bCs/>
        </w:rPr>
      </w:pPr>
      <w:r w:rsidRPr="00C138D7">
        <w:rPr>
          <w:rFonts w:ascii="Arial" w:hAnsi="Arial" w:cs="Arial"/>
          <w:b/>
          <w:bCs/>
        </w:rPr>
        <w:t>2. Introduction</w:t>
      </w:r>
    </w:p>
    <w:p w14:paraId="36563987" w14:textId="38519C9A"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Vodafone is a major multinational telecommunications organisation operating across Europe and Africa, originating from its establishment on 1 January 1984 by Gerry Whent under the name Rascal Vodafone before transitioning to public ownership in 1988. Over four decades, the company has developed into a global leader in digital connectivity, recognised for sustained investment in technological innovation and its broader contribution to societal advancement. Its mission, articulated as “connect for a better future,” underscores the strategic importance of digital networks in enabling inclusive, sustainable, and resilient societies (Vodafone, 2025). This mission is operationalised through core organisational values</w:t>
      </w:r>
      <w:r>
        <w:rPr>
          <w:rFonts w:ascii="Arial" w:hAnsi="Arial" w:cs="Arial"/>
          <w:sz w:val="22"/>
          <w:szCs w:val="22"/>
        </w:rPr>
        <w:t xml:space="preserve"> </w:t>
      </w:r>
      <w:r w:rsidRPr="00C138D7">
        <w:rPr>
          <w:rFonts w:ascii="Arial" w:hAnsi="Arial" w:cs="Arial"/>
          <w:sz w:val="22"/>
          <w:szCs w:val="22"/>
        </w:rPr>
        <w:t>speed, simplicity, and trust—which guide strategic decision</w:t>
      </w:r>
      <w:r w:rsidRPr="00C138D7">
        <w:rPr>
          <w:rFonts w:ascii="Arial" w:hAnsi="Arial" w:cs="Arial"/>
          <w:sz w:val="22"/>
          <w:szCs w:val="22"/>
        </w:rPr>
        <w:noBreakHyphen/>
        <w:t>making, shape organisational behaviour, and influence customer engagement across diverse markets (Johnson et al., 2023). These values reflect a wider strategic orientation towards agility, customer</w:t>
      </w:r>
      <w:r w:rsidRPr="00C138D7">
        <w:rPr>
          <w:rFonts w:ascii="Arial" w:hAnsi="Arial" w:cs="Arial"/>
          <w:sz w:val="22"/>
          <w:szCs w:val="22"/>
        </w:rPr>
        <w:noBreakHyphen/>
        <w:t>centricity, and transparent governance, qualities essential within a telecommunications environment characterised by rapid technological evolution and intensifying competitive pressures (Grant, 2022).</w:t>
      </w:r>
    </w:p>
    <w:p w14:paraId="24E9C709" w14:textId="4945439B"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Within the UK, Vodafone has long been a principal mobile network operator, competing with BT/EE, Virgin Media O2, and Three UK. Its strategic position shifted significantly following the 2025 merger with Three UK, forming VodafoneThree, now the largest operator with </w:t>
      </w:r>
      <w:r w:rsidRPr="00C138D7">
        <w:rPr>
          <w:rFonts w:ascii="Arial" w:hAnsi="Arial" w:cs="Arial"/>
          <w:sz w:val="22"/>
          <w:szCs w:val="22"/>
        </w:rPr>
        <w:lastRenderedPageBreak/>
        <w:t>approximately 27 million customers (Vodafone, 2025). This merger strengthened Vodafone’s resource base and spectrum assets, aligning with the Resource</w:t>
      </w:r>
      <w:r w:rsidRPr="00C138D7">
        <w:rPr>
          <w:rFonts w:ascii="Arial" w:hAnsi="Arial" w:cs="Arial"/>
          <w:sz w:val="22"/>
          <w:szCs w:val="22"/>
        </w:rPr>
        <w:noBreakHyphen/>
        <w:t>Based View, which emphasises the strategic value of rare and hard</w:t>
      </w:r>
      <w:r w:rsidRPr="00C138D7">
        <w:rPr>
          <w:rFonts w:ascii="Arial" w:hAnsi="Arial" w:cs="Arial"/>
          <w:sz w:val="22"/>
          <w:szCs w:val="22"/>
        </w:rPr>
        <w:noBreakHyphen/>
        <w:t>to</w:t>
      </w:r>
      <w:r w:rsidRPr="00C138D7">
        <w:rPr>
          <w:rFonts w:ascii="Arial" w:hAnsi="Arial" w:cs="Arial"/>
          <w:sz w:val="22"/>
          <w:szCs w:val="22"/>
        </w:rPr>
        <w:noBreakHyphen/>
        <w:t>imitate resources (Barney, 1991). Supported by an £11 billion investment plan, VodafoneThree aims to deliver the UK’s leading standalone 5G network, enabling advanced digital services including IoT, autonomous systems, and smart city infrastructure (Teece et al., 1997). These ambitions align with contemporary strategic management perspectives</w:t>
      </w:r>
      <w:r>
        <w:rPr>
          <w:rFonts w:ascii="Arial" w:hAnsi="Arial" w:cs="Arial"/>
          <w:sz w:val="22"/>
          <w:szCs w:val="22"/>
        </w:rPr>
        <w:t>,</w:t>
      </w:r>
      <w:r w:rsidRPr="00C138D7">
        <w:rPr>
          <w:rFonts w:ascii="Arial" w:hAnsi="Arial" w:cs="Arial"/>
          <w:sz w:val="22"/>
          <w:szCs w:val="22"/>
        </w:rPr>
        <w:t xml:space="preserve"> highlighting dynamic capabilities, organisational adaptability, and innovation</w:t>
      </w:r>
      <w:r w:rsidRPr="00C138D7">
        <w:rPr>
          <w:rFonts w:ascii="Arial" w:hAnsi="Arial" w:cs="Arial"/>
          <w:sz w:val="22"/>
          <w:szCs w:val="22"/>
        </w:rPr>
        <w:noBreakHyphen/>
        <w:t>driven growth as essential for long</w:t>
      </w:r>
      <w:r w:rsidRPr="00C138D7">
        <w:rPr>
          <w:rFonts w:ascii="Arial" w:hAnsi="Arial" w:cs="Arial"/>
          <w:sz w:val="22"/>
          <w:szCs w:val="22"/>
        </w:rPr>
        <w:noBreakHyphen/>
        <w:t>term competitiveness (Eisenhardt &amp; Martin, 2020; Pisano, 2019).</w:t>
      </w:r>
    </w:p>
    <w:p w14:paraId="09B5AC08" w14:textId="77777777" w:rsidR="004D2E3F" w:rsidRPr="009F060D" w:rsidRDefault="004D2E3F" w:rsidP="00C138D7">
      <w:pPr>
        <w:spacing w:line="360" w:lineRule="auto"/>
        <w:jc w:val="both"/>
        <w:rPr>
          <w:rFonts w:ascii="Arial" w:hAnsi="Arial" w:cs="Arial"/>
          <w:sz w:val="22"/>
          <w:szCs w:val="22"/>
        </w:rPr>
      </w:pPr>
    </w:p>
    <w:p w14:paraId="0F64CED3" w14:textId="447E0573" w:rsidR="00E220D2" w:rsidRPr="00C138D7" w:rsidRDefault="00E220D2" w:rsidP="00C138D7">
      <w:pPr>
        <w:spacing w:line="360" w:lineRule="auto"/>
        <w:jc w:val="both"/>
        <w:rPr>
          <w:rFonts w:ascii="Arial" w:hAnsi="Arial" w:cs="Arial"/>
        </w:rPr>
      </w:pPr>
    </w:p>
    <w:p w14:paraId="04C7CA0D" w14:textId="64568522" w:rsidR="009F060D" w:rsidRPr="00C138D7" w:rsidRDefault="009F060D" w:rsidP="00C138D7">
      <w:pPr>
        <w:spacing w:line="360" w:lineRule="auto"/>
        <w:jc w:val="both"/>
        <w:rPr>
          <w:rFonts w:ascii="Arial" w:hAnsi="Arial" w:cs="Arial"/>
          <w:b/>
          <w:bCs/>
        </w:rPr>
      </w:pPr>
      <w:r w:rsidRPr="00C138D7">
        <w:rPr>
          <w:rFonts w:ascii="Arial" w:hAnsi="Arial" w:cs="Arial"/>
          <w:b/>
          <w:bCs/>
        </w:rPr>
        <w:t xml:space="preserve">3. </w:t>
      </w:r>
      <w:r w:rsidR="004D2E3F" w:rsidRPr="00C138D7">
        <w:rPr>
          <w:rFonts w:ascii="Arial" w:hAnsi="Arial" w:cs="Arial"/>
          <w:b/>
          <w:bCs/>
        </w:rPr>
        <w:t>Evaluation</w:t>
      </w:r>
      <w:r w:rsidR="00C138D7">
        <w:rPr>
          <w:rFonts w:ascii="Arial" w:hAnsi="Arial" w:cs="Arial"/>
          <w:b/>
          <w:bCs/>
        </w:rPr>
        <w:t xml:space="preserve"> </w:t>
      </w:r>
    </w:p>
    <w:p w14:paraId="3DEF92FD" w14:textId="4B0BB1DF"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 xml:space="preserve">VodafoneThree’s current market environment requires a structured analysis of the political, economic, social, technological, environmental, and legal factors shaping the UK telecommunications sector. The </w:t>
      </w:r>
      <w:r w:rsidRPr="00C138D7">
        <w:rPr>
          <w:rFonts w:ascii="Arial" w:hAnsi="Arial" w:cs="Arial"/>
          <w:b/>
          <w:bCs/>
          <w:sz w:val="22"/>
          <w:szCs w:val="22"/>
        </w:rPr>
        <w:t>PESTLE</w:t>
      </w:r>
      <w:r w:rsidRPr="00C43EC7">
        <w:rPr>
          <w:rFonts w:ascii="Arial" w:hAnsi="Arial" w:cs="Arial"/>
          <w:sz w:val="22"/>
          <w:szCs w:val="22"/>
        </w:rPr>
        <w:t xml:space="preserve"> framework provides a comprehensive lens through which to assess the external conditions influencing VodafoneThree’s strategic position, particularly in the aftermath of the 2025 merger between Vodafone UK and Three UK. This merger has fundamentally reshaped the competitive landscape, regulatory expectations, and technological trajectory of the industry, making a nuanced environmental analysis essential for strategic planning (Johnson et al., 2023).</w:t>
      </w:r>
    </w:p>
    <w:p w14:paraId="2AE6CDC0" w14:textId="77777777" w:rsidR="00C43EC7" w:rsidRPr="00C138D7" w:rsidRDefault="00C43EC7" w:rsidP="00C138D7">
      <w:pPr>
        <w:spacing w:line="360" w:lineRule="auto"/>
        <w:jc w:val="both"/>
        <w:rPr>
          <w:rFonts w:ascii="Arial" w:hAnsi="Arial" w:cs="Arial"/>
          <w:b/>
          <w:bCs/>
        </w:rPr>
      </w:pPr>
      <w:r w:rsidRPr="00C138D7">
        <w:rPr>
          <w:rFonts w:ascii="Arial" w:hAnsi="Arial" w:cs="Arial"/>
          <w:b/>
          <w:bCs/>
        </w:rPr>
        <w:t>Political Factors</w:t>
      </w:r>
    </w:p>
    <w:p w14:paraId="7370106B" w14:textId="7994914F"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 xml:space="preserve">Political and regulatory dynamics exert significant influence over VodafoneThree’s operations. The UK government has prioritised digital infrastructure development, recognising the strategic importance of 5G deployment for national competitiveness. The Competition and Markets Authority (CMA) approved the Vodafone–Three merger in 2025 under stringent conditions, requiring a </w:t>
      </w:r>
      <w:r w:rsidRPr="00C43EC7">
        <w:rPr>
          <w:rFonts w:ascii="Arial" w:hAnsi="Arial" w:cs="Arial"/>
          <w:b/>
          <w:bCs/>
          <w:sz w:val="22"/>
          <w:szCs w:val="22"/>
        </w:rPr>
        <w:t>£11 billion investment over a decade</w:t>
      </w:r>
      <w:r w:rsidRPr="00C43EC7">
        <w:rPr>
          <w:rFonts w:ascii="Arial" w:hAnsi="Arial" w:cs="Arial"/>
          <w:sz w:val="22"/>
          <w:szCs w:val="22"/>
        </w:rPr>
        <w:t xml:space="preserve"> to expand 5G coverage and improve network </w:t>
      </w:r>
      <w:r w:rsidR="00C138D7" w:rsidRPr="00C43EC7">
        <w:rPr>
          <w:rFonts w:ascii="Arial" w:hAnsi="Arial" w:cs="Arial"/>
          <w:sz w:val="22"/>
          <w:szCs w:val="22"/>
        </w:rPr>
        <w:t>quality.</w:t>
      </w:r>
      <w:r w:rsidRPr="00C43EC7">
        <w:rPr>
          <w:rFonts w:ascii="Arial" w:hAnsi="Arial" w:cs="Arial"/>
          <w:sz w:val="22"/>
          <w:szCs w:val="22"/>
        </w:rPr>
        <w:t xml:space="preserve"> These conditions also include </w:t>
      </w:r>
      <w:r w:rsidRPr="00C43EC7">
        <w:rPr>
          <w:rFonts w:ascii="Arial" w:hAnsi="Arial" w:cs="Arial"/>
          <w:b/>
          <w:bCs/>
          <w:sz w:val="22"/>
          <w:szCs w:val="22"/>
        </w:rPr>
        <w:t>tariff caps for three years</w:t>
      </w:r>
      <w:r w:rsidRPr="00C43EC7">
        <w:rPr>
          <w:rFonts w:ascii="Arial" w:hAnsi="Arial" w:cs="Arial"/>
          <w:sz w:val="22"/>
          <w:szCs w:val="22"/>
        </w:rPr>
        <w:t>, maintenance of wholesale pricing for MVNOs, and annual progress reporting, reflecting heightened regulatory scrutiny aimed at protecting consumer welfare and market competition.</w:t>
      </w:r>
    </w:p>
    <w:p w14:paraId="2D32D8A0" w14:textId="77BFFA3F"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 xml:space="preserve">The CMA’s decision aligns with broader government policy, including the UK’s Wireless Infrastructure Strategy, which estimates that 5G could generate </w:t>
      </w:r>
      <w:r w:rsidRPr="00C43EC7">
        <w:rPr>
          <w:rFonts w:ascii="Arial" w:hAnsi="Arial" w:cs="Arial"/>
          <w:b/>
          <w:bCs/>
          <w:sz w:val="22"/>
          <w:szCs w:val="22"/>
        </w:rPr>
        <w:t>£159 billion in economic benefits</w:t>
      </w:r>
      <w:r w:rsidRPr="00C43EC7">
        <w:rPr>
          <w:rFonts w:ascii="Arial" w:hAnsi="Arial" w:cs="Arial"/>
          <w:sz w:val="22"/>
          <w:szCs w:val="22"/>
        </w:rPr>
        <w:t xml:space="preserve">. The regulator’s emphasis on long-term investment and network quality underscores the political expectation that VodafoneThree will act as a key enabler of national digital </w:t>
      </w:r>
      <w:r w:rsidRPr="00C43EC7">
        <w:rPr>
          <w:rFonts w:ascii="Arial" w:hAnsi="Arial" w:cs="Arial"/>
          <w:sz w:val="22"/>
          <w:szCs w:val="22"/>
        </w:rPr>
        <w:lastRenderedPageBreak/>
        <w:t xml:space="preserve">transformation (Peng, 2022). Furthermore, Ofcom’s involvement in the regulatory process highlights the increasing importance of spectrum management and network integration in shaping competitive </w:t>
      </w:r>
      <w:r w:rsidR="00C138D7" w:rsidRPr="00C43EC7">
        <w:rPr>
          <w:rFonts w:ascii="Arial" w:hAnsi="Arial" w:cs="Arial"/>
          <w:sz w:val="22"/>
          <w:szCs w:val="22"/>
        </w:rPr>
        <w:t>dynamics.</w:t>
      </w:r>
    </w:p>
    <w:p w14:paraId="12AD406E" w14:textId="77777777" w:rsidR="00C43EC7" w:rsidRPr="00C138D7" w:rsidRDefault="00C43EC7" w:rsidP="00C138D7">
      <w:pPr>
        <w:spacing w:line="360" w:lineRule="auto"/>
        <w:jc w:val="both"/>
        <w:rPr>
          <w:rFonts w:ascii="Arial" w:hAnsi="Arial" w:cs="Arial"/>
          <w:b/>
          <w:bCs/>
        </w:rPr>
      </w:pPr>
      <w:r w:rsidRPr="00C138D7">
        <w:rPr>
          <w:rFonts w:ascii="Arial" w:hAnsi="Arial" w:cs="Arial"/>
          <w:b/>
          <w:bCs/>
        </w:rPr>
        <w:t>Economic Factors</w:t>
      </w:r>
    </w:p>
    <w:p w14:paraId="1B8D6852" w14:textId="0D78C49F"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 xml:space="preserve">Economic conditions in the UK telecom market are characterised by maturity, price sensitivity, and slow organic growth. Despite these challenges, the VodafoneThree merger has already produced measurable economic benefits. In Q1 FY26, VodafoneThree reported </w:t>
      </w:r>
      <w:r w:rsidRPr="00C43EC7">
        <w:rPr>
          <w:rFonts w:ascii="Arial" w:hAnsi="Arial" w:cs="Arial"/>
          <w:b/>
          <w:bCs/>
          <w:sz w:val="22"/>
          <w:szCs w:val="22"/>
        </w:rPr>
        <w:t>14.5% year-on-year revenue growth</w:t>
      </w:r>
      <w:r w:rsidRPr="00C43EC7">
        <w:rPr>
          <w:rFonts w:ascii="Arial" w:hAnsi="Arial" w:cs="Arial"/>
          <w:sz w:val="22"/>
          <w:szCs w:val="22"/>
        </w:rPr>
        <w:t xml:space="preserve">, demonstrating early financial gains from network integration and operational </w:t>
      </w:r>
      <w:r w:rsidR="00C138D7" w:rsidRPr="00C43EC7">
        <w:rPr>
          <w:rFonts w:ascii="Arial" w:hAnsi="Arial" w:cs="Arial"/>
          <w:sz w:val="22"/>
          <w:szCs w:val="22"/>
        </w:rPr>
        <w:t>efficiencies.</w:t>
      </w:r>
      <w:r w:rsidRPr="00C43EC7">
        <w:rPr>
          <w:rFonts w:ascii="Arial" w:hAnsi="Arial" w:cs="Arial"/>
          <w:sz w:val="22"/>
          <w:szCs w:val="22"/>
        </w:rPr>
        <w:t xml:space="preserve"> The merger is expected to contribute </w:t>
      </w:r>
      <w:r w:rsidRPr="00C43EC7">
        <w:rPr>
          <w:rFonts w:ascii="Arial" w:hAnsi="Arial" w:cs="Arial"/>
          <w:b/>
          <w:bCs/>
          <w:sz w:val="22"/>
          <w:szCs w:val="22"/>
        </w:rPr>
        <w:t>£102 billion to the UK economy between 2025 and 2035</w:t>
      </w:r>
      <w:r w:rsidRPr="00C43EC7">
        <w:rPr>
          <w:rFonts w:ascii="Arial" w:hAnsi="Arial" w:cs="Arial"/>
          <w:sz w:val="22"/>
          <w:szCs w:val="22"/>
        </w:rPr>
        <w:t>, driven by job creation, infrastructure investment, and technological innovation (Vodafone, 2025).</w:t>
      </w:r>
    </w:p>
    <w:p w14:paraId="1AE7D9A6" w14:textId="17CC6FBD"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 xml:space="preserve">Cost synergies represent a major economic advantage. VodafoneThree forecasts </w:t>
      </w:r>
      <w:r w:rsidRPr="00C43EC7">
        <w:rPr>
          <w:rFonts w:ascii="Arial" w:hAnsi="Arial" w:cs="Arial"/>
          <w:b/>
          <w:bCs/>
          <w:sz w:val="22"/>
          <w:szCs w:val="22"/>
        </w:rPr>
        <w:t>£700 million in annual savings</w:t>
      </w:r>
      <w:r w:rsidRPr="00C43EC7">
        <w:rPr>
          <w:rFonts w:ascii="Arial" w:hAnsi="Arial" w:cs="Arial"/>
          <w:sz w:val="22"/>
          <w:szCs w:val="22"/>
        </w:rPr>
        <w:t xml:space="preserve">, primarily through network integration, shared infrastructure, and back-office </w:t>
      </w:r>
      <w:r w:rsidR="00C138D7" w:rsidRPr="00C43EC7">
        <w:rPr>
          <w:rFonts w:ascii="Arial" w:hAnsi="Arial" w:cs="Arial"/>
          <w:sz w:val="22"/>
          <w:szCs w:val="22"/>
        </w:rPr>
        <w:t>efficiencies.</w:t>
      </w:r>
      <w:r w:rsidRPr="00C43EC7">
        <w:rPr>
          <w:rFonts w:ascii="Arial" w:hAnsi="Arial" w:cs="Arial"/>
          <w:sz w:val="22"/>
          <w:szCs w:val="22"/>
        </w:rPr>
        <w:t xml:space="preserve"> These savings enhance financial resilience and enable competitive pricing strategies in a market where consumers are highly price-sensitive (Grant, 2022). However, the merger also increased Vodafone Group’s net debt by </w:t>
      </w:r>
      <w:r w:rsidRPr="00C43EC7">
        <w:rPr>
          <w:rFonts w:ascii="Arial" w:hAnsi="Arial" w:cs="Arial"/>
          <w:b/>
          <w:bCs/>
          <w:sz w:val="22"/>
          <w:szCs w:val="22"/>
        </w:rPr>
        <w:t>£1.7 billion</w:t>
      </w:r>
      <w:r w:rsidRPr="00C43EC7">
        <w:rPr>
          <w:rFonts w:ascii="Arial" w:hAnsi="Arial" w:cs="Arial"/>
          <w:sz w:val="22"/>
          <w:szCs w:val="22"/>
        </w:rPr>
        <w:t xml:space="preserve">, reflecting the substantial capital expenditure required to support long-term 5G deployment and network </w:t>
      </w:r>
      <w:r w:rsidR="00C138D7" w:rsidRPr="00C43EC7">
        <w:rPr>
          <w:rFonts w:ascii="Arial" w:hAnsi="Arial" w:cs="Arial"/>
          <w:sz w:val="22"/>
          <w:szCs w:val="22"/>
        </w:rPr>
        <w:t>consolidation.</w:t>
      </w:r>
    </w:p>
    <w:p w14:paraId="78BDC988" w14:textId="7C72E444" w:rsidR="00C138D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Macro</w:t>
      </w:r>
      <w:r w:rsidR="00C138D7">
        <w:rPr>
          <w:rFonts w:ascii="Arial" w:hAnsi="Arial" w:cs="Arial"/>
          <w:sz w:val="22"/>
          <w:szCs w:val="22"/>
        </w:rPr>
        <w:t>-</w:t>
      </w:r>
      <w:r w:rsidRPr="00C43EC7">
        <w:rPr>
          <w:rFonts w:ascii="Arial" w:hAnsi="Arial" w:cs="Arial"/>
          <w:sz w:val="22"/>
          <w:szCs w:val="22"/>
        </w:rPr>
        <w:t>economic uncertainty</w:t>
      </w:r>
      <w:r w:rsidR="00A67AAE">
        <w:rPr>
          <w:rFonts w:ascii="Arial" w:hAnsi="Arial" w:cs="Arial"/>
          <w:sz w:val="22"/>
          <w:szCs w:val="22"/>
        </w:rPr>
        <w:t>,</w:t>
      </w:r>
      <w:r w:rsidR="00C138D7">
        <w:rPr>
          <w:rFonts w:ascii="Arial" w:hAnsi="Arial" w:cs="Arial"/>
          <w:sz w:val="22"/>
          <w:szCs w:val="22"/>
        </w:rPr>
        <w:t xml:space="preserve"> </w:t>
      </w:r>
      <w:r w:rsidRPr="00C43EC7">
        <w:rPr>
          <w:rFonts w:ascii="Arial" w:hAnsi="Arial" w:cs="Arial"/>
          <w:sz w:val="22"/>
          <w:szCs w:val="22"/>
        </w:rPr>
        <w:t>including inflationary pressures and fluctuating consumer spending</w:t>
      </w:r>
      <w:r w:rsidR="00A67AAE">
        <w:rPr>
          <w:rFonts w:ascii="Arial" w:hAnsi="Arial" w:cs="Arial"/>
          <w:sz w:val="22"/>
          <w:szCs w:val="22"/>
        </w:rPr>
        <w:t>,</w:t>
      </w:r>
      <w:r w:rsidR="00C138D7">
        <w:rPr>
          <w:rFonts w:ascii="Arial" w:hAnsi="Arial" w:cs="Arial"/>
          <w:sz w:val="22"/>
          <w:szCs w:val="22"/>
        </w:rPr>
        <w:t xml:space="preserve"> </w:t>
      </w:r>
      <w:r w:rsidRPr="00C43EC7">
        <w:rPr>
          <w:rFonts w:ascii="Arial" w:hAnsi="Arial" w:cs="Arial"/>
          <w:sz w:val="22"/>
          <w:szCs w:val="22"/>
        </w:rPr>
        <w:t xml:space="preserve">continues to influence demand for telecom services. </w:t>
      </w:r>
      <w:r w:rsidR="001B0714">
        <w:rPr>
          <w:rFonts w:ascii="Arial" w:hAnsi="Arial" w:cs="Arial"/>
          <w:sz w:val="22"/>
          <w:szCs w:val="22"/>
        </w:rPr>
        <w:t>N</w:t>
      </w:r>
      <w:r w:rsidRPr="00C43EC7">
        <w:rPr>
          <w:rFonts w:ascii="Arial" w:hAnsi="Arial" w:cs="Arial"/>
          <w:sz w:val="22"/>
          <w:szCs w:val="22"/>
        </w:rPr>
        <w:t>evertheless, the scale and investment capacity of VodafoneThree position it strongly to navigate these challenges.</w:t>
      </w:r>
    </w:p>
    <w:p w14:paraId="3EFE2586" w14:textId="77777777" w:rsidR="00C43EC7" w:rsidRPr="00C138D7" w:rsidRDefault="00C43EC7" w:rsidP="00C138D7">
      <w:pPr>
        <w:spacing w:line="360" w:lineRule="auto"/>
        <w:jc w:val="both"/>
        <w:rPr>
          <w:rFonts w:ascii="Arial" w:hAnsi="Arial" w:cs="Arial"/>
          <w:b/>
          <w:bCs/>
        </w:rPr>
      </w:pPr>
      <w:r w:rsidRPr="00C138D7">
        <w:rPr>
          <w:rFonts w:ascii="Arial" w:hAnsi="Arial" w:cs="Arial"/>
          <w:b/>
          <w:bCs/>
        </w:rPr>
        <w:t>Social Factors</w:t>
      </w:r>
    </w:p>
    <w:p w14:paraId="36F26D15" w14:textId="00D75F6D"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 xml:space="preserve">Social trends are increasingly shaping demand for telecommunications services. The rise of remote working, digital learning, and online entertainment has intensified consumer expectations for high-speed, reliable connectivity (Wheelen &amp; Hunger, 2018). VodafoneThree’s expanded network footprint has already delivered </w:t>
      </w:r>
      <w:r w:rsidRPr="00C43EC7">
        <w:rPr>
          <w:rFonts w:ascii="Arial" w:hAnsi="Arial" w:cs="Arial"/>
          <w:b/>
          <w:bCs/>
          <w:sz w:val="22"/>
          <w:szCs w:val="22"/>
        </w:rPr>
        <w:t>40% faster 4G speeds for 7 million users</w:t>
      </w:r>
      <w:r w:rsidRPr="00C43EC7">
        <w:rPr>
          <w:rFonts w:ascii="Arial" w:hAnsi="Arial" w:cs="Arial"/>
          <w:sz w:val="22"/>
          <w:szCs w:val="22"/>
        </w:rPr>
        <w:t xml:space="preserve">, demonstrating tangible improvements in service quality and customer </w:t>
      </w:r>
      <w:r w:rsidR="00C138D7" w:rsidRPr="00C43EC7">
        <w:rPr>
          <w:rFonts w:ascii="Arial" w:hAnsi="Arial" w:cs="Arial"/>
          <w:sz w:val="22"/>
          <w:szCs w:val="22"/>
        </w:rPr>
        <w:t>experience.</w:t>
      </w:r>
    </w:p>
    <w:p w14:paraId="0D4F8B95" w14:textId="4D657B23"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 xml:space="preserve">Digital inclusion remains a critical social priority. The merger has eliminated thousands of square kilometres of “not-spots,” improving rural connectivity and supporting equitable access to digital services (Vodafone, 2025). As customer dependence on mobile services grows, network quality becomes an increasingly important parameter of competition, a trend recognised by both the CMA and </w:t>
      </w:r>
      <w:r w:rsidR="00C138D7" w:rsidRPr="00C43EC7">
        <w:rPr>
          <w:rFonts w:ascii="Arial" w:hAnsi="Arial" w:cs="Arial"/>
          <w:sz w:val="22"/>
          <w:szCs w:val="22"/>
        </w:rPr>
        <w:t>Ofcom.</w:t>
      </w:r>
    </w:p>
    <w:p w14:paraId="0F1CB5E7" w14:textId="77777777" w:rsidR="00C43EC7" w:rsidRPr="00C138D7" w:rsidRDefault="00C43EC7" w:rsidP="00C138D7">
      <w:pPr>
        <w:spacing w:line="360" w:lineRule="auto"/>
        <w:jc w:val="both"/>
        <w:rPr>
          <w:rFonts w:ascii="Arial" w:hAnsi="Arial" w:cs="Arial"/>
          <w:b/>
          <w:bCs/>
        </w:rPr>
      </w:pPr>
      <w:r w:rsidRPr="00C138D7">
        <w:rPr>
          <w:rFonts w:ascii="Arial" w:hAnsi="Arial" w:cs="Arial"/>
          <w:b/>
          <w:bCs/>
        </w:rPr>
        <w:lastRenderedPageBreak/>
        <w:t>Technological Factors</w:t>
      </w:r>
    </w:p>
    <w:p w14:paraId="5B7B1311" w14:textId="17DDCBF3"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 xml:space="preserve">Technological change is the most significant driver of strategic transformation in the telecom sector. VodafoneThree’s commitment to building the UK’s leading standalone 5G network reflects the centrality of technological innovation to its strategic direction. The company has pledged </w:t>
      </w:r>
      <w:r w:rsidRPr="00C43EC7">
        <w:rPr>
          <w:rFonts w:ascii="Arial" w:hAnsi="Arial" w:cs="Arial"/>
          <w:b/>
          <w:bCs/>
          <w:sz w:val="22"/>
          <w:szCs w:val="22"/>
        </w:rPr>
        <w:t>£11 billion over the next decade</w:t>
      </w:r>
      <w:r w:rsidRPr="00C43EC7">
        <w:rPr>
          <w:rFonts w:ascii="Arial" w:hAnsi="Arial" w:cs="Arial"/>
          <w:sz w:val="22"/>
          <w:szCs w:val="22"/>
        </w:rPr>
        <w:t xml:space="preserve">, including </w:t>
      </w:r>
      <w:r w:rsidRPr="00C43EC7">
        <w:rPr>
          <w:rFonts w:ascii="Arial" w:hAnsi="Arial" w:cs="Arial"/>
          <w:b/>
          <w:bCs/>
          <w:sz w:val="22"/>
          <w:szCs w:val="22"/>
        </w:rPr>
        <w:t>£1.3 billion in 2025 alone</w:t>
      </w:r>
      <w:r w:rsidRPr="00C43EC7">
        <w:rPr>
          <w:rFonts w:ascii="Arial" w:hAnsi="Arial" w:cs="Arial"/>
          <w:sz w:val="22"/>
          <w:szCs w:val="22"/>
        </w:rPr>
        <w:t xml:space="preserve">, to expand 5G infrastructure and support emerging technologies such as IoT, autonomous vehicles, and smart </w:t>
      </w:r>
      <w:r w:rsidR="00C138D7" w:rsidRPr="00C43EC7">
        <w:rPr>
          <w:rFonts w:ascii="Arial" w:hAnsi="Arial" w:cs="Arial"/>
          <w:sz w:val="22"/>
          <w:szCs w:val="22"/>
        </w:rPr>
        <w:t>cities.</w:t>
      </w:r>
    </w:p>
    <w:p w14:paraId="1B975D34" w14:textId="3621F77F"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 xml:space="preserve">The merger provides VodafoneThree with the largest combined spectrum portfolio in the UK, although regulatory requirements necessitated the sale of </w:t>
      </w:r>
      <w:r w:rsidRPr="00C43EC7">
        <w:rPr>
          <w:rFonts w:ascii="Arial" w:hAnsi="Arial" w:cs="Arial"/>
          <w:b/>
          <w:bCs/>
          <w:sz w:val="22"/>
          <w:szCs w:val="22"/>
        </w:rPr>
        <w:t>78.8 MHz of spectrum</w:t>
      </w:r>
      <w:r w:rsidRPr="00C43EC7">
        <w:rPr>
          <w:rFonts w:ascii="Arial" w:hAnsi="Arial" w:cs="Arial"/>
          <w:sz w:val="22"/>
          <w:szCs w:val="22"/>
        </w:rPr>
        <w:t xml:space="preserve"> to Virgin Media O2 to maintain competitive </w:t>
      </w:r>
      <w:r w:rsidR="00C138D7" w:rsidRPr="00C43EC7">
        <w:rPr>
          <w:rFonts w:ascii="Arial" w:hAnsi="Arial" w:cs="Arial"/>
          <w:sz w:val="22"/>
          <w:szCs w:val="22"/>
        </w:rPr>
        <w:t>balance.</w:t>
      </w:r>
      <w:r w:rsidRPr="00C43EC7">
        <w:rPr>
          <w:rFonts w:ascii="Arial" w:hAnsi="Arial" w:cs="Arial"/>
          <w:sz w:val="22"/>
          <w:szCs w:val="22"/>
        </w:rPr>
        <w:t xml:space="preserve"> This redistribution ensures compliance while preserving VodafoneThree’s technological leadership.</w:t>
      </w:r>
    </w:p>
    <w:p w14:paraId="18DF4831" w14:textId="77777777"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Dynamic capabilities—such as the ability to integrate networks, reconfigure resources, and innovate rapidly—are essential in this environment (Teece et al., 1997; Eisenhardt &amp; Martin, 2020). VodafoneThree’s network integration strategy, including tower consolidation and technology harmonisation, exemplifies these capabilities and supports long-term competitiveness.</w:t>
      </w:r>
    </w:p>
    <w:p w14:paraId="48E15166" w14:textId="77777777" w:rsidR="00C43EC7" w:rsidRPr="00C138D7" w:rsidRDefault="00C43EC7" w:rsidP="00C138D7">
      <w:pPr>
        <w:spacing w:line="360" w:lineRule="auto"/>
        <w:jc w:val="both"/>
        <w:rPr>
          <w:rFonts w:ascii="Arial" w:hAnsi="Arial" w:cs="Arial"/>
          <w:b/>
          <w:bCs/>
        </w:rPr>
      </w:pPr>
      <w:r w:rsidRPr="00C138D7">
        <w:rPr>
          <w:rFonts w:ascii="Arial" w:hAnsi="Arial" w:cs="Arial"/>
          <w:b/>
          <w:bCs/>
        </w:rPr>
        <w:t>Environmental Factors</w:t>
      </w:r>
    </w:p>
    <w:p w14:paraId="06FC887B" w14:textId="77777777"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Environmental sustainability is increasingly central to corporate strategy. Vodafone has committed to net-zero emissions and energy-efficient network operations, aligning with global expectations for environmental responsibility (Vodafone, 2025). Infrastructure sharing through the merger reduces duplication and lowers environmental impact, supporting more sustainable network expansion.</w:t>
      </w:r>
    </w:p>
    <w:p w14:paraId="210C82AB" w14:textId="0A9B1DE1"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 xml:space="preserve">However, large-scale 5G deployment increases energy consumption, requiring investment in renewable energy sources, efficient cooling systems, and sustainable supply chain practices (Hitt et al., 2020). VodafoneThree’s scale enables greater efficiency in resource </w:t>
      </w:r>
      <w:r w:rsidR="00C138D7" w:rsidRPr="00C43EC7">
        <w:rPr>
          <w:rFonts w:ascii="Arial" w:hAnsi="Arial" w:cs="Arial"/>
          <w:sz w:val="22"/>
          <w:szCs w:val="22"/>
        </w:rPr>
        <w:t>utilisation but</w:t>
      </w:r>
      <w:r w:rsidRPr="00C43EC7">
        <w:rPr>
          <w:rFonts w:ascii="Arial" w:hAnsi="Arial" w:cs="Arial"/>
          <w:sz w:val="22"/>
          <w:szCs w:val="22"/>
        </w:rPr>
        <w:t xml:space="preserve"> also increases the importance of environmental governance and reporting.</w:t>
      </w:r>
    </w:p>
    <w:p w14:paraId="77FDA57F" w14:textId="77777777" w:rsidR="00C43EC7" w:rsidRPr="00C138D7" w:rsidRDefault="00C43EC7" w:rsidP="00C138D7">
      <w:pPr>
        <w:spacing w:line="360" w:lineRule="auto"/>
        <w:jc w:val="both"/>
        <w:rPr>
          <w:rFonts w:ascii="Arial" w:hAnsi="Arial" w:cs="Arial"/>
          <w:b/>
          <w:bCs/>
        </w:rPr>
      </w:pPr>
      <w:r w:rsidRPr="00C138D7">
        <w:rPr>
          <w:rFonts w:ascii="Arial" w:hAnsi="Arial" w:cs="Arial"/>
          <w:b/>
          <w:bCs/>
        </w:rPr>
        <w:t>Legal Factors</w:t>
      </w:r>
    </w:p>
    <w:p w14:paraId="58C2EEFF" w14:textId="77777777"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t>The UK telecommunications sector is governed by stringent legal and regulatory frameworks, including GDPR, consumer protection laws, spectrum licensing regulations, and network security requirements (Dyer et al., 2020). The VodafoneThree merger introduces additional compliance obligations, particularly around competition law, pricing transparency, and service quality.</w:t>
      </w:r>
    </w:p>
    <w:p w14:paraId="4957A233" w14:textId="5C1D5B99" w:rsidR="00C43EC7" w:rsidRPr="00C43EC7" w:rsidRDefault="00C43EC7" w:rsidP="00C138D7">
      <w:pPr>
        <w:spacing w:line="360" w:lineRule="auto"/>
        <w:jc w:val="both"/>
        <w:rPr>
          <w:rFonts w:ascii="Arial" w:hAnsi="Arial" w:cs="Arial"/>
          <w:sz w:val="22"/>
          <w:szCs w:val="22"/>
        </w:rPr>
      </w:pPr>
      <w:r w:rsidRPr="00C43EC7">
        <w:rPr>
          <w:rFonts w:ascii="Arial" w:hAnsi="Arial" w:cs="Arial"/>
          <w:sz w:val="22"/>
          <w:szCs w:val="22"/>
        </w:rPr>
        <w:lastRenderedPageBreak/>
        <w:t xml:space="preserve">Regulatory oversight is heightened due to VodafoneThree’s market dominance. The CMA and Ofcom jointly monitor compliance with merger conditions, including tariff caps, wholesale pricing commitments, and investment </w:t>
      </w:r>
      <w:r w:rsidR="00C138D7" w:rsidRPr="00C43EC7">
        <w:rPr>
          <w:rFonts w:ascii="Arial" w:hAnsi="Arial" w:cs="Arial"/>
          <w:sz w:val="22"/>
          <w:szCs w:val="22"/>
        </w:rPr>
        <w:t>milestones.</w:t>
      </w:r>
      <w:r w:rsidRPr="00C43EC7">
        <w:rPr>
          <w:rFonts w:ascii="Arial" w:hAnsi="Arial" w:cs="Arial"/>
          <w:sz w:val="22"/>
          <w:szCs w:val="22"/>
        </w:rPr>
        <w:t xml:space="preserve"> Spectrum rebalancing requirements further demonstrate the legal complexities associated with maintaining competitive equilibrium in the post-merger market IGIG. VodafoneThree Merger Creates UK's Largest Mobile Operator​ - IG UK.</w:t>
      </w:r>
    </w:p>
    <w:p w14:paraId="22A04036" w14:textId="3E9EFDBE" w:rsidR="00C43EC7" w:rsidRDefault="00C43EC7" w:rsidP="00C138D7">
      <w:pPr>
        <w:spacing w:line="360" w:lineRule="auto"/>
        <w:jc w:val="both"/>
        <w:rPr>
          <w:rFonts w:ascii="Arial" w:hAnsi="Arial" w:cs="Arial"/>
          <w:sz w:val="22"/>
          <w:szCs w:val="22"/>
        </w:rPr>
      </w:pPr>
      <w:r w:rsidRPr="00C43EC7">
        <w:rPr>
          <w:rFonts w:ascii="Arial" w:hAnsi="Arial" w:cs="Arial"/>
          <w:sz w:val="22"/>
          <w:szCs w:val="22"/>
        </w:rPr>
        <w:t>Legal compliance will continue to shape VodafoneThree’s strategic decisions, particularly in areas such as network integration, customer service, and data governance.</w:t>
      </w:r>
    </w:p>
    <w:p w14:paraId="48EC510E" w14:textId="77777777" w:rsidR="00D846C1" w:rsidRPr="00C43EC7" w:rsidRDefault="00D846C1" w:rsidP="00C138D7">
      <w:pPr>
        <w:spacing w:line="360" w:lineRule="auto"/>
        <w:jc w:val="both"/>
        <w:rPr>
          <w:rFonts w:ascii="Arial" w:hAnsi="Arial" w:cs="Arial"/>
          <w:sz w:val="22"/>
          <w:szCs w:val="22"/>
        </w:rPr>
      </w:pPr>
    </w:p>
    <w:p w14:paraId="78CC1701" w14:textId="2AED3E64" w:rsidR="00C43EC7" w:rsidRDefault="00C43EC7" w:rsidP="00C138D7">
      <w:pPr>
        <w:spacing w:line="360" w:lineRule="auto"/>
        <w:jc w:val="both"/>
        <w:rPr>
          <w:rFonts w:ascii="Arial" w:hAnsi="Arial" w:cs="Arial"/>
          <w:sz w:val="22"/>
          <w:szCs w:val="22"/>
        </w:rPr>
      </w:pPr>
      <w:r w:rsidRPr="00C43EC7">
        <w:rPr>
          <w:rFonts w:ascii="Arial" w:hAnsi="Arial" w:cs="Arial"/>
          <w:sz w:val="22"/>
          <w:szCs w:val="22"/>
        </w:rPr>
        <w:t>Th</w:t>
      </w:r>
      <w:r>
        <w:rPr>
          <w:rFonts w:ascii="Arial" w:hAnsi="Arial" w:cs="Arial"/>
          <w:sz w:val="22"/>
          <w:szCs w:val="22"/>
        </w:rPr>
        <w:t>is</w:t>
      </w:r>
      <w:r w:rsidRPr="00C43EC7">
        <w:rPr>
          <w:rFonts w:ascii="Arial" w:hAnsi="Arial" w:cs="Arial"/>
          <w:sz w:val="22"/>
          <w:szCs w:val="22"/>
        </w:rPr>
        <w:t xml:space="preserve"> </w:t>
      </w:r>
      <w:r w:rsidRPr="00C138D7">
        <w:rPr>
          <w:rFonts w:ascii="Arial" w:hAnsi="Arial" w:cs="Arial"/>
          <w:b/>
          <w:bCs/>
          <w:sz w:val="22"/>
          <w:szCs w:val="22"/>
        </w:rPr>
        <w:t>PESTLE</w:t>
      </w:r>
      <w:r w:rsidRPr="00C43EC7">
        <w:rPr>
          <w:rFonts w:ascii="Arial" w:hAnsi="Arial" w:cs="Arial"/>
          <w:sz w:val="22"/>
          <w:szCs w:val="22"/>
        </w:rPr>
        <w:t xml:space="preserve"> analysis reveals that VodafoneThree operates within a complex and rapidly evolving environment shaped by political expectations, economic pressures, social trends, technological innovation, environmental responsibilities, and legal constraints. The merger has strengthened VodafoneThree’s strategic </w:t>
      </w:r>
      <w:r w:rsidR="00C138D7" w:rsidRPr="00C43EC7">
        <w:rPr>
          <w:rFonts w:ascii="Arial" w:hAnsi="Arial" w:cs="Arial"/>
          <w:sz w:val="22"/>
          <w:szCs w:val="22"/>
        </w:rPr>
        <w:t>position but</w:t>
      </w:r>
      <w:r w:rsidRPr="00C43EC7">
        <w:rPr>
          <w:rFonts w:ascii="Arial" w:hAnsi="Arial" w:cs="Arial"/>
          <w:sz w:val="22"/>
          <w:szCs w:val="22"/>
        </w:rPr>
        <w:t xml:space="preserve"> also increased regulatory scrutiny and operational complexity. Understanding these external factors is essential for developing robust, future-oriented growth strategies that leverage VodafoneThree’s enhanced capabilities while navigating the challenges of the UK telecommunications landscape</w:t>
      </w:r>
    </w:p>
    <w:p w14:paraId="47E01465" w14:textId="77777777" w:rsidR="00845A4B" w:rsidRPr="00C138D7" w:rsidRDefault="00845A4B" w:rsidP="00C138D7">
      <w:pPr>
        <w:spacing w:line="360" w:lineRule="auto"/>
        <w:jc w:val="both"/>
        <w:rPr>
          <w:rFonts w:ascii="Arial" w:hAnsi="Arial" w:cs="Arial"/>
        </w:rPr>
      </w:pPr>
    </w:p>
    <w:p w14:paraId="6841923A" w14:textId="4B897CC2" w:rsidR="00845A4B" w:rsidRPr="00C138D7" w:rsidRDefault="00845A4B" w:rsidP="00C138D7">
      <w:pPr>
        <w:spacing w:line="360" w:lineRule="auto"/>
        <w:jc w:val="both"/>
        <w:rPr>
          <w:rFonts w:ascii="Arial" w:hAnsi="Arial" w:cs="Arial"/>
          <w:b/>
          <w:bCs/>
        </w:rPr>
      </w:pPr>
      <w:r w:rsidRPr="00C138D7">
        <w:rPr>
          <w:rFonts w:ascii="Arial" w:hAnsi="Arial" w:cs="Arial"/>
          <w:b/>
          <w:bCs/>
        </w:rPr>
        <w:t xml:space="preserve">4. Strategic Growth Options and Proposed Strategy </w:t>
      </w:r>
    </w:p>
    <w:p w14:paraId="14442B18" w14:textId="307BCC43" w:rsidR="00845A4B" w:rsidRPr="00845A4B" w:rsidRDefault="00845A4B" w:rsidP="00C138D7">
      <w:pPr>
        <w:spacing w:line="360" w:lineRule="auto"/>
        <w:jc w:val="both"/>
        <w:rPr>
          <w:rFonts w:ascii="Arial" w:hAnsi="Arial" w:cs="Arial"/>
          <w:sz w:val="22"/>
          <w:szCs w:val="22"/>
        </w:rPr>
      </w:pPr>
      <w:r w:rsidRPr="00845A4B">
        <w:rPr>
          <w:rFonts w:ascii="Arial" w:hAnsi="Arial" w:cs="Arial"/>
          <w:sz w:val="22"/>
          <w:szCs w:val="22"/>
        </w:rPr>
        <w:t xml:space="preserve">Developing an effective growth strategy for VodafoneThree requires a structured evaluation of strategic pathways that align with the organisation’s expanded capabilities following the 2025 merger. The </w:t>
      </w:r>
      <w:r w:rsidRPr="00845A4B">
        <w:rPr>
          <w:rFonts w:ascii="Arial" w:hAnsi="Arial" w:cs="Arial"/>
          <w:b/>
          <w:bCs/>
          <w:sz w:val="22"/>
          <w:szCs w:val="22"/>
        </w:rPr>
        <w:t>Ansoff Matrix</w:t>
      </w:r>
      <w:r w:rsidRPr="00845A4B">
        <w:rPr>
          <w:rFonts w:ascii="Arial" w:hAnsi="Arial" w:cs="Arial"/>
          <w:sz w:val="22"/>
          <w:szCs w:val="22"/>
        </w:rPr>
        <w:t xml:space="preserve"> provides a robust framework for identifying growth options across four dimensions: market penetration, market development, product development, and diversification (Ansoff, 1957; Zupic et al., </w:t>
      </w:r>
      <w:r w:rsidR="00C138D7" w:rsidRPr="00845A4B">
        <w:rPr>
          <w:rFonts w:ascii="Arial" w:hAnsi="Arial" w:cs="Arial"/>
          <w:sz w:val="22"/>
          <w:szCs w:val="22"/>
        </w:rPr>
        <w:t>2025)</w:t>
      </w:r>
      <w:r w:rsidRPr="00845A4B">
        <w:rPr>
          <w:rFonts w:ascii="Arial" w:hAnsi="Arial" w:cs="Arial"/>
          <w:sz w:val="22"/>
          <w:szCs w:val="22"/>
        </w:rPr>
        <w:t>. Each pathway offers distinct opportunities for leveraging VodafoneThree’s strengthened network assets, enhanced scale, and long-term investment commitments.</w:t>
      </w:r>
    </w:p>
    <w:p w14:paraId="1635E2A8" w14:textId="77777777" w:rsidR="00845A4B" w:rsidRPr="00845A4B" w:rsidRDefault="00845A4B" w:rsidP="00C138D7">
      <w:pPr>
        <w:spacing w:line="360" w:lineRule="auto"/>
        <w:jc w:val="both"/>
        <w:rPr>
          <w:rFonts w:ascii="Arial" w:hAnsi="Arial" w:cs="Arial"/>
          <w:b/>
          <w:bCs/>
          <w:sz w:val="22"/>
          <w:szCs w:val="22"/>
        </w:rPr>
      </w:pPr>
      <w:r w:rsidRPr="00845A4B">
        <w:rPr>
          <w:rFonts w:ascii="Arial" w:hAnsi="Arial" w:cs="Arial"/>
          <w:b/>
          <w:bCs/>
          <w:sz w:val="22"/>
          <w:szCs w:val="22"/>
        </w:rPr>
        <w:t>4.1 Market Penetration</w:t>
      </w:r>
    </w:p>
    <w:p w14:paraId="2C44FD95" w14:textId="03567306" w:rsidR="00845A4B" w:rsidRPr="00845A4B" w:rsidRDefault="00845A4B" w:rsidP="00C138D7">
      <w:pPr>
        <w:spacing w:line="360" w:lineRule="auto"/>
        <w:jc w:val="both"/>
        <w:rPr>
          <w:rFonts w:ascii="Arial" w:hAnsi="Arial" w:cs="Arial"/>
          <w:sz w:val="22"/>
          <w:szCs w:val="22"/>
        </w:rPr>
      </w:pPr>
      <w:r w:rsidRPr="00845A4B">
        <w:rPr>
          <w:rFonts w:ascii="Arial" w:hAnsi="Arial" w:cs="Arial"/>
          <w:sz w:val="22"/>
          <w:szCs w:val="22"/>
        </w:rPr>
        <w:t xml:space="preserve">Market penetration focuses on increasing share within existing markets using existing products. VodafoneThree is well positioned to pursue this strategy due to its significantly improved network performance. Following the merger, </w:t>
      </w:r>
      <w:r w:rsidRPr="00845A4B">
        <w:rPr>
          <w:rFonts w:ascii="Arial" w:hAnsi="Arial" w:cs="Arial"/>
          <w:b/>
          <w:bCs/>
          <w:sz w:val="22"/>
          <w:szCs w:val="22"/>
        </w:rPr>
        <w:t>4G speeds increased by up to 40% for millions of customers</w:t>
      </w:r>
      <w:r w:rsidRPr="00845A4B">
        <w:rPr>
          <w:rFonts w:ascii="Arial" w:hAnsi="Arial" w:cs="Arial"/>
          <w:sz w:val="22"/>
          <w:szCs w:val="22"/>
        </w:rPr>
        <w:t>, and thousands of square kilometres of “not</w:t>
      </w:r>
      <w:r w:rsidRPr="00845A4B">
        <w:rPr>
          <w:rFonts w:ascii="Arial" w:hAnsi="Arial" w:cs="Arial"/>
          <w:sz w:val="22"/>
          <w:szCs w:val="22"/>
        </w:rPr>
        <w:noBreakHyphen/>
        <w:t xml:space="preserve">spots” were eliminated, enhancing service reliability and customer satisfaction (Vodafone, 2025; CMA, </w:t>
      </w:r>
      <w:r w:rsidR="00C138D7" w:rsidRPr="00845A4B">
        <w:rPr>
          <w:rFonts w:ascii="Arial" w:hAnsi="Arial" w:cs="Arial"/>
          <w:sz w:val="22"/>
          <w:szCs w:val="22"/>
        </w:rPr>
        <w:t>2024)</w:t>
      </w:r>
      <w:r w:rsidRPr="00845A4B">
        <w:rPr>
          <w:rFonts w:ascii="Arial" w:hAnsi="Arial" w:cs="Arial"/>
          <w:sz w:val="22"/>
          <w:szCs w:val="22"/>
        </w:rPr>
        <w:t xml:space="preserve">. The Competition and Markets Authority (CMA) emphasised that improved network </w:t>
      </w:r>
      <w:r w:rsidRPr="00845A4B">
        <w:rPr>
          <w:rFonts w:ascii="Arial" w:hAnsi="Arial" w:cs="Arial"/>
          <w:sz w:val="22"/>
          <w:szCs w:val="22"/>
        </w:rPr>
        <w:lastRenderedPageBreak/>
        <w:t>quality would become a critical parameter of competition as customer dependence on mobile services continues to grow (CMA, 2024</w:t>
      </w:r>
      <w:r w:rsidR="005D1872">
        <w:rPr>
          <w:rFonts w:ascii="Arial" w:hAnsi="Arial" w:cs="Arial"/>
          <w:sz w:val="22"/>
          <w:szCs w:val="22"/>
        </w:rPr>
        <w:t>)</w:t>
      </w:r>
    </w:p>
    <w:p w14:paraId="6DC0F998" w14:textId="77777777" w:rsidR="00845A4B" w:rsidRPr="00845A4B" w:rsidRDefault="00845A4B" w:rsidP="00C138D7">
      <w:pPr>
        <w:spacing w:line="360" w:lineRule="auto"/>
        <w:jc w:val="both"/>
        <w:rPr>
          <w:rFonts w:ascii="Arial" w:hAnsi="Arial" w:cs="Arial"/>
          <w:sz w:val="22"/>
          <w:szCs w:val="22"/>
        </w:rPr>
      </w:pPr>
      <w:r w:rsidRPr="00845A4B">
        <w:rPr>
          <w:rFonts w:ascii="Arial" w:hAnsi="Arial" w:cs="Arial"/>
          <w:sz w:val="22"/>
          <w:szCs w:val="22"/>
        </w:rPr>
        <w:t xml:space="preserve">To capitalise on this, VodafoneThree can deploy targeted pricing strategies, loyalty programmes, and digital customer experience enhancements. These actions align with Porter’s (1985) view that differentiation through quality can reinforce competitive advantage even in price-sensitive markets. Market penetration also leverages VodafoneThree’s </w:t>
      </w:r>
      <w:r w:rsidRPr="00845A4B">
        <w:rPr>
          <w:rFonts w:ascii="Arial" w:hAnsi="Arial" w:cs="Arial"/>
          <w:b/>
          <w:bCs/>
          <w:sz w:val="22"/>
          <w:szCs w:val="22"/>
        </w:rPr>
        <w:t>£700 million annual cost synergies</w:t>
      </w:r>
      <w:r w:rsidRPr="00845A4B">
        <w:rPr>
          <w:rFonts w:ascii="Arial" w:hAnsi="Arial" w:cs="Arial"/>
          <w:sz w:val="22"/>
          <w:szCs w:val="22"/>
        </w:rPr>
        <w:t>, enabling reinvestment into customer acquisition and retention initiatives.</w:t>
      </w:r>
    </w:p>
    <w:p w14:paraId="1F342C77" w14:textId="77777777" w:rsidR="00845A4B" w:rsidRPr="00845A4B" w:rsidRDefault="00845A4B" w:rsidP="00C138D7">
      <w:pPr>
        <w:spacing w:line="360" w:lineRule="auto"/>
        <w:jc w:val="both"/>
        <w:rPr>
          <w:rFonts w:ascii="Arial" w:hAnsi="Arial" w:cs="Arial"/>
          <w:b/>
          <w:bCs/>
          <w:sz w:val="22"/>
          <w:szCs w:val="22"/>
        </w:rPr>
      </w:pPr>
      <w:r w:rsidRPr="00845A4B">
        <w:rPr>
          <w:rFonts w:ascii="Arial" w:hAnsi="Arial" w:cs="Arial"/>
          <w:b/>
          <w:bCs/>
          <w:sz w:val="22"/>
          <w:szCs w:val="22"/>
        </w:rPr>
        <w:t>4.2 Market Development</w:t>
      </w:r>
    </w:p>
    <w:p w14:paraId="2F9A889B" w14:textId="33B351C6" w:rsidR="00845A4B" w:rsidRPr="00845A4B" w:rsidRDefault="00845A4B" w:rsidP="00C138D7">
      <w:pPr>
        <w:spacing w:line="360" w:lineRule="auto"/>
        <w:jc w:val="both"/>
        <w:rPr>
          <w:rFonts w:ascii="Arial" w:hAnsi="Arial" w:cs="Arial"/>
          <w:sz w:val="22"/>
          <w:szCs w:val="22"/>
        </w:rPr>
      </w:pPr>
      <w:r w:rsidRPr="00845A4B">
        <w:rPr>
          <w:rFonts w:ascii="Arial" w:hAnsi="Arial" w:cs="Arial"/>
          <w:sz w:val="22"/>
          <w:szCs w:val="22"/>
        </w:rPr>
        <w:t xml:space="preserve">Market development involves entering new geographical or demographic markets with existing services. VodafoneThree’s expanded network footprint and regulatory commitments create strong opportunities for rural and underserved region expansion. The CMA’s approval of the merger was partly based on the recognition that long-term investment in mobile networks is essential to meet future customer needs, particularly in areas historically underserved by operators (CMA, 2024; Ofcom, </w:t>
      </w:r>
      <w:r w:rsidR="00C138D7" w:rsidRPr="00845A4B">
        <w:rPr>
          <w:rFonts w:ascii="Arial" w:hAnsi="Arial" w:cs="Arial"/>
          <w:sz w:val="22"/>
          <w:szCs w:val="22"/>
        </w:rPr>
        <w:t>2022)</w:t>
      </w:r>
      <w:r w:rsidRPr="00845A4B">
        <w:rPr>
          <w:rFonts w:ascii="Arial" w:hAnsi="Arial" w:cs="Arial"/>
          <w:sz w:val="22"/>
          <w:szCs w:val="22"/>
        </w:rPr>
        <w:t>.</w:t>
      </w:r>
    </w:p>
    <w:p w14:paraId="56775EB3" w14:textId="77777777" w:rsidR="00845A4B" w:rsidRDefault="00845A4B" w:rsidP="00C138D7">
      <w:pPr>
        <w:spacing w:line="360" w:lineRule="auto"/>
        <w:jc w:val="both"/>
        <w:rPr>
          <w:rFonts w:ascii="Arial" w:hAnsi="Arial" w:cs="Arial"/>
          <w:sz w:val="22"/>
          <w:szCs w:val="22"/>
        </w:rPr>
      </w:pPr>
      <w:r w:rsidRPr="00845A4B">
        <w:rPr>
          <w:rFonts w:ascii="Arial" w:hAnsi="Arial" w:cs="Arial"/>
          <w:sz w:val="22"/>
          <w:szCs w:val="22"/>
        </w:rPr>
        <w:t>By extending high-quality 5G and 4G services to rural communities, VodafoneThree can support national digital inclusion objectives while unlocking new customer segments. This aligns with Peng’s (2022) argument that global telecom operators must pursue geographically dispersed growth to remain competitive in mature markets. Market development also supports Vodafone’s mission to “connect for a better future” by reducing digital inequality (Vodafone, 2025).</w:t>
      </w:r>
    </w:p>
    <w:p w14:paraId="362F2483" w14:textId="78B86F30" w:rsidR="00845A4B" w:rsidRPr="00845A4B" w:rsidRDefault="00845A4B" w:rsidP="00C138D7">
      <w:pPr>
        <w:spacing w:line="360" w:lineRule="auto"/>
        <w:jc w:val="both"/>
        <w:rPr>
          <w:rFonts w:ascii="Arial" w:hAnsi="Arial" w:cs="Arial"/>
          <w:sz w:val="22"/>
          <w:szCs w:val="22"/>
        </w:rPr>
      </w:pPr>
    </w:p>
    <w:p w14:paraId="3C78E24D" w14:textId="02D1D571" w:rsidR="00845A4B" w:rsidRPr="00845A4B" w:rsidRDefault="00845A4B" w:rsidP="00C138D7">
      <w:pPr>
        <w:spacing w:line="360" w:lineRule="auto"/>
        <w:jc w:val="both"/>
        <w:rPr>
          <w:rFonts w:ascii="Arial" w:hAnsi="Arial" w:cs="Arial"/>
          <w:b/>
          <w:bCs/>
          <w:sz w:val="22"/>
          <w:szCs w:val="22"/>
        </w:rPr>
      </w:pPr>
      <w:r w:rsidRPr="00845A4B">
        <w:rPr>
          <w:rFonts w:ascii="Arial" w:hAnsi="Arial" w:cs="Arial"/>
          <w:b/>
          <w:bCs/>
          <w:sz w:val="22"/>
          <w:szCs w:val="22"/>
        </w:rPr>
        <w:t>4.</w:t>
      </w:r>
      <w:r>
        <w:rPr>
          <w:rFonts w:ascii="Arial" w:hAnsi="Arial" w:cs="Arial"/>
          <w:b/>
          <w:bCs/>
          <w:sz w:val="22"/>
          <w:szCs w:val="22"/>
        </w:rPr>
        <w:t xml:space="preserve">3 </w:t>
      </w:r>
      <w:r w:rsidRPr="00845A4B">
        <w:rPr>
          <w:rFonts w:ascii="Arial" w:hAnsi="Arial" w:cs="Arial"/>
          <w:b/>
          <w:bCs/>
          <w:sz w:val="22"/>
          <w:szCs w:val="22"/>
        </w:rPr>
        <w:t>Product Development</w:t>
      </w:r>
    </w:p>
    <w:p w14:paraId="048E85AF" w14:textId="2E9CB329" w:rsidR="00845A4B" w:rsidRPr="00845A4B" w:rsidRDefault="00845A4B" w:rsidP="00C138D7">
      <w:pPr>
        <w:spacing w:line="360" w:lineRule="auto"/>
        <w:jc w:val="both"/>
        <w:rPr>
          <w:rFonts w:ascii="Arial" w:hAnsi="Arial" w:cs="Arial"/>
          <w:sz w:val="22"/>
          <w:szCs w:val="22"/>
        </w:rPr>
      </w:pPr>
      <w:r w:rsidRPr="00845A4B">
        <w:rPr>
          <w:rFonts w:ascii="Arial" w:hAnsi="Arial" w:cs="Arial"/>
          <w:sz w:val="22"/>
          <w:szCs w:val="22"/>
        </w:rPr>
        <w:t xml:space="preserve">Product development focuses on introducing new products to existing markets. VodafoneThree’s technological capabilities and investment commitments make this a highly attractive growth pathway. The organisation’s </w:t>
      </w:r>
      <w:r w:rsidRPr="00845A4B">
        <w:rPr>
          <w:rFonts w:ascii="Arial" w:hAnsi="Arial" w:cs="Arial"/>
          <w:b/>
          <w:bCs/>
          <w:sz w:val="22"/>
          <w:szCs w:val="22"/>
        </w:rPr>
        <w:t>£11 billion investment plan</w:t>
      </w:r>
      <w:r w:rsidRPr="00845A4B">
        <w:rPr>
          <w:rFonts w:ascii="Arial" w:hAnsi="Arial" w:cs="Arial"/>
          <w:sz w:val="22"/>
          <w:szCs w:val="22"/>
        </w:rPr>
        <w:t xml:space="preserve"> aims to deliver the UK’s leading standalone 5G network, enabling advanced digital services such as IoT ecosystems, smart home technologies, cloud gaming, and AI-driven applications (Vodafone, 2025; Compass Lexecon, </w:t>
      </w:r>
      <w:r w:rsidR="00C138D7" w:rsidRPr="00845A4B">
        <w:rPr>
          <w:rFonts w:ascii="Arial" w:hAnsi="Arial" w:cs="Arial"/>
          <w:sz w:val="22"/>
          <w:szCs w:val="22"/>
        </w:rPr>
        <w:t>2026)</w:t>
      </w:r>
      <w:r w:rsidRPr="00845A4B">
        <w:rPr>
          <w:rFonts w:ascii="Arial" w:hAnsi="Arial" w:cs="Arial"/>
          <w:sz w:val="22"/>
          <w:szCs w:val="22"/>
        </w:rPr>
        <w:t>.</w:t>
      </w:r>
    </w:p>
    <w:p w14:paraId="6AAB38A7" w14:textId="15CDFEAF" w:rsidR="00845A4B" w:rsidRPr="00845A4B" w:rsidRDefault="00845A4B" w:rsidP="00C138D7">
      <w:pPr>
        <w:spacing w:line="360" w:lineRule="auto"/>
        <w:jc w:val="both"/>
        <w:rPr>
          <w:rFonts w:ascii="Arial" w:hAnsi="Arial" w:cs="Arial"/>
          <w:sz w:val="22"/>
          <w:szCs w:val="22"/>
        </w:rPr>
      </w:pPr>
      <w:r w:rsidRPr="00845A4B">
        <w:rPr>
          <w:rFonts w:ascii="Arial" w:hAnsi="Arial" w:cs="Arial"/>
          <w:sz w:val="22"/>
          <w:szCs w:val="22"/>
        </w:rPr>
        <w:t xml:space="preserve">The CMA’s assessment highlighted that network integration would </w:t>
      </w:r>
      <w:r w:rsidRPr="00845A4B">
        <w:rPr>
          <w:rFonts w:ascii="Arial" w:hAnsi="Arial" w:cs="Arial"/>
          <w:b/>
          <w:bCs/>
          <w:sz w:val="22"/>
          <w:szCs w:val="22"/>
        </w:rPr>
        <w:t>strengthen incentives to invest in greater capacity and performance</w:t>
      </w:r>
      <w:r w:rsidRPr="00845A4B">
        <w:rPr>
          <w:rFonts w:ascii="Arial" w:hAnsi="Arial" w:cs="Arial"/>
          <w:sz w:val="22"/>
          <w:szCs w:val="22"/>
        </w:rPr>
        <w:t xml:space="preserve">, thereby intensifying competition on both quality and price (CMA, </w:t>
      </w:r>
      <w:r w:rsidR="00C138D7" w:rsidRPr="00845A4B">
        <w:rPr>
          <w:rFonts w:ascii="Arial" w:hAnsi="Arial" w:cs="Arial"/>
          <w:sz w:val="22"/>
          <w:szCs w:val="22"/>
        </w:rPr>
        <w:t>2024)</w:t>
      </w:r>
      <w:r w:rsidRPr="00845A4B">
        <w:rPr>
          <w:rFonts w:ascii="Arial" w:hAnsi="Arial" w:cs="Arial"/>
          <w:sz w:val="22"/>
          <w:szCs w:val="22"/>
        </w:rPr>
        <w:t xml:space="preserve">. This creates favourable conditions for product innovation. According </w:t>
      </w:r>
      <w:r w:rsidRPr="00845A4B">
        <w:rPr>
          <w:rFonts w:ascii="Arial" w:hAnsi="Arial" w:cs="Arial"/>
          <w:sz w:val="22"/>
          <w:szCs w:val="22"/>
        </w:rPr>
        <w:lastRenderedPageBreak/>
        <w:t>to Pisano (2019), organisations with strong innovation capabilities can sustain competitive advantage by continuously developing new offerings that meet evolving customer needs.</w:t>
      </w:r>
    </w:p>
    <w:p w14:paraId="45A953B5" w14:textId="77777777" w:rsidR="00845A4B" w:rsidRPr="00845A4B" w:rsidRDefault="00845A4B" w:rsidP="00C138D7">
      <w:pPr>
        <w:spacing w:line="360" w:lineRule="auto"/>
        <w:jc w:val="both"/>
        <w:rPr>
          <w:rFonts w:ascii="Arial" w:hAnsi="Arial" w:cs="Arial"/>
          <w:sz w:val="22"/>
          <w:szCs w:val="22"/>
        </w:rPr>
      </w:pPr>
      <w:r w:rsidRPr="00845A4B">
        <w:rPr>
          <w:rFonts w:ascii="Arial" w:hAnsi="Arial" w:cs="Arial"/>
          <w:sz w:val="22"/>
          <w:szCs w:val="22"/>
        </w:rPr>
        <w:t>Product development also aligns with Vodafone’s values of speed and simplicity, enabling seamless digital experiences through integrated service bundles.</w:t>
      </w:r>
    </w:p>
    <w:p w14:paraId="0BFD15F5" w14:textId="68F4AC91" w:rsidR="00845A4B" w:rsidRPr="00845A4B" w:rsidRDefault="00845A4B" w:rsidP="00C138D7">
      <w:pPr>
        <w:spacing w:line="360" w:lineRule="auto"/>
        <w:jc w:val="both"/>
        <w:rPr>
          <w:rFonts w:ascii="Arial" w:hAnsi="Arial" w:cs="Arial"/>
          <w:b/>
          <w:bCs/>
          <w:sz w:val="22"/>
          <w:szCs w:val="22"/>
        </w:rPr>
      </w:pPr>
      <w:r w:rsidRPr="00845A4B">
        <w:rPr>
          <w:rFonts w:ascii="Arial" w:hAnsi="Arial" w:cs="Arial"/>
          <w:b/>
          <w:bCs/>
          <w:sz w:val="22"/>
          <w:szCs w:val="22"/>
        </w:rPr>
        <w:t>4.</w:t>
      </w:r>
      <w:r>
        <w:rPr>
          <w:rFonts w:ascii="Arial" w:hAnsi="Arial" w:cs="Arial"/>
          <w:b/>
          <w:bCs/>
          <w:sz w:val="22"/>
          <w:szCs w:val="22"/>
        </w:rPr>
        <w:t>4</w:t>
      </w:r>
      <w:r w:rsidRPr="00845A4B">
        <w:rPr>
          <w:rFonts w:ascii="Arial" w:hAnsi="Arial" w:cs="Arial"/>
          <w:b/>
          <w:bCs/>
          <w:sz w:val="22"/>
          <w:szCs w:val="22"/>
        </w:rPr>
        <w:t xml:space="preserve"> Diversification</w:t>
      </w:r>
    </w:p>
    <w:p w14:paraId="07400B42" w14:textId="77777777" w:rsidR="00845A4B" w:rsidRPr="00845A4B" w:rsidRDefault="00845A4B" w:rsidP="00C138D7">
      <w:pPr>
        <w:spacing w:line="360" w:lineRule="auto"/>
        <w:jc w:val="both"/>
        <w:rPr>
          <w:rFonts w:ascii="Arial" w:hAnsi="Arial" w:cs="Arial"/>
          <w:sz w:val="22"/>
          <w:szCs w:val="22"/>
        </w:rPr>
      </w:pPr>
      <w:r w:rsidRPr="00845A4B">
        <w:rPr>
          <w:rFonts w:ascii="Arial" w:hAnsi="Arial" w:cs="Arial"/>
          <w:sz w:val="22"/>
          <w:szCs w:val="22"/>
        </w:rPr>
        <w:t xml:space="preserve">Diversification involves entering new markets with new products. VodafoneThree’s scale and technological assets position it strongly for diversification into emerging digital sectors. The merger provides the largest combined spectrum portfolio in the UK, enabling advanced applications such as </w:t>
      </w:r>
      <w:r w:rsidRPr="00845A4B">
        <w:rPr>
          <w:rFonts w:ascii="Arial" w:hAnsi="Arial" w:cs="Arial"/>
          <w:b/>
          <w:bCs/>
          <w:sz w:val="22"/>
          <w:szCs w:val="22"/>
        </w:rPr>
        <w:t>smart city infrastructure, autonomous vehicle connectivity, industrial IoT, and edge computing</w:t>
      </w:r>
      <w:r w:rsidRPr="00845A4B">
        <w:rPr>
          <w:rFonts w:ascii="Arial" w:hAnsi="Arial" w:cs="Arial"/>
          <w:sz w:val="22"/>
          <w:szCs w:val="22"/>
        </w:rPr>
        <w:t xml:space="preserve"> (Teece et al., 1997; Eisenhardt &amp; Martin, 2020).</w:t>
      </w:r>
    </w:p>
    <w:p w14:paraId="3EFC9FBE" w14:textId="77358DC7" w:rsidR="00845A4B" w:rsidRPr="00845A4B" w:rsidRDefault="00845A4B" w:rsidP="00C138D7">
      <w:pPr>
        <w:spacing w:line="360" w:lineRule="auto"/>
        <w:jc w:val="both"/>
        <w:rPr>
          <w:rFonts w:ascii="Arial" w:hAnsi="Arial" w:cs="Arial"/>
          <w:sz w:val="22"/>
          <w:szCs w:val="22"/>
        </w:rPr>
      </w:pPr>
      <w:r w:rsidRPr="00845A4B">
        <w:rPr>
          <w:rFonts w:ascii="Arial" w:hAnsi="Arial" w:cs="Arial"/>
          <w:sz w:val="22"/>
          <w:szCs w:val="22"/>
        </w:rPr>
        <w:t xml:space="preserve">Recent industry analysis suggests that consolidation enhances investment incentives, enabling operators to innovate more aggressively and compete on network quality rather than solely on price (Compass Lexecon, </w:t>
      </w:r>
      <w:r w:rsidR="00C138D7" w:rsidRPr="00845A4B">
        <w:rPr>
          <w:rFonts w:ascii="Arial" w:hAnsi="Arial" w:cs="Arial"/>
          <w:sz w:val="22"/>
          <w:szCs w:val="22"/>
        </w:rPr>
        <w:t>2026)</w:t>
      </w:r>
      <w:r w:rsidRPr="00845A4B">
        <w:rPr>
          <w:rFonts w:ascii="Arial" w:hAnsi="Arial" w:cs="Arial"/>
          <w:sz w:val="22"/>
          <w:szCs w:val="22"/>
        </w:rPr>
        <w:t>. This supports diversification into high-growth enterprise markets where VodafoneThree can leverage its enhanced capabilities to deliver mission-critical connectivity solutions.</w:t>
      </w:r>
    </w:p>
    <w:p w14:paraId="7C8921C6" w14:textId="77777777" w:rsidR="00845A4B" w:rsidRPr="00845A4B" w:rsidRDefault="00845A4B" w:rsidP="00C138D7">
      <w:pPr>
        <w:spacing w:line="360" w:lineRule="auto"/>
        <w:jc w:val="both"/>
        <w:rPr>
          <w:rFonts w:ascii="Arial" w:hAnsi="Arial" w:cs="Arial"/>
          <w:sz w:val="22"/>
          <w:szCs w:val="22"/>
        </w:rPr>
      </w:pPr>
      <w:r w:rsidRPr="00845A4B">
        <w:rPr>
          <w:rFonts w:ascii="Arial" w:hAnsi="Arial" w:cs="Arial"/>
          <w:sz w:val="22"/>
          <w:szCs w:val="22"/>
        </w:rPr>
        <w:t>Diversification aligns with McGrath’s (2013) argument that organisations must continuously explore new strategic arenas to avoid erosion of competitive advantage in fast-changing industries.</w:t>
      </w:r>
    </w:p>
    <w:p w14:paraId="33E19C65" w14:textId="77777777" w:rsidR="00845A4B" w:rsidRPr="00845A4B" w:rsidRDefault="00845A4B" w:rsidP="00C138D7">
      <w:pPr>
        <w:spacing w:line="360" w:lineRule="auto"/>
        <w:jc w:val="both"/>
        <w:rPr>
          <w:rFonts w:ascii="Arial" w:hAnsi="Arial" w:cs="Arial"/>
          <w:b/>
          <w:bCs/>
          <w:sz w:val="22"/>
          <w:szCs w:val="22"/>
        </w:rPr>
      </w:pPr>
      <w:r w:rsidRPr="00845A4B">
        <w:rPr>
          <w:rFonts w:ascii="Arial" w:hAnsi="Arial" w:cs="Arial"/>
          <w:b/>
          <w:bCs/>
          <w:sz w:val="22"/>
          <w:szCs w:val="22"/>
        </w:rPr>
        <w:t>4.5 Proposed Strategy: Differentiation Through Product Development and Diversification</w:t>
      </w:r>
    </w:p>
    <w:p w14:paraId="7139A515" w14:textId="77777777" w:rsidR="00845A4B" w:rsidRPr="00845A4B" w:rsidRDefault="00845A4B" w:rsidP="00C138D7">
      <w:pPr>
        <w:spacing w:line="360" w:lineRule="auto"/>
        <w:jc w:val="both"/>
        <w:rPr>
          <w:rFonts w:ascii="Arial" w:hAnsi="Arial" w:cs="Arial"/>
          <w:sz w:val="22"/>
          <w:szCs w:val="22"/>
        </w:rPr>
      </w:pPr>
      <w:r w:rsidRPr="00845A4B">
        <w:rPr>
          <w:rFonts w:ascii="Arial" w:hAnsi="Arial" w:cs="Arial"/>
          <w:sz w:val="22"/>
          <w:szCs w:val="22"/>
        </w:rPr>
        <w:t xml:space="preserve">Based on the Ansoff Matrix analysis, the recommended strategy for VodafoneThree is </w:t>
      </w:r>
      <w:r w:rsidRPr="00845A4B">
        <w:rPr>
          <w:rFonts w:ascii="Arial" w:hAnsi="Arial" w:cs="Arial"/>
          <w:b/>
          <w:bCs/>
          <w:sz w:val="22"/>
          <w:szCs w:val="22"/>
        </w:rPr>
        <w:t>Differentiation</w:t>
      </w:r>
      <w:r w:rsidRPr="00845A4B">
        <w:rPr>
          <w:rFonts w:ascii="Arial" w:hAnsi="Arial" w:cs="Arial"/>
          <w:sz w:val="22"/>
          <w:szCs w:val="22"/>
        </w:rPr>
        <w:t xml:space="preserve">, supported by </w:t>
      </w:r>
      <w:r w:rsidRPr="00845A4B">
        <w:rPr>
          <w:rFonts w:ascii="Arial" w:hAnsi="Arial" w:cs="Arial"/>
          <w:b/>
          <w:bCs/>
          <w:sz w:val="22"/>
          <w:szCs w:val="22"/>
        </w:rPr>
        <w:t>Product Development and Diversification</w:t>
      </w:r>
      <w:r w:rsidRPr="00845A4B">
        <w:rPr>
          <w:rFonts w:ascii="Arial" w:hAnsi="Arial" w:cs="Arial"/>
          <w:sz w:val="22"/>
          <w:szCs w:val="22"/>
        </w:rPr>
        <w:t>. This approach leverages VodafoneThree’s enhanced network quality, expanded spectrum assets, and long-term investment commitments to deliver superior digital services and innovative solutions.</w:t>
      </w:r>
    </w:p>
    <w:p w14:paraId="274EEAC2" w14:textId="0CBF6AA9" w:rsidR="00845A4B" w:rsidRPr="00845A4B" w:rsidRDefault="00845A4B" w:rsidP="00C138D7">
      <w:pPr>
        <w:spacing w:line="360" w:lineRule="auto"/>
        <w:jc w:val="both"/>
        <w:rPr>
          <w:rFonts w:ascii="Arial" w:hAnsi="Arial" w:cs="Arial"/>
          <w:sz w:val="22"/>
          <w:szCs w:val="22"/>
        </w:rPr>
      </w:pPr>
      <w:r w:rsidRPr="00845A4B">
        <w:rPr>
          <w:rFonts w:ascii="Arial" w:hAnsi="Arial" w:cs="Arial"/>
          <w:sz w:val="22"/>
          <w:szCs w:val="22"/>
        </w:rPr>
        <w:t>Differentiation is justified by</w:t>
      </w:r>
      <w:r w:rsidR="00C138D7">
        <w:rPr>
          <w:rFonts w:ascii="Arial" w:hAnsi="Arial" w:cs="Arial"/>
          <w:sz w:val="22"/>
          <w:szCs w:val="22"/>
        </w:rPr>
        <w:t xml:space="preserve"> CMA findings that network quality is becoming a primary competitive parameter (CMA, 2024) and VodafoneThree’s ability to invest at scale due to merger efficiencies (Compass Lexecon, 2026). </w:t>
      </w:r>
      <w:r w:rsidRPr="00845A4B">
        <w:rPr>
          <w:rFonts w:ascii="Arial" w:hAnsi="Arial" w:cs="Arial"/>
          <w:sz w:val="22"/>
          <w:szCs w:val="22"/>
        </w:rPr>
        <w:t>The strategic importance of innovation in sustaining competitive advantage (Pisano, 2019; Teece et al., 1997)</w:t>
      </w:r>
    </w:p>
    <w:p w14:paraId="1990D538" w14:textId="77777777" w:rsidR="00845A4B" w:rsidRDefault="00845A4B" w:rsidP="00C138D7">
      <w:pPr>
        <w:spacing w:line="360" w:lineRule="auto"/>
        <w:jc w:val="both"/>
        <w:rPr>
          <w:rFonts w:ascii="Arial" w:hAnsi="Arial" w:cs="Arial"/>
          <w:sz w:val="22"/>
          <w:szCs w:val="22"/>
        </w:rPr>
      </w:pPr>
      <w:r w:rsidRPr="00845A4B">
        <w:rPr>
          <w:rFonts w:ascii="Arial" w:hAnsi="Arial" w:cs="Arial"/>
          <w:sz w:val="22"/>
          <w:szCs w:val="22"/>
        </w:rPr>
        <w:t>This strategy aligns with Vodafone’s mission, values, and long-term ambition to lead digital transformation across the UK.</w:t>
      </w:r>
    </w:p>
    <w:p w14:paraId="644444E1" w14:textId="77777777" w:rsidR="00835579" w:rsidRDefault="00835579" w:rsidP="00C138D7">
      <w:pPr>
        <w:spacing w:line="360" w:lineRule="auto"/>
        <w:jc w:val="both"/>
        <w:rPr>
          <w:rFonts w:ascii="Arial" w:hAnsi="Arial" w:cs="Arial"/>
          <w:sz w:val="22"/>
          <w:szCs w:val="22"/>
        </w:rPr>
      </w:pPr>
    </w:p>
    <w:p w14:paraId="4F770315" w14:textId="442C87E6" w:rsidR="00835579" w:rsidRPr="00C138D7" w:rsidRDefault="00835579" w:rsidP="00C138D7">
      <w:pPr>
        <w:spacing w:line="360" w:lineRule="auto"/>
        <w:jc w:val="both"/>
        <w:rPr>
          <w:rFonts w:ascii="Arial" w:hAnsi="Arial" w:cs="Arial"/>
          <w:b/>
          <w:bCs/>
        </w:rPr>
      </w:pPr>
      <w:r w:rsidRPr="00C138D7">
        <w:rPr>
          <w:rFonts w:ascii="Arial" w:hAnsi="Arial" w:cs="Arial"/>
          <w:b/>
          <w:bCs/>
        </w:rPr>
        <w:t>5. Strategy Evaluation</w:t>
      </w:r>
    </w:p>
    <w:p w14:paraId="23BE0CBB" w14:textId="77777777" w:rsidR="00835579" w:rsidRPr="00835579" w:rsidRDefault="00835579" w:rsidP="00C138D7">
      <w:pPr>
        <w:spacing w:line="360" w:lineRule="auto"/>
        <w:jc w:val="both"/>
        <w:rPr>
          <w:rFonts w:ascii="Arial" w:hAnsi="Arial" w:cs="Arial"/>
          <w:sz w:val="22"/>
          <w:szCs w:val="22"/>
        </w:rPr>
      </w:pPr>
      <w:r w:rsidRPr="00835579">
        <w:rPr>
          <w:rFonts w:ascii="Arial" w:hAnsi="Arial" w:cs="Arial"/>
          <w:sz w:val="22"/>
          <w:szCs w:val="22"/>
        </w:rPr>
        <w:lastRenderedPageBreak/>
        <w:t xml:space="preserve">Evaluating the proposed </w:t>
      </w:r>
      <w:r w:rsidRPr="00835579">
        <w:rPr>
          <w:rFonts w:ascii="Arial" w:hAnsi="Arial" w:cs="Arial"/>
          <w:b/>
          <w:bCs/>
          <w:sz w:val="22"/>
          <w:szCs w:val="22"/>
        </w:rPr>
        <w:t>Differentiation Strategy</w:t>
      </w:r>
      <w:r w:rsidRPr="00835579">
        <w:rPr>
          <w:rFonts w:ascii="Arial" w:hAnsi="Arial" w:cs="Arial"/>
          <w:sz w:val="22"/>
          <w:szCs w:val="22"/>
        </w:rPr>
        <w:t xml:space="preserve">, supported by </w:t>
      </w:r>
      <w:r w:rsidRPr="00835579">
        <w:rPr>
          <w:rFonts w:ascii="Arial" w:hAnsi="Arial" w:cs="Arial"/>
          <w:b/>
          <w:bCs/>
          <w:sz w:val="22"/>
          <w:szCs w:val="22"/>
        </w:rPr>
        <w:t>Product Development and Diversification</w:t>
      </w:r>
      <w:r w:rsidRPr="00835579">
        <w:rPr>
          <w:rFonts w:ascii="Arial" w:hAnsi="Arial" w:cs="Arial"/>
          <w:sz w:val="22"/>
          <w:szCs w:val="22"/>
        </w:rPr>
        <w:t xml:space="preserve"> within the Ansoff Matrix, requires a structured assessment of its </w:t>
      </w:r>
      <w:r w:rsidRPr="00835579">
        <w:rPr>
          <w:rFonts w:ascii="Arial" w:hAnsi="Arial" w:cs="Arial"/>
          <w:b/>
          <w:bCs/>
          <w:sz w:val="22"/>
          <w:szCs w:val="22"/>
        </w:rPr>
        <w:t>Suitability, Feasibility, and Acceptability (SFA)</w:t>
      </w:r>
      <w:r w:rsidRPr="00835579">
        <w:rPr>
          <w:rFonts w:ascii="Arial" w:hAnsi="Arial" w:cs="Arial"/>
          <w:sz w:val="22"/>
          <w:szCs w:val="22"/>
        </w:rPr>
        <w:t>. This ensures that the recommended strategic direction aligns with VodafoneThree’s capabilities, market conditions, stakeholder expectations, and long</w:t>
      </w:r>
      <w:r w:rsidRPr="00835579">
        <w:rPr>
          <w:rFonts w:ascii="Arial" w:hAnsi="Arial" w:cs="Arial"/>
          <w:sz w:val="22"/>
          <w:szCs w:val="22"/>
        </w:rPr>
        <w:noBreakHyphen/>
        <w:t>term organisational goals (Johnson et al., 2023; Anderson et al., 2025).</w:t>
      </w:r>
    </w:p>
    <w:p w14:paraId="4CFB1C14" w14:textId="77777777" w:rsidR="00835579" w:rsidRPr="00835579" w:rsidRDefault="00835579" w:rsidP="00C138D7">
      <w:pPr>
        <w:spacing w:line="360" w:lineRule="auto"/>
        <w:jc w:val="both"/>
        <w:rPr>
          <w:rFonts w:ascii="Arial" w:hAnsi="Arial" w:cs="Arial"/>
          <w:b/>
          <w:bCs/>
          <w:sz w:val="22"/>
          <w:szCs w:val="22"/>
        </w:rPr>
      </w:pPr>
      <w:r w:rsidRPr="00835579">
        <w:rPr>
          <w:rFonts w:ascii="Arial" w:hAnsi="Arial" w:cs="Arial"/>
          <w:b/>
          <w:bCs/>
          <w:sz w:val="22"/>
          <w:szCs w:val="22"/>
        </w:rPr>
        <w:t>Suitability</w:t>
      </w:r>
    </w:p>
    <w:p w14:paraId="5871034E" w14:textId="77777777" w:rsidR="00835579" w:rsidRPr="00835579" w:rsidRDefault="00835579" w:rsidP="00C138D7">
      <w:pPr>
        <w:spacing w:line="360" w:lineRule="auto"/>
        <w:jc w:val="both"/>
        <w:rPr>
          <w:rFonts w:ascii="Arial" w:hAnsi="Arial" w:cs="Arial"/>
          <w:sz w:val="22"/>
          <w:szCs w:val="22"/>
        </w:rPr>
      </w:pPr>
      <w:r w:rsidRPr="00835579">
        <w:rPr>
          <w:rFonts w:ascii="Arial" w:hAnsi="Arial" w:cs="Arial"/>
          <w:sz w:val="22"/>
          <w:szCs w:val="22"/>
        </w:rPr>
        <w:t xml:space="preserve">Suitability assesses how well the strategy responds to the external environment and internal strategic position. The proposed differentiation strategy is highly suitable given the </w:t>
      </w:r>
      <w:r w:rsidRPr="00835579">
        <w:rPr>
          <w:rFonts w:ascii="Arial" w:hAnsi="Arial" w:cs="Arial"/>
          <w:b/>
          <w:bCs/>
          <w:sz w:val="22"/>
          <w:szCs w:val="22"/>
        </w:rPr>
        <w:t>post</w:t>
      </w:r>
      <w:r w:rsidRPr="00835579">
        <w:rPr>
          <w:rFonts w:ascii="Arial" w:hAnsi="Arial" w:cs="Arial"/>
          <w:b/>
          <w:bCs/>
          <w:sz w:val="22"/>
          <w:szCs w:val="22"/>
        </w:rPr>
        <w:noBreakHyphen/>
        <w:t>merger market dynamics</w:t>
      </w:r>
      <w:r w:rsidRPr="00835579">
        <w:rPr>
          <w:rFonts w:ascii="Arial" w:hAnsi="Arial" w:cs="Arial"/>
          <w:sz w:val="22"/>
          <w:szCs w:val="22"/>
        </w:rPr>
        <w:t xml:space="preserve">. VodafoneThree now possesses the largest combined spectrum portfolio in the UK and has committed to </w:t>
      </w:r>
      <w:r w:rsidRPr="00835579">
        <w:rPr>
          <w:rFonts w:ascii="Arial" w:hAnsi="Arial" w:cs="Arial"/>
          <w:b/>
          <w:bCs/>
          <w:sz w:val="22"/>
          <w:szCs w:val="22"/>
        </w:rPr>
        <w:t>£11 billion in 5G investment</w:t>
      </w:r>
      <w:r w:rsidRPr="00835579">
        <w:rPr>
          <w:rFonts w:ascii="Arial" w:hAnsi="Arial" w:cs="Arial"/>
          <w:sz w:val="22"/>
          <w:szCs w:val="22"/>
        </w:rPr>
        <w:t>, enabling superior network performance and advanced digital services (Vodafone, 2025). The Competition and Markets Authority (CMA) emphasised that network quality will become a primary competitive parameter as customer dependence on mobile services intensifies, making differentiation through technological leadership strategically appropriate (CMA, 2024).</w:t>
      </w:r>
    </w:p>
    <w:p w14:paraId="0298B197" w14:textId="038DBA17" w:rsidR="00835579" w:rsidRPr="00835579" w:rsidRDefault="00835579" w:rsidP="00C138D7">
      <w:pPr>
        <w:spacing w:line="360" w:lineRule="auto"/>
        <w:jc w:val="both"/>
        <w:rPr>
          <w:rFonts w:ascii="Arial" w:hAnsi="Arial" w:cs="Arial"/>
          <w:sz w:val="22"/>
          <w:szCs w:val="22"/>
        </w:rPr>
      </w:pPr>
      <w:r w:rsidRPr="00835579">
        <w:rPr>
          <w:rFonts w:ascii="Arial" w:hAnsi="Arial" w:cs="Arial"/>
          <w:sz w:val="22"/>
          <w:szCs w:val="22"/>
        </w:rPr>
        <w:t>The strategy also aligns with broader industry trends. Rapid technological change, including I</w:t>
      </w:r>
      <w:r w:rsidR="00C138D7">
        <w:rPr>
          <w:rFonts w:ascii="Arial" w:hAnsi="Arial" w:cs="Arial"/>
          <w:sz w:val="22"/>
          <w:szCs w:val="22"/>
        </w:rPr>
        <w:t>o</w:t>
      </w:r>
      <w:r w:rsidRPr="00835579">
        <w:rPr>
          <w:rFonts w:ascii="Arial" w:hAnsi="Arial" w:cs="Arial"/>
          <w:sz w:val="22"/>
          <w:szCs w:val="22"/>
        </w:rPr>
        <w:t>T expansion, autonomous systems, and smart city development, requires operators to innovate continuously (Teece et al., 1997; Pisano, 2019). Product development and diversification allow VodafoneThree to leverage its dynamic capabilities to enter high</w:t>
      </w:r>
      <w:r w:rsidRPr="00835579">
        <w:rPr>
          <w:rFonts w:ascii="Arial" w:hAnsi="Arial" w:cs="Arial"/>
          <w:sz w:val="22"/>
          <w:szCs w:val="22"/>
        </w:rPr>
        <w:noBreakHyphen/>
        <w:t>growth digital markets, consistent with Eisenhardt and Martin’s (2020) argument that firms must reconfigure resources to sustain advantage in turbulent environments.</w:t>
      </w:r>
    </w:p>
    <w:p w14:paraId="36E190B3" w14:textId="77777777" w:rsidR="00835579" w:rsidRPr="00835579" w:rsidRDefault="00835579" w:rsidP="00C138D7">
      <w:pPr>
        <w:spacing w:line="360" w:lineRule="auto"/>
        <w:jc w:val="both"/>
        <w:rPr>
          <w:rFonts w:ascii="Arial" w:hAnsi="Arial" w:cs="Arial"/>
          <w:sz w:val="22"/>
          <w:szCs w:val="22"/>
        </w:rPr>
      </w:pPr>
      <w:r w:rsidRPr="00835579">
        <w:rPr>
          <w:rFonts w:ascii="Arial" w:hAnsi="Arial" w:cs="Arial"/>
          <w:b/>
          <w:bCs/>
          <w:sz w:val="22"/>
          <w:szCs w:val="22"/>
        </w:rPr>
        <w:t>Assumption:</w:t>
      </w:r>
      <w:r w:rsidRPr="00835579">
        <w:rPr>
          <w:rFonts w:ascii="Arial" w:hAnsi="Arial" w:cs="Arial"/>
          <w:sz w:val="22"/>
          <w:szCs w:val="22"/>
        </w:rPr>
        <w:t xml:space="preserve"> VodafoneThree will maintain regulatory compliance and secure ongoing approval for network integration activities, enabling full realisation of merger synergies.</w:t>
      </w:r>
    </w:p>
    <w:p w14:paraId="0678E844" w14:textId="77777777" w:rsidR="00835579" w:rsidRPr="00835579" w:rsidRDefault="00835579" w:rsidP="00C138D7">
      <w:pPr>
        <w:spacing w:line="360" w:lineRule="auto"/>
        <w:jc w:val="both"/>
        <w:rPr>
          <w:rFonts w:ascii="Arial" w:hAnsi="Arial" w:cs="Arial"/>
          <w:b/>
          <w:bCs/>
          <w:sz w:val="22"/>
          <w:szCs w:val="22"/>
        </w:rPr>
      </w:pPr>
      <w:r w:rsidRPr="00835579">
        <w:rPr>
          <w:rFonts w:ascii="Arial" w:hAnsi="Arial" w:cs="Arial"/>
          <w:b/>
          <w:bCs/>
          <w:sz w:val="22"/>
          <w:szCs w:val="22"/>
        </w:rPr>
        <w:t>Feasibility</w:t>
      </w:r>
    </w:p>
    <w:p w14:paraId="67733CE3" w14:textId="77777777" w:rsidR="00835579" w:rsidRPr="00835579" w:rsidRDefault="00835579" w:rsidP="00C138D7">
      <w:pPr>
        <w:spacing w:line="360" w:lineRule="auto"/>
        <w:jc w:val="both"/>
        <w:rPr>
          <w:rFonts w:ascii="Arial" w:hAnsi="Arial" w:cs="Arial"/>
          <w:sz w:val="22"/>
          <w:szCs w:val="22"/>
        </w:rPr>
      </w:pPr>
      <w:r w:rsidRPr="00835579">
        <w:rPr>
          <w:rFonts w:ascii="Arial" w:hAnsi="Arial" w:cs="Arial"/>
          <w:sz w:val="22"/>
          <w:szCs w:val="22"/>
        </w:rPr>
        <w:t xml:space="preserve">Feasibility evaluates whether the organisation has the resources, capabilities, and financial strength to implement the strategy. VodafoneThree’s enhanced scale, </w:t>
      </w:r>
      <w:r w:rsidRPr="00835579">
        <w:rPr>
          <w:rFonts w:ascii="Arial" w:hAnsi="Arial" w:cs="Arial"/>
          <w:b/>
          <w:bCs/>
          <w:sz w:val="22"/>
          <w:szCs w:val="22"/>
        </w:rPr>
        <w:t>£700 million annual cost synergies</w:t>
      </w:r>
      <w:r w:rsidRPr="00835579">
        <w:rPr>
          <w:rFonts w:ascii="Arial" w:hAnsi="Arial" w:cs="Arial"/>
          <w:sz w:val="22"/>
          <w:szCs w:val="22"/>
        </w:rPr>
        <w:t xml:space="preserve">, and strengthened technological assets provide a robust foundation for executing a differentiation strategy (Vodafone, 2025). The organisation’s expanded customer base of </w:t>
      </w:r>
      <w:r w:rsidRPr="00835579">
        <w:rPr>
          <w:rFonts w:ascii="Arial" w:hAnsi="Arial" w:cs="Arial"/>
          <w:b/>
          <w:bCs/>
          <w:sz w:val="22"/>
          <w:szCs w:val="22"/>
        </w:rPr>
        <w:t>27 million users</w:t>
      </w:r>
      <w:r w:rsidRPr="00835579">
        <w:rPr>
          <w:rFonts w:ascii="Arial" w:hAnsi="Arial" w:cs="Arial"/>
          <w:sz w:val="22"/>
          <w:szCs w:val="22"/>
        </w:rPr>
        <w:t xml:space="preserve"> also supports economies of scale, enabling reinvestment into innovation and service development (Grant, 2022).</w:t>
      </w:r>
    </w:p>
    <w:p w14:paraId="4AF3B58B" w14:textId="334D0E08" w:rsidR="00835579" w:rsidRPr="00835579" w:rsidRDefault="00835579" w:rsidP="00C138D7">
      <w:pPr>
        <w:spacing w:line="360" w:lineRule="auto"/>
        <w:jc w:val="both"/>
        <w:rPr>
          <w:rFonts w:ascii="Arial" w:hAnsi="Arial" w:cs="Arial"/>
          <w:sz w:val="22"/>
          <w:szCs w:val="22"/>
        </w:rPr>
      </w:pPr>
      <w:r w:rsidRPr="00835579">
        <w:rPr>
          <w:rFonts w:ascii="Arial" w:hAnsi="Arial" w:cs="Arial"/>
          <w:sz w:val="22"/>
          <w:szCs w:val="22"/>
        </w:rPr>
        <w:t>From an RBV perspective, VodafoneThree possesses valuable, rare, and hard</w:t>
      </w:r>
      <w:r w:rsidRPr="00835579">
        <w:rPr>
          <w:rFonts w:ascii="Arial" w:hAnsi="Arial" w:cs="Arial"/>
          <w:sz w:val="22"/>
          <w:szCs w:val="22"/>
        </w:rPr>
        <w:noBreakHyphen/>
        <w:t>to</w:t>
      </w:r>
      <w:r w:rsidRPr="00835579">
        <w:rPr>
          <w:rFonts w:ascii="Arial" w:hAnsi="Arial" w:cs="Arial"/>
          <w:sz w:val="22"/>
          <w:szCs w:val="22"/>
        </w:rPr>
        <w:noBreakHyphen/>
        <w:t>imitate resources</w:t>
      </w:r>
      <w:r w:rsidR="00C138D7">
        <w:rPr>
          <w:rFonts w:ascii="Arial" w:hAnsi="Arial" w:cs="Arial"/>
          <w:sz w:val="22"/>
          <w:szCs w:val="22"/>
        </w:rPr>
        <w:t xml:space="preserve"> </w:t>
      </w:r>
      <w:r w:rsidRPr="00835579">
        <w:rPr>
          <w:rFonts w:ascii="Arial" w:hAnsi="Arial" w:cs="Arial"/>
          <w:sz w:val="22"/>
          <w:szCs w:val="22"/>
        </w:rPr>
        <w:t>including spectrum holdings, brand equity, and advanced network infrastructure—making the strategy operationally feasible (Barney, 1991). Furthermore, the organisation’s dynamic capabilities, such as rapid network integration and technological adaptation, enhance feasibility by enabling continuous innovation (Helfat &amp; Peteraf, 2015).</w:t>
      </w:r>
    </w:p>
    <w:p w14:paraId="0288709D" w14:textId="77777777" w:rsidR="00835579" w:rsidRPr="00835579" w:rsidRDefault="00835579" w:rsidP="00C138D7">
      <w:pPr>
        <w:spacing w:line="360" w:lineRule="auto"/>
        <w:jc w:val="both"/>
        <w:rPr>
          <w:rFonts w:ascii="Arial" w:hAnsi="Arial" w:cs="Arial"/>
          <w:sz w:val="22"/>
          <w:szCs w:val="22"/>
        </w:rPr>
      </w:pPr>
      <w:r w:rsidRPr="00835579">
        <w:rPr>
          <w:rFonts w:ascii="Arial" w:hAnsi="Arial" w:cs="Arial"/>
          <w:b/>
          <w:bCs/>
          <w:sz w:val="22"/>
          <w:szCs w:val="22"/>
        </w:rPr>
        <w:lastRenderedPageBreak/>
        <w:t>Assumption:</w:t>
      </w:r>
      <w:r w:rsidRPr="00835579">
        <w:rPr>
          <w:rFonts w:ascii="Arial" w:hAnsi="Arial" w:cs="Arial"/>
          <w:sz w:val="22"/>
          <w:szCs w:val="22"/>
        </w:rPr>
        <w:t xml:space="preserve"> VodafoneThree will successfully manage integration challenges, including cultural alignment and technology harmonisation, without major operational disruptions.</w:t>
      </w:r>
    </w:p>
    <w:p w14:paraId="4754E5B7" w14:textId="77777777" w:rsidR="00835579" w:rsidRPr="00835579" w:rsidRDefault="00835579" w:rsidP="00C138D7">
      <w:pPr>
        <w:spacing w:line="360" w:lineRule="auto"/>
        <w:jc w:val="both"/>
        <w:rPr>
          <w:rFonts w:ascii="Arial" w:hAnsi="Arial" w:cs="Arial"/>
          <w:b/>
          <w:bCs/>
          <w:sz w:val="22"/>
          <w:szCs w:val="22"/>
        </w:rPr>
      </w:pPr>
      <w:r w:rsidRPr="00835579">
        <w:rPr>
          <w:rFonts w:ascii="Arial" w:hAnsi="Arial" w:cs="Arial"/>
          <w:b/>
          <w:bCs/>
          <w:sz w:val="22"/>
          <w:szCs w:val="22"/>
        </w:rPr>
        <w:t>Acceptability</w:t>
      </w:r>
    </w:p>
    <w:p w14:paraId="1EFD7D8B" w14:textId="77777777" w:rsidR="00835579" w:rsidRPr="00835579" w:rsidRDefault="00835579" w:rsidP="00C138D7">
      <w:pPr>
        <w:spacing w:line="360" w:lineRule="auto"/>
        <w:jc w:val="both"/>
        <w:rPr>
          <w:rFonts w:ascii="Arial" w:hAnsi="Arial" w:cs="Arial"/>
          <w:sz w:val="22"/>
          <w:szCs w:val="22"/>
        </w:rPr>
      </w:pPr>
      <w:r w:rsidRPr="00835579">
        <w:rPr>
          <w:rFonts w:ascii="Arial" w:hAnsi="Arial" w:cs="Arial"/>
          <w:sz w:val="22"/>
          <w:szCs w:val="22"/>
        </w:rPr>
        <w:t>Acceptability considers stakeholder expectations, risk tolerance, and anticipated returns. The differentiation strategy is acceptable to key stakeholders for several reasons. Customers benefit from improved network quality, faster speeds, and innovative digital services, aligning with Vodafone’s values of speed, simplicity, and trust (Vodafone, 2025). Shareholders gain from new revenue streams, reduced churn, and long</w:t>
      </w:r>
      <w:r w:rsidRPr="00835579">
        <w:rPr>
          <w:rFonts w:ascii="Arial" w:hAnsi="Arial" w:cs="Arial"/>
          <w:sz w:val="22"/>
          <w:szCs w:val="22"/>
        </w:rPr>
        <w:noBreakHyphen/>
        <w:t>term growth potential, consistent with McGrath’s (2013) argument that firms must pursue continuous innovation to sustain competitive advantage.</w:t>
      </w:r>
    </w:p>
    <w:p w14:paraId="7DC602BA" w14:textId="77777777" w:rsidR="00835579" w:rsidRPr="00835579" w:rsidRDefault="00835579" w:rsidP="00C138D7">
      <w:pPr>
        <w:spacing w:line="360" w:lineRule="auto"/>
        <w:jc w:val="both"/>
        <w:rPr>
          <w:rFonts w:ascii="Arial" w:hAnsi="Arial" w:cs="Arial"/>
          <w:sz w:val="22"/>
          <w:szCs w:val="22"/>
        </w:rPr>
      </w:pPr>
      <w:r w:rsidRPr="00835579">
        <w:rPr>
          <w:rFonts w:ascii="Arial" w:hAnsi="Arial" w:cs="Arial"/>
          <w:sz w:val="22"/>
          <w:szCs w:val="22"/>
        </w:rPr>
        <w:t>Regulators are likely to support the strategy because it aligns with national digital infrastructure priorities and enhances consumer welfare through improved service quality (CMA, 2024). Employees benefit from opportunities to develop new skills in emerging technologies, supporting organisational learning and adaptability (Stacey, 2011).</w:t>
      </w:r>
    </w:p>
    <w:p w14:paraId="771D9D89" w14:textId="2AB8B109" w:rsidR="00835579" w:rsidRPr="00835579" w:rsidRDefault="00835579" w:rsidP="00C138D7">
      <w:pPr>
        <w:spacing w:line="360" w:lineRule="auto"/>
        <w:jc w:val="both"/>
        <w:rPr>
          <w:rFonts w:ascii="Arial" w:hAnsi="Arial" w:cs="Arial"/>
          <w:sz w:val="22"/>
          <w:szCs w:val="22"/>
        </w:rPr>
      </w:pPr>
      <w:r w:rsidRPr="00835579">
        <w:rPr>
          <w:rFonts w:ascii="Arial" w:hAnsi="Arial" w:cs="Arial"/>
          <w:b/>
          <w:bCs/>
          <w:sz w:val="22"/>
          <w:szCs w:val="22"/>
        </w:rPr>
        <w:t>Assumption:</w:t>
      </w:r>
      <w:r w:rsidRPr="00835579">
        <w:rPr>
          <w:rFonts w:ascii="Arial" w:hAnsi="Arial" w:cs="Arial"/>
          <w:sz w:val="22"/>
          <w:szCs w:val="22"/>
        </w:rPr>
        <w:t xml:space="preserve"> Stakeholders will continue to support long</w:t>
      </w:r>
      <w:r w:rsidRPr="00835579">
        <w:rPr>
          <w:rFonts w:ascii="Arial" w:hAnsi="Arial" w:cs="Arial"/>
          <w:sz w:val="22"/>
          <w:szCs w:val="22"/>
        </w:rPr>
        <w:noBreakHyphen/>
        <w:t>term investment strategies despite short</w:t>
      </w:r>
      <w:r w:rsidRPr="00835579">
        <w:rPr>
          <w:rFonts w:ascii="Arial" w:hAnsi="Arial" w:cs="Arial"/>
          <w:sz w:val="22"/>
          <w:szCs w:val="22"/>
        </w:rPr>
        <w:noBreakHyphen/>
        <w:t>term financial pressures associated with large</w:t>
      </w:r>
      <w:r w:rsidRPr="00835579">
        <w:rPr>
          <w:rFonts w:ascii="Arial" w:hAnsi="Arial" w:cs="Arial"/>
          <w:sz w:val="22"/>
          <w:szCs w:val="22"/>
        </w:rPr>
        <w:noBreakHyphen/>
        <w:t>scale 5G deployment.</w:t>
      </w:r>
    </w:p>
    <w:p w14:paraId="46319864" w14:textId="77777777" w:rsidR="00835579" w:rsidRDefault="00835579" w:rsidP="00C138D7">
      <w:pPr>
        <w:spacing w:line="360" w:lineRule="auto"/>
        <w:jc w:val="both"/>
        <w:rPr>
          <w:rFonts w:ascii="Arial" w:hAnsi="Arial" w:cs="Arial"/>
          <w:sz w:val="22"/>
          <w:szCs w:val="22"/>
        </w:rPr>
      </w:pPr>
      <w:r w:rsidRPr="00835579">
        <w:rPr>
          <w:rFonts w:ascii="Arial" w:hAnsi="Arial" w:cs="Arial"/>
          <w:sz w:val="22"/>
          <w:szCs w:val="22"/>
        </w:rPr>
        <w:t xml:space="preserve">Overall, the SFA evaluation demonstrates that the proposed differentiation strategy—driven by product development and diversification—is </w:t>
      </w:r>
      <w:r w:rsidRPr="00835579">
        <w:rPr>
          <w:rFonts w:ascii="Arial" w:hAnsi="Arial" w:cs="Arial"/>
          <w:b/>
          <w:bCs/>
          <w:sz w:val="22"/>
          <w:szCs w:val="22"/>
        </w:rPr>
        <w:t>highly suitable</w:t>
      </w:r>
      <w:r w:rsidRPr="00835579">
        <w:rPr>
          <w:rFonts w:ascii="Arial" w:hAnsi="Arial" w:cs="Arial"/>
          <w:sz w:val="22"/>
          <w:szCs w:val="22"/>
        </w:rPr>
        <w:t xml:space="preserve">, </w:t>
      </w:r>
      <w:r w:rsidRPr="00835579">
        <w:rPr>
          <w:rFonts w:ascii="Arial" w:hAnsi="Arial" w:cs="Arial"/>
          <w:b/>
          <w:bCs/>
          <w:sz w:val="22"/>
          <w:szCs w:val="22"/>
        </w:rPr>
        <w:t>operationally feasible</w:t>
      </w:r>
      <w:r w:rsidRPr="00835579">
        <w:rPr>
          <w:rFonts w:ascii="Arial" w:hAnsi="Arial" w:cs="Arial"/>
          <w:sz w:val="22"/>
          <w:szCs w:val="22"/>
        </w:rPr>
        <w:t xml:space="preserve">, and </w:t>
      </w:r>
      <w:r w:rsidRPr="00835579">
        <w:rPr>
          <w:rFonts w:ascii="Arial" w:hAnsi="Arial" w:cs="Arial"/>
          <w:b/>
          <w:bCs/>
          <w:sz w:val="22"/>
          <w:szCs w:val="22"/>
        </w:rPr>
        <w:t>widely acceptable</w:t>
      </w:r>
      <w:r w:rsidRPr="00835579">
        <w:rPr>
          <w:rFonts w:ascii="Arial" w:hAnsi="Arial" w:cs="Arial"/>
          <w:sz w:val="22"/>
          <w:szCs w:val="22"/>
        </w:rPr>
        <w:t>. It leverages VodafoneThree’s enhanced capabilities, aligns with industry trends, and supports long</w:t>
      </w:r>
      <w:r w:rsidRPr="00835579">
        <w:rPr>
          <w:rFonts w:ascii="Arial" w:hAnsi="Arial" w:cs="Arial"/>
          <w:sz w:val="22"/>
          <w:szCs w:val="22"/>
        </w:rPr>
        <w:noBreakHyphen/>
        <w:t>term competitive advantage in a rapidly evolving digital landscape.</w:t>
      </w:r>
    </w:p>
    <w:p w14:paraId="6028BD8F" w14:textId="77777777" w:rsidR="00C138D7" w:rsidRDefault="00C138D7" w:rsidP="00C138D7">
      <w:pPr>
        <w:spacing w:line="360" w:lineRule="auto"/>
        <w:jc w:val="both"/>
        <w:rPr>
          <w:rFonts w:ascii="Arial" w:hAnsi="Arial" w:cs="Arial"/>
          <w:sz w:val="22"/>
          <w:szCs w:val="22"/>
        </w:rPr>
      </w:pPr>
    </w:p>
    <w:p w14:paraId="10C53DFD" w14:textId="070F93D8" w:rsidR="00F81458" w:rsidRDefault="00F81458" w:rsidP="00C138D7">
      <w:pPr>
        <w:spacing w:line="360" w:lineRule="auto"/>
        <w:jc w:val="both"/>
        <w:rPr>
          <w:rFonts w:ascii="Arial" w:hAnsi="Arial" w:cs="Arial"/>
          <w:b/>
          <w:bCs/>
        </w:rPr>
      </w:pPr>
      <w:r w:rsidRPr="00C138D7">
        <w:rPr>
          <w:rFonts w:ascii="Arial" w:hAnsi="Arial" w:cs="Arial"/>
          <w:b/>
          <w:bCs/>
        </w:rPr>
        <w:t>6. Stakeholder Analysis</w:t>
      </w:r>
    </w:p>
    <w:p w14:paraId="27ECD62C" w14:textId="77777777" w:rsidR="00C138D7" w:rsidRPr="00C138D7" w:rsidRDefault="00C138D7" w:rsidP="00C138D7">
      <w:pPr>
        <w:spacing w:line="360" w:lineRule="auto"/>
        <w:jc w:val="both"/>
        <w:rPr>
          <w:rFonts w:ascii="Arial" w:hAnsi="Arial" w:cs="Arial"/>
          <w:b/>
          <w:bCs/>
        </w:rPr>
      </w:pPr>
    </w:p>
    <w:p w14:paraId="79E7DC56" w14:textId="77777777" w:rsidR="00F81458" w:rsidRPr="00F81458" w:rsidRDefault="00F81458" w:rsidP="00C138D7">
      <w:pPr>
        <w:spacing w:line="360" w:lineRule="auto"/>
        <w:jc w:val="both"/>
        <w:rPr>
          <w:rFonts w:ascii="Arial" w:hAnsi="Arial" w:cs="Arial"/>
          <w:sz w:val="22"/>
          <w:szCs w:val="22"/>
        </w:rPr>
      </w:pPr>
      <w:r w:rsidRPr="00F81458">
        <w:rPr>
          <w:rFonts w:ascii="Arial" w:hAnsi="Arial" w:cs="Arial"/>
          <w:sz w:val="22"/>
          <w:szCs w:val="22"/>
        </w:rPr>
        <w:t xml:space="preserve">A robust stakeholder analysis is essential for evaluating how the proposed </w:t>
      </w:r>
      <w:r w:rsidRPr="00F81458">
        <w:rPr>
          <w:rFonts w:ascii="Arial" w:hAnsi="Arial" w:cs="Arial"/>
          <w:b/>
          <w:bCs/>
          <w:sz w:val="22"/>
          <w:szCs w:val="22"/>
        </w:rPr>
        <w:t>Differentiation Strategy</w:t>
      </w:r>
      <w:r w:rsidRPr="00F81458">
        <w:rPr>
          <w:rFonts w:ascii="Arial" w:hAnsi="Arial" w:cs="Arial"/>
          <w:sz w:val="22"/>
          <w:szCs w:val="22"/>
        </w:rPr>
        <w:t xml:space="preserve">, supported by </w:t>
      </w:r>
      <w:r w:rsidRPr="00F81458">
        <w:rPr>
          <w:rFonts w:ascii="Arial" w:hAnsi="Arial" w:cs="Arial"/>
          <w:b/>
          <w:bCs/>
          <w:sz w:val="22"/>
          <w:szCs w:val="22"/>
        </w:rPr>
        <w:t>Product Development and Diversification</w:t>
      </w:r>
      <w:r w:rsidRPr="00F81458">
        <w:rPr>
          <w:rFonts w:ascii="Arial" w:hAnsi="Arial" w:cs="Arial"/>
          <w:sz w:val="22"/>
          <w:szCs w:val="22"/>
        </w:rPr>
        <w:t>, will affect VodafoneThree’s key stakeholder groups. Stakeholder Theory emphasises that organisations must balance the interests of multiple actors to achieve long-term strategic success (Johnson et al., 2023; Dyer et al., 2020). The VodafoneThree merger has significantly reshaped stakeholder expectations, making structured engagement critical for strategic alignment.</w:t>
      </w:r>
    </w:p>
    <w:p w14:paraId="4EFCCFBE" w14:textId="77777777" w:rsidR="00F81458" w:rsidRPr="00F81458" w:rsidRDefault="00F81458" w:rsidP="00C138D7">
      <w:pPr>
        <w:spacing w:line="360" w:lineRule="auto"/>
        <w:jc w:val="both"/>
        <w:rPr>
          <w:rFonts w:ascii="Arial" w:hAnsi="Arial" w:cs="Arial"/>
          <w:b/>
          <w:bCs/>
          <w:sz w:val="22"/>
          <w:szCs w:val="22"/>
        </w:rPr>
      </w:pPr>
      <w:r w:rsidRPr="00F81458">
        <w:rPr>
          <w:rFonts w:ascii="Arial" w:hAnsi="Arial" w:cs="Arial"/>
          <w:b/>
          <w:bCs/>
          <w:sz w:val="22"/>
          <w:szCs w:val="22"/>
        </w:rPr>
        <w:t>Impact on Stakeholders</w:t>
      </w:r>
    </w:p>
    <w:p w14:paraId="53BA99A5" w14:textId="77777777" w:rsidR="00F81458" w:rsidRPr="00F81458" w:rsidRDefault="00F81458" w:rsidP="00C138D7">
      <w:pPr>
        <w:spacing w:line="360" w:lineRule="auto"/>
        <w:jc w:val="both"/>
        <w:rPr>
          <w:rFonts w:ascii="Arial" w:hAnsi="Arial" w:cs="Arial"/>
          <w:sz w:val="22"/>
          <w:szCs w:val="22"/>
        </w:rPr>
      </w:pPr>
      <w:r w:rsidRPr="00F81458">
        <w:rPr>
          <w:rFonts w:ascii="Arial" w:hAnsi="Arial" w:cs="Arial"/>
          <w:b/>
          <w:bCs/>
          <w:sz w:val="22"/>
          <w:szCs w:val="22"/>
        </w:rPr>
        <w:t>Customers</w:t>
      </w:r>
      <w:r w:rsidRPr="00F81458">
        <w:rPr>
          <w:rFonts w:ascii="Arial" w:hAnsi="Arial" w:cs="Arial"/>
          <w:sz w:val="22"/>
          <w:szCs w:val="22"/>
        </w:rPr>
        <w:t xml:space="preserve"> Customers are the primary beneficiaries of the proposed strategy. Enhanced network quality, faster speeds, and innovative digital services—enabled by VodafoneThree’s </w:t>
      </w:r>
      <w:r w:rsidRPr="00F81458">
        <w:rPr>
          <w:rFonts w:ascii="Arial" w:hAnsi="Arial" w:cs="Arial"/>
          <w:sz w:val="22"/>
          <w:szCs w:val="22"/>
        </w:rPr>
        <w:lastRenderedPageBreak/>
        <w:t>£11 billion 5G investment—directly improve user experience (Vodafone, 2025). Differentiation through service innovation aligns with Pisano’s (2019) argument that customer value creation is central to sustaining competitive advantage.</w:t>
      </w:r>
    </w:p>
    <w:p w14:paraId="38A51ED1" w14:textId="17D57166" w:rsidR="00F81458" w:rsidRPr="00F81458" w:rsidRDefault="00F81458" w:rsidP="00C138D7">
      <w:pPr>
        <w:spacing w:line="360" w:lineRule="auto"/>
        <w:jc w:val="both"/>
        <w:rPr>
          <w:rFonts w:ascii="Arial" w:hAnsi="Arial" w:cs="Arial"/>
          <w:sz w:val="22"/>
          <w:szCs w:val="22"/>
        </w:rPr>
      </w:pPr>
      <w:r w:rsidRPr="00F81458">
        <w:rPr>
          <w:rFonts w:ascii="Arial" w:hAnsi="Arial" w:cs="Arial"/>
          <w:b/>
          <w:bCs/>
          <w:sz w:val="22"/>
          <w:szCs w:val="22"/>
        </w:rPr>
        <w:t>Employees</w:t>
      </w:r>
      <w:r w:rsidRPr="00F81458">
        <w:rPr>
          <w:rFonts w:ascii="Arial" w:hAnsi="Arial" w:cs="Arial"/>
          <w:sz w:val="22"/>
          <w:szCs w:val="22"/>
        </w:rPr>
        <w:t xml:space="preserve"> Employees will experience increased opportunities for skills development in emerging technologies such as IoT, AI-driven networks, and smart city solutions. However, organisational restructuring may create short-term uncertainty, consistent with </w:t>
      </w:r>
      <w:r w:rsidR="00C138D7" w:rsidRPr="00F81458">
        <w:rPr>
          <w:rFonts w:ascii="Arial" w:hAnsi="Arial" w:cs="Arial"/>
          <w:sz w:val="22"/>
          <w:szCs w:val="22"/>
        </w:rPr>
        <w:t>Stacey’s (</w:t>
      </w:r>
      <w:r w:rsidRPr="00F81458">
        <w:rPr>
          <w:rFonts w:ascii="Arial" w:hAnsi="Arial" w:cs="Arial"/>
          <w:sz w:val="22"/>
          <w:szCs w:val="22"/>
        </w:rPr>
        <w:t>2011) view of complexity during transformational change.</w:t>
      </w:r>
    </w:p>
    <w:p w14:paraId="319C0388" w14:textId="77777777" w:rsidR="00F81458" w:rsidRPr="00F81458" w:rsidRDefault="00F81458" w:rsidP="00C138D7">
      <w:pPr>
        <w:spacing w:line="360" w:lineRule="auto"/>
        <w:jc w:val="both"/>
        <w:rPr>
          <w:rFonts w:ascii="Arial" w:hAnsi="Arial" w:cs="Arial"/>
          <w:sz w:val="22"/>
          <w:szCs w:val="22"/>
        </w:rPr>
      </w:pPr>
      <w:r w:rsidRPr="00F81458">
        <w:rPr>
          <w:rFonts w:ascii="Arial" w:hAnsi="Arial" w:cs="Arial"/>
          <w:b/>
          <w:bCs/>
          <w:sz w:val="22"/>
          <w:szCs w:val="22"/>
        </w:rPr>
        <w:t>Shareholders</w:t>
      </w:r>
      <w:r w:rsidRPr="00F81458">
        <w:rPr>
          <w:rFonts w:ascii="Arial" w:hAnsi="Arial" w:cs="Arial"/>
          <w:sz w:val="22"/>
          <w:szCs w:val="22"/>
        </w:rPr>
        <w:t xml:space="preserve"> Shareholders benefit from new revenue streams, reduced churn, and long-term growth potential. The strategy leverages VodafoneThree’s rare and valuable resources, supporting sustained competitive advantage (Barney, 1991).</w:t>
      </w:r>
    </w:p>
    <w:p w14:paraId="49403672" w14:textId="77777777" w:rsidR="00F81458" w:rsidRPr="00F81458" w:rsidRDefault="00F81458" w:rsidP="00C138D7">
      <w:pPr>
        <w:spacing w:line="360" w:lineRule="auto"/>
        <w:jc w:val="both"/>
        <w:rPr>
          <w:rFonts w:ascii="Arial" w:hAnsi="Arial" w:cs="Arial"/>
          <w:sz w:val="22"/>
          <w:szCs w:val="22"/>
        </w:rPr>
      </w:pPr>
      <w:r w:rsidRPr="00F81458">
        <w:rPr>
          <w:rFonts w:ascii="Arial" w:hAnsi="Arial" w:cs="Arial"/>
          <w:b/>
          <w:bCs/>
          <w:sz w:val="22"/>
          <w:szCs w:val="22"/>
        </w:rPr>
        <w:t>Regulators</w:t>
      </w:r>
      <w:r w:rsidRPr="00F81458">
        <w:rPr>
          <w:rFonts w:ascii="Arial" w:hAnsi="Arial" w:cs="Arial"/>
          <w:sz w:val="22"/>
          <w:szCs w:val="22"/>
        </w:rPr>
        <w:t xml:space="preserve"> Regulators such as the CMA and Ofcom are likely to support the strategy because it aligns with national digital infrastructure priorities and enhances consumer welfare (CMA, 2024). Compliance with tariff caps and investment commitments remains essential.</w:t>
      </w:r>
    </w:p>
    <w:p w14:paraId="3F759C8A" w14:textId="77777777" w:rsidR="00F81458" w:rsidRDefault="00F81458" w:rsidP="00C138D7">
      <w:pPr>
        <w:spacing w:line="360" w:lineRule="auto"/>
        <w:jc w:val="both"/>
        <w:rPr>
          <w:rFonts w:ascii="Arial" w:hAnsi="Arial" w:cs="Arial"/>
          <w:sz w:val="22"/>
          <w:szCs w:val="22"/>
        </w:rPr>
      </w:pPr>
      <w:r w:rsidRPr="00F81458">
        <w:rPr>
          <w:rFonts w:ascii="Arial" w:hAnsi="Arial" w:cs="Arial"/>
          <w:b/>
          <w:bCs/>
          <w:sz w:val="22"/>
          <w:szCs w:val="22"/>
        </w:rPr>
        <w:t>Suppliers and Partners</w:t>
      </w:r>
      <w:r w:rsidRPr="00F81458">
        <w:rPr>
          <w:rFonts w:ascii="Arial" w:hAnsi="Arial" w:cs="Arial"/>
          <w:sz w:val="22"/>
          <w:szCs w:val="22"/>
        </w:rPr>
        <w:t xml:space="preserve"> Suppliers benefit from increased demand for network equipment and digital solutions. Strategic partnerships will be crucial for product development and diversification (Teece et al., 1997).</w:t>
      </w:r>
    </w:p>
    <w:p w14:paraId="64FDFD5D" w14:textId="77777777" w:rsidR="00C138D7" w:rsidRDefault="00C138D7" w:rsidP="00C138D7">
      <w:pPr>
        <w:spacing w:line="360" w:lineRule="auto"/>
        <w:jc w:val="both"/>
        <w:rPr>
          <w:rFonts w:ascii="Arial" w:hAnsi="Arial" w:cs="Arial"/>
          <w:sz w:val="22"/>
          <w:szCs w:val="22"/>
        </w:rPr>
      </w:pPr>
    </w:p>
    <w:p w14:paraId="032C104C" w14:textId="77777777" w:rsidR="00C138D7" w:rsidRPr="00F81458" w:rsidRDefault="00C138D7" w:rsidP="00C138D7">
      <w:pPr>
        <w:spacing w:line="360" w:lineRule="auto"/>
        <w:jc w:val="both"/>
        <w:rPr>
          <w:rFonts w:ascii="Arial" w:hAnsi="Arial" w:cs="Arial"/>
          <w:sz w:val="22"/>
          <w:szCs w:val="22"/>
        </w:rPr>
      </w:pPr>
    </w:p>
    <w:p w14:paraId="1E032DE8" w14:textId="77777777" w:rsidR="00F81458" w:rsidRPr="00F81458" w:rsidRDefault="00F81458" w:rsidP="00C138D7">
      <w:pPr>
        <w:spacing w:line="360" w:lineRule="auto"/>
        <w:jc w:val="both"/>
        <w:rPr>
          <w:rFonts w:ascii="Arial" w:hAnsi="Arial" w:cs="Arial"/>
          <w:b/>
          <w:bCs/>
          <w:sz w:val="22"/>
          <w:szCs w:val="22"/>
        </w:rPr>
      </w:pPr>
      <w:r w:rsidRPr="00F81458">
        <w:rPr>
          <w:rFonts w:ascii="Arial" w:hAnsi="Arial" w:cs="Arial"/>
          <w:b/>
          <w:bCs/>
          <w:sz w:val="22"/>
          <w:szCs w:val="22"/>
        </w:rPr>
        <w:t>Stakeholder Engagement Plan (Mendelow’s Matrix)</w:t>
      </w:r>
    </w:p>
    <w:p w14:paraId="7B04D39A" w14:textId="0E7774E8" w:rsidR="00F81458" w:rsidRDefault="00F81458" w:rsidP="00C138D7">
      <w:pPr>
        <w:spacing w:line="360" w:lineRule="auto"/>
        <w:jc w:val="both"/>
        <w:rPr>
          <w:rFonts w:ascii="Arial" w:hAnsi="Arial" w:cs="Arial"/>
          <w:sz w:val="22"/>
          <w:szCs w:val="22"/>
        </w:rPr>
      </w:pPr>
    </w:p>
    <w:p w14:paraId="22F2AB73" w14:textId="5B084D9C" w:rsidR="00C138D7" w:rsidRPr="00C138D7" w:rsidRDefault="00C138D7" w:rsidP="00C138D7">
      <w:pPr>
        <w:spacing w:line="360" w:lineRule="auto"/>
        <w:jc w:val="both"/>
        <w:rPr>
          <w:rFonts w:ascii="Arial" w:hAnsi="Arial" w:cs="Arial"/>
          <w:b/>
          <w:bCs/>
          <w:sz w:val="22"/>
          <w:szCs w:val="22"/>
        </w:rPr>
      </w:pPr>
      <w:r w:rsidRPr="00C138D7">
        <w:rPr>
          <w:rFonts w:ascii="Arial" w:hAnsi="Arial" w:cs="Arial"/>
          <w:b/>
          <w:bCs/>
          <w:sz w:val="22"/>
          <w:szCs w:val="22"/>
        </w:rPr>
        <w:t>Fig.1</w:t>
      </w:r>
    </w:p>
    <w:tbl>
      <w:tblPr>
        <w:tblStyle w:val="PlainTable1"/>
        <w:tblW w:w="0" w:type="auto"/>
        <w:tblLook w:val="04A0" w:firstRow="1" w:lastRow="0" w:firstColumn="1" w:lastColumn="0" w:noHBand="0" w:noVBand="1"/>
      </w:tblPr>
      <w:tblGrid>
        <w:gridCol w:w="9016"/>
      </w:tblGrid>
      <w:tr w:rsidR="00F81458" w:rsidRPr="00F81458" w14:paraId="39F20428" w14:textId="77777777" w:rsidTr="00F814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7274E41" w14:textId="77777777" w:rsidR="00F81458" w:rsidRPr="00F81458" w:rsidRDefault="00F81458" w:rsidP="00C138D7">
            <w:pPr>
              <w:numPr>
                <w:ilvl w:val="0"/>
                <w:numId w:val="25"/>
              </w:numPr>
              <w:spacing w:line="360" w:lineRule="auto"/>
              <w:jc w:val="both"/>
              <w:rPr>
                <w:rFonts w:ascii="Arial" w:hAnsi="Arial" w:cs="Arial"/>
                <w:sz w:val="22"/>
                <w:szCs w:val="22"/>
              </w:rPr>
            </w:pPr>
            <w:r w:rsidRPr="00F81458">
              <w:rPr>
                <w:rFonts w:ascii="Arial" w:hAnsi="Arial" w:cs="Arial"/>
                <w:sz w:val="22"/>
                <w:szCs w:val="22"/>
              </w:rPr>
              <w:t>High Power / High Interest (Manage Closely): Regulators, shareholders, senior leadership</w:t>
            </w:r>
          </w:p>
        </w:tc>
      </w:tr>
      <w:tr w:rsidR="00F81458" w:rsidRPr="00F81458" w14:paraId="63FFB590" w14:textId="77777777" w:rsidTr="00F814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49645C8" w14:textId="2595FBE9" w:rsidR="00F81458" w:rsidRPr="00F81458" w:rsidRDefault="00F81458" w:rsidP="00C138D7">
            <w:pPr>
              <w:numPr>
                <w:ilvl w:val="1"/>
                <w:numId w:val="25"/>
              </w:numPr>
              <w:spacing w:line="360" w:lineRule="auto"/>
              <w:jc w:val="both"/>
              <w:rPr>
                <w:rFonts w:ascii="Arial" w:hAnsi="Arial" w:cs="Arial"/>
                <w:sz w:val="22"/>
                <w:szCs w:val="22"/>
              </w:rPr>
            </w:pPr>
            <w:r w:rsidRPr="00F81458">
              <w:rPr>
                <w:rFonts w:ascii="Arial" w:hAnsi="Arial" w:cs="Arial"/>
                <w:sz w:val="22"/>
                <w:szCs w:val="22"/>
              </w:rPr>
              <w:t xml:space="preserve">Regular regulatory reporting, transparent investment </w:t>
            </w:r>
            <w:r>
              <w:rPr>
                <w:rFonts w:ascii="Arial" w:hAnsi="Arial" w:cs="Arial"/>
                <w:sz w:val="22"/>
                <w:szCs w:val="22"/>
              </w:rPr>
              <w:t>U</w:t>
            </w:r>
            <w:r w:rsidRPr="00F81458">
              <w:rPr>
                <w:rFonts w:ascii="Arial" w:hAnsi="Arial" w:cs="Arial"/>
                <w:sz w:val="22"/>
                <w:szCs w:val="22"/>
              </w:rPr>
              <w:t xml:space="preserve">pdates, </w:t>
            </w:r>
            <w:r>
              <w:rPr>
                <w:rFonts w:ascii="Arial" w:hAnsi="Arial" w:cs="Arial"/>
                <w:sz w:val="22"/>
                <w:szCs w:val="22"/>
              </w:rPr>
              <w:t>Q</w:t>
            </w:r>
            <w:r w:rsidRPr="00F81458">
              <w:rPr>
                <w:rFonts w:ascii="Arial" w:hAnsi="Arial" w:cs="Arial"/>
                <w:sz w:val="22"/>
                <w:szCs w:val="22"/>
              </w:rPr>
              <w:t>uarterly shareholder briefings.</w:t>
            </w:r>
          </w:p>
        </w:tc>
      </w:tr>
      <w:tr w:rsidR="00F81458" w:rsidRPr="00F81458" w14:paraId="6CD85F9C" w14:textId="77777777" w:rsidTr="00F81458">
        <w:tc>
          <w:tcPr>
            <w:cnfStyle w:val="001000000000" w:firstRow="0" w:lastRow="0" w:firstColumn="1" w:lastColumn="0" w:oddVBand="0" w:evenVBand="0" w:oddHBand="0" w:evenHBand="0" w:firstRowFirstColumn="0" w:firstRowLastColumn="0" w:lastRowFirstColumn="0" w:lastRowLastColumn="0"/>
            <w:tcW w:w="9016" w:type="dxa"/>
          </w:tcPr>
          <w:p w14:paraId="63E54015" w14:textId="77777777" w:rsidR="00F81458" w:rsidRPr="00F81458" w:rsidRDefault="00F81458" w:rsidP="00C138D7">
            <w:pPr>
              <w:numPr>
                <w:ilvl w:val="0"/>
                <w:numId w:val="25"/>
              </w:numPr>
              <w:spacing w:line="360" w:lineRule="auto"/>
              <w:jc w:val="both"/>
              <w:rPr>
                <w:rFonts w:ascii="Arial" w:hAnsi="Arial" w:cs="Arial"/>
                <w:sz w:val="22"/>
                <w:szCs w:val="22"/>
              </w:rPr>
            </w:pPr>
            <w:r w:rsidRPr="00F81458">
              <w:rPr>
                <w:rFonts w:ascii="Arial" w:hAnsi="Arial" w:cs="Arial"/>
                <w:sz w:val="22"/>
                <w:szCs w:val="22"/>
              </w:rPr>
              <w:t>High Power / Low Interest (Keep Satisfied): Suppliers</w:t>
            </w:r>
          </w:p>
        </w:tc>
      </w:tr>
      <w:tr w:rsidR="00F81458" w:rsidRPr="00F81458" w14:paraId="71016D42" w14:textId="77777777" w:rsidTr="00F814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3D8D8C9" w14:textId="77777777" w:rsidR="00F81458" w:rsidRPr="00F81458" w:rsidRDefault="00F81458" w:rsidP="00C138D7">
            <w:pPr>
              <w:numPr>
                <w:ilvl w:val="1"/>
                <w:numId w:val="25"/>
              </w:numPr>
              <w:spacing w:line="360" w:lineRule="auto"/>
              <w:jc w:val="both"/>
              <w:rPr>
                <w:rFonts w:ascii="Arial" w:hAnsi="Arial" w:cs="Arial"/>
                <w:sz w:val="22"/>
                <w:szCs w:val="22"/>
              </w:rPr>
            </w:pPr>
            <w:r w:rsidRPr="00F81458">
              <w:rPr>
                <w:rFonts w:ascii="Arial" w:hAnsi="Arial" w:cs="Arial"/>
                <w:sz w:val="22"/>
                <w:szCs w:val="22"/>
              </w:rPr>
              <w:t>Long-term contracts, collaborative innovation programmes.</w:t>
            </w:r>
          </w:p>
        </w:tc>
      </w:tr>
      <w:tr w:rsidR="00F81458" w:rsidRPr="00F81458" w14:paraId="7338BB01" w14:textId="77777777" w:rsidTr="00F81458">
        <w:tc>
          <w:tcPr>
            <w:cnfStyle w:val="001000000000" w:firstRow="0" w:lastRow="0" w:firstColumn="1" w:lastColumn="0" w:oddVBand="0" w:evenVBand="0" w:oddHBand="0" w:evenHBand="0" w:firstRowFirstColumn="0" w:firstRowLastColumn="0" w:lastRowFirstColumn="0" w:lastRowLastColumn="0"/>
            <w:tcW w:w="9016" w:type="dxa"/>
          </w:tcPr>
          <w:p w14:paraId="5EC97FCD" w14:textId="77777777" w:rsidR="00F81458" w:rsidRPr="00F81458" w:rsidRDefault="00F81458" w:rsidP="00C138D7">
            <w:pPr>
              <w:numPr>
                <w:ilvl w:val="0"/>
                <w:numId w:val="25"/>
              </w:numPr>
              <w:spacing w:line="360" w:lineRule="auto"/>
              <w:jc w:val="both"/>
              <w:rPr>
                <w:rFonts w:ascii="Arial" w:hAnsi="Arial" w:cs="Arial"/>
                <w:sz w:val="22"/>
                <w:szCs w:val="22"/>
              </w:rPr>
            </w:pPr>
            <w:r w:rsidRPr="00F81458">
              <w:rPr>
                <w:rFonts w:ascii="Arial" w:hAnsi="Arial" w:cs="Arial"/>
                <w:sz w:val="22"/>
                <w:szCs w:val="22"/>
              </w:rPr>
              <w:t>Low Power / High Interest (Keep Informed): Customers</w:t>
            </w:r>
          </w:p>
        </w:tc>
      </w:tr>
      <w:tr w:rsidR="00F81458" w:rsidRPr="00F81458" w14:paraId="3ECE6887" w14:textId="77777777" w:rsidTr="00F814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26B05E7" w14:textId="13A5B91A" w:rsidR="00F81458" w:rsidRPr="00F81458" w:rsidRDefault="00F81458" w:rsidP="00C138D7">
            <w:pPr>
              <w:numPr>
                <w:ilvl w:val="1"/>
                <w:numId w:val="25"/>
              </w:numPr>
              <w:spacing w:line="360" w:lineRule="auto"/>
              <w:jc w:val="both"/>
              <w:rPr>
                <w:rFonts w:ascii="Arial" w:hAnsi="Arial" w:cs="Arial"/>
                <w:sz w:val="22"/>
                <w:szCs w:val="22"/>
              </w:rPr>
            </w:pPr>
            <w:r w:rsidRPr="00F81458">
              <w:rPr>
                <w:rFonts w:ascii="Arial" w:hAnsi="Arial" w:cs="Arial"/>
                <w:sz w:val="22"/>
                <w:szCs w:val="22"/>
              </w:rPr>
              <w:t xml:space="preserve">Clear communication on service improvements, digital inclusion initiatives, </w:t>
            </w:r>
            <w:r>
              <w:rPr>
                <w:rFonts w:ascii="Arial" w:hAnsi="Arial" w:cs="Arial"/>
                <w:sz w:val="22"/>
                <w:szCs w:val="22"/>
              </w:rPr>
              <w:t>E</w:t>
            </w:r>
            <w:r w:rsidRPr="00F81458">
              <w:rPr>
                <w:rFonts w:ascii="Arial" w:hAnsi="Arial" w:cs="Arial"/>
                <w:sz w:val="22"/>
                <w:szCs w:val="22"/>
              </w:rPr>
              <w:t>nhanced customer support.</w:t>
            </w:r>
          </w:p>
        </w:tc>
      </w:tr>
      <w:tr w:rsidR="00F81458" w:rsidRPr="00F81458" w14:paraId="28E048D6" w14:textId="77777777" w:rsidTr="00F81458">
        <w:tc>
          <w:tcPr>
            <w:cnfStyle w:val="001000000000" w:firstRow="0" w:lastRow="0" w:firstColumn="1" w:lastColumn="0" w:oddVBand="0" w:evenVBand="0" w:oddHBand="0" w:evenHBand="0" w:firstRowFirstColumn="0" w:firstRowLastColumn="0" w:lastRowFirstColumn="0" w:lastRowLastColumn="0"/>
            <w:tcW w:w="9016" w:type="dxa"/>
          </w:tcPr>
          <w:p w14:paraId="0F8CD551" w14:textId="77777777" w:rsidR="00F81458" w:rsidRPr="00F81458" w:rsidRDefault="00F81458" w:rsidP="00C138D7">
            <w:pPr>
              <w:numPr>
                <w:ilvl w:val="0"/>
                <w:numId w:val="25"/>
              </w:numPr>
              <w:spacing w:line="360" w:lineRule="auto"/>
              <w:jc w:val="both"/>
              <w:rPr>
                <w:rFonts w:ascii="Arial" w:hAnsi="Arial" w:cs="Arial"/>
                <w:sz w:val="22"/>
                <w:szCs w:val="22"/>
              </w:rPr>
            </w:pPr>
            <w:r w:rsidRPr="00F81458">
              <w:rPr>
                <w:rFonts w:ascii="Arial" w:hAnsi="Arial" w:cs="Arial"/>
                <w:sz w:val="22"/>
                <w:szCs w:val="22"/>
              </w:rPr>
              <w:t>Low Power / Low Interest (Monitor): General public</w:t>
            </w:r>
          </w:p>
        </w:tc>
      </w:tr>
      <w:tr w:rsidR="00F81458" w:rsidRPr="00F81458" w14:paraId="09A8778A" w14:textId="77777777" w:rsidTr="00F814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F570D5D" w14:textId="77777777" w:rsidR="00F81458" w:rsidRPr="00F81458" w:rsidRDefault="00F81458" w:rsidP="00C138D7">
            <w:pPr>
              <w:numPr>
                <w:ilvl w:val="1"/>
                <w:numId w:val="25"/>
              </w:numPr>
              <w:spacing w:line="360" w:lineRule="auto"/>
              <w:jc w:val="both"/>
              <w:rPr>
                <w:rFonts w:ascii="Arial" w:hAnsi="Arial" w:cs="Arial"/>
                <w:sz w:val="22"/>
                <w:szCs w:val="22"/>
              </w:rPr>
            </w:pPr>
            <w:r w:rsidRPr="00F81458">
              <w:rPr>
                <w:rFonts w:ascii="Arial" w:hAnsi="Arial" w:cs="Arial"/>
                <w:sz w:val="22"/>
                <w:szCs w:val="22"/>
              </w:rPr>
              <w:t>CSR programmes, community digital literacy projects.</w:t>
            </w:r>
          </w:p>
        </w:tc>
      </w:tr>
    </w:tbl>
    <w:p w14:paraId="7AB19387" w14:textId="3E904313" w:rsidR="00C138D7" w:rsidRDefault="00C138D7" w:rsidP="00C138D7">
      <w:pPr>
        <w:spacing w:line="360" w:lineRule="auto"/>
        <w:jc w:val="both"/>
        <w:rPr>
          <w:rFonts w:ascii="Arial" w:hAnsi="Arial" w:cs="Arial"/>
          <w:sz w:val="22"/>
          <w:szCs w:val="22"/>
        </w:rPr>
      </w:pPr>
      <w:r w:rsidRPr="00F81458">
        <w:rPr>
          <w:rFonts w:ascii="Arial" w:hAnsi="Arial" w:cs="Arial"/>
          <w:sz w:val="22"/>
          <w:szCs w:val="22"/>
        </w:rPr>
        <w:lastRenderedPageBreak/>
        <w:t xml:space="preserve">Mendelow’s </w:t>
      </w:r>
      <w:r w:rsidRPr="00F81458">
        <w:rPr>
          <w:rFonts w:ascii="Arial" w:hAnsi="Arial" w:cs="Arial"/>
          <w:sz w:val="22"/>
          <w:szCs w:val="22"/>
        </w:rPr>
        <w:t>Matrix</w:t>
      </w:r>
      <w:r>
        <w:rPr>
          <w:rFonts w:ascii="Arial" w:hAnsi="Arial" w:cs="Arial"/>
          <w:sz w:val="22"/>
          <w:szCs w:val="22"/>
        </w:rPr>
        <w:t xml:space="preserve"> (1991)</w:t>
      </w:r>
    </w:p>
    <w:p w14:paraId="1726927E" w14:textId="77777777" w:rsidR="00835579" w:rsidRDefault="00835579" w:rsidP="00C138D7">
      <w:pPr>
        <w:spacing w:line="360" w:lineRule="auto"/>
        <w:jc w:val="both"/>
        <w:rPr>
          <w:rFonts w:ascii="Arial" w:hAnsi="Arial" w:cs="Arial"/>
          <w:sz w:val="22"/>
          <w:szCs w:val="22"/>
        </w:rPr>
      </w:pPr>
    </w:p>
    <w:p w14:paraId="754CEC37" w14:textId="4E2484CE" w:rsidR="002E378F" w:rsidRPr="00C138D7" w:rsidRDefault="002E378F" w:rsidP="00C138D7">
      <w:pPr>
        <w:spacing w:line="360" w:lineRule="auto"/>
        <w:jc w:val="both"/>
        <w:rPr>
          <w:rFonts w:ascii="Arial" w:hAnsi="Arial" w:cs="Arial"/>
          <w:b/>
          <w:bCs/>
        </w:rPr>
      </w:pPr>
      <w:r w:rsidRPr="00C138D7">
        <w:rPr>
          <w:rFonts w:ascii="Arial" w:hAnsi="Arial" w:cs="Arial"/>
          <w:b/>
          <w:bCs/>
        </w:rPr>
        <w:t>7. Implementation and Monitoring</w:t>
      </w:r>
    </w:p>
    <w:p w14:paraId="230EEBA6" w14:textId="77777777" w:rsidR="002E378F" w:rsidRPr="002E378F" w:rsidRDefault="002E378F" w:rsidP="00C138D7">
      <w:pPr>
        <w:spacing w:line="360" w:lineRule="auto"/>
        <w:jc w:val="both"/>
        <w:rPr>
          <w:rFonts w:ascii="Arial" w:hAnsi="Arial" w:cs="Arial"/>
          <w:sz w:val="22"/>
          <w:szCs w:val="22"/>
        </w:rPr>
      </w:pPr>
      <w:r w:rsidRPr="002E378F">
        <w:rPr>
          <w:rFonts w:ascii="Arial" w:hAnsi="Arial" w:cs="Arial"/>
          <w:sz w:val="22"/>
          <w:szCs w:val="22"/>
        </w:rPr>
        <w:t xml:space="preserve">The successful execution of the proposed </w:t>
      </w:r>
      <w:r w:rsidRPr="002E378F">
        <w:rPr>
          <w:rFonts w:ascii="Arial" w:hAnsi="Arial" w:cs="Arial"/>
          <w:b/>
          <w:bCs/>
          <w:sz w:val="22"/>
          <w:szCs w:val="22"/>
        </w:rPr>
        <w:t>Differentiation Strategy</w:t>
      </w:r>
      <w:r w:rsidRPr="002E378F">
        <w:rPr>
          <w:rFonts w:ascii="Arial" w:hAnsi="Arial" w:cs="Arial"/>
          <w:sz w:val="22"/>
          <w:szCs w:val="22"/>
        </w:rPr>
        <w:t xml:space="preserve">, supported by </w:t>
      </w:r>
      <w:r w:rsidRPr="002E378F">
        <w:rPr>
          <w:rFonts w:ascii="Arial" w:hAnsi="Arial" w:cs="Arial"/>
          <w:b/>
          <w:bCs/>
          <w:sz w:val="22"/>
          <w:szCs w:val="22"/>
        </w:rPr>
        <w:t>Product Development and Diversification</w:t>
      </w:r>
      <w:r w:rsidRPr="002E378F">
        <w:rPr>
          <w:rFonts w:ascii="Arial" w:hAnsi="Arial" w:cs="Arial"/>
          <w:sz w:val="22"/>
          <w:szCs w:val="22"/>
        </w:rPr>
        <w:t>, requires a structured implementation plan that aligns operational activities with VodafoneThree’s expanded post</w:t>
      </w:r>
      <w:r w:rsidRPr="002E378F">
        <w:rPr>
          <w:rFonts w:ascii="Arial" w:hAnsi="Arial" w:cs="Arial"/>
          <w:sz w:val="22"/>
          <w:szCs w:val="22"/>
        </w:rPr>
        <w:noBreakHyphen/>
        <w:t>merger capabilities. Effective implementation must integrate strategic objectives, coordinated actions, and a robust monitoring framework to ensure that the strategy delivers measurable improvements in network quality, customer experience, and innovation outcomes (Johnson et al., 2023; Anderson et al., 2025).</w:t>
      </w:r>
    </w:p>
    <w:p w14:paraId="0E7307EA" w14:textId="77777777" w:rsidR="002E378F" w:rsidRPr="002E378F" w:rsidRDefault="002E378F" w:rsidP="00C138D7">
      <w:pPr>
        <w:spacing w:line="360" w:lineRule="auto"/>
        <w:jc w:val="both"/>
        <w:rPr>
          <w:rFonts w:ascii="Arial" w:hAnsi="Arial" w:cs="Arial"/>
          <w:sz w:val="22"/>
          <w:szCs w:val="22"/>
        </w:rPr>
      </w:pPr>
      <w:r w:rsidRPr="002E378F">
        <w:rPr>
          <w:rFonts w:ascii="Arial" w:hAnsi="Arial" w:cs="Arial"/>
          <w:sz w:val="22"/>
          <w:szCs w:val="22"/>
        </w:rPr>
        <w:t>The first strategic objective is the delivery of the UK’s leading standalone 5G network within five years, supported by VodafoneThree’s £11 billion investment commitment (Vodafone, 2025). Achieving this requires accelerated network integration, including the consolidation of Vodafone and Three’s infrastructure, harmonisation of spectrum assets, and deployment of additional 5G sites in rural and high</w:t>
      </w:r>
      <w:r w:rsidRPr="002E378F">
        <w:rPr>
          <w:rFonts w:ascii="Arial" w:hAnsi="Arial" w:cs="Arial"/>
          <w:sz w:val="22"/>
          <w:szCs w:val="22"/>
        </w:rPr>
        <w:noBreakHyphen/>
        <w:t>demand urban areas. This approach leverages the organisation’s dynamic capabilities, particularly its ability to reconfigure technological resources in response to market demands (Teece et al., 1997; Eisenhardt &amp; Martin, 2020). A second objective is the development and launch of new digital products and services—such as IoT ecosystems, smart home bundles, and enterprise connectivity solutions—within a 12–24</w:t>
      </w:r>
      <w:r w:rsidRPr="002E378F">
        <w:rPr>
          <w:rFonts w:ascii="Arial" w:hAnsi="Arial" w:cs="Arial"/>
          <w:sz w:val="22"/>
          <w:szCs w:val="22"/>
        </w:rPr>
        <w:noBreakHyphen/>
        <w:t>month timeframe. This aligns with Pisano’s (2019) argument that innovation</w:t>
      </w:r>
      <w:r w:rsidRPr="002E378F">
        <w:rPr>
          <w:rFonts w:ascii="Arial" w:hAnsi="Arial" w:cs="Arial"/>
          <w:sz w:val="22"/>
          <w:szCs w:val="22"/>
        </w:rPr>
        <w:noBreakHyphen/>
        <w:t>led product development is essential for sustaining competitive advantage in rapidly evolving industries.</w:t>
      </w:r>
    </w:p>
    <w:p w14:paraId="6E034FDB" w14:textId="77777777" w:rsidR="002E378F" w:rsidRPr="002E378F" w:rsidRDefault="002E378F" w:rsidP="00C138D7">
      <w:pPr>
        <w:spacing w:line="360" w:lineRule="auto"/>
        <w:jc w:val="both"/>
        <w:rPr>
          <w:rFonts w:ascii="Arial" w:hAnsi="Arial" w:cs="Arial"/>
          <w:sz w:val="22"/>
          <w:szCs w:val="22"/>
        </w:rPr>
      </w:pPr>
      <w:r w:rsidRPr="002E378F">
        <w:rPr>
          <w:rFonts w:ascii="Arial" w:hAnsi="Arial" w:cs="Arial"/>
          <w:sz w:val="22"/>
          <w:szCs w:val="22"/>
        </w:rPr>
        <w:t>Improving customer experience represents a third strategic objective. This will require the implementation of AI</w:t>
      </w:r>
      <w:r w:rsidRPr="002E378F">
        <w:rPr>
          <w:rFonts w:ascii="Arial" w:hAnsi="Arial" w:cs="Arial"/>
          <w:sz w:val="22"/>
          <w:szCs w:val="22"/>
        </w:rPr>
        <w:noBreakHyphen/>
        <w:t>driven customer support systems, personalised digital services, and enhanced omnichannel engagement. These actions reflect Porter’s (1985) view that differentiation is strengthened when organisations deliver superior value through quality, reliability, and customer</w:t>
      </w:r>
      <w:r w:rsidRPr="002E378F">
        <w:rPr>
          <w:rFonts w:ascii="Arial" w:hAnsi="Arial" w:cs="Arial"/>
          <w:sz w:val="22"/>
          <w:szCs w:val="22"/>
        </w:rPr>
        <w:noBreakHyphen/>
        <w:t>centric innovation. A fourth objective concerns organisational capability development, requiring investment in employee training, cross</w:t>
      </w:r>
      <w:r w:rsidRPr="002E378F">
        <w:rPr>
          <w:rFonts w:ascii="Arial" w:hAnsi="Arial" w:cs="Arial"/>
          <w:sz w:val="22"/>
          <w:szCs w:val="22"/>
        </w:rPr>
        <w:noBreakHyphen/>
        <w:t>functional collaboration, and cultural integration to support adaptability in complex environments (Stacey, 2011).</w:t>
      </w:r>
    </w:p>
    <w:p w14:paraId="101B7913" w14:textId="77777777" w:rsidR="002E378F" w:rsidRDefault="002E378F" w:rsidP="00C138D7">
      <w:pPr>
        <w:spacing w:line="360" w:lineRule="auto"/>
        <w:jc w:val="both"/>
        <w:rPr>
          <w:rFonts w:ascii="Arial" w:hAnsi="Arial" w:cs="Arial"/>
          <w:sz w:val="22"/>
          <w:szCs w:val="22"/>
        </w:rPr>
      </w:pPr>
      <w:r w:rsidRPr="002E378F">
        <w:rPr>
          <w:rFonts w:ascii="Arial" w:hAnsi="Arial" w:cs="Arial"/>
          <w:sz w:val="22"/>
          <w:szCs w:val="22"/>
        </w:rPr>
        <w:t xml:space="preserve">Monitoring progress demands a rigorous performance management framework. Network performance will be assessed through metrics such as 5G population coverage, average download and upload speeds, and latency. Customer experience will be evaluated using Net Promoter Scores and churn rates, while innovation outcomes will be measured by the number of new digital products launched annually. Financial performance will be monitored through </w:t>
      </w:r>
      <w:r w:rsidRPr="002E378F">
        <w:rPr>
          <w:rFonts w:ascii="Arial" w:hAnsi="Arial" w:cs="Arial"/>
          <w:sz w:val="22"/>
          <w:szCs w:val="22"/>
        </w:rPr>
        <w:lastRenderedPageBreak/>
        <w:t>revenue growth from digital services and enterprise solutions, consistent with Grant’s (2022) emphasis on linking strategic execution to measurable financial outcomes. Digital inclusion progress will be assessed through reductions in rural “not</w:t>
      </w:r>
      <w:r w:rsidRPr="002E378F">
        <w:rPr>
          <w:rFonts w:ascii="Arial" w:hAnsi="Arial" w:cs="Arial"/>
          <w:sz w:val="22"/>
          <w:szCs w:val="22"/>
        </w:rPr>
        <w:noBreakHyphen/>
        <w:t>spots” and increased connectivity access.</w:t>
      </w:r>
    </w:p>
    <w:p w14:paraId="605D939A" w14:textId="77777777" w:rsidR="002E378F" w:rsidRDefault="002E378F" w:rsidP="00C138D7">
      <w:pPr>
        <w:spacing w:line="360" w:lineRule="auto"/>
        <w:jc w:val="both"/>
        <w:rPr>
          <w:rFonts w:ascii="Arial" w:hAnsi="Arial" w:cs="Arial"/>
          <w:sz w:val="22"/>
          <w:szCs w:val="22"/>
        </w:rPr>
      </w:pPr>
    </w:p>
    <w:p w14:paraId="39C1450B" w14:textId="77777777" w:rsidR="002E378F" w:rsidRDefault="002E378F" w:rsidP="00C138D7">
      <w:pPr>
        <w:spacing w:line="360" w:lineRule="auto"/>
        <w:jc w:val="both"/>
        <w:rPr>
          <w:rFonts w:ascii="Arial" w:hAnsi="Arial" w:cs="Arial"/>
          <w:sz w:val="22"/>
          <w:szCs w:val="22"/>
        </w:rPr>
      </w:pPr>
    </w:p>
    <w:p w14:paraId="19ECDF87" w14:textId="77777777" w:rsidR="002E378F" w:rsidRDefault="002E378F" w:rsidP="00C138D7">
      <w:pPr>
        <w:spacing w:line="360" w:lineRule="auto"/>
        <w:jc w:val="both"/>
        <w:rPr>
          <w:rFonts w:ascii="Arial" w:hAnsi="Arial" w:cs="Arial"/>
          <w:sz w:val="22"/>
          <w:szCs w:val="22"/>
        </w:rPr>
      </w:pPr>
    </w:p>
    <w:p w14:paraId="77DAF809" w14:textId="77777777" w:rsidR="002E378F" w:rsidRDefault="002E378F" w:rsidP="00C138D7">
      <w:pPr>
        <w:spacing w:line="360" w:lineRule="auto"/>
        <w:jc w:val="both"/>
        <w:rPr>
          <w:rFonts w:ascii="Arial" w:hAnsi="Arial" w:cs="Arial"/>
          <w:sz w:val="22"/>
          <w:szCs w:val="22"/>
        </w:rPr>
      </w:pPr>
    </w:p>
    <w:p w14:paraId="5A2E9C1F" w14:textId="77777777" w:rsidR="002E378F" w:rsidRDefault="002E378F" w:rsidP="00C138D7">
      <w:pPr>
        <w:spacing w:line="360" w:lineRule="auto"/>
        <w:jc w:val="both"/>
        <w:rPr>
          <w:rFonts w:ascii="Arial" w:hAnsi="Arial" w:cs="Arial"/>
          <w:sz w:val="22"/>
          <w:szCs w:val="22"/>
        </w:rPr>
      </w:pPr>
    </w:p>
    <w:p w14:paraId="24B6F9DF" w14:textId="77777777" w:rsidR="002E378F" w:rsidRDefault="002E378F" w:rsidP="00C138D7">
      <w:pPr>
        <w:spacing w:line="360" w:lineRule="auto"/>
        <w:jc w:val="both"/>
        <w:rPr>
          <w:rFonts w:ascii="Arial" w:hAnsi="Arial" w:cs="Arial"/>
          <w:sz w:val="22"/>
          <w:szCs w:val="22"/>
        </w:rPr>
      </w:pPr>
    </w:p>
    <w:p w14:paraId="046B4D3B" w14:textId="77777777" w:rsidR="002E378F" w:rsidRDefault="002E378F" w:rsidP="00C138D7">
      <w:pPr>
        <w:spacing w:line="360" w:lineRule="auto"/>
        <w:jc w:val="both"/>
        <w:rPr>
          <w:rFonts w:ascii="Arial" w:hAnsi="Arial" w:cs="Arial"/>
          <w:sz w:val="22"/>
          <w:szCs w:val="22"/>
        </w:rPr>
      </w:pPr>
    </w:p>
    <w:p w14:paraId="49495FCA" w14:textId="77777777" w:rsidR="002E378F" w:rsidRPr="002E378F" w:rsidRDefault="002E378F" w:rsidP="00C138D7">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9016"/>
      </w:tblGrid>
      <w:tr w:rsidR="002E378F" w:rsidRPr="002E378F" w14:paraId="483E7FA2" w14:textId="77777777" w:rsidTr="002E378F">
        <w:tc>
          <w:tcPr>
            <w:tcW w:w="9016" w:type="dxa"/>
          </w:tcPr>
          <w:p w14:paraId="060D533A" w14:textId="222B1849" w:rsidR="002E378F" w:rsidRPr="002E378F" w:rsidRDefault="002E378F" w:rsidP="00C138D7">
            <w:pPr>
              <w:spacing w:line="360" w:lineRule="auto"/>
              <w:jc w:val="both"/>
              <w:rPr>
                <w:rFonts w:ascii="Arial" w:hAnsi="Arial" w:cs="Arial"/>
                <w:b/>
                <w:bCs/>
                <w:sz w:val="22"/>
                <w:szCs w:val="22"/>
              </w:rPr>
            </w:pPr>
            <w:r w:rsidRPr="002E378F">
              <w:rPr>
                <w:rFonts w:ascii="Arial" w:hAnsi="Arial" w:cs="Arial"/>
                <w:b/>
                <w:bCs/>
                <w:sz w:val="22"/>
                <w:szCs w:val="22"/>
              </w:rPr>
              <w:t xml:space="preserve">Implementation </w:t>
            </w:r>
            <w:r>
              <w:rPr>
                <w:rFonts w:ascii="Arial" w:hAnsi="Arial" w:cs="Arial"/>
                <w:b/>
                <w:bCs/>
                <w:sz w:val="22"/>
                <w:szCs w:val="22"/>
              </w:rPr>
              <w:t xml:space="preserve">and Action </w:t>
            </w:r>
            <w:r w:rsidRPr="002E378F">
              <w:rPr>
                <w:rFonts w:ascii="Arial" w:hAnsi="Arial" w:cs="Arial"/>
                <w:b/>
                <w:bCs/>
                <w:sz w:val="22"/>
                <w:szCs w:val="22"/>
              </w:rPr>
              <w:t>Plan Table</w:t>
            </w:r>
          </w:p>
        </w:tc>
      </w:tr>
      <w:tr w:rsidR="002E378F" w14:paraId="0D9F718D" w14:textId="77777777" w:rsidTr="002E378F">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02"/>
              <w:gridCol w:w="3245"/>
              <w:gridCol w:w="2953"/>
            </w:tblGrid>
            <w:tr w:rsidR="002E378F" w:rsidRPr="002E378F" w14:paraId="7F23CC52" w14:textId="77777777">
              <w:trPr>
                <w:tblHeader/>
                <w:tblCellSpacing w:w="15" w:type="dxa"/>
              </w:trPr>
              <w:tc>
                <w:tcPr>
                  <w:tcW w:w="0" w:type="auto"/>
                  <w:vAlign w:val="center"/>
                  <w:hideMark/>
                </w:tcPr>
                <w:p w14:paraId="20B34019" w14:textId="77777777" w:rsidR="002E378F" w:rsidRPr="002E378F" w:rsidRDefault="002E378F" w:rsidP="00C138D7">
                  <w:pPr>
                    <w:spacing w:line="360" w:lineRule="auto"/>
                    <w:jc w:val="both"/>
                    <w:rPr>
                      <w:rFonts w:ascii="Arial" w:hAnsi="Arial" w:cs="Arial"/>
                      <w:b/>
                      <w:bCs/>
                      <w:sz w:val="22"/>
                      <w:szCs w:val="22"/>
                    </w:rPr>
                  </w:pPr>
                  <w:r w:rsidRPr="002E378F">
                    <w:rPr>
                      <w:rFonts w:ascii="Arial" w:hAnsi="Arial" w:cs="Arial"/>
                      <w:b/>
                      <w:bCs/>
                      <w:sz w:val="22"/>
                      <w:szCs w:val="22"/>
                    </w:rPr>
                    <w:t>Objective</w:t>
                  </w:r>
                </w:p>
              </w:tc>
              <w:tc>
                <w:tcPr>
                  <w:tcW w:w="0" w:type="auto"/>
                  <w:vAlign w:val="center"/>
                  <w:hideMark/>
                </w:tcPr>
                <w:p w14:paraId="17AEB52F" w14:textId="77777777" w:rsidR="002E378F" w:rsidRPr="002E378F" w:rsidRDefault="002E378F" w:rsidP="00C138D7">
                  <w:pPr>
                    <w:spacing w:line="360" w:lineRule="auto"/>
                    <w:jc w:val="both"/>
                    <w:rPr>
                      <w:rFonts w:ascii="Arial" w:hAnsi="Arial" w:cs="Arial"/>
                      <w:b/>
                      <w:bCs/>
                      <w:sz w:val="22"/>
                      <w:szCs w:val="22"/>
                    </w:rPr>
                  </w:pPr>
                  <w:r w:rsidRPr="002E378F">
                    <w:rPr>
                      <w:rFonts w:ascii="Arial" w:hAnsi="Arial" w:cs="Arial"/>
                      <w:b/>
                      <w:bCs/>
                      <w:sz w:val="22"/>
                      <w:szCs w:val="22"/>
                    </w:rPr>
                    <w:t>Actions Required</w:t>
                  </w:r>
                </w:p>
              </w:tc>
              <w:tc>
                <w:tcPr>
                  <w:tcW w:w="0" w:type="auto"/>
                  <w:vAlign w:val="center"/>
                  <w:hideMark/>
                </w:tcPr>
                <w:p w14:paraId="24698519" w14:textId="77777777" w:rsidR="002E378F" w:rsidRPr="002E378F" w:rsidRDefault="002E378F" w:rsidP="00C138D7">
                  <w:pPr>
                    <w:spacing w:line="360" w:lineRule="auto"/>
                    <w:jc w:val="both"/>
                    <w:rPr>
                      <w:rFonts w:ascii="Arial" w:hAnsi="Arial" w:cs="Arial"/>
                      <w:b/>
                      <w:bCs/>
                      <w:sz w:val="22"/>
                      <w:szCs w:val="22"/>
                    </w:rPr>
                  </w:pPr>
                  <w:r w:rsidRPr="002E378F">
                    <w:rPr>
                      <w:rFonts w:ascii="Arial" w:hAnsi="Arial" w:cs="Arial"/>
                      <w:b/>
                      <w:bCs/>
                      <w:sz w:val="22"/>
                      <w:szCs w:val="22"/>
                    </w:rPr>
                    <w:t>Key Performance Indicators (KPIs)</w:t>
                  </w:r>
                </w:p>
              </w:tc>
            </w:tr>
            <w:tr w:rsidR="002E378F" w:rsidRPr="002E378F" w14:paraId="675E5781" w14:textId="77777777">
              <w:trPr>
                <w:tblCellSpacing w:w="15" w:type="dxa"/>
              </w:trPr>
              <w:tc>
                <w:tcPr>
                  <w:tcW w:w="0" w:type="auto"/>
                  <w:vAlign w:val="center"/>
                  <w:hideMark/>
                </w:tcPr>
                <w:p w14:paraId="1B62677E" w14:textId="77777777" w:rsidR="002E378F" w:rsidRPr="002E378F" w:rsidRDefault="002E378F" w:rsidP="00C138D7">
                  <w:pPr>
                    <w:spacing w:line="360" w:lineRule="auto"/>
                    <w:jc w:val="both"/>
                    <w:rPr>
                      <w:rFonts w:ascii="Arial" w:hAnsi="Arial" w:cs="Arial"/>
                      <w:b/>
                      <w:bCs/>
                      <w:sz w:val="22"/>
                      <w:szCs w:val="22"/>
                    </w:rPr>
                  </w:pPr>
                  <w:r w:rsidRPr="002E378F">
                    <w:rPr>
                      <w:rFonts w:ascii="Arial" w:hAnsi="Arial" w:cs="Arial"/>
                      <w:b/>
                      <w:bCs/>
                      <w:sz w:val="22"/>
                      <w:szCs w:val="22"/>
                    </w:rPr>
                    <w:t>Deliver UK’s leading standalone 5G network</w:t>
                  </w:r>
                </w:p>
              </w:tc>
              <w:tc>
                <w:tcPr>
                  <w:tcW w:w="0" w:type="auto"/>
                  <w:vAlign w:val="center"/>
                  <w:hideMark/>
                </w:tcPr>
                <w:p w14:paraId="2929106F" w14:textId="77777777" w:rsidR="002E378F" w:rsidRPr="002E378F" w:rsidRDefault="002E378F" w:rsidP="00C138D7">
                  <w:pPr>
                    <w:spacing w:line="360" w:lineRule="auto"/>
                    <w:jc w:val="both"/>
                    <w:rPr>
                      <w:rFonts w:ascii="Arial" w:hAnsi="Arial" w:cs="Arial"/>
                      <w:sz w:val="22"/>
                      <w:szCs w:val="22"/>
                    </w:rPr>
                  </w:pPr>
                  <w:r w:rsidRPr="002E378F">
                    <w:rPr>
                      <w:rFonts w:ascii="Arial" w:hAnsi="Arial" w:cs="Arial"/>
                      <w:sz w:val="22"/>
                      <w:szCs w:val="22"/>
                    </w:rPr>
                    <w:t>Network integration, spectrum harmonisation, 5G site expansion</w:t>
                  </w:r>
                </w:p>
              </w:tc>
              <w:tc>
                <w:tcPr>
                  <w:tcW w:w="0" w:type="auto"/>
                  <w:vAlign w:val="center"/>
                  <w:hideMark/>
                </w:tcPr>
                <w:p w14:paraId="27684CFD" w14:textId="77777777" w:rsidR="002E378F" w:rsidRPr="002E378F" w:rsidRDefault="002E378F" w:rsidP="00C138D7">
                  <w:pPr>
                    <w:spacing w:line="360" w:lineRule="auto"/>
                    <w:jc w:val="both"/>
                    <w:rPr>
                      <w:rFonts w:ascii="Arial" w:hAnsi="Arial" w:cs="Arial"/>
                      <w:sz w:val="22"/>
                      <w:szCs w:val="22"/>
                    </w:rPr>
                  </w:pPr>
                  <w:r w:rsidRPr="002E378F">
                    <w:rPr>
                      <w:rFonts w:ascii="Arial" w:hAnsi="Arial" w:cs="Arial"/>
                      <w:sz w:val="22"/>
                      <w:szCs w:val="22"/>
                    </w:rPr>
                    <w:t>5G population coverage; network speed and latency metrics</w:t>
                  </w:r>
                </w:p>
              </w:tc>
            </w:tr>
            <w:tr w:rsidR="002E378F" w:rsidRPr="002E378F" w14:paraId="7BCA3001" w14:textId="77777777">
              <w:trPr>
                <w:tblCellSpacing w:w="15" w:type="dxa"/>
              </w:trPr>
              <w:tc>
                <w:tcPr>
                  <w:tcW w:w="0" w:type="auto"/>
                  <w:vAlign w:val="center"/>
                  <w:hideMark/>
                </w:tcPr>
                <w:p w14:paraId="294FE8A6" w14:textId="77777777" w:rsidR="002E378F" w:rsidRPr="002E378F" w:rsidRDefault="002E378F" w:rsidP="00C138D7">
                  <w:pPr>
                    <w:spacing w:line="360" w:lineRule="auto"/>
                    <w:jc w:val="both"/>
                    <w:rPr>
                      <w:rFonts w:ascii="Arial" w:hAnsi="Arial" w:cs="Arial"/>
                      <w:b/>
                      <w:bCs/>
                      <w:sz w:val="22"/>
                      <w:szCs w:val="22"/>
                    </w:rPr>
                  </w:pPr>
                  <w:r w:rsidRPr="002E378F">
                    <w:rPr>
                      <w:rFonts w:ascii="Arial" w:hAnsi="Arial" w:cs="Arial"/>
                      <w:b/>
                      <w:bCs/>
                      <w:sz w:val="22"/>
                      <w:szCs w:val="22"/>
                    </w:rPr>
                    <w:t>Launch new digital products and services</w:t>
                  </w:r>
                </w:p>
              </w:tc>
              <w:tc>
                <w:tcPr>
                  <w:tcW w:w="0" w:type="auto"/>
                  <w:vAlign w:val="center"/>
                  <w:hideMark/>
                </w:tcPr>
                <w:p w14:paraId="799CFAA6" w14:textId="77777777" w:rsidR="002E378F" w:rsidRPr="002E378F" w:rsidRDefault="002E378F" w:rsidP="00C138D7">
                  <w:pPr>
                    <w:spacing w:line="360" w:lineRule="auto"/>
                    <w:jc w:val="both"/>
                    <w:rPr>
                      <w:rFonts w:ascii="Arial" w:hAnsi="Arial" w:cs="Arial"/>
                      <w:sz w:val="22"/>
                      <w:szCs w:val="22"/>
                    </w:rPr>
                  </w:pPr>
                  <w:r w:rsidRPr="002E378F">
                    <w:rPr>
                      <w:rFonts w:ascii="Arial" w:hAnsi="Arial" w:cs="Arial"/>
                      <w:sz w:val="22"/>
                      <w:szCs w:val="22"/>
                    </w:rPr>
                    <w:t>Develop IoT, smart home, enterprise solutions; partner with tech firms</w:t>
                  </w:r>
                </w:p>
              </w:tc>
              <w:tc>
                <w:tcPr>
                  <w:tcW w:w="0" w:type="auto"/>
                  <w:vAlign w:val="center"/>
                  <w:hideMark/>
                </w:tcPr>
                <w:p w14:paraId="1648A40C" w14:textId="77777777" w:rsidR="002E378F" w:rsidRPr="002E378F" w:rsidRDefault="002E378F" w:rsidP="00C138D7">
                  <w:pPr>
                    <w:spacing w:line="360" w:lineRule="auto"/>
                    <w:jc w:val="both"/>
                    <w:rPr>
                      <w:rFonts w:ascii="Arial" w:hAnsi="Arial" w:cs="Arial"/>
                      <w:sz w:val="22"/>
                      <w:szCs w:val="22"/>
                    </w:rPr>
                  </w:pPr>
                  <w:r w:rsidRPr="002E378F">
                    <w:rPr>
                      <w:rFonts w:ascii="Arial" w:hAnsi="Arial" w:cs="Arial"/>
                      <w:sz w:val="22"/>
                      <w:szCs w:val="22"/>
                    </w:rPr>
                    <w:t>Number of new products launched; digital services revenue</w:t>
                  </w:r>
                </w:p>
              </w:tc>
            </w:tr>
            <w:tr w:rsidR="002E378F" w:rsidRPr="002E378F" w14:paraId="0CD2C0F0" w14:textId="77777777">
              <w:trPr>
                <w:tblCellSpacing w:w="15" w:type="dxa"/>
              </w:trPr>
              <w:tc>
                <w:tcPr>
                  <w:tcW w:w="0" w:type="auto"/>
                  <w:vAlign w:val="center"/>
                  <w:hideMark/>
                </w:tcPr>
                <w:p w14:paraId="16A099CA" w14:textId="77777777" w:rsidR="002E378F" w:rsidRPr="002E378F" w:rsidRDefault="002E378F" w:rsidP="00C138D7">
                  <w:pPr>
                    <w:spacing w:line="360" w:lineRule="auto"/>
                    <w:jc w:val="both"/>
                    <w:rPr>
                      <w:rFonts w:ascii="Arial" w:hAnsi="Arial" w:cs="Arial"/>
                      <w:b/>
                      <w:bCs/>
                      <w:sz w:val="22"/>
                      <w:szCs w:val="22"/>
                    </w:rPr>
                  </w:pPr>
                  <w:r w:rsidRPr="002E378F">
                    <w:rPr>
                      <w:rFonts w:ascii="Arial" w:hAnsi="Arial" w:cs="Arial"/>
                      <w:b/>
                      <w:bCs/>
                      <w:sz w:val="22"/>
                      <w:szCs w:val="22"/>
                    </w:rPr>
                    <w:t>Improve customer experience and reduce churn</w:t>
                  </w:r>
                </w:p>
              </w:tc>
              <w:tc>
                <w:tcPr>
                  <w:tcW w:w="0" w:type="auto"/>
                  <w:vAlign w:val="center"/>
                  <w:hideMark/>
                </w:tcPr>
                <w:p w14:paraId="2A38A4F0" w14:textId="77777777" w:rsidR="002E378F" w:rsidRPr="002E378F" w:rsidRDefault="002E378F" w:rsidP="00C138D7">
                  <w:pPr>
                    <w:spacing w:line="360" w:lineRule="auto"/>
                    <w:jc w:val="both"/>
                    <w:rPr>
                      <w:rFonts w:ascii="Arial" w:hAnsi="Arial" w:cs="Arial"/>
                      <w:sz w:val="22"/>
                      <w:szCs w:val="22"/>
                    </w:rPr>
                  </w:pPr>
                  <w:r w:rsidRPr="002E378F">
                    <w:rPr>
                      <w:rFonts w:ascii="Arial" w:hAnsi="Arial" w:cs="Arial"/>
                      <w:sz w:val="22"/>
                      <w:szCs w:val="22"/>
                    </w:rPr>
                    <w:t>AI</w:t>
                  </w:r>
                  <w:r w:rsidRPr="002E378F">
                    <w:rPr>
                      <w:rFonts w:ascii="Arial" w:hAnsi="Arial" w:cs="Arial"/>
                      <w:sz w:val="22"/>
                      <w:szCs w:val="22"/>
                    </w:rPr>
                    <w:noBreakHyphen/>
                    <w:t>driven support, personalised digital services, omnichannel engagement</w:t>
                  </w:r>
                </w:p>
              </w:tc>
              <w:tc>
                <w:tcPr>
                  <w:tcW w:w="0" w:type="auto"/>
                  <w:vAlign w:val="center"/>
                  <w:hideMark/>
                </w:tcPr>
                <w:p w14:paraId="5A1C5AC3" w14:textId="77777777" w:rsidR="002E378F" w:rsidRPr="002E378F" w:rsidRDefault="002E378F" w:rsidP="00C138D7">
                  <w:pPr>
                    <w:spacing w:line="360" w:lineRule="auto"/>
                    <w:jc w:val="both"/>
                    <w:rPr>
                      <w:rFonts w:ascii="Arial" w:hAnsi="Arial" w:cs="Arial"/>
                      <w:sz w:val="22"/>
                      <w:szCs w:val="22"/>
                    </w:rPr>
                  </w:pPr>
                  <w:r w:rsidRPr="002E378F">
                    <w:rPr>
                      <w:rFonts w:ascii="Arial" w:hAnsi="Arial" w:cs="Arial"/>
                      <w:sz w:val="22"/>
                      <w:szCs w:val="22"/>
                    </w:rPr>
                    <w:t>NPS score; churn rate; customer satisfaction metrics</w:t>
                  </w:r>
                </w:p>
              </w:tc>
            </w:tr>
            <w:tr w:rsidR="002E378F" w:rsidRPr="002E378F" w14:paraId="56DED24D" w14:textId="77777777">
              <w:trPr>
                <w:tblCellSpacing w:w="15" w:type="dxa"/>
              </w:trPr>
              <w:tc>
                <w:tcPr>
                  <w:tcW w:w="0" w:type="auto"/>
                  <w:vAlign w:val="center"/>
                  <w:hideMark/>
                </w:tcPr>
                <w:p w14:paraId="0C405F5A" w14:textId="77777777" w:rsidR="002E378F" w:rsidRPr="002E378F" w:rsidRDefault="002E378F" w:rsidP="00C138D7">
                  <w:pPr>
                    <w:spacing w:line="360" w:lineRule="auto"/>
                    <w:jc w:val="both"/>
                    <w:rPr>
                      <w:rFonts w:ascii="Arial" w:hAnsi="Arial" w:cs="Arial"/>
                      <w:b/>
                      <w:bCs/>
                      <w:sz w:val="22"/>
                      <w:szCs w:val="22"/>
                    </w:rPr>
                  </w:pPr>
                  <w:r w:rsidRPr="002E378F">
                    <w:rPr>
                      <w:rFonts w:ascii="Arial" w:hAnsi="Arial" w:cs="Arial"/>
                      <w:b/>
                      <w:bCs/>
                      <w:sz w:val="22"/>
                      <w:szCs w:val="22"/>
                    </w:rPr>
                    <w:t>Strengthen organisational capabilities</w:t>
                  </w:r>
                </w:p>
              </w:tc>
              <w:tc>
                <w:tcPr>
                  <w:tcW w:w="0" w:type="auto"/>
                  <w:vAlign w:val="center"/>
                  <w:hideMark/>
                </w:tcPr>
                <w:p w14:paraId="1C96C0F6" w14:textId="77777777" w:rsidR="002E378F" w:rsidRPr="002E378F" w:rsidRDefault="002E378F" w:rsidP="00C138D7">
                  <w:pPr>
                    <w:spacing w:line="360" w:lineRule="auto"/>
                    <w:jc w:val="both"/>
                    <w:rPr>
                      <w:rFonts w:ascii="Arial" w:hAnsi="Arial" w:cs="Arial"/>
                      <w:sz w:val="22"/>
                      <w:szCs w:val="22"/>
                    </w:rPr>
                  </w:pPr>
                  <w:r w:rsidRPr="002E378F">
                    <w:rPr>
                      <w:rFonts w:ascii="Arial" w:hAnsi="Arial" w:cs="Arial"/>
                      <w:sz w:val="22"/>
                      <w:szCs w:val="22"/>
                    </w:rPr>
                    <w:t>Employee upskilling, cross</w:t>
                  </w:r>
                  <w:r w:rsidRPr="002E378F">
                    <w:rPr>
                      <w:rFonts w:ascii="Arial" w:hAnsi="Arial" w:cs="Arial"/>
                      <w:sz w:val="22"/>
                      <w:szCs w:val="22"/>
                    </w:rPr>
                    <w:noBreakHyphen/>
                    <w:t>functional innovation teams</w:t>
                  </w:r>
                </w:p>
              </w:tc>
              <w:tc>
                <w:tcPr>
                  <w:tcW w:w="0" w:type="auto"/>
                  <w:vAlign w:val="center"/>
                  <w:hideMark/>
                </w:tcPr>
                <w:p w14:paraId="5E7558DC" w14:textId="77777777" w:rsidR="002E378F" w:rsidRPr="002E378F" w:rsidRDefault="002E378F" w:rsidP="00C138D7">
                  <w:pPr>
                    <w:spacing w:line="360" w:lineRule="auto"/>
                    <w:jc w:val="both"/>
                    <w:rPr>
                      <w:rFonts w:ascii="Arial" w:hAnsi="Arial" w:cs="Arial"/>
                      <w:sz w:val="22"/>
                      <w:szCs w:val="22"/>
                    </w:rPr>
                  </w:pPr>
                  <w:r w:rsidRPr="002E378F">
                    <w:rPr>
                      <w:rFonts w:ascii="Arial" w:hAnsi="Arial" w:cs="Arial"/>
                      <w:sz w:val="22"/>
                      <w:szCs w:val="22"/>
                    </w:rPr>
                    <w:t>Training completion rates; innovation output; employee engagement</w:t>
                  </w:r>
                </w:p>
              </w:tc>
            </w:tr>
            <w:tr w:rsidR="002E378F" w:rsidRPr="002E378F" w14:paraId="04E4641E" w14:textId="77777777">
              <w:trPr>
                <w:tblCellSpacing w:w="15" w:type="dxa"/>
              </w:trPr>
              <w:tc>
                <w:tcPr>
                  <w:tcW w:w="0" w:type="auto"/>
                  <w:vAlign w:val="center"/>
                  <w:hideMark/>
                </w:tcPr>
                <w:p w14:paraId="3D36C0C5" w14:textId="77777777" w:rsidR="002E378F" w:rsidRPr="002E378F" w:rsidRDefault="002E378F" w:rsidP="00C138D7">
                  <w:pPr>
                    <w:spacing w:line="360" w:lineRule="auto"/>
                    <w:jc w:val="both"/>
                    <w:rPr>
                      <w:rFonts w:ascii="Arial" w:hAnsi="Arial" w:cs="Arial"/>
                      <w:b/>
                      <w:bCs/>
                      <w:sz w:val="22"/>
                      <w:szCs w:val="22"/>
                    </w:rPr>
                  </w:pPr>
                  <w:r w:rsidRPr="002E378F">
                    <w:rPr>
                      <w:rFonts w:ascii="Arial" w:hAnsi="Arial" w:cs="Arial"/>
                      <w:b/>
                      <w:bCs/>
                      <w:sz w:val="22"/>
                      <w:szCs w:val="22"/>
                    </w:rPr>
                    <w:t>Enhance digital inclusion</w:t>
                  </w:r>
                </w:p>
              </w:tc>
              <w:tc>
                <w:tcPr>
                  <w:tcW w:w="0" w:type="auto"/>
                  <w:vAlign w:val="center"/>
                  <w:hideMark/>
                </w:tcPr>
                <w:p w14:paraId="788E1583" w14:textId="77777777" w:rsidR="002E378F" w:rsidRPr="002E378F" w:rsidRDefault="002E378F" w:rsidP="00C138D7">
                  <w:pPr>
                    <w:spacing w:line="360" w:lineRule="auto"/>
                    <w:jc w:val="both"/>
                    <w:rPr>
                      <w:rFonts w:ascii="Arial" w:hAnsi="Arial" w:cs="Arial"/>
                      <w:sz w:val="22"/>
                      <w:szCs w:val="22"/>
                    </w:rPr>
                  </w:pPr>
                  <w:r w:rsidRPr="002E378F">
                    <w:rPr>
                      <w:rFonts w:ascii="Arial" w:hAnsi="Arial" w:cs="Arial"/>
                      <w:sz w:val="22"/>
                      <w:szCs w:val="22"/>
                    </w:rPr>
                    <w:t>Rural network expansion; elimination of “not</w:t>
                  </w:r>
                  <w:r w:rsidRPr="002E378F">
                    <w:rPr>
                      <w:rFonts w:ascii="Arial" w:hAnsi="Arial" w:cs="Arial"/>
                      <w:sz w:val="22"/>
                      <w:szCs w:val="22"/>
                    </w:rPr>
                    <w:noBreakHyphen/>
                    <w:t>spots”</w:t>
                  </w:r>
                </w:p>
              </w:tc>
              <w:tc>
                <w:tcPr>
                  <w:tcW w:w="0" w:type="auto"/>
                  <w:vAlign w:val="center"/>
                  <w:hideMark/>
                </w:tcPr>
                <w:p w14:paraId="7DDC3B85" w14:textId="77777777" w:rsidR="002E378F" w:rsidRPr="002E378F" w:rsidRDefault="002E378F" w:rsidP="00C138D7">
                  <w:pPr>
                    <w:spacing w:line="360" w:lineRule="auto"/>
                    <w:jc w:val="both"/>
                    <w:rPr>
                      <w:rFonts w:ascii="Arial" w:hAnsi="Arial" w:cs="Arial"/>
                      <w:sz w:val="22"/>
                      <w:szCs w:val="22"/>
                    </w:rPr>
                  </w:pPr>
                  <w:r w:rsidRPr="002E378F">
                    <w:rPr>
                      <w:rFonts w:ascii="Arial" w:hAnsi="Arial" w:cs="Arial"/>
                      <w:sz w:val="22"/>
                      <w:szCs w:val="22"/>
                    </w:rPr>
                    <w:t>Reduction in coverage gaps; rural connectivity metrics</w:t>
                  </w:r>
                </w:p>
              </w:tc>
            </w:tr>
          </w:tbl>
          <w:p w14:paraId="48E17DAF" w14:textId="77777777" w:rsidR="002E378F" w:rsidRDefault="002E378F" w:rsidP="00C138D7">
            <w:pPr>
              <w:jc w:val="both"/>
            </w:pPr>
          </w:p>
        </w:tc>
      </w:tr>
    </w:tbl>
    <w:p w14:paraId="34FA4315" w14:textId="77777777" w:rsidR="002E378F" w:rsidRPr="00835579" w:rsidRDefault="002E378F" w:rsidP="00C138D7">
      <w:pPr>
        <w:spacing w:line="360" w:lineRule="auto"/>
        <w:jc w:val="both"/>
        <w:rPr>
          <w:rFonts w:ascii="Arial" w:hAnsi="Arial" w:cs="Arial"/>
          <w:sz w:val="22"/>
          <w:szCs w:val="22"/>
        </w:rPr>
      </w:pPr>
    </w:p>
    <w:p w14:paraId="411EC7E7" w14:textId="77777777" w:rsidR="00835579" w:rsidRDefault="00835579" w:rsidP="00C138D7">
      <w:pPr>
        <w:spacing w:line="360" w:lineRule="auto"/>
        <w:jc w:val="both"/>
        <w:rPr>
          <w:rFonts w:ascii="Arial" w:hAnsi="Arial" w:cs="Arial"/>
          <w:sz w:val="22"/>
          <w:szCs w:val="22"/>
        </w:rPr>
      </w:pPr>
    </w:p>
    <w:p w14:paraId="488261FA" w14:textId="77777777" w:rsidR="00845A4B" w:rsidRPr="00845A4B" w:rsidRDefault="00845A4B" w:rsidP="00C138D7">
      <w:pPr>
        <w:spacing w:line="360" w:lineRule="auto"/>
        <w:jc w:val="both"/>
        <w:rPr>
          <w:rFonts w:ascii="Arial" w:hAnsi="Arial" w:cs="Arial"/>
          <w:sz w:val="22"/>
          <w:szCs w:val="22"/>
        </w:rPr>
      </w:pPr>
    </w:p>
    <w:p w14:paraId="1940D49C" w14:textId="77777777" w:rsidR="00845A4B" w:rsidRDefault="00845A4B" w:rsidP="00C138D7">
      <w:pPr>
        <w:spacing w:line="360" w:lineRule="auto"/>
        <w:jc w:val="both"/>
        <w:rPr>
          <w:rFonts w:ascii="Arial" w:hAnsi="Arial" w:cs="Arial"/>
          <w:sz w:val="22"/>
          <w:szCs w:val="22"/>
        </w:rPr>
      </w:pPr>
    </w:p>
    <w:p w14:paraId="3BA908D3" w14:textId="77777777" w:rsidR="00C43EC7" w:rsidRPr="00C43EC7" w:rsidRDefault="00C43EC7" w:rsidP="00C138D7">
      <w:pPr>
        <w:spacing w:line="360" w:lineRule="auto"/>
        <w:jc w:val="both"/>
        <w:rPr>
          <w:rFonts w:ascii="Arial" w:hAnsi="Arial" w:cs="Arial"/>
          <w:sz w:val="22"/>
          <w:szCs w:val="22"/>
        </w:rPr>
      </w:pPr>
    </w:p>
    <w:p w14:paraId="5A3A7C05" w14:textId="5CDA582C" w:rsidR="009F060D" w:rsidRPr="009F060D" w:rsidRDefault="009F060D" w:rsidP="00C138D7">
      <w:pPr>
        <w:spacing w:line="360" w:lineRule="auto"/>
        <w:ind w:left="720"/>
        <w:jc w:val="both"/>
        <w:rPr>
          <w:rFonts w:ascii="Arial" w:hAnsi="Arial" w:cs="Arial"/>
          <w:sz w:val="22"/>
          <w:szCs w:val="22"/>
        </w:rPr>
      </w:pPr>
    </w:p>
    <w:p w14:paraId="0B48E3F0" w14:textId="7432041A" w:rsidR="009F060D" w:rsidRPr="00C138D7" w:rsidRDefault="009F060D" w:rsidP="00C138D7">
      <w:pPr>
        <w:spacing w:line="360" w:lineRule="auto"/>
        <w:jc w:val="both"/>
        <w:rPr>
          <w:rFonts w:ascii="Arial" w:hAnsi="Arial" w:cs="Arial"/>
          <w:b/>
          <w:bCs/>
        </w:rPr>
      </w:pPr>
      <w:r w:rsidRPr="00C138D7">
        <w:rPr>
          <w:rFonts w:ascii="Arial" w:hAnsi="Arial" w:cs="Arial"/>
          <w:b/>
          <w:bCs/>
        </w:rPr>
        <w:t>8. Conclusion</w:t>
      </w:r>
    </w:p>
    <w:p w14:paraId="065D147B" w14:textId="2B344252" w:rsidR="009F060D" w:rsidRDefault="00C138D7" w:rsidP="00C138D7">
      <w:pPr>
        <w:spacing w:line="360" w:lineRule="auto"/>
        <w:jc w:val="both"/>
        <w:rPr>
          <w:rFonts w:ascii="Arial" w:hAnsi="Arial" w:cs="Arial"/>
          <w:sz w:val="22"/>
          <w:szCs w:val="22"/>
        </w:rPr>
      </w:pPr>
      <w:r w:rsidRPr="00C138D7">
        <w:rPr>
          <w:rFonts w:ascii="Arial" w:hAnsi="Arial" w:cs="Arial"/>
          <w:sz w:val="22"/>
          <w:szCs w:val="22"/>
        </w:rPr>
        <w:t>VodafoneThree’s formation represents a significant strategic milestone in the UK telecommunications landscape, reshaping competitive dynamics through expanded spectrum assets, enhanced network capabilities, and strengthened organisational resources (Vodafone, 2025). The recommended differentiation strategy</w:t>
      </w:r>
      <w:r>
        <w:rPr>
          <w:rFonts w:ascii="Arial" w:hAnsi="Arial" w:cs="Arial"/>
          <w:sz w:val="22"/>
          <w:szCs w:val="22"/>
        </w:rPr>
        <w:t xml:space="preserve"> </w:t>
      </w:r>
      <w:r w:rsidRPr="00C138D7">
        <w:rPr>
          <w:rFonts w:ascii="Arial" w:hAnsi="Arial" w:cs="Arial"/>
          <w:sz w:val="22"/>
          <w:szCs w:val="22"/>
        </w:rPr>
        <w:t>centred on converged digital services and leadership in standalone 5</w:t>
      </w:r>
      <w:r>
        <w:rPr>
          <w:rFonts w:ascii="Arial" w:hAnsi="Arial" w:cs="Arial"/>
          <w:sz w:val="22"/>
          <w:szCs w:val="22"/>
        </w:rPr>
        <w:t xml:space="preserve">G </w:t>
      </w:r>
      <w:r w:rsidRPr="00C138D7">
        <w:rPr>
          <w:rFonts w:ascii="Arial" w:hAnsi="Arial" w:cs="Arial"/>
          <w:sz w:val="22"/>
          <w:szCs w:val="22"/>
        </w:rPr>
        <w:t>aligns closely with Vodafone’s mission and core values while leveraging the rare and inimitable resources emphasised by the Resource</w:t>
      </w:r>
      <w:r w:rsidRPr="00C138D7">
        <w:rPr>
          <w:rFonts w:ascii="Arial" w:hAnsi="Arial" w:cs="Arial"/>
          <w:sz w:val="22"/>
          <w:szCs w:val="22"/>
        </w:rPr>
        <w:noBreakHyphen/>
        <w:t>Based View (Barney, 1991). Supported by substantial investment commitments and the organisation’s evolving dynamic capabilities, VodafoneThree is well positioned to deliver sustained competitive advantage in a rapidly changing digital environment (Eisenhardt &amp; Martin, 2020). Ultimately, this strategic direction enables VodafoneThree to contribute meaningfully to national connectivity ambitions and the UK’s broader digital transformation agenda (Grant, 2022).</w:t>
      </w:r>
      <w:r>
        <w:rPr>
          <w:rFonts w:ascii="Arial" w:hAnsi="Arial" w:cs="Arial"/>
          <w:sz w:val="22"/>
          <w:szCs w:val="22"/>
        </w:rPr>
        <w:t xml:space="preserve"> D</w:t>
      </w:r>
      <w:r w:rsidR="009F060D" w:rsidRPr="009F060D">
        <w:rPr>
          <w:rFonts w:ascii="Arial" w:hAnsi="Arial" w:cs="Arial"/>
          <w:sz w:val="22"/>
          <w:szCs w:val="22"/>
        </w:rPr>
        <w:t xml:space="preserve">eliver sustainable </w:t>
      </w:r>
      <w:r w:rsidRPr="009F060D">
        <w:rPr>
          <w:rFonts w:ascii="Arial" w:hAnsi="Arial" w:cs="Arial"/>
          <w:sz w:val="22"/>
          <w:szCs w:val="22"/>
        </w:rPr>
        <w:t>growth</w:t>
      </w:r>
      <w:r>
        <w:rPr>
          <w:rFonts w:ascii="Arial" w:hAnsi="Arial" w:cs="Arial"/>
          <w:sz w:val="22"/>
          <w:szCs w:val="22"/>
        </w:rPr>
        <w:t xml:space="preserve"> and</w:t>
      </w:r>
      <w:r w:rsidR="009F060D" w:rsidRPr="009F060D">
        <w:rPr>
          <w:rFonts w:ascii="Arial" w:hAnsi="Arial" w:cs="Arial"/>
          <w:sz w:val="22"/>
          <w:szCs w:val="22"/>
        </w:rPr>
        <w:t xml:space="preserve"> contribute meaningfully to the UK’s digital future.</w:t>
      </w:r>
    </w:p>
    <w:p w14:paraId="175D5D05" w14:textId="77777777" w:rsidR="00C138D7" w:rsidRPr="009F060D" w:rsidRDefault="00C138D7" w:rsidP="009F060D">
      <w:pPr>
        <w:spacing w:line="360" w:lineRule="auto"/>
        <w:jc w:val="both"/>
        <w:rPr>
          <w:rFonts w:ascii="Arial" w:hAnsi="Arial" w:cs="Arial"/>
          <w:sz w:val="22"/>
          <w:szCs w:val="22"/>
        </w:rPr>
      </w:pPr>
    </w:p>
    <w:p w14:paraId="111D47EF" w14:textId="2625700F" w:rsidR="00FE3DAB" w:rsidRDefault="009F060D" w:rsidP="009F060D">
      <w:pPr>
        <w:spacing w:line="360" w:lineRule="auto"/>
        <w:jc w:val="both"/>
        <w:rPr>
          <w:rFonts w:ascii="Arial" w:hAnsi="Arial" w:cs="Arial"/>
          <w:b/>
          <w:bCs/>
          <w:sz w:val="22"/>
          <w:szCs w:val="22"/>
        </w:rPr>
      </w:pPr>
      <w:r w:rsidRPr="009F060D">
        <w:rPr>
          <w:rFonts w:ascii="Arial" w:hAnsi="Arial" w:cs="Arial"/>
          <w:b/>
          <w:bCs/>
          <w:sz w:val="22"/>
          <w:szCs w:val="22"/>
        </w:rPr>
        <w:t>Reference</w:t>
      </w:r>
      <w:r w:rsidR="00C138D7">
        <w:rPr>
          <w:rFonts w:ascii="Arial" w:hAnsi="Arial" w:cs="Arial"/>
          <w:b/>
          <w:bCs/>
          <w:sz w:val="22"/>
          <w:szCs w:val="22"/>
        </w:rPr>
        <w:t>s</w:t>
      </w:r>
    </w:p>
    <w:p w14:paraId="28915391" w14:textId="77777777"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Anderson, L., Buengel, D. and Simpson, J.J. (2025) </w:t>
      </w:r>
      <w:r w:rsidRPr="00C138D7">
        <w:rPr>
          <w:rFonts w:ascii="Arial" w:hAnsi="Arial" w:cs="Arial"/>
          <w:i/>
          <w:iCs/>
          <w:sz w:val="22"/>
          <w:szCs w:val="22"/>
        </w:rPr>
        <w:t>Strategic Management and Case Analysis: An Integrated Approach</w:t>
      </w:r>
      <w:r w:rsidRPr="00C138D7">
        <w:rPr>
          <w:rFonts w:ascii="Arial" w:hAnsi="Arial" w:cs="Arial"/>
          <w:sz w:val="22"/>
          <w:szCs w:val="22"/>
        </w:rPr>
        <w:t>. Virginia Tech Publishing.</w:t>
      </w:r>
    </w:p>
    <w:p w14:paraId="6A3FA496" w14:textId="77777777"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Barney, J. (1991) ‘Firm Resources and Sustained Competitive Advantage’, </w:t>
      </w:r>
      <w:r w:rsidRPr="00C138D7">
        <w:rPr>
          <w:rFonts w:ascii="Arial" w:hAnsi="Arial" w:cs="Arial"/>
          <w:i/>
          <w:iCs/>
          <w:sz w:val="22"/>
          <w:szCs w:val="22"/>
        </w:rPr>
        <w:t>Journal of Management</w:t>
      </w:r>
      <w:r w:rsidRPr="00C138D7">
        <w:rPr>
          <w:rFonts w:ascii="Arial" w:hAnsi="Arial" w:cs="Arial"/>
          <w:sz w:val="22"/>
          <w:szCs w:val="22"/>
        </w:rPr>
        <w:t>, 17(1), pp. 99–120.</w:t>
      </w:r>
    </w:p>
    <w:p w14:paraId="2699F033" w14:textId="77777777"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Bowman, C. and Faulkner, D. (1997) </w:t>
      </w:r>
      <w:r w:rsidRPr="00C138D7">
        <w:rPr>
          <w:rFonts w:ascii="Arial" w:hAnsi="Arial" w:cs="Arial"/>
          <w:i/>
          <w:iCs/>
          <w:sz w:val="22"/>
          <w:szCs w:val="22"/>
        </w:rPr>
        <w:t>Competitive and Corporate Strategy</w:t>
      </w:r>
      <w:r w:rsidRPr="00C138D7">
        <w:rPr>
          <w:rFonts w:ascii="Arial" w:hAnsi="Arial" w:cs="Arial"/>
          <w:sz w:val="22"/>
          <w:szCs w:val="22"/>
        </w:rPr>
        <w:t>. London: Irwin.</w:t>
      </w:r>
    </w:p>
    <w:p w14:paraId="7AA0A8F8" w14:textId="77777777"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CMA (2024) </w:t>
      </w:r>
      <w:r w:rsidRPr="00C138D7">
        <w:rPr>
          <w:rFonts w:ascii="Arial" w:hAnsi="Arial" w:cs="Arial"/>
          <w:i/>
          <w:iCs/>
          <w:sz w:val="22"/>
          <w:szCs w:val="22"/>
        </w:rPr>
        <w:t>Market Review: UK Mobile and Digital Infrastructure</w:t>
      </w:r>
      <w:r w:rsidRPr="00C138D7">
        <w:rPr>
          <w:rFonts w:ascii="Arial" w:hAnsi="Arial" w:cs="Arial"/>
          <w:sz w:val="22"/>
          <w:szCs w:val="22"/>
        </w:rPr>
        <w:t>. London: Competition and Markets Authority.</w:t>
      </w:r>
    </w:p>
    <w:p w14:paraId="007F2723" w14:textId="5C9B5938"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Dyer, J., Godfrey, P., Jensen, R.</w:t>
      </w:r>
      <w:r>
        <w:rPr>
          <w:rFonts w:ascii="Arial" w:hAnsi="Arial" w:cs="Arial"/>
          <w:sz w:val="22"/>
          <w:szCs w:val="22"/>
        </w:rPr>
        <w:t>,</w:t>
      </w:r>
      <w:r w:rsidRPr="00C138D7">
        <w:rPr>
          <w:rFonts w:ascii="Arial" w:hAnsi="Arial" w:cs="Arial"/>
          <w:sz w:val="22"/>
          <w:szCs w:val="22"/>
        </w:rPr>
        <w:t xml:space="preserve"> and Bryce, D. (2020) </w:t>
      </w:r>
      <w:r w:rsidRPr="00C138D7">
        <w:rPr>
          <w:rFonts w:ascii="Arial" w:hAnsi="Arial" w:cs="Arial"/>
          <w:i/>
          <w:iCs/>
          <w:sz w:val="22"/>
          <w:szCs w:val="22"/>
        </w:rPr>
        <w:t>Strategic Management: Concepts and Cases</w:t>
      </w:r>
      <w:r w:rsidRPr="00C138D7">
        <w:rPr>
          <w:rFonts w:ascii="Arial" w:hAnsi="Arial" w:cs="Arial"/>
          <w:sz w:val="22"/>
          <w:szCs w:val="22"/>
        </w:rPr>
        <w:t xml:space="preserve">. 3rd </w:t>
      </w:r>
      <w:r>
        <w:rPr>
          <w:rFonts w:ascii="Arial" w:hAnsi="Arial" w:cs="Arial"/>
          <w:sz w:val="22"/>
          <w:szCs w:val="22"/>
        </w:rPr>
        <w:t>edition</w:t>
      </w:r>
      <w:r w:rsidRPr="00C138D7">
        <w:rPr>
          <w:rFonts w:ascii="Arial" w:hAnsi="Arial" w:cs="Arial"/>
          <w:sz w:val="22"/>
          <w:szCs w:val="22"/>
        </w:rPr>
        <w:t>. Hoboken: Wiley.</w:t>
      </w:r>
    </w:p>
    <w:p w14:paraId="290D12B4" w14:textId="77777777"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lastRenderedPageBreak/>
        <w:t xml:space="preserve">Eisenhardt, K.M. and Martin, J.A. (2020) ‘Dynamic Capabilities: What Are They?’, </w:t>
      </w:r>
      <w:r w:rsidRPr="00C138D7">
        <w:rPr>
          <w:rFonts w:ascii="Arial" w:hAnsi="Arial" w:cs="Arial"/>
          <w:i/>
          <w:iCs/>
          <w:sz w:val="22"/>
          <w:szCs w:val="22"/>
        </w:rPr>
        <w:t>Strategic Management Journal</w:t>
      </w:r>
      <w:r w:rsidRPr="00C138D7">
        <w:rPr>
          <w:rFonts w:ascii="Arial" w:hAnsi="Arial" w:cs="Arial"/>
          <w:sz w:val="22"/>
          <w:szCs w:val="22"/>
        </w:rPr>
        <w:t>, 21(10), pp. 1105–1121.</w:t>
      </w:r>
    </w:p>
    <w:p w14:paraId="75934494" w14:textId="2F75FDEE"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Grant, R.M. (2022) </w:t>
      </w:r>
      <w:r w:rsidRPr="00C138D7">
        <w:rPr>
          <w:rFonts w:ascii="Arial" w:hAnsi="Arial" w:cs="Arial"/>
          <w:i/>
          <w:iCs/>
          <w:sz w:val="22"/>
          <w:szCs w:val="22"/>
        </w:rPr>
        <w:t>Contemporary Strategy Analysis</w:t>
      </w:r>
      <w:r w:rsidRPr="00C138D7">
        <w:rPr>
          <w:rFonts w:ascii="Arial" w:hAnsi="Arial" w:cs="Arial"/>
          <w:sz w:val="22"/>
          <w:szCs w:val="22"/>
        </w:rPr>
        <w:t>. 11th ed</w:t>
      </w:r>
      <w:r>
        <w:rPr>
          <w:rFonts w:ascii="Arial" w:hAnsi="Arial" w:cs="Arial"/>
          <w:sz w:val="22"/>
          <w:szCs w:val="22"/>
        </w:rPr>
        <w:t>itio</w:t>
      </w:r>
      <w:r w:rsidRPr="00C138D7">
        <w:rPr>
          <w:rFonts w:ascii="Arial" w:hAnsi="Arial" w:cs="Arial"/>
          <w:sz w:val="22"/>
          <w:szCs w:val="22"/>
        </w:rPr>
        <w:t>n. Hoboken: Wiley.</w:t>
      </w:r>
    </w:p>
    <w:p w14:paraId="2DBAC828" w14:textId="77777777"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Helfat, C.E. and Peteraf, M.A. (2015) ‘Managerial Cognitive Capabilities and the Microfoundations of Dynamic Capabilities’, </w:t>
      </w:r>
      <w:r w:rsidRPr="00C138D7">
        <w:rPr>
          <w:rFonts w:ascii="Arial" w:hAnsi="Arial" w:cs="Arial"/>
          <w:i/>
          <w:iCs/>
          <w:sz w:val="22"/>
          <w:szCs w:val="22"/>
        </w:rPr>
        <w:t>Strategic Management Journal</w:t>
      </w:r>
      <w:r w:rsidRPr="00C138D7">
        <w:rPr>
          <w:rFonts w:ascii="Arial" w:hAnsi="Arial" w:cs="Arial"/>
          <w:sz w:val="22"/>
          <w:szCs w:val="22"/>
        </w:rPr>
        <w:t>, 36(6), pp. 831–850.</w:t>
      </w:r>
    </w:p>
    <w:p w14:paraId="719D756E" w14:textId="7626ED82"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Hitt, M.A., Ireland, R.D. and Hoskisson, R.E. (2020) </w:t>
      </w:r>
      <w:r w:rsidRPr="00C138D7">
        <w:rPr>
          <w:rFonts w:ascii="Arial" w:hAnsi="Arial" w:cs="Arial"/>
          <w:i/>
          <w:iCs/>
          <w:sz w:val="22"/>
          <w:szCs w:val="22"/>
        </w:rPr>
        <w:t>Strategic Management: Competitiveness and Globalisation</w:t>
      </w:r>
      <w:r w:rsidRPr="00C138D7">
        <w:rPr>
          <w:rFonts w:ascii="Arial" w:hAnsi="Arial" w:cs="Arial"/>
          <w:sz w:val="22"/>
          <w:szCs w:val="22"/>
        </w:rPr>
        <w:t>. 13th ed</w:t>
      </w:r>
      <w:r>
        <w:rPr>
          <w:rFonts w:ascii="Arial" w:hAnsi="Arial" w:cs="Arial"/>
          <w:sz w:val="22"/>
          <w:szCs w:val="22"/>
        </w:rPr>
        <w:t>itio</w:t>
      </w:r>
      <w:r w:rsidRPr="00C138D7">
        <w:rPr>
          <w:rFonts w:ascii="Arial" w:hAnsi="Arial" w:cs="Arial"/>
          <w:sz w:val="22"/>
          <w:szCs w:val="22"/>
        </w:rPr>
        <w:t>n. Boston: Cengage Learning.</w:t>
      </w:r>
    </w:p>
    <w:p w14:paraId="40AEE111" w14:textId="1EE044BE"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Johnson, G., Whittington, R., Regnér, P., Scholes, K. and Angwin, D. (2023) </w:t>
      </w:r>
      <w:r w:rsidRPr="00C138D7">
        <w:rPr>
          <w:rFonts w:ascii="Arial" w:hAnsi="Arial" w:cs="Arial"/>
          <w:i/>
          <w:iCs/>
          <w:sz w:val="22"/>
          <w:szCs w:val="22"/>
        </w:rPr>
        <w:t>Exploring Strategy: Text and Cases</w:t>
      </w:r>
      <w:r w:rsidRPr="00C138D7">
        <w:rPr>
          <w:rFonts w:ascii="Arial" w:hAnsi="Arial" w:cs="Arial"/>
          <w:sz w:val="22"/>
          <w:szCs w:val="22"/>
        </w:rPr>
        <w:t>. 13th ed</w:t>
      </w:r>
      <w:r>
        <w:rPr>
          <w:rFonts w:ascii="Arial" w:hAnsi="Arial" w:cs="Arial"/>
          <w:sz w:val="22"/>
          <w:szCs w:val="22"/>
        </w:rPr>
        <w:t>itio</w:t>
      </w:r>
      <w:r w:rsidRPr="00C138D7">
        <w:rPr>
          <w:rFonts w:ascii="Arial" w:hAnsi="Arial" w:cs="Arial"/>
          <w:sz w:val="22"/>
          <w:szCs w:val="22"/>
        </w:rPr>
        <w:t>n. Harlow: Pearson.</w:t>
      </w:r>
    </w:p>
    <w:p w14:paraId="0FFD166E" w14:textId="77777777"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McGrath, R.G. (2013) </w:t>
      </w:r>
      <w:r w:rsidRPr="00C138D7">
        <w:rPr>
          <w:rFonts w:ascii="Arial" w:hAnsi="Arial" w:cs="Arial"/>
          <w:i/>
          <w:iCs/>
          <w:sz w:val="22"/>
          <w:szCs w:val="22"/>
        </w:rPr>
        <w:t>The End of Competitive Advantage</w:t>
      </w:r>
      <w:r w:rsidRPr="00C138D7">
        <w:rPr>
          <w:rFonts w:ascii="Arial" w:hAnsi="Arial" w:cs="Arial"/>
          <w:sz w:val="22"/>
          <w:szCs w:val="22"/>
        </w:rPr>
        <w:t>. Boston: Harvard Business Review Press.</w:t>
      </w:r>
    </w:p>
    <w:p w14:paraId="7B5237D9" w14:textId="69B767FB"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Peng, M.W. (2022) </w:t>
      </w:r>
      <w:r w:rsidRPr="00C138D7">
        <w:rPr>
          <w:rFonts w:ascii="Arial" w:hAnsi="Arial" w:cs="Arial"/>
          <w:i/>
          <w:iCs/>
          <w:sz w:val="22"/>
          <w:szCs w:val="22"/>
        </w:rPr>
        <w:t>Global Strategy</w:t>
      </w:r>
      <w:r w:rsidRPr="00C138D7">
        <w:rPr>
          <w:rFonts w:ascii="Arial" w:hAnsi="Arial" w:cs="Arial"/>
          <w:sz w:val="22"/>
          <w:szCs w:val="22"/>
        </w:rPr>
        <w:t>. 5th ed</w:t>
      </w:r>
      <w:r>
        <w:rPr>
          <w:rFonts w:ascii="Arial" w:hAnsi="Arial" w:cs="Arial"/>
          <w:sz w:val="22"/>
          <w:szCs w:val="22"/>
        </w:rPr>
        <w:t>itio</w:t>
      </w:r>
      <w:r w:rsidRPr="00C138D7">
        <w:rPr>
          <w:rFonts w:ascii="Arial" w:hAnsi="Arial" w:cs="Arial"/>
          <w:sz w:val="22"/>
          <w:szCs w:val="22"/>
        </w:rPr>
        <w:t>n. Boston: Cengage Learning.</w:t>
      </w:r>
    </w:p>
    <w:p w14:paraId="1C358163" w14:textId="77777777"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Pisano, G.P. (2019) </w:t>
      </w:r>
      <w:r w:rsidRPr="00C138D7">
        <w:rPr>
          <w:rFonts w:ascii="Arial" w:hAnsi="Arial" w:cs="Arial"/>
          <w:i/>
          <w:iCs/>
          <w:sz w:val="22"/>
          <w:szCs w:val="22"/>
        </w:rPr>
        <w:t>Creative Construction: The DNA of Sustained Innovation</w:t>
      </w:r>
      <w:r w:rsidRPr="00C138D7">
        <w:rPr>
          <w:rFonts w:ascii="Arial" w:hAnsi="Arial" w:cs="Arial"/>
          <w:sz w:val="22"/>
          <w:szCs w:val="22"/>
        </w:rPr>
        <w:t>. New York: PublicAffairs.</w:t>
      </w:r>
    </w:p>
    <w:p w14:paraId="700A0AD7" w14:textId="77777777"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Porter, M.E. (1985) </w:t>
      </w:r>
      <w:r w:rsidRPr="00C138D7">
        <w:rPr>
          <w:rFonts w:ascii="Arial" w:hAnsi="Arial" w:cs="Arial"/>
          <w:i/>
          <w:iCs/>
          <w:sz w:val="22"/>
          <w:szCs w:val="22"/>
        </w:rPr>
        <w:t>Competitive Advantage</w:t>
      </w:r>
      <w:r w:rsidRPr="00C138D7">
        <w:rPr>
          <w:rFonts w:ascii="Arial" w:hAnsi="Arial" w:cs="Arial"/>
          <w:sz w:val="22"/>
          <w:szCs w:val="22"/>
        </w:rPr>
        <w:t>. New York: Free Press.</w:t>
      </w:r>
    </w:p>
    <w:p w14:paraId="4C4ED151" w14:textId="2D8B7658"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Rothaermel, F.T. (2021) </w:t>
      </w:r>
      <w:r w:rsidRPr="00C138D7">
        <w:rPr>
          <w:rFonts w:ascii="Arial" w:hAnsi="Arial" w:cs="Arial"/>
          <w:i/>
          <w:iCs/>
          <w:sz w:val="22"/>
          <w:szCs w:val="22"/>
        </w:rPr>
        <w:t>Strategic Management</w:t>
      </w:r>
      <w:r w:rsidRPr="00C138D7">
        <w:rPr>
          <w:rFonts w:ascii="Arial" w:hAnsi="Arial" w:cs="Arial"/>
          <w:sz w:val="22"/>
          <w:szCs w:val="22"/>
        </w:rPr>
        <w:t>. 5th ed</w:t>
      </w:r>
      <w:r>
        <w:rPr>
          <w:rFonts w:ascii="Arial" w:hAnsi="Arial" w:cs="Arial"/>
          <w:sz w:val="22"/>
          <w:szCs w:val="22"/>
        </w:rPr>
        <w:t>itio</w:t>
      </w:r>
      <w:r w:rsidRPr="00C138D7">
        <w:rPr>
          <w:rFonts w:ascii="Arial" w:hAnsi="Arial" w:cs="Arial"/>
          <w:sz w:val="22"/>
          <w:szCs w:val="22"/>
        </w:rPr>
        <w:t>n. New York: McGraw-Hill.</w:t>
      </w:r>
    </w:p>
    <w:p w14:paraId="06C0E9F8" w14:textId="69384ABD"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Stacey, R.D. (2011) </w:t>
      </w:r>
      <w:r w:rsidRPr="00C138D7">
        <w:rPr>
          <w:rFonts w:ascii="Arial" w:hAnsi="Arial" w:cs="Arial"/>
          <w:i/>
          <w:iCs/>
          <w:sz w:val="22"/>
          <w:szCs w:val="22"/>
        </w:rPr>
        <w:t>Strategic Management and Organisational Dynamics: The Challenge of Complexity</w:t>
      </w:r>
      <w:r w:rsidRPr="00C138D7">
        <w:rPr>
          <w:rFonts w:ascii="Arial" w:hAnsi="Arial" w:cs="Arial"/>
          <w:sz w:val="22"/>
          <w:szCs w:val="22"/>
        </w:rPr>
        <w:t>. 6th ed</w:t>
      </w:r>
      <w:r>
        <w:rPr>
          <w:rFonts w:ascii="Arial" w:hAnsi="Arial" w:cs="Arial"/>
          <w:sz w:val="22"/>
          <w:szCs w:val="22"/>
        </w:rPr>
        <w:t>itio</w:t>
      </w:r>
      <w:r w:rsidRPr="00C138D7">
        <w:rPr>
          <w:rFonts w:ascii="Arial" w:hAnsi="Arial" w:cs="Arial"/>
          <w:sz w:val="22"/>
          <w:szCs w:val="22"/>
        </w:rPr>
        <w:t>n. Harlow: Financial Times Prentice Hall.</w:t>
      </w:r>
    </w:p>
    <w:p w14:paraId="31DC84E5" w14:textId="77777777"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Teece, D.J., Pisano, G. and Shuen, A. (1997) ‘Dynamic Capabilities and Strategic Management’, </w:t>
      </w:r>
      <w:r w:rsidRPr="00C138D7">
        <w:rPr>
          <w:rFonts w:ascii="Arial" w:hAnsi="Arial" w:cs="Arial"/>
          <w:i/>
          <w:iCs/>
          <w:sz w:val="22"/>
          <w:szCs w:val="22"/>
        </w:rPr>
        <w:t>Strategic Management Journal</w:t>
      </w:r>
      <w:r w:rsidRPr="00C138D7">
        <w:rPr>
          <w:rFonts w:ascii="Arial" w:hAnsi="Arial" w:cs="Arial"/>
          <w:sz w:val="22"/>
          <w:szCs w:val="22"/>
        </w:rPr>
        <w:t>, 18(7), pp. 509–533.</w:t>
      </w:r>
    </w:p>
    <w:p w14:paraId="73E308B3" w14:textId="77777777" w:rsidR="00C138D7" w:rsidRPr="00C138D7" w:rsidRDefault="00C138D7" w:rsidP="00C138D7">
      <w:pPr>
        <w:spacing w:line="360" w:lineRule="auto"/>
        <w:jc w:val="both"/>
        <w:rPr>
          <w:rFonts w:ascii="Arial" w:hAnsi="Arial" w:cs="Arial"/>
          <w:sz w:val="22"/>
          <w:szCs w:val="22"/>
        </w:rPr>
      </w:pPr>
      <w:r w:rsidRPr="00C138D7">
        <w:rPr>
          <w:rFonts w:ascii="Arial" w:hAnsi="Arial" w:cs="Arial"/>
          <w:sz w:val="22"/>
          <w:szCs w:val="22"/>
        </w:rPr>
        <w:t xml:space="preserve">Vodafone (2025) </w:t>
      </w:r>
      <w:r w:rsidRPr="00C138D7">
        <w:rPr>
          <w:rFonts w:ascii="Arial" w:hAnsi="Arial" w:cs="Arial"/>
          <w:i/>
          <w:iCs/>
          <w:sz w:val="22"/>
          <w:szCs w:val="22"/>
        </w:rPr>
        <w:t>Annual Report and Accounts 2025</w:t>
      </w:r>
      <w:r w:rsidRPr="00C138D7">
        <w:rPr>
          <w:rFonts w:ascii="Arial" w:hAnsi="Arial" w:cs="Arial"/>
          <w:sz w:val="22"/>
          <w:szCs w:val="22"/>
        </w:rPr>
        <w:t>. London: Vodafone Group Plc.</w:t>
      </w:r>
    </w:p>
    <w:p w14:paraId="67A611E3" w14:textId="4468AE7A" w:rsidR="00C138D7" w:rsidRPr="00C138D7" w:rsidRDefault="00C138D7" w:rsidP="009F060D">
      <w:pPr>
        <w:spacing w:line="360" w:lineRule="auto"/>
        <w:jc w:val="both"/>
        <w:rPr>
          <w:rFonts w:ascii="Arial" w:hAnsi="Arial" w:cs="Arial"/>
          <w:sz w:val="22"/>
          <w:szCs w:val="22"/>
        </w:rPr>
      </w:pPr>
      <w:r w:rsidRPr="00C138D7">
        <w:rPr>
          <w:rFonts w:ascii="Arial" w:hAnsi="Arial" w:cs="Arial"/>
          <w:sz w:val="22"/>
          <w:szCs w:val="22"/>
        </w:rPr>
        <w:t xml:space="preserve">Wheelen, T.L. and Hunger, J.D. (2018) </w:t>
      </w:r>
      <w:r w:rsidRPr="00C138D7">
        <w:rPr>
          <w:rFonts w:ascii="Arial" w:hAnsi="Arial" w:cs="Arial"/>
          <w:i/>
          <w:iCs/>
          <w:sz w:val="22"/>
          <w:szCs w:val="22"/>
        </w:rPr>
        <w:t>Strategic Management and Business Policy</w:t>
      </w:r>
      <w:r w:rsidRPr="00C138D7">
        <w:rPr>
          <w:rFonts w:ascii="Arial" w:hAnsi="Arial" w:cs="Arial"/>
          <w:sz w:val="22"/>
          <w:szCs w:val="22"/>
        </w:rPr>
        <w:t>. 15th ed</w:t>
      </w:r>
      <w:r>
        <w:rPr>
          <w:rFonts w:ascii="Arial" w:hAnsi="Arial" w:cs="Arial"/>
          <w:sz w:val="22"/>
          <w:szCs w:val="22"/>
        </w:rPr>
        <w:t>itio</w:t>
      </w:r>
      <w:r w:rsidRPr="00C138D7">
        <w:rPr>
          <w:rFonts w:ascii="Arial" w:hAnsi="Arial" w:cs="Arial"/>
          <w:sz w:val="22"/>
          <w:szCs w:val="22"/>
        </w:rPr>
        <w:t>n. Harlow: Pearson.</w:t>
      </w:r>
    </w:p>
    <w:sectPr w:rsidR="00C138D7" w:rsidRPr="00C138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71100"/>
    <w:multiLevelType w:val="multilevel"/>
    <w:tmpl w:val="D9121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F009E"/>
    <w:multiLevelType w:val="multilevel"/>
    <w:tmpl w:val="A530D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A00149"/>
    <w:multiLevelType w:val="multilevel"/>
    <w:tmpl w:val="F9B08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8A2208"/>
    <w:multiLevelType w:val="multilevel"/>
    <w:tmpl w:val="8676D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6C0524"/>
    <w:multiLevelType w:val="multilevel"/>
    <w:tmpl w:val="A8E26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763CC2"/>
    <w:multiLevelType w:val="multilevel"/>
    <w:tmpl w:val="374CC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232BF9"/>
    <w:multiLevelType w:val="multilevel"/>
    <w:tmpl w:val="5EDCB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702500"/>
    <w:multiLevelType w:val="multilevel"/>
    <w:tmpl w:val="31504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D02067"/>
    <w:multiLevelType w:val="multilevel"/>
    <w:tmpl w:val="6B342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8D79E7"/>
    <w:multiLevelType w:val="multilevel"/>
    <w:tmpl w:val="B0A43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6A254B"/>
    <w:multiLevelType w:val="multilevel"/>
    <w:tmpl w:val="D7823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814EA6"/>
    <w:multiLevelType w:val="multilevel"/>
    <w:tmpl w:val="F25C5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501591"/>
    <w:multiLevelType w:val="multilevel"/>
    <w:tmpl w:val="2752C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066FC5"/>
    <w:multiLevelType w:val="multilevel"/>
    <w:tmpl w:val="45F2D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505BC5"/>
    <w:multiLevelType w:val="multilevel"/>
    <w:tmpl w:val="AA2CE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1F2A50"/>
    <w:multiLevelType w:val="multilevel"/>
    <w:tmpl w:val="EE524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EF11B9"/>
    <w:multiLevelType w:val="multilevel"/>
    <w:tmpl w:val="216C6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A32AF3"/>
    <w:multiLevelType w:val="multilevel"/>
    <w:tmpl w:val="E2FEE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043123"/>
    <w:multiLevelType w:val="multilevel"/>
    <w:tmpl w:val="AB3CA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9313E5"/>
    <w:multiLevelType w:val="multilevel"/>
    <w:tmpl w:val="F38C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F63F46"/>
    <w:multiLevelType w:val="multilevel"/>
    <w:tmpl w:val="3DE26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097460"/>
    <w:multiLevelType w:val="multilevel"/>
    <w:tmpl w:val="9FD65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FB195D"/>
    <w:multiLevelType w:val="multilevel"/>
    <w:tmpl w:val="5F825E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2C6FB0"/>
    <w:multiLevelType w:val="multilevel"/>
    <w:tmpl w:val="14381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EE051F"/>
    <w:multiLevelType w:val="multilevel"/>
    <w:tmpl w:val="26423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3043065">
    <w:abstractNumId w:val="14"/>
  </w:num>
  <w:num w:numId="2" w16cid:durableId="663629341">
    <w:abstractNumId w:val="16"/>
  </w:num>
  <w:num w:numId="3" w16cid:durableId="1358694349">
    <w:abstractNumId w:val="17"/>
  </w:num>
  <w:num w:numId="4" w16cid:durableId="911500879">
    <w:abstractNumId w:val="1"/>
  </w:num>
  <w:num w:numId="5" w16cid:durableId="1649436847">
    <w:abstractNumId w:val="12"/>
  </w:num>
  <w:num w:numId="6" w16cid:durableId="1627740947">
    <w:abstractNumId w:val="21"/>
  </w:num>
  <w:num w:numId="7" w16cid:durableId="1930775166">
    <w:abstractNumId w:val="18"/>
  </w:num>
  <w:num w:numId="8" w16cid:durableId="1107233586">
    <w:abstractNumId w:val="3"/>
  </w:num>
  <w:num w:numId="9" w16cid:durableId="1997368957">
    <w:abstractNumId w:val="10"/>
  </w:num>
  <w:num w:numId="10" w16cid:durableId="1498039147">
    <w:abstractNumId w:val="5"/>
  </w:num>
  <w:num w:numId="11" w16cid:durableId="1252198197">
    <w:abstractNumId w:val="13"/>
  </w:num>
  <w:num w:numId="12" w16cid:durableId="1074006857">
    <w:abstractNumId w:val="6"/>
  </w:num>
  <w:num w:numId="13" w16cid:durableId="1958364594">
    <w:abstractNumId w:val="7"/>
  </w:num>
  <w:num w:numId="14" w16cid:durableId="1177771512">
    <w:abstractNumId w:val="24"/>
  </w:num>
  <w:num w:numId="15" w16cid:durableId="1519732511">
    <w:abstractNumId w:val="15"/>
  </w:num>
  <w:num w:numId="16" w16cid:durableId="977732861">
    <w:abstractNumId w:val="11"/>
  </w:num>
  <w:num w:numId="17" w16cid:durableId="296956303">
    <w:abstractNumId w:val="4"/>
  </w:num>
  <w:num w:numId="18" w16cid:durableId="1666277606">
    <w:abstractNumId w:val="2"/>
  </w:num>
  <w:num w:numId="19" w16cid:durableId="1144275885">
    <w:abstractNumId w:val="8"/>
  </w:num>
  <w:num w:numId="20" w16cid:durableId="2024357897">
    <w:abstractNumId w:val="0"/>
  </w:num>
  <w:num w:numId="21" w16cid:durableId="1682001811">
    <w:abstractNumId w:val="19"/>
  </w:num>
  <w:num w:numId="22" w16cid:durableId="1986658781">
    <w:abstractNumId w:val="23"/>
  </w:num>
  <w:num w:numId="23" w16cid:durableId="2069641568">
    <w:abstractNumId w:val="9"/>
  </w:num>
  <w:num w:numId="24" w16cid:durableId="875387000">
    <w:abstractNumId w:val="20"/>
  </w:num>
  <w:num w:numId="25" w16cid:durableId="106892340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DAB"/>
    <w:rsid w:val="00011DE1"/>
    <w:rsid w:val="00014769"/>
    <w:rsid w:val="000E1A68"/>
    <w:rsid w:val="001329B1"/>
    <w:rsid w:val="001B0714"/>
    <w:rsid w:val="002E378F"/>
    <w:rsid w:val="004C3F28"/>
    <w:rsid w:val="004D2E3F"/>
    <w:rsid w:val="005D1872"/>
    <w:rsid w:val="005D2E57"/>
    <w:rsid w:val="00683D77"/>
    <w:rsid w:val="00835579"/>
    <w:rsid w:val="00845A4B"/>
    <w:rsid w:val="009F060D"/>
    <w:rsid w:val="00A42C3A"/>
    <w:rsid w:val="00A67AAE"/>
    <w:rsid w:val="00BF62C5"/>
    <w:rsid w:val="00C138D7"/>
    <w:rsid w:val="00C43EC7"/>
    <w:rsid w:val="00D17DA7"/>
    <w:rsid w:val="00D53601"/>
    <w:rsid w:val="00D846C1"/>
    <w:rsid w:val="00E220D2"/>
    <w:rsid w:val="00EB1926"/>
    <w:rsid w:val="00F81458"/>
    <w:rsid w:val="00FD2467"/>
    <w:rsid w:val="00FE3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E1974"/>
  <w15:chartTrackingRefBased/>
  <w15:docId w15:val="{28271BBE-8155-4B2F-B4D4-C9BF7E706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DAB"/>
  </w:style>
  <w:style w:type="paragraph" w:styleId="Heading1">
    <w:name w:val="heading 1"/>
    <w:basedOn w:val="Normal"/>
    <w:next w:val="Normal"/>
    <w:link w:val="Heading1Char"/>
    <w:uiPriority w:val="9"/>
    <w:qFormat/>
    <w:rsid w:val="00FE3D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3D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3D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3D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3D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3D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3D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3D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3D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D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3D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3D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3D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3D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3D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3D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3D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3DAB"/>
    <w:rPr>
      <w:rFonts w:eastAsiaTheme="majorEastAsia" w:cstheme="majorBidi"/>
      <w:color w:val="272727" w:themeColor="text1" w:themeTint="D8"/>
    </w:rPr>
  </w:style>
  <w:style w:type="paragraph" w:styleId="Title">
    <w:name w:val="Title"/>
    <w:basedOn w:val="Normal"/>
    <w:next w:val="Normal"/>
    <w:link w:val="TitleChar"/>
    <w:uiPriority w:val="10"/>
    <w:qFormat/>
    <w:rsid w:val="00FE3D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3D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3D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3D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3DAB"/>
    <w:pPr>
      <w:spacing w:before="160"/>
      <w:jc w:val="center"/>
    </w:pPr>
    <w:rPr>
      <w:i/>
      <w:iCs/>
      <w:color w:val="404040" w:themeColor="text1" w:themeTint="BF"/>
    </w:rPr>
  </w:style>
  <w:style w:type="character" w:customStyle="1" w:styleId="QuoteChar">
    <w:name w:val="Quote Char"/>
    <w:basedOn w:val="DefaultParagraphFont"/>
    <w:link w:val="Quote"/>
    <w:uiPriority w:val="29"/>
    <w:rsid w:val="00FE3DAB"/>
    <w:rPr>
      <w:i/>
      <w:iCs/>
      <w:color w:val="404040" w:themeColor="text1" w:themeTint="BF"/>
    </w:rPr>
  </w:style>
  <w:style w:type="paragraph" w:styleId="ListParagraph">
    <w:name w:val="List Paragraph"/>
    <w:basedOn w:val="Normal"/>
    <w:uiPriority w:val="34"/>
    <w:qFormat/>
    <w:rsid w:val="00FE3DAB"/>
    <w:pPr>
      <w:ind w:left="720"/>
      <w:contextualSpacing/>
    </w:pPr>
  </w:style>
  <w:style w:type="character" w:styleId="IntenseEmphasis">
    <w:name w:val="Intense Emphasis"/>
    <w:basedOn w:val="DefaultParagraphFont"/>
    <w:uiPriority w:val="21"/>
    <w:qFormat/>
    <w:rsid w:val="00FE3DAB"/>
    <w:rPr>
      <w:i/>
      <w:iCs/>
      <w:color w:val="0F4761" w:themeColor="accent1" w:themeShade="BF"/>
    </w:rPr>
  </w:style>
  <w:style w:type="paragraph" w:styleId="IntenseQuote">
    <w:name w:val="Intense Quote"/>
    <w:basedOn w:val="Normal"/>
    <w:next w:val="Normal"/>
    <w:link w:val="IntenseQuoteChar"/>
    <w:uiPriority w:val="30"/>
    <w:qFormat/>
    <w:rsid w:val="00FE3D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3DAB"/>
    <w:rPr>
      <w:i/>
      <w:iCs/>
      <w:color w:val="0F4761" w:themeColor="accent1" w:themeShade="BF"/>
    </w:rPr>
  </w:style>
  <w:style w:type="character" w:styleId="IntenseReference">
    <w:name w:val="Intense Reference"/>
    <w:basedOn w:val="DefaultParagraphFont"/>
    <w:uiPriority w:val="32"/>
    <w:qFormat/>
    <w:rsid w:val="00FE3DAB"/>
    <w:rPr>
      <w:b/>
      <w:bCs/>
      <w:smallCaps/>
      <w:color w:val="0F4761" w:themeColor="accent1" w:themeShade="BF"/>
      <w:spacing w:val="5"/>
    </w:rPr>
  </w:style>
  <w:style w:type="paragraph" w:styleId="NormalWeb">
    <w:name w:val="Normal (Web)"/>
    <w:basedOn w:val="Normal"/>
    <w:uiPriority w:val="99"/>
    <w:semiHidden/>
    <w:unhideWhenUsed/>
    <w:rsid w:val="00E220D2"/>
    <w:rPr>
      <w:rFonts w:ascii="Times New Roman" w:hAnsi="Times New Roman" w:cs="Times New Roman"/>
    </w:rPr>
  </w:style>
  <w:style w:type="table" w:styleId="TableGrid">
    <w:name w:val="Table Grid"/>
    <w:basedOn w:val="TableNormal"/>
    <w:uiPriority w:val="39"/>
    <w:rsid w:val="00F814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8145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814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E378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Revision">
    <w:name w:val="Revision"/>
    <w:hidden/>
    <w:uiPriority w:val="99"/>
    <w:semiHidden/>
    <w:rsid w:val="00C138D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4805</Words>
  <Characters>27389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Erasmus Nnamdi Onyeukwu</dc:creator>
  <cp:keywords/>
  <dc:description/>
  <cp:lastModifiedBy>Erasmus Nnamdi Onyeukwu</cp:lastModifiedBy>
  <cp:revision>4</cp:revision>
  <dcterms:created xsi:type="dcterms:W3CDTF">2026-07-12T12:06:00Z</dcterms:created>
  <dcterms:modified xsi:type="dcterms:W3CDTF">2026-08-11T23:31:00Z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a6fbdbb0-f57b-427e-ba2e-14fb1bb5117c</vt:lpwstr>
  </property>
</Properties>
</file>