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912F8A" w14:textId="29CF013C" w:rsidR="00EC33FF" w:rsidRDefault="0058471A" w:rsidP="0058471A">
      <w:r w:rsidRPr="00804289">
        <w:rPr>
          <w:highlight w:val="yellow"/>
        </w:rPr>
        <w:t xml:space="preserve">Discuss this image from the burial chamber of the Theban tomb TT96, the Tomb Complex of Sennefer, Mayor of the "Southern City" (Thebes) from the Egyptian New Kingdom. Pay particular attention to the way how Sennefer and his wife Meryt are presented. Are gendered representation from ancient Egypt </w:t>
      </w:r>
      <w:r w:rsidR="002937D0" w:rsidRPr="00804289">
        <w:rPr>
          <w:highlight w:val="yellow"/>
        </w:rPr>
        <w:t xml:space="preserve">similar to </w:t>
      </w:r>
      <w:r w:rsidRPr="00804289">
        <w:rPr>
          <w:highlight w:val="yellow"/>
        </w:rPr>
        <w:t>modern conceptions of sex and gender?</w:t>
      </w:r>
    </w:p>
    <w:p w14:paraId="5FE8311A" w14:textId="3BC9E3FA" w:rsidR="00253F1E" w:rsidRDefault="00B3563D" w:rsidP="00626A93">
      <w:r>
        <w:t xml:space="preserve">In this </w:t>
      </w:r>
      <w:r w:rsidR="0057523B">
        <w:t>assignment,</w:t>
      </w:r>
      <w:r>
        <w:t xml:space="preserve"> I will be discussing</w:t>
      </w:r>
      <w:r w:rsidR="00381D81">
        <w:t xml:space="preserve"> if gender representation in Ancient Egypt is similar to modern conceptions of sex and gender whilst referring to the</w:t>
      </w:r>
      <w:r w:rsidR="004A7393">
        <w:t xml:space="preserve"> image of </w:t>
      </w:r>
      <w:r w:rsidR="004A7393" w:rsidRPr="004A7393">
        <w:t>Sennefer and Meryt</w:t>
      </w:r>
      <w:r w:rsidR="004A7393">
        <w:t xml:space="preserve"> in the</w:t>
      </w:r>
      <w:r w:rsidR="00173814">
        <w:t xml:space="preserve"> </w:t>
      </w:r>
      <w:r w:rsidR="00381D81" w:rsidRPr="00381D81">
        <w:t>burial chamber of the Theban tomb, TT96</w:t>
      </w:r>
      <w:r w:rsidR="00DA28B4">
        <w:t xml:space="preserve"> as my evidence. </w:t>
      </w:r>
      <w:r w:rsidR="00C24DF5">
        <w:t xml:space="preserve">The </w:t>
      </w:r>
      <w:bookmarkStart w:id="0" w:name="_Hlk58082857"/>
      <w:r w:rsidR="00FC68FF">
        <w:t>A</w:t>
      </w:r>
      <w:r w:rsidR="00C24DF5">
        <w:t>rchaeologist</w:t>
      </w:r>
      <w:r w:rsidR="00C24DF5" w:rsidRPr="00C24DF5">
        <w:t xml:space="preserve"> </w:t>
      </w:r>
      <w:r w:rsidR="00C24DF5">
        <w:t xml:space="preserve">and </w:t>
      </w:r>
      <w:r w:rsidR="00FC68FF">
        <w:t>E</w:t>
      </w:r>
      <w:r w:rsidR="00626A93" w:rsidRPr="00626A93">
        <w:t>gyptologist</w:t>
      </w:r>
      <w:bookmarkEnd w:id="0"/>
      <w:r w:rsidR="00C24DF5">
        <w:t>,</w:t>
      </w:r>
      <w:r w:rsidR="00626A93">
        <w:t xml:space="preserve"> </w:t>
      </w:r>
      <w:r w:rsidR="00626A93" w:rsidRPr="00626A93">
        <w:t>Uroš Matić</w:t>
      </w:r>
      <w:r w:rsidR="00C24DF5" w:rsidRPr="00C24DF5">
        <w:rPr>
          <w:i/>
          <w:iCs/>
        </w:rPr>
        <w:t xml:space="preserve">- based at Austrian Archaeological Institute's Cairo </w:t>
      </w:r>
      <w:r w:rsidR="00253F1E" w:rsidRPr="00C24DF5">
        <w:rPr>
          <w:i/>
          <w:iCs/>
        </w:rPr>
        <w:t>Branch</w:t>
      </w:r>
      <w:r w:rsidR="00253F1E">
        <w:t>,</w:t>
      </w:r>
      <w:r w:rsidR="00626A93">
        <w:t xml:space="preserve"> states</w:t>
      </w:r>
      <w:r w:rsidR="00D448A3">
        <w:t xml:space="preserve"> in his paper, </w:t>
      </w:r>
      <w:r w:rsidR="00D448A3" w:rsidRPr="00D448A3">
        <w:rPr>
          <w:i/>
          <w:iCs/>
        </w:rPr>
        <w:t>Gender in Ancient Egypt: Norms, Ambiguities, and Sensualities</w:t>
      </w:r>
      <w:r w:rsidR="00D448A3">
        <w:rPr>
          <w:i/>
          <w:iCs/>
        </w:rPr>
        <w:t xml:space="preserve"> </w:t>
      </w:r>
      <w:r w:rsidR="00D448A3" w:rsidRPr="00D448A3">
        <w:t>(Matić,2016)</w:t>
      </w:r>
      <w:r w:rsidR="00581D10">
        <w:t xml:space="preserve"> </w:t>
      </w:r>
      <w:r w:rsidR="00626A93">
        <w:t xml:space="preserve">that </w:t>
      </w:r>
      <w:r w:rsidR="00096001">
        <w:t>“</w:t>
      </w:r>
      <w:r w:rsidR="00626A93">
        <w:t xml:space="preserve">social identity was most assuredly predicated upon one’s biological sex (inter alia), </w:t>
      </w:r>
      <w:bookmarkStart w:id="1" w:name="_Hlk57811779"/>
      <w:r w:rsidR="00626A93">
        <w:t>the gulf between the sexes was not as vast as in many other ancient (and modern) societies</w:t>
      </w:r>
      <w:r w:rsidR="00096001">
        <w:t>”.</w:t>
      </w:r>
      <w:r w:rsidR="00626A93">
        <w:t xml:space="preserve"> (</w:t>
      </w:r>
      <w:r w:rsidR="00626A93" w:rsidRPr="00626A93">
        <w:t>Matić</w:t>
      </w:r>
      <w:r w:rsidR="00626A93">
        <w:t>, 2016,</w:t>
      </w:r>
      <w:r w:rsidR="007A1C9C">
        <w:t xml:space="preserve"> </w:t>
      </w:r>
      <w:r w:rsidR="00626A93">
        <w:t>p</w:t>
      </w:r>
      <w:r w:rsidR="00A55804">
        <w:t>.</w:t>
      </w:r>
      <w:r w:rsidR="00626A93">
        <w:t>174)</w:t>
      </w:r>
      <w:bookmarkEnd w:id="1"/>
      <w:r w:rsidR="007A1C9C">
        <w:t xml:space="preserve"> </w:t>
      </w:r>
      <w:r w:rsidR="00253F1E">
        <w:t>Whereas</w:t>
      </w:r>
      <w:r w:rsidR="00F632E9">
        <w:t xml:space="preserve">, </w:t>
      </w:r>
      <w:r w:rsidR="00FC68FF">
        <w:t>S</w:t>
      </w:r>
      <w:r w:rsidR="00F632E9">
        <w:t>ociologist, William Little</w:t>
      </w:r>
      <w:r w:rsidR="00090AB7">
        <w:t>,</w:t>
      </w:r>
      <w:r w:rsidR="00F632E9">
        <w:t xml:space="preserve"> </w:t>
      </w:r>
      <w:r w:rsidR="00071EFC">
        <w:t>in chapter twelve</w:t>
      </w:r>
      <w:r w:rsidR="007B26F3">
        <w:t xml:space="preserve"> of his </w:t>
      </w:r>
      <w:r w:rsidR="004560C6">
        <w:t>text</w:t>
      </w:r>
      <w:r w:rsidR="007B26F3">
        <w:t>book</w:t>
      </w:r>
      <w:r w:rsidR="000D53FC">
        <w:t xml:space="preserve">, </w:t>
      </w:r>
      <w:r w:rsidR="004560C6">
        <w:rPr>
          <w:i/>
          <w:iCs/>
        </w:rPr>
        <w:t xml:space="preserve">Introduction to </w:t>
      </w:r>
      <w:r w:rsidR="005B121C">
        <w:rPr>
          <w:i/>
          <w:iCs/>
        </w:rPr>
        <w:t xml:space="preserve">Sociology </w:t>
      </w:r>
      <w:r w:rsidR="005B121C">
        <w:t>(</w:t>
      </w:r>
      <w:r w:rsidR="000D53FC" w:rsidRPr="000D53FC">
        <w:t>Little</w:t>
      </w:r>
      <w:r w:rsidR="0057523B" w:rsidRPr="000D53FC">
        <w:t>, 2016</w:t>
      </w:r>
      <w:r w:rsidR="000D53FC" w:rsidRPr="000D53FC">
        <w:t xml:space="preserve">) </w:t>
      </w:r>
      <w:r w:rsidR="00864AF5">
        <w:t>states that in modern society,</w:t>
      </w:r>
      <w:r w:rsidR="00F632E9">
        <w:t xml:space="preserve"> </w:t>
      </w:r>
      <w:r w:rsidR="00096001">
        <w:t>“</w:t>
      </w:r>
      <w:r w:rsidR="00253F1E">
        <w:t xml:space="preserve">a </w:t>
      </w:r>
      <w:r w:rsidR="00253F1E" w:rsidRPr="00253F1E">
        <w:t xml:space="preserve">person’s sex, as determined by his or her biology, does not always correspond with his or her </w:t>
      </w:r>
      <w:r w:rsidR="00096001" w:rsidRPr="00253F1E">
        <w:t>gender</w:t>
      </w:r>
      <w:r w:rsidR="00096001">
        <w:t>”</w:t>
      </w:r>
      <w:r w:rsidR="00253F1E">
        <w:t>.</w:t>
      </w:r>
      <w:r w:rsidR="00253F1E" w:rsidRPr="00253F1E">
        <w:t xml:space="preserve"> (Little</w:t>
      </w:r>
      <w:r w:rsidR="0057523B" w:rsidRPr="00253F1E">
        <w:t>,</w:t>
      </w:r>
      <w:r w:rsidR="0057523B">
        <w:t xml:space="preserve"> 2016</w:t>
      </w:r>
      <w:r w:rsidR="00253F1E">
        <w:t xml:space="preserve">, </w:t>
      </w:r>
      <w:r w:rsidR="00E52DA8">
        <w:t>p</w:t>
      </w:r>
      <w:r w:rsidR="00A55804">
        <w:t>.</w:t>
      </w:r>
      <w:r w:rsidR="00E52DA8">
        <w:t>1</w:t>
      </w:r>
      <w:r w:rsidR="00253F1E">
        <w:t xml:space="preserve">) </w:t>
      </w:r>
    </w:p>
    <w:p w14:paraId="5F5813F2" w14:textId="73BF0235" w:rsidR="00090AB7" w:rsidRDefault="001217D4" w:rsidP="0058471A">
      <w:r>
        <w:t>T</w:t>
      </w:r>
      <w:r w:rsidR="00D15F94">
        <w:t xml:space="preserve">he </w:t>
      </w:r>
      <w:r w:rsidRPr="001217D4">
        <w:t>Tomb Complex of Sennefer</w:t>
      </w:r>
      <w:r w:rsidR="00090AB7">
        <w:t>,</w:t>
      </w:r>
      <w:r>
        <w:t xml:space="preserve"> is located in </w:t>
      </w:r>
      <w:r w:rsidRPr="001217D4">
        <w:t>Sheikh Abd el-Qurna</w:t>
      </w:r>
      <w:r>
        <w:t xml:space="preserve"> and been known about since 1826 due to </w:t>
      </w:r>
      <w:r w:rsidRPr="001217D4">
        <w:t>Robert Hay de Linplum</w:t>
      </w:r>
      <w:r>
        <w:t xml:space="preserve"> making copies of the </w:t>
      </w:r>
      <w:r w:rsidR="0010457D">
        <w:t>tomb’s</w:t>
      </w:r>
      <w:r>
        <w:t xml:space="preserve"> decoration. </w:t>
      </w:r>
      <w:r w:rsidR="0074142E">
        <w:t>In 1898,</w:t>
      </w:r>
      <w:r w:rsidR="00591F5A">
        <w:t xml:space="preserve"> </w:t>
      </w:r>
      <w:r w:rsidR="00FC74A5">
        <w:t>Archaeologist</w:t>
      </w:r>
      <w:r w:rsidR="00591F5A">
        <w:t>,</w:t>
      </w:r>
      <w:r w:rsidR="00FC74A5">
        <w:t xml:space="preserve"> </w:t>
      </w:r>
      <w:r w:rsidR="00157BA7">
        <w:t xml:space="preserve">Virey published </w:t>
      </w:r>
      <w:r w:rsidR="0074142E" w:rsidRPr="0074142E">
        <w:t xml:space="preserve">plans, line drawings and a complete record of the texts of the lower </w:t>
      </w:r>
      <w:r w:rsidR="0057523B" w:rsidRPr="0074142E">
        <w:t>chambers</w:t>
      </w:r>
      <w:r w:rsidR="0057523B">
        <w:t xml:space="preserve">, which are vital due to several details from the antechamber being lost after the </w:t>
      </w:r>
      <w:r w:rsidR="00C8663E">
        <w:t>record, was</w:t>
      </w:r>
      <w:r w:rsidR="0074142E">
        <w:t xml:space="preserve"> made.</w:t>
      </w:r>
      <w:r w:rsidR="00D61483">
        <w:t xml:space="preserve"> (0</w:t>
      </w:r>
      <w:r w:rsidR="00512AB7">
        <w:t>sirisnet</w:t>
      </w:r>
      <w:r w:rsidR="00C8663E">
        <w:t>, 2005</w:t>
      </w:r>
      <w:r w:rsidR="00512AB7">
        <w:t>,</w:t>
      </w:r>
      <w:r w:rsidR="0095357C">
        <w:t xml:space="preserve"> </w:t>
      </w:r>
      <w:r w:rsidR="00512AB7">
        <w:t>p</w:t>
      </w:r>
      <w:r w:rsidR="00A55804">
        <w:t>.</w:t>
      </w:r>
      <w:r w:rsidR="00512AB7">
        <w:t xml:space="preserve">1) </w:t>
      </w:r>
    </w:p>
    <w:p w14:paraId="1B2D98AC" w14:textId="6156096B" w:rsidR="00775475" w:rsidRDefault="004A5116" w:rsidP="0058471A">
      <w:r>
        <w:t>In the image from the burial chamber of the Theban tomb, TT96, both Sennefer and Meryt are shown to be wearing eye makeup, earrings and necklaces. Th</w:t>
      </w:r>
      <w:r w:rsidR="00EB195E">
        <w:t xml:space="preserve">ese </w:t>
      </w:r>
      <w:r>
        <w:t xml:space="preserve">specific elements highlight that in Ancient Egypt </w:t>
      </w:r>
      <w:r w:rsidR="00EB195E">
        <w:t>wear</w:t>
      </w:r>
      <w:r w:rsidR="001C689B">
        <w:t>ing</w:t>
      </w:r>
      <w:r w:rsidR="00EB195E">
        <w:t xml:space="preserve"> makeup and jewellery</w:t>
      </w:r>
      <w:r w:rsidR="003E2F20">
        <w:t xml:space="preserve"> were </w:t>
      </w:r>
      <w:r w:rsidR="001C689B">
        <w:t xml:space="preserve">both </w:t>
      </w:r>
      <w:r w:rsidR="003E2F20">
        <w:t xml:space="preserve">masculine and feminine characteristics of gender. </w:t>
      </w:r>
      <w:r w:rsidR="00DE0D61" w:rsidRPr="00DE0D61">
        <w:t>This shows that our modern categorisation on what is feminine and masculine cannot necessarily be transferrable to Ancient Egyptian thoughts on what is feminine and masculine.</w:t>
      </w:r>
      <w:r w:rsidR="00DE0D61">
        <w:t xml:space="preserve"> </w:t>
      </w:r>
      <w:r w:rsidR="00744D4F">
        <w:t xml:space="preserve">It suggests that </w:t>
      </w:r>
      <w:r w:rsidR="00744D4F" w:rsidRPr="00744D4F">
        <w:t>Ancient Egyptian society did not</w:t>
      </w:r>
      <w:r w:rsidR="00744D4F">
        <w:t xml:space="preserve"> have clear-cut view on what was feminine and masculine and </w:t>
      </w:r>
      <w:r w:rsidR="001A03AD">
        <w:t xml:space="preserve">that your gender identity could correlate or differ from your biological sex. </w:t>
      </w:r>
      <w:r w:rsidR="00803B9A">
        <w:t>Th</w:t>
      </w:r>
      <w:r w:rsidR="00744D4F">
        <w:t>e</w:t>
      </w:r>
      <w:r w:rsidR="00A435CA">
        <w:t xml:space="preserve"> </w:t>
      </w:r>
      <w:r w:rsidR="00744D4F">
        <w:t>depiction of Sennefer and Meryt</w:t>
      </w:r>
      <w:r w:rsidR="00803B9A">
        <w:t xml:space="preserve"> </w:t>
      </w:r>
      <w:r w:rsidR="00096001">
        <w:t>from the Theban tomb,</w:t>
      </w:r>
      <w:r w:rsidR="00676A49">
        <w:t xml:space="preserve"> </w:t>
      </w:r>
      <w:r w:rsidR="00096001">
        <w:t xml:space="preserve">TT96, </w:t>
      </w:r>
      <w:r w:rsidR="00A435CA">
        <w:t>supports,</w:t>
      </w:r>
      <w:r w:rsidR="00A435CA" w:rsidRPr="00A435CA">
        <w:t xml:space="preserve"> Archaeologist and Egyptologist</w:t>
      </w:r>
      <w:r w:rsidR="00A435CA">
        <w:t>,</w:t>
      </w:r>
      <w:r w:rsidR="00803B9A">
        <w:t xml:space="preserve"> </w:t>
      </w:r>
      <w:bookmarkStart w:id="2" w:name="_Hlk57812412"/>
      <w:r w:rsidR="00803B9A" w:rsidRPr="00803B9A">
        <w:t>Matić</w:t>
      </w:r>
      <w:bookmarkEnd w:id="2"/>
      <w:r w:rsidR="00803B9A">
        <w:t>’s, argument</w:t>
      </w:r>
      <w:r w:rsidR="00096001">
        <w:t xml:space="preserve"> </w:t>
      </w:r>
      <w:r w:rsidR="00803B9A">
        <w:t xml:space="preserve">that </w:t>
      </w:r>
      <w:r w:rsidR="00ED0E42">
        <w:t>“</w:t>
      </w:r>
      <w:r w:rsidR="00803B9A" w:rsidRPr="00803B9A">
        <w:t xml:space="preserve">the gulf between the sexes was not as vast as in many other ancient (and modern) </w:t>
      </w:r>
      <w:r w:rsidR="007140BA" w:rsidRPr="00803B9A">
        <w:t>societies</w:t>
      </w:r>
      <w:r w:rsidR="00ED0E42">
        <w:t>”</w:t>
      </w:r>
      <w:r w:rsidR="007140BA">
        <w:t xml:space="preserve">. </w:t>
      </w:r>
      <w:r w:rsidR="00803B9A" w:rsidRPr="00803B9A">
        <w:t>(Matić, 2016, p</w:t>
      </w:r>
      <w:r w:rsidR="00A55804">
        <w:t>.</w:t>
      </w:r>
      <w:r w:rsidR="00803B9A" w:rsidRPr="00803B9A">
        <w:t>174)</w:t>
      </w:r>
      <w:r w:rsidR="00803B9A">
        <w:t xml:space="preserve"> </w:t>
      </w:r>
      <w:r w:rsidR="00023D0F">
        <w:t>Due to this</w:t>
      </w:r>
      <w:r w:rsidR="00B7201A">
        <w:t>,</w:t>
      </w:r>
      <w:r w:rsidR="00023D0F">
        <w:t xml:space="preserve"> gendered representation shown in the Theban Tomb, TT96, highlights that our modern conceptions on sex and gender </w:t>
      </w:r>
      <w:r w:rsidR="00D022FC">
        <w:t>are</w:t>
      </w:r>
      <w:r w:rsidR="00023D0F">
        <w:t xml:space="preserve"> different to</w:t>
      </w:r>
      <w:r w:rsidR="00AE3A81">
        <w:t xml:space="preserve"> those </w:t>
      </w:r>
      <w:r w:rsidR="0083550C">
        <w:t>of Ancient</w:t>
      </w:r>
      <w:r w:rsidR="00023D0F">
        <w:t xml:space="preserve"> Egypt. </w:t>
      </w:r>
    </w:p>
    <w:p w14:paraId="08408F50" w14:textId="093693F5" w:rsidR="00D022FC" w:rsidRDefault="0083550C" w:rsidP="0058471A">
      <w:r>
        <w:t>Similarly,</w:t>
      </w:r>
      <w:r w:rsidR="002C4C23">
        <w:t xml:space="preserve"> </w:t>
      </w:r>
      <w:r w:rsidR="008F2F9C">
        <w:t xml:space="preserve">Sociologist, Little, </w:t>
      </w:r>
      <w:r w:rsidR="00E8647E">
        <w:t xml:space="preserve">argues </w:t>
      </w:r>
      <w:r w:rsidR="008F2F9C">
        <w:t>th</w:t>
      </w:r>
      <w:r w:rsidR="006506E5">
        <w:t>at our modern conceptions on sex and gender are different to</w:t>
      </w:r>
      <w:r w:rsidR="0038382F">
        <w:t xml:space="preserve"> those of</w:t>
      </w:r>
      <w:r w:rsidR="006506E5">
        <w:t xml:space="preserve"> Ancient Egypt</w:t>
      </w:r>
      <w:r w:rsidR="0038382F">
        <w:t xml:space="preserve">. He states that in modern </w:t>
      </w:r>
      <w:r w:rsidR="008F2F9C">
        <w:t xml:space="preserve">Canadian society, </w:t>
      </w:r>
      <w:r w:rsidR="008F2F9C" w:rsidRPr="008F2F9C">
        <w:t>“men can assume some feminine roles and women can assume some masculine roles without interfering with their gender identity”. (Little, 2016, p.6)</w:t>
      </w:r>
      <w:r w:rsidR="00A82DE1">
        <w:t xml:space="preserve"> </w:t>
      </w:r>
      <w:r w:rsidR="006174DD">
        <w:t>Little’s</w:t>
      </w:r>
      <w:r w:rsidR="00A82DE1" w:rsidRPr="00A82DE1">
        <w:t xml:space="preserve"> statement</w:t>
      </w:r>
      <w:r w:rsidR="00D1473C">
        <w:t xml:space="preserve"> portrays</w:t>
      </w:r>
      <w:r w:rsidR="00A82DE1" w:rsidRPr="00A82DE1">
        <w:t xml:space="preserve"> </w:t>
      </w:r>
      <w:r w:rsidR="00F40578">
        <w:t xml:space="preserve">that in our society there is a strict and clear distinction of what is feminine and masculine whilst there being a small overlap of attributes that are considered both feminine and masculine. </w:t>
      </w:r>
      <w:r w:rsidR="00391E19">
        <w:t xml:space="preserve">Makeup and jewellery in today’s society </w:t>
      </w:r>
      <w:r w:rsidR="00535EAB">
        <w:t xml:space="preserve">are </w:t>
      </w:r>
      <w:r w:rsidR="00391E19">
        <w:t xml:space="preserve">strictly </w:t>
      </w:r>
      <w:r w:rsidR="0057523B">
        <w:t>seen,</w:t>
      </w:r>
      <w:r w:rsidR="00391E19">
        <w:t xml:space="preserve"> as a typical feminine trait of gender and for men to</w:t>
      </w:r>
      <w:r w:rsidR="00535EAB">
        <w:t xml:space="preserve"> wear such things, there could possibly be societal implications because of their gender expression. </w:t>
      </w:r>
      <w:r w:rsidR="00D1473C">
        <w:t>This shows a correlation in modern society between biological sex and gender</w:t>
      </w:r>
      <w:r w:rsidR="007D585F">
        <w:t xml:space="preserve"> and implies th</w:t>
      </w:r>
      <w:r w:rsidR="00B10E74">
        <w:t>e reason why men wearing jewellery and beauty products could cause societal implications i</w:t>
      </w:r>
      <w:r w:rsidR="007D585F">
        <w:t>n today</w:t>
      </w:r>
      <w:r w:rsidR="00361ABA">
        <w:t>’</w:t>
      </w:r>
      <w:r w:rsidR="007D585F">
        <w:t>s society is</w:t>
      </w:r>
      <w:r w:rsidR="00B10E74">
        <w:t xml:space="preserve"> </w:t>
      </w:r>
      <w:r w:rsidR="0057523B">
        <w:t>that</w:t>
      </w:r>
      <w:r w:rsidR="00B10E74">
        <w:t xml:space="preserve"> </w:t>
      </w:r>
      <w:r w:rsidR="007D585F">
        <w:t>our</w:t>
      </w:r>
      <w:r w:rsidR="00B10E74">
        <w:t xml:space="preserve"> society assumes that your biological sex is the same as you gender. </w:t>
      </w:r>
      <w:r w:rsidR="00361ABA">
        <w:t xml:space="preserve">Therefore, this re-iterates that gendered representation in Ancient Egypt is different to modern conceptions on sex and gender. </w:t>
      </w:r>
    </w:p>
    <w:p w14:paraId="0986D99F" w14:textId="77777777" w:rsidR="006B53BA" w:rsidRDefault="006B53BA" w:rsidP="001720E1"/>
    <w:p w14:paraId="0023F936" w14:textId="4BDA1C92" w:rsidR="00027CD8" w:rsidRDefault="00027CD8" w:rsidP="001720E1">
      <w:r w:rsidRPr="00027CD8">
        <w:lastRenderedPageBreak/>
        <w:t>However, distinct feminine and masculine attributes in Ancient Egypt are hard to pin down as characteristic</w:t>
      </w:r>
      <w:r w:rsidR="00AB7A4A">
        <w:t>s</w:t>
      </w:r>
      <w:r w:rsidRPr="00027CD8">
        <w:t xml:space="preserve"> can be manifested in either sex.</w:t>
      </w:r>
      <w:r w:rsidR="00D2231E">
        <w:t xml:space="preserve"> </w:t>
      </w:r>
      <w:r w:rsidR="00D50B8F">
        <w:t xml:space="preserve">For example, </w:t>
      </w:r>
      <w:r w:rsidR="004F5DF7">
        <w:t xml:space="preserve">in </w:t>
      </w:r>
      <w:r w:rsidR="00D50B8F">
        <w:t xml:space="preserve">the burial chamber of the Theban tomb, TT96, </w:t>
      </w:r>
      <w:r w:rsidR="004F5DF7">
        <w:t>Sennefer and Meryt</w:t>
      </w:r>
      <w:r w:rsidR="00952E2F">
        <w:t xml:space="preserve"> are </w:t>
      </w:r>
      <w:r w:rsidR="009E7A62">
        <w:t>both</w:t>
      </w:r>
      <w:r w:rsidR="00952E2F">
        <w:t xml:space="preserve"> presented</w:t>
      </w:r>
      <w:r w:rsidR="009E7A62">
        <w:t xml:space="preserve"> holding implements</w:t>
      </w:r>
      <w:r w:rsidR="00AB7A4A">
        <w:t>, hav</w:t>
      </w:r>
      <w:r w:rsidR="00952E2F">
        <w:t>ing</w:t>
      </w:r>
      <w:r w:rsidR="00AB7A4A">
        <w:t xml:space="preserve"> long hair</w:t>
      </w:r>
      <w:r w:rsidR="009E7A62">
        <w:t xml:space="preserve"> and wear</w:t>
      </w:r>
      <w:r w:rsidR="00952E2F">
        <w:t>ing</w:t>
      </w:r>
      <w:r w:rsidR="00AB7A4A">
        <w:t xml:space="preserve"> clothes </w:t>
      </w:r>
      <w:r w:rsidR="009E7A62">
        <w:t xml:space="preserve">such as </w:t>
      </w:r>
      <w:r w:rsidR="00CB765A">
        <w:t xml:space="preserve">skirts and dresses. </w:t>
      </w:r>
      <w:r w:rsidR="00AB7A4A">
        <w:t>This makes it hard to attempt to c</w:t>
      </w:r>
      <w:r w:rsidR="006D71B3">
        <w:t xml:space="preserve">lassify </w:t>
      </w:r>
      <w:r w:rsidR="00AB7A4A">
        <w:t xml:space="preserve">traits into strict categories of femininity and masculinity. </w:t>
      </w:r>
      <w:r w:rsidR="00BB01BB">
        <w:t>Femininity and masculinity</w:t>
      </w:r>
      <w:r w:rsidR="00AB7A4A">
        <w:t xml:space="preserve"> are also entirely subjective and based on bias and observations</w:t>
      </w:r>
      <w:r w:rsidR="00886A5C">
        <w:t xml:space="preserve"> of that’s society’s views at the time. </w:t>
      </w:r>
      <w:r w:rsidR="00BB01BB">
        <w:t xml:space="preserve">Little, illustrates that  </w:t>
      </w:r>
    </w:p>
    <w:p w14:paraId="5F089A8B" w14:textId="0BDB72FF" w:rsidR="00D022FC" w:rsidRDefault="00D022FC" w:rsidP="00BB01BB">
      <w:pPr>
        <w:ind w:left="340" w:right="340"/>
      </w:pPr>
      <w:r w:rsidRPr="00D022FC">
        <w:t>Characteristics of gender…may vary greatly between different societies. For example, in American culture, it is considered feminine (or a trait of the female gender) to wear a dress or skirt. However, in many Middle Eastern, Asian, and African cultures, dresses or skirts (often referred to as sarongs, robes, or gowns) can be considered masculine. The kilt worn by a Scottish male does not make him appear feminine in his culture. (Little, 2016,</w:t>
      </w:r>
      <w:r w:rsidR="00A5498D">
        <w:t xml:space="preserve"> </w:t>
      </w:r>
      <w:r w:rsidRPr="00D022FC">
        <w:t>p.1)</w:t>
      </w:r>
    </w:p>
    <w:p w14:paraId="113923C8" w14:textId="7435687F" w:rsidR="00562D64" w:rsidRDefault="009F007F" w:rsidP="003342A5">
      <w:r>
        <w:t>Hence th</w:t>
      </w:r>
      <w:r w:rsidR="00562D64">
        <w:t>is emphasizes that</w:t>
      </w:r>
      <w:r w:rsidR="00287D88">
        <w:t xml:space="preserve"> gendered representation in Ancient Egypt </w:t>
      </w:r>
      <w:r w:rsidR="004B745C">
        <w:t xml:space="preserve">is </w:t>
      </w:r>
      <w:r w:rsidR="0069175A">
        <w:t>n</w:t>
      </w:r>
      <w:r w:rsidR="0020644C">
        <w:t xml:space="preserve">either similar or different </w:t>
      </w:r>
      <w:r w:rsidR="004B745C">
        <w:t xml:space="preserve">to modern notions of sex and gender </w:t>
      </w:r>
      <w:r w:rsidR="0069175A">
        <w:t xml:space="preserve">because aspects of gender vary and differ for each culture and change as new ideas/bias are installed on society. </w:t>
      </w:r>
    </w:p>
    <w:p w14:paraId="1396CCD7" w14:textId="2BEBF680" w:rsidR="003679D1" w:rsidRDefault="00BC0923" w:rsidP="001720E1">
      <w:r>
        <w:t xml:space="preserve">Although, </w:t>
      </w:r>
      <w:r w:rsidR="00286BEF">
        <w:t xml:space="preserve">Sennefer is presented as having red skin whilst Meryt having light yellow skin in the </w:t>
      </w:r>
      <w:r w:rsidR="00A603BE">
        <w:t>burial chamber of the</w:t>
      </w:r>
      <w:r w:rsidR="00CB3EA5">
        <w:t xml:space="preserve"> </w:t>
      </w:r>
      <w:r w:rsidR="00286BEF">
        <w:t>Theban tomb, TT96. This automatically portrays a</w:t>
      </w:r>
      <w:r w:rsidR="00E60DE1">
        <w:t xml:space="preserve"> clear and distinct</w:t>
      </w:r>
      <w:r w:rsidR="00286BEF">
        <w:t xml:space="preserve"> gender divide, </w:t>
      </w:r>
      <w:r w:rsidR="00596377">
        <w:t xml:space="preserve">male and female. </w:t>
      </w:r>
      <w:r w:rsidR="00E60DE1">
        <w:t>Formal art in Ancient Egypt is symbolic</w:t>
      </w:r>
      <w:r w:rsidR="00C31BFC">
        <w:t xml:space="preserve"> and coded</w:t>
      </w:r>
      <w:r w:rsidR="00E60DE1">
        <w:t xml:space="preserve"> and is not meant to </w:t>
      </w:r>
      <w:r w:rsidR="00C31BFC">
        <w:t>represent</w:t>
      </w:r>
      <w:r w:rsidR="00E60DE1">
        <w:t xml:space="preserve"> reality but an ideal world, with everything being how it should be. </w:t>
      </w:r>
      <w:r w:rsidR="00C31BFC">
        <w:t xml:space="preserve">By Ancient Egypt art being coded and </w:t>
      </w:r>
      <w:r w:rsidR="0057523B">
        <w:t>symbolic,</w:t>
      </w:r>
      <w:r w:rsidR="00C31BFC">
        <w:t xml:space="preserve"> </w:t>
      </w:r>
      <w:r w:rsidR="00FE7536">
        <w:t xml:space="preserve">it makes it culturally specific to a </w:t>
      </w:r>
      <w:r w:rsidR="0057523B">
        <w:t>period</w:t>
      </w:r>
      <w:r w:rsidR="00FE7536">
        <w:t xml:space="preserve"> and follows specific cultural conventions. </w:t>
      </w:r>
      <w:r w:rsidR="00210C76">
        <w:t xml:space="preserve">This </w:t>
      </w:r>
      <w:r w:rsidR="00681CD3">
        <w:t>amplifies t</w:t>
      </w:r>
      <w:r w:rsidR="00C9034D">
        <w:t xml:space="preserve">he </w:t>
      </w:r>
      <w:r w:rsidR="00DD27FA">
        <w:t xml:space="preserve">Ancient Egyptians </w:t>
      </w:r>
      <w:r w:rsidR="00364406">
        <w:t xml:space="preserve">notions </w:t>
      </w:r>
      <w:r w:rsidR="00C9034D">
        <w:t>of sex and gender when Sennefer and Meryt</w:t>
      </w:r>
      <w:r w:rsidR="00A84B75">
        <w:t xml:space="preserve"> </w:t>
      </w:r>
      <w:r w:rsidR="00DD27FA">
        <w:t>were alive</w:t>
      </w:r>
      <w:r w:rsidR="00EA3FCD">
        <w:t>, the New Kingdom</w:t>
      </w:r>
      <w:r w:rsidR="00210C76">
        <w:t xml:space="preserve">. The difference of skin colour </w:t>
      </w:r>
      <w:r w:rsidR="00ED72D7">
        <w:t xml:space="preserve">implies that Ancient </w:t>
      </w:r>
      <w:r w:rsidR="00EE7C79">
        <w:t>Egypt had a distinct binary gender system</w:t>
      </w:r>
      <w:r w:rsidR="008556DC">
        <w:t>.</w:t>
      </w:r>
      <w:r w:rsidR="00ED72D7">
        <w:t xml:space="preserve"> Scholar, Gay Robins-</w:t>
      </w:r>
      <w:r w:rsidR="00ED72D7" w:rsidRPr="00ED72D7">
        <w:t xml:space="preserve"> </w:t>
      </w:r>
      <w:r w:rsidR="00CB5615" w:rsidRPr="00CB5615">
        <w:rPr>
          <w:i/>
          <w:iCs/>
        </w:rPr>
        <w:t>A</w:t>
      </w:r>
      <w:r w:rsidR="00ED72D7" w:rsidRPr="00CB5615">
        <w:rPr>
          <w:i/>
          <w:iCs/>
        </w:rPr>
        <w:t xml:space="preserve">rt </w:t>
      </w:r>
      <w:r w:rsidR="00CB5615" w:rsidRPr="00CB5615">
        <w:rPr>
          <w:i/>
          <w:iCs/>
        </w:rPr>
        <w:t>H</w:t>
      </w:r>
      <w:r w:rsidR="00ED72D7" w:rsidRPr="00CB5615">
        <w:rPr>
          <w:i/>
          <w:iCs/>
        </w:rPr>
        <w:t>istorian</w:t>
      </w:r>
      <w:r w:rsidR="00CB5615" w:rsidRPr="00CB5615">
        <w:rPr>
          <w:i/>
          <w:iCs/>
        </w:rPr>
        <w:t xml:space="preserve">, </w:t>
      </w:r>
      <w:r w:rsidR="00ED72D7" w:rsidRPr="00CB5615">
        <w:rPr>
          <w:i/>
          <w:iCs/>
        </w:rPr>
        <w:t>formerly the Samuel Candler Dobbs Professor of Art History at Emory University</w:t>
      </w:r>
      <w:r w:rsidR="00CB5615">
        <w:rPr>
          <w:i/>
          <w:iCs/>
        </w:rPr>
        <w:t xml:space="preserve"> </w:t>
      </w:r>
      <w:r w:rsidR="00CB5615">
        <w:t>s</w:t>
      </w:r>
      <w:r w:rsidR="00335BB6">
        <w:t>tates</w:t>
      </w:r>
      <w:r w:rsidR="00CB5615">
        <w:t xml:space="preserve"> in </w:t>
      </w:r>
      <w:r w:rsidR="00CB5615" w:rsidRPr="00CB5615">
        <w:t>Matić</w:t>
      </w:r>
      <w:r w:rsidR="009E7D8A">
        <w:t xml:space="preserve">’s paper, </w:t>
      </w:r>
    </w:p>
    <w:p w14:paraId="35EC8A11" w14:textId="4278F75C" w:rsidR="00ED72D7" w:rsidRDefault="003679D1" w:rsidP="003679D1">
      <w:pPr>
        <w:ind w:left="720"/>
      </w:pPr>
      <w:r>
        <w:t>M</w:t>
      </w:r>
      <w:r w:rsidR="009E7D8A" w:rsidRPr="009E7D8A">
        <w:t>en and women are</w:t>
      </w:r>
      <w:r w:rsidR="009E7D8A">
        <w:t xml:space="preserve"> </w:t>
      </w:r>
      <w:r w:rsidR="009E7D8A" w:rsidRPr="009E7D8A">
        <w:t>consistently portrayed diﬀerently, with red skin for men and</w:t>
      </w:r>
      <w:r w:rsidR="009E7D8A">
        <w:t xml:space="preserve"> </w:t>
      </w:r>
      <w:r w:rsidR="009E7D8A" w:rsidRPr="009E7D8A">
        <w:t xml:space="preserve">yellow for women, hidden genitals for men and outlined genitals for women, active roles for men, passive roles for women, and a status-related canon of proportions and positions </w:t>
      </w:r>
      <w:r w:rsidR="00D8723F">
        <w:t>(</w:t>
      </w:r>
      <w:r w:rsidR="00D8723F" w:rsidRPr="00D8723F">
        <w:t>Matić</w:t>
      </w:r>
      <w:r w:rsidR="00D8723F">
        <w:t>, 2016, p.1)</w:t>
      </w:r>
    </w:p>
    <w:p w14:paraId="20E25F73" w14:textId="69612493" w:rsidR="001720E1" w:rsidRDefault="00AF2B2C" w:rsidP="0058471A">
      <w:r>
        <w:t xml:space="preserve">Robins </w:t>
      </w:r>
      <w:r w:rsidR="002B4E52">
        <w:t xml:space="preserve">statement </w:t>
      </w:r>
      <w:r>
        <w:t xml:space="preserve">highlights that the </w:t>
      </w:r>
      <w:r w:rsidR="000504B5">
        <w:t xml:space="preserve">use of </w:t>
      </w:r>
      <w:r>
        <w:t>Ancient Egypti</w:t>
      </w:r>
      <w:r w:rsidR="000504B5">
        <w:t xml:space="preserve">an art distinguishing between male and female </w:t>
      </w:r>
      <w:r w:rsidR="0049152C">
        <w:t xml:space="preserve">is what society ideally wanted, the differentiation </w:t>
      </w:r>
      <w:r w:rsidR="002B4E52">
        <w:t xml:space="preserve">of male and female due to biological </w:t>
      </w:r>
      <w:r w:rsidR="0057523B">
        <w:t>sex, which</w:t>
      </w:r>
      <w:r w:rsidR="002B4E52">
        <w:t xml:space="preserve"> supports </w:t>
      </w:r>
      <w:r w:rsidR="002B4E52" w:rsidRPr="002B4E52">
        <w:t>Matić’s</w:t>
      </w:r>
      <w:r w:rsidR="002B4E52">
        <w:t xml:space="preserve"> view that </w:t>
      </w:r>
      <w:r w:rsidR="00A90EDF" w:rsidRPr="00A90EDF">
        <w:t>“social identity was most assuredly predicated upon one’s biological sex</w:t>
      </w:r>
      <w:r w:rsidR="00A90EDF">
        <w:t>”</w:t>
      </w:r>
      <w:r w:rsidR="002B4E52">
        <w:t>.</w:t>
      </w:r>
      <w:r w:rsidR="002B4E52" w:rsidRPr="002B4E52">
        <w:t xml:space="preserve"> (Matić, 2016, p.174)</w:t>
      </w:r>
      <w:r w:rsidR="000D1159">
        <w:t xml:space="preserve"> </w:t>
      </w:r>
      <w:r w:rsidR="00A05F9A">
        <w:t>This shows that maybe be gendered representation in Ancient Egypt is similar to today’s conceptions on sex and gender</w:t>
      </w:r>
      <w:r w:rsidR="002B2EC2">
        <w:t xml:space="preserve"> by Ancient Egyptian society being binary </w:t>
      </w:r>
      <w:r w:rsidR="008D5044">
        <w:t xml:space="preserve">which is how modern society is structured. </w:t>
      </w:r>
    </w:p>
    <w:p w14:paraId="30EF4004" w14:textId="616A5972" w:rsidR="008D5044" w:rsidRDefault="00FA42C6" w:rsidP="0058471A">
      <w:r>
        <w:t>To conclude</w:t>
      </w:r>
      <w:r w:rsidR="008D5044">
        <w:t xml:space="preserve">, </w:t>
      </w:r>
      <w:r w:rsidR="00B142B6">
        <w:t xml:space="preserve">it has been very interesting to look at the similarities and differences of gendered representation between Ancient Egypt and modern society. </w:t>
      </w:r>
      <w:r w:rsidR="00B142B6" w:rsidRPr="00B142B6">
        <w:t>Matić</w:t>
      </w:r>
      <w:r w:rsidR="00B142B6">
        <w:t xml:space="preserve"> </w:t>
      </w:r>
      <w:r w:rsidR="00DF241A">
        <w:t xml:space="preserve">puts forward the idea that Ancient Egyptian society was binary and by </w:t>
      </w:r>
      <w:r w:rsidR="0057523B">
        <w:t>this,</w:t>
      </w:r>
      <w:r w:rsidR="00DF241A">
        <w:t xml:space="preserve"> it shows a similarity of gender representation in Ancient Egypt and our society. </w:t>
      </w:r>
      <w:r w:rsidR="00CA366A">
        <w:t>Little’s</w:t>
      </w:r>
      <w:r w:rsidR="00CC745A">
        <w:t xml:space="preserve"> first </w:t>
      </w:r>
      <w:r w:rsidR="00CA366A">
        <w:t>argument portray</w:t>
      </w:r>
      <w:r w:rsidR="00CC745A">
        <w:t>s</w:t>
      </w:r>
      <w:r w:rsidR="00CA366A">
        <w:t xml:space="preserve"> that</w:t>
      </w:r>
      <w:r w:rsidR="009F5D3D">
        <w:t xml:space="preserve"> </w:t>
      </w:r>
      <w:r w:rsidR="00FC67E9">
        <w:t>gendered representation in Ancient Egypt is not similar to modern conceptions of sex and gender</w:t>
      </w:r>
      <w:r w:rsidR="00CC745A">
        <w:t xml:space="preserve"> but he then goes onto say that due to the nature of gender characteristics, you cannot critically examine gender behaviour between two societies. </w:t>
      </w:r>
      <w:r w:rsidR="009C4EB1">
        <w:t xml:space="preserve">This depletes Little’s argument somewhat but does highlight the importance of historical societal context on sex and gender. </w:t>
      </w:r>
      <w:r w:rsidR="009964CE">
        <w:t>Overall, t</w:t>
      </w:r>
      <w:r w:rsidR="00CC745A">
        <w:t>he</w:t>
      </w:r>
      <w:r w:rsidR="00CA366A">
        <w:t xml:space="preserve"> image of Sennefer and Meryt in the burial chamber of the Theban Tomb, TT96</w:t>
      </w:r>
      <w:r w:rsidR="009956DD">
        <w:t xml:space="preserve"> shows evidence </w:t>
      </w:r>
      <w:r w:rsidR="009C4EB1">
        <w:t xml:space="preserve">that gendered representation in Ancient Egypt is not similar </w:t>
      </w:r>
      <w:r w:rsidR="00CD3373">
        <w:t xml:space="preserve">to modern conceptions of sex and gender. </w:t>
      </w:r>
    </w:p>
    <w:p w14:paraId="00A0586C" w14:textId="77777777" w:rsidR="00D52A06" w:rsidRDefault="00D52A06" w:rsidP="0058471A"/>
    <w:p w14:paraId="36CD9DD8" w14:textId="573AAA33" w:rsidR="00BF7A91" w:rsidRDefault="009B02E2" w:rsidP="0058471A">
      <w:pPr>
        <w:rPr>
          <w:u w:val="single"/>
        </w:rPr>
      </w:pPr>
      <w:r w:rsidRPr="009B02E2">
        <w:rPr>
          <w:u w:val="single"/>
        </w:rPr>
        <w:lastRenderedPageBreak/>
        <w:t xml:space="preserve">Reference List </w:t>
      </w:r>
    </w:p>
    <w:p w14:paraId="7C2576F4" w14:textId="763C12F7" w:rsidR="00591F5A" w:rsidRPr="00DA037E" w:rsidRDefault="00591F5A" w:rsidP="00197E51">
      <w:r w:rsidRPr="00591F5A">
        <w:t>Matić</w:t>
      </w:r>
      <w:r>
        <w:t xml:space="preserve"> (2016) </w:t>
      </w:r>
      <w:r w:rsidRPr="00197E51">
        <w:rPr>
          <w:i/>
          <w:iCs/>
        </w:rPr>
        <w:t>Gender in Ancient Egypt:</w:t>
      </w:r>
      <w:r w:rsidR="00197E51" w:rsidRPr="00197E51">
        <w:rPr>
          <w:i/>
          <w:iCs/>
        </w:rPr>
        <w:t xml:space="preserve"> </w:t>
      </w:r>
      <w:r w:rsidRPr="00197E51">
        <w:rPr>
          <w:i/>
          <w:iCs/>
        </w:rPr>
        <w:t>Nor</w:t>
      </w:r>
      <w:r w:rsidR="00197E51" w:rsidRPr="00197E51">
        <w:rPr>
          <w:i/>
          <w:iCs/>
        </w:rPr>
        <w:t>m</w:t>
      </w:r>
      <w:r w:rsidRPr="00197E51">
        <w:rPr>
          <w:i/>
          <w:iCs/>
        </w:rPr>
        <w:t>s,</w:t>
      </w:r>
      <w:r w:rsidR="00197E51" w:rsidRPr="00197E51">
        <w:rPr>
          <w:i/>
          <w:iCs/>
        </w:rPr>
        <w:t xml:space="preserve"> Ambiguities, and </w:t>
      </w:r>
      <w:r w:rsidR="00096001">
        <w:rPr>
          <w:i/>
          <w:iCs/>
        </w:rPr>
        <w:t>S</w:t>
      </w:r>
      <w:r w:rsidR="00197E51" w:rsidRPr="00197E51">
        <w:rPr>
          <w:i/>
          <w:iCs/>
        </w:rPr>
        <w:t>ensualities</w:t>
      </w:r>
      <w:r w:rsidR="00197E51">
        <w:t xml:space="preserve"> </w:t>
      </w:r>
      <w:r w:rsidR="00931B7F">
        <w:t xml:space="preserve">Available at: </w:t>
      </w:r>
      <w:hyperlink r:id="rId7" w:history="1">
        <w:r w:rsidR="00ED2A39" w:rsidRPr="005E76E3">
          <w:rPr>
            <w:rStyle w:val="Hyperlink"/>
          </w:rPr>
          <w:t>https://www.academia.edu/26817556/Mati%C4%87_Uro%C5%A1_2016_Gender_in_Ancient_Egypt_Norms_Ambiguities_and_Sensualities_Near_Eastern_Archaeology_79_3_174_183</w:t>
        </w:r>
      </w:hyperlink>
      <w:r w:rsidR="00ED2A39">
        <w:t xml:space="preserve"> (Accessed: 1</w:t>
      </w:r>
      <w:r w:rsidR="00ED2A39" w:rsidRPr="00ED2A39">
        <w:rPr>
          <w:vertAlign w:val="superscript"/>
        </w:rPr>
        <w:t>st</w:t>
      </w:r>
      <w:r w:rsidR="00ED2A39">
        <w:t xml:space="preserve"> December 2020) </w:t>
      </w:r>
    </w:p>
    <w:p w14:paraId="4E0A016F" w14:textId="7415D737" w:rsidR="00BF7A91" w:rsidRPr="00BF7A91" w:rsidRDefault="00BF7A91" w:rsidP="0058471A">
      <w:r>
        <w:t xml:space="preserve">Osirisnet </w:t>
      </w:r>
      <w:r w:rsidR="0063465C">
        <w:t xml:space="preserve">(2005) </w:t>
      </w:r>
      <w:r w:rsidR="0063465C" w:rsidRPr="0063465C">
        <w:rPr>
          <w:i/>
          <w:iCs/>
        </w:rPr>
        <w:t>Tombs of Ancient Egypt</w:t>
      </w:r>
      <w:r w:rsidR="0063465C">
        <w:t xml:space="preserve"> </w:t>
      </w:r>
      <w:r>
        <w:t xml:space="preserve">Available at: </w:t>
      </w:r>
      <w:hyperlink r:id="rId8" w:history="1">
        <w:r w:rsidRPr="00753898">
          <w:rPr>
            <w:rStyle w:val="Hyperlink"/>
          </w:rPr>
          <w:t>https://www.osirisnet.net/tombes/nobles/sennefer/e_sennefer_01.htm</w:t>
        </w:r>
      </w:hyperlink>
      <w:r>
        <w:t xml:space="preserve"> (Accessed: 1</w:t>
      </w:r>
      <w:r w:rsidRPr="00BF7A91">
        <w:rPr>
          <w:vertAlign w:val="superscript"/>
        </w:rPr>
        <w:t>st</w:t>
      </w:r>
      <w:r>
        <w:t xml:space="preserve"> December 2020)</w:t>
      </w:r>
    </w:p>
    <w:p w14:paraId="54656AF3" w14:textId="072CA34A" w:rsidR="00E52DA8" w:rsidRDefault="009B02E2" w:rsidP="00E52DA8">
      <w:r>
        <w:t xml:space="preserve">Little, W. </w:t>
      </w:r>
      <w:r w:rsidR="00E11699">
        <w:t xml:space="preserve">(2016) </w:t>
      </w:r>
      <w:r w:rsidR="00E11699" w:rsidRPr="00E11699">
        <w:rPr>
          <w:i/>
          <w:iCs/>
        </w:rPr>
        <w:t>Introduction to Sociology</w:t>
      </w:r>
      <w:r w:rsidR="00E52DA8">
        <w:rPr>
          <w:i/>
          <w:iCs/>
        </w:rPr>
        <w:t xml:space="preserve">: Chapter </w:t>
      </w:r>
      <w:r w:rsidR="0057523B">
        <w:rPr>
          <w:i/>
          <w:iCs/>
        </w:rPr>
        <w:t>12 Available</w:t>
      </w:r>
      <w:r w:rsidR="00E52DA8">
        <w:t xml:space="preserve"> at: </w:t>
      </w:r>
      <w:hyperlink r:id="rId9" w:history="1">
        <w:r w:rsidR="00E52DA8" w:rsidRPr="005E76E3">
          <w:rPr>
            <w:rStyle w:val="Hyperlink"/>
          </w:rPr>
          <w:t>https://moodle.uwtsd.ac.uk/pluginfile.php/440670/mod_resource/content/1/Introduction%20to%20Gender%2C%20Sex%2C%20and%20Sexuality%20-%20W%20Little.pdf?redirect=1</w:t>
        </w:r>
      </w:hyperlink>
      <w:r w:rsidR="00E52DA8">
        <w:t xml:space="preserve"> (Accessed</w:t>
      </w:r>
      <w:r w:rsidR="0057523B">
        <w:t>: 1st</w:t>
      </w:r>
      <w:r w:rsidR="00E52DA8">
        <w:t xml:space="preserve"> December 2020) </w:t>
      </w:r>
    </w:p>
    <w:sectPr w:rsidR="00E52D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C78B5" w14:textId="77777777" w:rsidR="005069E7" w:rsidRDefault="005069E7" w:rsidP="0049152C">
      <w:pPr>
        <w:spacing w:after="0" w:line="240" w:lineRule="auto"/>
      </w:pPr>
      <w:r>
        <w:separator/>
      </w:r>
    </w:p>
  </w:endnote>
  <w:endnote w:type="continuationSeparator" w:id="0">
    <w:p w14:paraId="7EB5B5DA" w14:textId="77777777" w:rsidR="005069E7" w:rsidRDefault="005069E7" w:rsidP="00491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89C1B" w14:textId="77777777" w:rsidR="005069E7" w:rsidRDefault="005069E7" w:rsidP="0049152C">
      <w:pPr>
        <w:spacing w:after="0" w:line="240" w:lineRule="auto"/>
      </w:pPr>
      <w:r>
        <w:separator/>
      </w:r>
    </w:p>
  </w:footnote>
  <w:footnote w:type="continuationSeparator" w:id="0">
    <w:p w14:paraId="6A80E49C" w14:textId="77777777" w:rsidR="005069E7" w:rsidRDefault="005069E7" w:rsidP="004915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71A"/>
    <w:rsid w:val="00023D0F"/>
    <w:rsid w:val="00027CD8"/>
    <w:rsid w:val="000504B5"/>
    <w:rsid w:val="000505B7"/>
    <w:rsid w:val="00071EFC"/>
    <w:rsid w:val="00090AB7"/>
    <w:rsid w:val="00096001"/>
    <w:rsid w:val="000B2B11"/>
    <w:rsid w:val="000C31B7"/>
    <w:rsid w:val="000C5B0C"/>
    <w:rsid w:val="000D1159"/>
    <w:rsid w:val="000D53FC"/>
    <w:rsid w:val="000E6E33"/>
    <w:rsid w:val="0010241E"/>
    <w:rsid w:val="0010457D"/>
    <w:rsid w:val="00112B91"/>
    <w:rsid w:val="001217D4"/>
    <w:rsid w:val="00140BF9"/>
    <w:rsid w:val="00157BA7"/>
    <w:rsid w:val="001720E1"/>
    <w:rsid w:val="00173814"/>
    <w:rsid w:val="00185E4D"/>
    <w:rsid w:val="00197E51"/>
    <w:rsid w:val="001A03AD"/>
    <w:rsid w:val="001C527E"/>
    <w:rsid w:val="001C689B"/>
    <w:rsid w:val="0020644C"/>
    <w:rsid w:val="00210C76"/>
    <w:rsid w:val="00253F1E"/>
    <w:rsid w:val="002612DE"/>
    <w:rsid w:val="00286900"/>
    <w:rsid w:val="00286BEF"/>
    <w:rsid w:val="00287D88"/>
    <w:rsid w:val="002900C9"/>
    <w:rsid w:val="002937D0"/>
    <w:rsid w:val="002A2817"/>
    <w:rsid w:val="002B0D5D"/>
    <w:rsid w:val="002B2184"/>
    <w:rsid w:val="002B2EC2"/>
    <w:rsid w:val="002B4E52"/>
    <w:rsid w:val="002C4C23"/>
    <w:rsid w:val="002C7A41"/>
    <w:rsid w:val="003146CA"/>
    <w:rsid w:val="003342A5"/>
    <w:rsid w:val="00335BB6"/>
    <w:rsid w:val="0035722E"/>
    <w:rsid w:val="00361ABA"/>
    <w:rsid w:val="00364406"/>
    <w:rsid w:val="003647E4"/>
    <w:rsid w:val="003679D1"/>
    <w:rsid w:val="00381D81"/>
    <w:rsid w:val="0038382F"/>
    <w:rsid w:val="00391E19"/>
    <w:rsid w:val="003E2F20"/>
    <w:rsid w:val="003E34CD"/>
    <w:rsid w:val="003E3C31"/>
    <w:rsid w:val="004560C6"/>
    <w:rsid w:val="00466915"/>
    <w:rsid w:val="004835EC"/>
    <w:rsid w:val="0049152C"/>
    <w:rsid w:val="004A3B80"/>
    <w:rsid w:val="004A5116"/>
    <w:rsid w:val="004A7393"/>
    <w:rsid w:val="004B745C"/>
    <w:rsid w:val="004F5DF7"/>
    <w:rsid w:val="004F703E"/>
    <w:rsid w:val="005069E7"/>
    <w:rsid w:val="00512AB7"/>
    <w:rsid w:val="00524E14"/>
    <w:rsid w:val="00532597"/>
    <w:rsid w:val="00535EAB"/>
    <w:rsid w:val="00540F05"/>
    <w:rsid w:val="00542B9C"/>
    <w:rsid w:val="0055228C"/>
    <w:rsid w:val="00557567"/>
    <w:rsid w:val="00562D64"/>
    <w:rsid w:val="0057523B"/>
    <w:rsid w:val="00581D10"/>
    <w:rsid w:val="0058471A"/>
    <w:rsid w:val="00586E69"/>
    <w:rsid w:val="00591F5A"/>
    <w:rsid w:val="00596377"/>
    <w:rsid w:val="005A4A9D"/>
    <w:rsid w:val="005A4C98"/>
    <w:rsid w:val="005B121C"/>
    <w:rsid w:val="005D0563"/>
    <w:rsid w:val="005D2181"/>
    <w:rsid w:val="005D2329"/>
    <w:rsid w:val="005F5A60"/>
    <w:rsid w:val="006174DD"/>
    <w:rsid w:val="00626A93"/>
    <w:rsid w:val="00631914"/>
    <w:rsid w:val="006324DC"/>
    <w:rsid w:val="0063465C"/>
    <w:rsid w:val="006506E5"/>
    <w:rsid w:val="0066590F"/>
    <w:rsid w:val="00676A49"/>
    <w:rsid w:val="00681CD3"/>
    <w:rsid w:val="0069175A"/>
    <w:rsid w:val="006B53BA"/>
    <w:rsid w:val="006D71B3"/>
    <w:rsid w:val="00703DF0"/>
    <w:rsid w:val="007140BA"/>
    <w:rsid w:val="0074142E"/>
    <w:rsid w:val="00744D4F"/>
    <w:rsid w:val="00775475"/>
    <w:rsid w:val="0077562E"/>
    <w:rsid w:val="00784EFF"/>
    <w:rsid w:val="007A1B60"/>
    <w:rsid w:val="007A1C9C"/>
    <w:rsid w:val="007A5D20"/>
    <w:rsid w:val="007B26F3"/>
    <w:rsid w:val="007B3530"/>
    <w:rsid w:val="007C0B08"/>
    <w:rsid w:val="007D585F"/>
    <w:rsid w:val="00803B9A"/>
    <w:rsid w:val="00804289"/>
    <w:rsid w:val="0083550C"/>
    <w:rsid w:val="008556DC"/>
    <w:rsid w:val="00863129"/>
    <w:rsid w:val="00864AF5"/>
    <w:rsid w:val="00886A5C"/>
    <w:rsid w:val="00893AB6"/>
    <w:rsid w:val="008B0DE1"/>
    <w:rsid w:val="008D5044"/>
    <w:rsid w:val="008F2F9C"/>
    <w:rsid w:val="00931B7F"/>
    <w:rsid w:val="00952E2F"/>
    <w:rsid w:val="0095357C"/>
    <w:rsid w:val="009956DD"/>
    <w:rsid w:val="009964CE"/>
    <w:rsid w:val="009B02E2"/>
    <w:rsid w:val="009B31B4"/>
    <w:rsid w:val="009C4EB1"/>
    <w:rsid w:val="009E7A62"/>
    <w:rsid w:val="009E7D8A"/>
    <w:rsid w:val="009F007F"/>
    <w:rsid w:val="009F5D3D"/>
    <w:rsid w:val="009F613D"/>
    <w:rsid w:val="00A0130E"/>
    <w:rsid w:val="00A04999"/>
    <w:rsid w:val="00A05F9A"/>
    <w:rsid w:val="00A374B9"/>
    <w:rsid w:val="00A435CA"/>
    <w:rsid w:val="00A5498D"/>
    <w:rsid w:val="00A55064"/>
    <w:rsid w:val="00A55804"/>
    <w:rsid w:val="00A603BE"/>
    <w:rsid w:val="00A82DE1"/>
    <w:rsid w:val="00A84B75"/>
    <w:rsid w:val="00A90EDF"/>
    <w:rsid w:val="00AB7A4A"/>
    <w:rsid w:val="00AC5226"/>
    <w:rsid w:val="00AE3A81"/>
    <w:rsid w:val="00AF2B2C"/>
    <w:rsid w:val="00AF77E2"/>
    <w:rsid w:val="00B10E74"/>
    <w:rsid w:val="00B111F5"/>
    <w:rsid w:val="00B142B6"/>
    <w:rsid w:val="00B15108"/>
    <w:rsid w:val="00B223E5"/>
    <w:rsid w:val="00B3563D"/>
    <w:rsid w:val="00B40F53"/>
    <w:rsid w:val="00B43EC0"/>
    <w:rsid w:val="00B7201A"/>
    <w:rsid w:val="00B7463D"/>
    <w:rsid w:val="00B85360"/>
    <w:rsid w:val="00B86FED"/>
    <w:rsid w:val="00BB01BB"/>
    <w:rsid w:val="00BC0923"/>
    <w:rsid w:val="00BC5BED"/>
    <w:rsid w:val="00BF7A91"/>
    <w:rsid w:val="00C24DF5"/>
    <w:rsid w:val="00C30482"/>
    <w:rsid w:val="00C31BFC"/>
    <w:rsid w:val="00C60553"/>
    <w:rsid w:val="00C61A3D"/>
    <w:rsid w:val="00C8663E"/>
    <w:rsid w:val="00C9034D"/>
    <w:rsid w:val="00C9760A"/>
    <w:rsid w:val="00CA366A"/>
    <w:rsid w:val="00CB3EA5"/>
    <w:rsid w:val="00CB5615"/>
    <w:rsid w:val="00CB765A"/>
    <w:rsid w:val="00CC745A"/>
    <w:rsid w:val="00CD3373"/>
    <w:rsid w:val="00D022FC"/>
    <w:rsid w:val="00D1473C"/>
    <w:rsid w:val="00D15F94"/>
    <w:rsid w:val="00D2231E"/>
    <w:rsid w:val="00D448A3"/>
    <w:rsid w:val="00D50B8F"/>
    <w:rsid w:val="00D52A06"/>
    <w:rsid w:val="00D61483"/>
    <w:rsid w:val="00D81DB1"/>
    <w:rsid w:val="00D86276"/>
    <w:rsid w:val="00D8723F"/>
    <w:rsid w:val="00DA037E"/>
    <w:rsid w:val="00DA28B4"/>
    <w:rsid w:val="00DB0273"/>
    <w:rsid w:val="00DB55EC"/>
    <w:rsid w:val="00DB7110"/>
    <w:rsid w:val="00DD27FA"/>
    <w:rsid w:val="00DD7D6A"/>
    <w:rsid w:val="00DE0D61"/>
    <w:rsid w:val="00DE0D73"/>
    <w:rsid w:val="00DF241A"/>
    <w:rsid w:val="00E11699"/>
    <w:rsid w:val="00E52DA8"/>
    <w:rsid w:val="00E60DE1"/>
    <w:rsid w:val="00E8647E"/>
    <w:rsid w:val="00EA3FCD"/>
    <w:rsid w:val="00EB195E"/>
    <w:rsid w:val="00EC33FF"/>
    <w:rsid w:val="00ED0E42"/>
    <w:rsid w:val="00ED2A39"/>
    <w:rsid w:val="00ED72D7"/>
    <w:rsid w:val="00EE7C79"/>
    <w:rsid w:val="00EF222D"/>
    <w:rsid w:val="00F24CB8"/>
    <w:rsid w:val="00F37E7A"/>
    <w:rsid w:val="00F40578"/>
    <w:rsid w:val="00F414E4"/>
    <w:rsid w:val="00F50937"/>
    <w:rsid w:val="00F632E9"/>
    <w:rsid w:val="00F934EC"/>
    <w:rsid w:val="00FA42C6"/>
    <w:rsid w:val="00FC67E9"/>
    <w:rsid w:val="00FC68FF"/>
    <w:rsid w:val="00FC74A5"/>
    <w:rsid w:val="00FD66B8"/>
    <w:rsid w:val="00FE0ED8"/>
    <w:rsid w:val="00FE1D2B"/>
    <w:rsid w:val="00FE7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A448"/>
  <w15:chartTrackingRefBased/>
  <w15:docId w15:val="{964060B7-482B-43DD-8C7D-AE9D7F7A7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7A91"/>
    <w:rPr>
      <w:color w:val="0563C1" w:themeColor="hyperlink"/>
      <w:u w:val="single"/>
    </w:rPr>
  </w:style>
  <w:style w:type="character" w:customStyle="1" w:styleId="UnresolvedMention1">
    <w:name w:val="Unresolved Mention1"/>
    <w:basedOn w:val="DefaultParagraphFont"/>
    <w:uiPriority w:val="99"/>
    <w:semiHidden/>
    <w:unhideWhenUsed/>
    <w:rsid w:val="00BF7A91"/>
    <w:rPr>
      <w:color w:val="605E5C"/>
      <w:shd w:val="clear" w:color="auto" w:fill="E1DFDD"/>
    </w:rPr>
  </w:style>
  <w:style w:type="character" w:styleId="FollowedHyperlink">
    <w:name w:val="FollowedHyperlink"/>
    <w:basedOn w:val="DefaultParagraphFont"/>
    <w:uiPriority w:val="99"/>
    <w:semiHidden/>
    <w:unhideWhenUsed/>
    <w:rsid w:val="00E52DA8"/>
    <w:rPr>
      <w:color w:val="954F72" w:themeColor="followedHyperlink"/>
      <w:u w:val="single"/>
    </w:rPr>
  </w:style>
  <w:style w:type="paragraph" w:styleId="Header">
    <w:name w:val="header"/>
    <w:basedOn w:val="Normal"/>
    <w:link w:val="HeaderChar"/>
    <w:uiPriority w:val="99"/>
    <w:unhideWhenUsed/>
    <w:rsid w:val="00491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52C"/>
  </w:style>
  <w:style w:type="paragraph" w:styleId="Footer">
    <w:name w:val="footer"/>
    <w:basedOn w:val="Normal"/>
    <w:link w:val="FooterChar"/>
    <w:uiPriority w:val="99"/>
    <w:unhideWhenUsed/>
    <w:rsid w:val="00491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sirisnet.net/tombes/nobles/sennefer/e_sennefer_01.htm" TargetMode="External"/><Relationship Id="rId3" Type="http://schemas.openxmlformats.org/officeDocument/2006/relationships/settings" Target="settings.xml"/><Relationship Id="rId7" Type="http://schemas.openxmlformats.org/officeDocument/2006/relationships/hyperlink" Target="https://www.academia.edu/26817556/Mati%C4%87_Uro%C5%A1_2016_Gender_in_Ancient_Egypt_Norms_Ambiguities_and_Sensualities_Near_Eastern_Archaeology_79_3_174_18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440670/mod_resource/content/1/Introduction%20to%20Gender%2C%20Sex%2C%20and%20Sexuality%20-%20W%20Little.pdf?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E25AF-20FA-4BB6-A2DC-70C299305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1331</Words>
  <Characters>7591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Ella Harrow</dc:creator>
  <cp:keywords/>
  <dc:description/>
  <cp:lastModifiedBy>Kezia Ella Harrow</cp:lastModifiedBy>
  <cp:revision>2</cp:revision>
  <dcterms:created xsi:type="dcterms:W3CDTF">2020-12-07T12:22:00Z</dcterms:created>
  <dcterms:modified xsi:type="dcterms:W3CDTF">2020-12-07T12:22:00Z</dcterms:modified>
</cp:coreProperties>
</file>