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spacing w:line="480" w:lineRule="auto"/>
        <w:jc w:val="center"/>
        <w:rPr/>
      </w:pPr>
      <w:r w:rsidDel="00000000" w:rsidR="00000000" w:rsidRPr="00000000">
        <w:rPr>
          <w:rtl w:val="0"/>
        </w:rPr>
        <w:t xml:space="preserve">Geoffrey of Monmouth</w:t>
      </w:r>
    </w:p>
    <w:p w:rsidR="00000000" w:rsidDel="00000000" w:rsidP="00000000" w:rsidRDefault="00000000" w:rsidRPr="00000000" w14:paraId="00000002">
      <w:pPr>
        <w:spacing w:line="480" w:lineRule="auto"/>
        <w:jc w:val="center"/>
        <w:rPr/>
      </w:pPr>
      <w:r w:rsidDel="00000000" w:rsidR="00000000" w:rsidRPr="00000000">
        <w:rPr>
          <w:rtl w:val="0"/>
        </w:rPr>
      </w:r>
    </w:p>
    <w:p w:rsidR="00000000" w:rsidDel="00000000" w:rsidP="00000000" w:rsidRDefault="00000000" w:rsidRPr="00000000" w14:paraId="00000003">
      <w:pPr>
        <w:spacing w:line="480" w:lineRule="auto"/>
        <w:rPr/>
      </w:pPr>
      <w:r w:rsidDel="00000000" w:rsidR="00000000" w:rsidRPr="00000000">
        <w:rPr>
          <w:rtl w:val="0"/>
        </w:rPr>
        <w:t xml:space="preserve">Geoffrey of Monmouth </w:t>
      </w:r>
      <w:r w:rsidDel="00000000" w:rsidR="00000000" w:rsidRPr="00000000">
        <w:rPr>
          <w:i w:val="1"/>
          <w:rtl w:val="0"/>
        </w:rPr>
        <w:t xml:space="preserve">(</w:t>
      </w:r>
      <w:r w:rsidDel="00000000" w:rsidR="00000000" w:rsidRPr="00000000">
        <w:rPr>
          <w:rtl w:val="0"/>
        </w:rPr>
        <w:t xml:space="preserve">c. 1095 – c. 1155), also known as </w:t>
      </w:r>
      <w:r w:rsidDel="00000000" w:rsidR="00000000" w:rsidRPr="00000000">
        <w:rPr>
          <w:i w:val="1"/>
          <w:rtl w:val="0"/>
        </w:rPr>
        <w:t xml:space="preserve">Galfridus Artur </w:t>
      </w:r>
      <w:r w:rsidDel="00000000" w:rsidR="00000000" w:rsidRPr="00000000">
        <w:rPr>
          <w:rtl w:val="0"/>
        </w:rPr>
        <w:t xml:space="preserve">(Geoffrey Arthur), was a medieval British clergyman and chronicler best known for his </w:t>
      </w:r>
      <w:r w:rsidDel="00000000" w:rsidR="00000000" w:rsidRPr="00000000">
        <w:rPr>
          <w:i w:val="1"/>
          <w:rtl w:val="0"/>
        </w:rPr>
        <w:t xml:space="preserve">Historia Regum Britanniae (</w:t>
      </w:r>
      <w:r w:rsidDel="00000000" w:rsidR="00000000" w:rsidRPr="00000000">
        <w:rPr>
          <w:rtl w:val="0"/>
        </w:rPr>
        <w:t xml:space="preserve">also </w:t>
      </w:r>
      <w:r w:rsidDel="00000000" w:rsidR="00000000" w:rsidRPr="00000000">
        <w:rPr>
          <w:i w:val="1"/>
          <w:rtl w:val="0"/>
        </w:rPr>
        <w:t xml:space="preserve">De gestis Britonum), </w:t>
      </w:r>
      <w:r w:rsidDel="00000000" w:rsidR="00000000" w:rsidRPr="00000000">
        <w:rPr>
          <w:rtl w:val="0"/>
        </w:rPr>
        <w:t xml:space="preserve">or </w:t>
      </w:r>
      <w:r w:rsidDel="00000000" w:rsidR="00000000" w:rsidRPr="00000000">
        <w:rPr>
          <w:i w:val="1"/>
          <w:rtl w:val="0"/>
        </w:rPr>
        <w:t xml:space="preserve">The History of the Kings of Britain</w:t>
      </w:r>
      <w:r w:rsidDel="00000000" w:rsidR="00000000" w:rsidRPr="00000000">
        <w:rPr>
          <w:rtl w:val="0"/>
        </w:rPr>
        <w:t xml:space="preserve">. Widely read in its day and influential throughout the following centuries, Geoffrey's work contributed to the development of British historiography and introduced the legend of King Arthur to the European imagination.</w:t>
      </w:r>
      <w:r w:rsidDel="00000000" w:rsidR="00000000" w:rsidRPr="00000000">
        <w:rPr>
          <w:vertAlign w:val="superscript"/>
        </w:rPr>
        <w:footnoteReference w:customMarkFollows="0" w:id="0"/>
      </w:r>
      <w:r w:rsidDel="00000000" w:rsidR="00000000" w:rsidRPr="00000000">
        <w:rPr>
          <w:rtl w:val="0"/>
        </w:rPr>
        <w:t xml:space="preserve"> Geoffrey's other works comprise the </w:t>
      </w:r>
      <w:r w:rsidDel="00000000" w:rsidR="00000000" w:rsidRPr="00000000">
        <w:rPr>
          <w:i w:val="1"/>
          <w:rtl w:val="0"/>
        </w:rPr>
        <w:t xml:space="preserve">Prophetie Merlini </w:t>
      </w:r>
      <w:r w:rsidDel="00000000" w:rsidR="00000000" w:rsidRPr="00000000">
        <w:rPr>
          <w:rtl w:val="0"/>
        </w:rPr>
        <w:t xml:space="preserve">(Prophecies of Merlin) and the </w:t>
      </w:r>
      <w:r w:rsidDel="00000000" w:rsidR="00000000" w:rsidRPr="00000000">
        <w:rPr>
          <w:i w:val="1"/>
          <w:rtl w:val="0"/>
        </w:rPr>
        <w:t xml:space="preserve">Vita Merlini </w:t>
      </w:r>
      <w:r w:rsidDel="00000000" w:rsidR="00000000" w:rsidRPr="00000000">
        <w:rPr>
          <w:rtl w:val="0"/>
        </w:rPr>
        <w:t xml:space="preserve">(Life of Merlin).</w:t>
      </w:r>
    </w:p>
    <w:p w:rsidR="00000000" w:rsidDel="00000000" w:rsidP="00000000" w:rsidRDefault="00000000" w:rsidRPr="00000000" w14:paraId="00000004">
      <w:pPr>
        <w:spacing w:line="480" w:lineRule="auto"/>
        <w:rPr/>
      </w:pPr>
      <w:r w:rsidDel="00000000" w:rsidR="00000000" w:rsidRPr="00000000">
        <w:rPr>
          <w:rtl w:val="0"/>
        </w:rPr>
        <w:t xml:space="preserve"> In </w:t>
      </w:r>
      <w:r w:rsidDel="00000000" w:rsidR="00000000" w:rsidRPr="00000000">
        <w:rPr>
          <w:i w:val="1"/>
          <w:rtl w:val="0"/>
        </w:rPr>
        <w:t xml:space="preserve">Historia, </w:t>
      </w:r>
      <w:r w:rsidDel="00000000" w:rsidR="00000000" w:rsidRPr="00000000">
        <w:rPr>
          <w:rtl w:val="0"/>
        </w:rPr>
        <w:t xml:space="preserve">Geoffrey refers to himself as </w:t>
      </w:r>
      <w:r w:rsidDel="00000000" w:rsidR="00000000" w:rsidRPr="00000000">
        <w:rPr>
          <w:i w:val="1"/>
          <w:rtl w:val="0"/>
        </w:rPr>
        <w:t xml:space="preserve">Galfridus Monemutenis</w:t>
      </w:r>
      <w:r w:rsidDel="00000000" w:rsidR="00000000" w:rsidRPr="00000000">
        <w:rPr>
          <w:rtl w:val="0"/>
        </w:rPr>
        <w:t xml:space="preserve"> (Geoffrey of Monmouth) from which a possible birthplace of Monmouth, Wales is inferred. Beyond this, there is little evidence of Geoffrey being Welsh or Welsh-speaking, and most of his life appears to have been spent outside Wales. It has been suggested that Geoffrey's family were Bretons that settled in Monmouth following the Norman Conquest. Geoffrey's contemporaries referred to him as 'Geoffrey Arthur' possibly owing to the subject of his writing.</w:t>
      </w:r>
      <w:r w:rsidDel="00000000" w:rsidR="00000000" w:rsidRPr="00000000">
        <w:rPr>
          <w:vertAlign w:val="superscript"/>
        </w:rPr>
        <w:footnoteReference w:customMarkFollows="0" w:id="1"/>
      </w:r>
      <w:r w:rsidDel="00000000" w:rsidR="00000000" w:rsidRPr="00000000">
        <w:rPr>
          <w:rtl w:val="0"/>
        </w:rPr>
      </w:r>
    </w:p>
    <w:p w:rsidR="00000000" w:rsidDel="00000000" w:rsidP="00000000" w:rsidRDefault="00000000" w:rsidRPr="00000000" w14:paraId="00000005">
      <w:pPr>
        <w:spacing w:line="480" w:lineRule="auto"/>
        <w:rPr/>
      </w:pPr>
      <w:r w:rsidDel="00000000" w:rsidR="00000000" w:rsidRPr="00000000">
        <w:rPr>
          <w:rtl w:val="0"/>
        </w:rPr>
        <w:t xml:space="preserve">Geoffrey's name is first recorded in the charter of Osney Abbey, Oxford, in 1129 and appears on six more charters originating from around Oxford between 1129 and 1151. Geoffrey is often styled </w:t>
      </w:r>
      <w:r w:rsidDel="00000000" w:rsidR="00000000" w:rsidRPr="00000000">
        <w:rPr>
          <w:i w:val="1"/>
          <w:rtl w:val="0"/>
        </w:rPr>
        <w:t xml:space="preserve">magister</w:t>
      </w:r>
      <w:r w:rsidDel="00000000" w:rsidR="00000000" w:rsidRPr="00000000">
        <w:rPr>
          <w:rtl w:val="0"/>
        </w:rPr>
        <w:t xml:space="preserve"> (teacher), indicating a high level of education. Three of the charters are co-signed by Walter, archdeacon of Oxford, whom Geoffrey mentions in the Dedication of </w:t>
      </w:r>
      <w:r w:rsidDel="00000000" w:rsidR="00000000" w:rsidRPr="00000000">
        <w:rPr>
          <w:i w:val="1"/>
          <w:rtl w:val="0"/>
        </w:rPr>
        <w:t xml:space="preserve">Historia. </w:t>
      </w:r>
      <w:r w:rsidDel="00000000" w:rsidR="00000000" w:rsidRPr="00000000">
        <w:rPr>
          <w:rtl w:val="0"/>
        </w:rPr>
        <w:t xml:space="preserve">Geoffrey was probably a secular canon in service to the clergy of Oxford for most of his life. He was ordained as a priest and consecrated as Bishop of St Asaph in February 1152, however there is no evidence of him visiting his see, which at the time was caught up in the conflict between the Anglo-Norman Marcher lords and Madog ap Maredudd of Powys. Geoffrey died sometime between 1154 and 1155 when his successor took office, although the exact date of his death is unknown.</w:t>
      </w:r>
      <w:r w:rsidDel="00000000" w:rsidR="00000000" w:rsidRPr="00000000">
        <w:rPr>
          <w:vertAlign w:val="superscript"/>
        </w:rPr>
        <w:footnoteReference w:customMarkFollows="0" w:id="2"/>
      </w:r>
      <w:r w:rsidDel="00000000" w:rsidR="00000000" w:rsidRPr="00000000">
        <w:rPr>
          <w:rtl w:val="0"/>
        </w:rPr>
      </w:r>
    </w:p>
    <w:p w:rsidR="00000000" w:rsidDel="00000000" w:rsidP="00000000" w:rsidRDefault="00000000" w:rsidRPr="00000000" w14:paraId="00000006">
      <w:pPr>
        <w:spacing w:line="480" w:lineRule="auto"/>
        <w:rPr/>
      </w:pPr>
      <w:r w:rsidDel="00000000" w:rsidR="00000000" w:rsidRPr="00000000">
        <w:rPr>
          <w:i w:val="1"/>
          <w:rtl w:val="0"/>
        </w:rPr>
        <w:t xml:space="preserve">Historia Regum Britanniae</w:t>
      </w:r>
      <w:r w:rsidDel="00000000" w:rsidR="00000000" w:rsidRPr="00000000">
        <w:rPr>
          <w:rtl w:val="0"/>
        </w:rPr>
        <w:t xml:space="preserve"> in its complete form is first mentioned in 1139 when Henry of Huntingdon was shown a copy at Bec monastery in Normandy by Robert of Torigny, and both of them used </w:t>
      </w:r>
      <w:r w:rsidDel="00000000" w:rsidR="00000000" w:rsidRPr="00000000">
        <w:rPr>
          <w:i w:val="1"/>
          <w:rtl w:val="0"/>
        </w:rPr>
        <w:t xml:space="preserve">Historia </w:t>
      </w:r>
      <w:r w:rsidDel="00000000" w:rsidR="00000000" w:rsidRPr="00000000">
        <w:rPr>
          <w:rtl w:val="0"/>
        </w:rPr>
        <w:t xml:space="preserve">as a source for their own writing. Over the following decade, Geoffrey produced several versions, one of which is dedicated to Robert of Gloucester and another to both Robert and Waleran Beaumont (Geoffrey's relationship to these Anglo-Norman lords is unclear, but may be related to scholarly connections between Caen in Normandy and Oxford).</w:t>
      </w:r>
      <w:r w:rsidDel="00000000" w:rsidR="00000000" w:rsidRPr="00000000">
        <w:rPr>
          <w:vertAlign w:val="superscript"/>
        </w:rPr>
        <w:footnoteReference w:customMarkFollows="0" w:id="3"/>
      </w:r>
      <w:r w:rsidDel="00000000" w:rsidR="00000000" w:rsidRPr="00000000">
        <w:rPr>
          <w:rtl w:val="0"/>
        </w:rPr>
        <w:t xml:space="preserve"> By the mid 13th century, </w:t>
      </w:r>
      <w:r w:rsidDel="00000000" w:rsidR="00000000" w:rsidRPr="00000000">
        <w:rPr>
          <w:i w:val="1"/>
          <w:rtl w:val="0"/>
        </w:rPr>
        <w:t xml:space="preserve">Historia </w:t>
      </w:r>
      <w:r w:rsidDel="00000000" w:rsidR="00000000" w:rsidRPr="00000000">
        <w:rPr>
          <w:rtl w:val="0"/>
        </w:rPr>
        <w:t xml:space="preserve">had been translated into Norman, Latin, and Middle English verse as well as Welsh prose.</w:t>
      </w:r>
    </w:p>
    <w:p w:rsidR="00000000" w:rsidDel="00000000" w:rsidP="00000000" w:rsidRDefault="00000000" w:rsidRPr="00000000" w14:paraId="00000007">
      <w:pPr>
        <w:spacing w:line="480" w:lineRule="auto"/>
        <w:ind w:left="283.46456692913387" w:right="283.46456692913387" w:firstLine="0"/>
        <w:rPr/>
      </w:pPr>
      <w:r w:rsidDel="00000000" w:rsidR="00000000" w:rsidRPr="00000000">
        <w:rPr>
          <w:rtl w:val="0"/>
        </w:rPr>
        <w:t xml:space="preserve">Since its release, the </w:t>
      </w:r>
      <w:r w:rsidDel="00000000" w:rsidR="00000000" w:rsidRPr="00000000">
        <w:rPr>
          <w:i w:val="1"/>
          <w:rtl w:val="0"/>
        </w:rPr>
        <w:t xml:space="preserve">De </w:t>
      </w:r>
      <w:r w:rsidDel="00000000" w:rsidR="00000000" w:rsidRPr="00000000">
        <w:rPr>
          <w:i w:val="1"/>
          <w:rtl w:val="0"/>
        </w:rPr>
        <w:t xml:space="preserve">gestis</w:t>
      </w:r>
      <w:r w:rsidDel="00000000" w:rsidR="00000000" w:rsidRPr="00000000">
        <w:rPr>
          <w:i w:val="1"/>
          <w:rtl w:val="0"/>
        </w:rPr>
        <w:t xml:space="preserve"> Britonum </w:t>
      </w:r>
      <w:r w:rsidDel="00000000" w:rsidR="00000000" w:rsidRPr="00000000">
        <w:rPr>
          <w:rtl w:val="0"/>
        </w:rPr>
        <w:t xml:space="preserve">has been defined by its popularity. The work became successful quickly and the material record of its early reception is exceptional in its extent. The count of surviving manuscripts runs to 225 at the moment, and almost 80 of them can be dated to before c.1210.</w:t>
      </w:r>
      <w:r w:rsidDel="00000000" w:rsidR="00000000" w:rsidRPr="00000000">
        <w:rPr>
          <w:vertAlign w:val="superscript"/>
        </w:rPr>
        <w:footnoteReference w:customMarkFollows="0" w:id="4"/>
      </w:r>
      <w:r w:rsidDel="00000000" w:rsidR="00000000" w:rsidRPr="00000000">
        <w:rPr>
          <w:rtl w:val="0"/>
        </w:rPr>
      </w:r>
    </w:p>
    <w:p w:rsidR="00000000" w:rsidDel="00000000" w:rsidP="00000000" w:rsidRDefault="00000000" w:rsidRPr="00000000" w14:paraId="00000008">
      <w:pPr>
        <w:spacing w:line="480" w:lineRule="auto"/>
        <w:rPr/>
      </w:pPr>
      <w:r w:rsidDel="00000000" w:rsidR="00000000" w:rsidRPr="00000000">
        <w:rPr>
          <w:rtl w:val="0"/>
        </w:rPr>
        <w:t xml:space="preserve">In </w:t>
      </w:r>
      <w:r w:rsidDel="00000000" w:rsidR="00000000" w:rsidRPr="00000000">
        <w:rPr>
          <w:i w:val="1"/>
          <w:rtl w:val="0"/>
        </w:rPr>
        <w:t xml:space="preserve">Historia, </w:t>
      </w:r>
      <w:r w:rsidDel="00000000" w:rsidR="00000000" w:rsidRPr="00000000">
        <w:rPr>
          <w:rtl w:val="0"/>
        </w:rPr>
        <w:t xml:space="preserve">Geoffrey claims that much of the text was translated from an unnamed ancient book written in Welsh and given to him by Walter of Oxford. This claim is considered to be fabricated; instead Geoffrey drew on several well-known sources including Bede, Gildas, the </w:t>
      </w:r>
      <w:r w:rsidDel="00000000" w:rsidR="00000000" w:rsidRPr="00000000">
        <w:rPr>
          <w:i w:val="1"/>
          <w:rtl w:val="0"/>
        </w:rPr>
        <w:t xml:space="preserve">Historia Brittonum</w:t>
      </w:r>
      <w:r w:rsidDel="00000000" w:rsidR="00000000" w:rsidRPr="00000000">
        <w:rPr>
          <w:rtl w:val="0"/>
        </w:rPr>
        <w:t xml:space="preserve">, the poems of Taliesin, and the tale of Culhwch and Olwen. It is clear that Geoffrey had access to Welsh genealogies and poetry, however much of the narrative seems to be Geoffrey's own invention.</w:t>
      </w:r>
      <w:r w:rsidDel="00000000" w:rsidR="00000000" w:rsidRPr="00000000">
        <w:rPr>
          <w:vertAlign w:val="superscript"/>
        </w:rPr>
        <w:footnoteReference w:customMarkFollows="0" w:id="5"/>
      </w:r>
      <w:r w:rsidDel="00000000" w:rsidR="00000000" w:rsidRPr="00000000">
        <w:rPr>
          <w:rtl w:val="0"/>
        </w:rPr>
      </w:r>
    </w:p>
    <w:p w:rsidR="00000000" w:rsidDel="00000000" w:rsidP="00000000" w:rsidRDefault="00000000" w:rsidRPr="00000000" w14:paraId="00000009">
      <w:pPr>
        <w:spacing w:line="480" w:lineRule="auto"/>
        <w:rPr/>
      </w:pPr>
      <w:r w:rsidDel="00000000" w:rsidR="00000000" w:rsidRPr="00000000">
        <w:rPr>
          <w:i w:val="1"/>
          <w:rtl w:val="0"/>
        </w:rPr>
        <w:t xml:space="preserve">Historia</w:t>
      </w:r>
      <w:r w:rsidDel="00000000" w:rsidR="00000000" w:rsidRPr="00000000">
        <w:rPr>
          <w:rtl w:val="0"/>
        </w:rPr>
        <w:t xml:space="preserve"> begins with the settlement of Britain by Brutus of Troy, a descendent of Aeneas, and traces the lives of his descendants – introducing the characters of King Bladud and King Leir – through Julius Caesar's invasions, ending with Cadwallader as the last 'King of Britain'. Features of Arthurian legend that would endure for centuries are introduced in </w:t>
      </w:r>
      <w:r w:rsidDel="00000000" w:rsidR="00000000" w:rsidRPr="00000000">
        <w:rPr>
          <w:i w:val="1"/>
          <w:rtl w:val="0"/>
        </w:rPr>
        <w:t xml:space="preserve">Historia</w:t>
      </w:r>
      <w:r w:rsidDel="00000000" w:rsidR="00000000" w:rsidRPr="00000000">
        <w:rPr>
          <w:rtl w:val="0"/>
        </w:rPr>
        <w:t xml:space="preserve">, such as Arthur's clandestine conception, Guinevere's adultery with Mordred, and Arthur's fatal wounding at the Battle of Camlann and passage to the Isle of Avalon.</w:t>
      </w:r>
      <w:r w:rsidDel="00000000" w:rsidR="00000000" w:rsidRPr="00000000">
        <w:rPr>
          <w:vertAlign w:val="superscript"/>
        </w:rPr>
        <w:footnoteReference w:customMarkFollows="0" w:id="6"/>
      </w:r>
      <w:r w:rsidDel="00000000" w:rsidR="00000000" w:rsidRPr="00000000">
        <w:rPr>
          <w:rtl w:val="0"/>
        </w:rPr>
      </w:r>
    </w:p>
    <w:p w:rsidR="00000000" w:rsidDel="00000000" w:rsidP="00000000" w:rsidRDefault="00000000" w:rsidRPr="00000000" w14:paraId="0000000A">
      <w:pPr>
        <w:spacing w:line="480" w:lineRule="auto"/>
        <w:rPr/>
      </w:pPr>
      <w:r w:rsidDel="00000000" w:rsidR="00000000" w:rsidRPr="00000000">
        <w:rPr>
          <w:rtl w:val="0"/>
        </w:rPr>
        <w:t xml:space="preserve">The historicity of the work was widely accepted, and it was included in histories as late as the 16th century. However, modern scholars consider </w:t>
      </w:r>
      <w:r w:rsidDel="00000000" w:rsidR="00000000" w:rsidRPr="00000000">
        <w:rPr>
          <w:i w:val="1"/>
          <w:rtl w:val="0"/>
        </w:rPr>
        <w:t xml:space="preserve">Historia </w:t>
      </w:r>
      <w:r w:rsidDel="00000000" w:rsidR="00000000" w:rsidRPr="00000000">
        <w:rPr>
          <w:rtl w:val="0"/>
        </w:rPr>
        <w:t xml:space="preserve">to be largely fabricated, with even the few verifiable events being described inaccurately. Geoffrey's work nonetheless 'forms the most significant milestone in the development of Arthurian literature'</w:t>
      </w:r>
      <w:r w:rsidDel="00000000" w:rsidR="00000000" w:rsidRPr="00000000">
        <w:rPr>
          <w:vertAlign w:val="superscript"/>
        </w:rPr>
        <w:footnoteReference w:customMarkFollows="0" w:id="7"/>
      </w:r>
      <w:r w:rsidDel="00000000" w:rsidR="00000000" w:rsidRPr="00000000">
        <w:rPr>
          <w:rtl w:val="0"/>
        </w:rPr>
        <w:t xml:space="preserve"> and occupies a central place in the Matter of Britain.</w:t>
      </w:r>
    </w:p>
    <w:p w:rsidR="00000000" w:rsidDel="00000000" w:rsidP="00000000" w:rsidRDefault="00000000" w:rsidRPr="00000000" w14:paraId="0000000B">
      <w:pPr>
        <w:spacing w:line="480" w:lineRule="auto"/>
        <w:rPr/>
      </w:pPr>
      <w:r w:rsidDel="00000000" w:rsidR="00000000" w:rsidRPr="00000000">
        <w:rPr>
          <w:rtl w:val="0"/>
        </w:rPr>
      </w:r>
    </w:p>
    <w:p w:rsidR="00000000" w:rsidDel="00000000" w:rsidP="00000000" w:rsidRDefault="00000000" w:rsidRPr="00000000" w14:paraId="0000000C">
      <w:pPr>
        <w:spacing w:line="480" w:lineRule="auto"/>
        <w:rPr/>
      </w:pPr>
      <w:r w:rsidDel="00000000" w:rsidR="00000000" w:rsidRPr="00000000">
        <w:rPr>
          <w:rtl w:val="0"/>
        </w:rPr>
      </w:r>
    </w:p>
    <w:p w:rsidR="00000000" w:rsidDel="00000000" w:rsidP="00000000" w:rsidRDefault="00000000" w:rsidRPr="00000000" w14:paraId="0000000D">
      <w:pPr>
        <w:spacing w:line="480" w:lineRule="auto"/>
        <w:rPr/>
      </w:pPr>
      <w:r w:rsidDel="00000000" w:rsidR="00000000" w:rsidRPr="00000000">
        <w:rPr>
          <w:rtl w:val="0"/>
        </w:rPr>
      </w:r>
    </w:p>
    <w:p w:rsidR="00000000" w:rsidDel="00000000" w:rsidP="00000000" w:rsidRDefault="00000000" w:rsidRPr="00000000" w14:paraId="0000000E">
      <w:pPr>
        <w:spacing w:line="480" w:lineRule="auto"/>
        <w:rPr/>
      </w:pPr>
      <w:r w:rsidDel="00000000" w:rsidR="00000000" w:rsidRPr="00000000">
        <w:rPr>
          <w:rtl w:val="0"/>
        </w:rPr>
        <w:t xml:space="preserve"> </w:t>
      </w:r>
    </w:p>
    <w:p w:rsidR="00000000" w:rsidDel="00000000" w:rsidP="00000000" w:rsidRDefault="00000000" w:rsidRPr="00000000" w14:paraId="0000000F">
      <w:pPr>
        <w:spacing w:line="480" w:lineRule="auto"/>
        <w:rPr/>
      </w:pPr>
      <w:r w:rsidDel="00000000" w:rsidR="00000000" w:rsidRPr="00000000">
        <w:rPr>
          <w:rtl w:val="0"/>
        </w:rPr>
      </w:r>
    </w:p>
    <w:p w:rsidR="00000000" w:rsidDel="00000000" w:rsidP="00000000" w:rsidRDefault="00000000" w:rsidRPr="00000000" w14:paraId="00000010">
      <w:pPr>
        <w:spacing w:line="480" w:lineRule="auto"/>
        <w:rPr/>
      </w:pPr>
      <w:r w:rsidDel="00000000" w:rsidR="00000000" w:rsidRPr="00000000">
        <w:rPr>
          <w:rtl w:val="0"/>
        </w:rPr>
      </w:r>
    </w:p>
    <w:p w:rsidR="00000000" w:rsidDel="00000000" w:rsidP="00000000" w:rsidRDefault="00000000" w:rsidRPr="00000000" w14:paraId="00000011">
      <w:pPr>
        <w:spacing w:line="480" w:lineRule="auto"/>
        <w:rPr/>
      </w:pPr>
      <w:r w:rsidDel="00000000" w:rsidR="00000000" w:rsidRPr="00000000">
        <w:rPr>
          <w:rtl w:val="0"/>
        </w:rPr>
      </w:r>
    </w:p>
    <w:p w:rsidR="00000000" w:rsidDel="00000000" w:rsidP="00000000" w:rsidRDefault="00000000" w:rsidRPr="00000000" w14:paraId="00000012">
      <w:pPr>
        <w:spacing w:line="480" w:lineRule="auto"/>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t xml:space="preserve">Reference List</w:t>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ind w:left="0" w:firstLine="0"/>
        <w:rPr>
          <w:highlight w:val="white"/>
        </w:rPr>
      </w:pPr>
      <w:r w:rsidDel="00000000" w:rsidR="00000000" w:rsidRPr="00000000">
        <w:rPr>
          <w:rtl w:val="0"/>
        </w:rPr>
      </w:r>
    </w:p>
    <w:p w:rsidR="00000000" w:rsidDel="00000000" w:rsidP="00000000" w:rsidRDefault="00000000" w:rsidRPr="00000000" w14:paraId="00000016">
      <w:pPr>
        <w:ind w:left="283.46456692913387" w:hanging="283.46456692913387"/>
        <w:rPr>
          <w:highlight w:val="white"/>
        </w:rPr>
      </w:pPr>
      <w:r w:rsidDel="00000000" w:rsidR="00000000" w:rsidRPr="00000000">
        <w:rPr>
          <w:highlight w:val="white"/>
          <w:rtl w:val="0"/>
        </w:rPr>
        <w:t xml:space="preserve">Crick, J. C., </w:t>
      </w:r>
      <w:r w:rsidDel="00000000" w:rsidR="00000000" w:rsidRPr="00000000">
        <w:rPr>
          <w:i w:val="1"/>
          <w:highlight w:val="white"/>
          <w:rtl w:val="0"/>
        </w:rPr>
        <w:t xml:space="preserve">Monmouth, Geoffrey of [Galfridus Arturus] (d. 1154/5), bishop of St Asaph and historian.</w:t>
      </w:r>
      <w:r w:rsidDel="00000000" w:rsidR="00000000" w:rsidRPr="00000000">
        <w:rPr>
          <w:highlight w:val="white"/>
          <w:rtl w:val="0"/>
        </w:rPr>
        <w:t xml:space="preserve">, Oxford Dictionary of National Biography.  (Oxford University Press, September 23 2004), &lt;</w:t>
      </w:r>
      <w:hyperlink r:id="rId7">
        <w:r w:rsidDel="00000000" w:rsidR="00000000" w:rsidRPr="00000000">
          <w:rPr>
            <w:color w:val="1155cc"/>
            <w:highlight w:val="white"/>
            <w:u w:val="single"/>
            <w:rtl w:val="0"/>
          </w:rPr>
          <w:t xml:space="preserve">https://www.oxforddnb.com/view/10.1093/ref:odnb/9780198614128.001.0001/odnb-9780198614128-e-10530</w:t>
        </w:r>
      </w:hyperlink>
      <w:r w:rsidDel="00000000" w:rsidR="00000000" w:rsidRPr="00000000">
        <w:rPr>
          <w:highlight w:val="white"/>
          <w:rtl w:val="0"/>
        </w:rPr>
        <w:t xml:space="preserve">&gt; [accessed 27 October 2024]</w:t>
      </w:r>
      <w:r w:rsidDel="00000000" w:rsidR="00000000" w:rsidRPr="00000000">
        <w:rPr>
          <w:rtl w:val="0"/>
        </w:rPr>
      </w:r>
    </w:p>
    <w:p w:rsidR="00000000" w:rsidDel="00000000" w:rsidP="00000000" w:rsidRDefault="00000000" w:rsidRPr="00000000" w14:paraId="00000017">
      <w:pPr>
        <w:ind w:left="283.46456692913387" w:hanging="283.46456692913387"/>
        <w:rPr>
          <w:highlight w:val="white"/>
        </w:rPr>
      </w:pPr>
      <w:r w:rsidDel="00000000" w:rsidR="00000000" w:rsidRPr="00000000">
        <w:rPr>
          <w:rtl w:val="0"/>
        </w:rPr>
      </w:r>
    </w:p>
    <w:p w:rsidR="00000000" w:rsidDel="00000000" w:rsidP="00000000" w:rsidRDefault="00000000" w:rsidRPr="00000000" w14:paraId="00000018">
      <w:pPr>
        <w:ind w:left="283.46456692913387" w:hanging="283.46456692913387"/>
        <w:rPr>
          <w:highlight w:val="white"/>
        </w:rPr>
      </w:pPr>
      <w:r w:rsidDel="00000000" w:rsidR="00000000" w:rsidRPr="00000000">
        <w:rPr>
          <w:highlight w:val="white"/>
          <w:rtl w:val="0"/>
        </w:rPr>
        <w:t xml:space="preserve">Foster, Idris Lewyn, </w:t>
      </w:r>
      <w:r w:rsidDel="00000000" w:rsidR="00000000" w:rsidRPr="00000000">
        <w:rPr>
          <w:highlight w:val="white"/>
          <w:rtl w:val="0"/>
        </w:rPr>
        <w:t xml:space="preserve">Dictionary of Welsh Biography, </w:t>
      </w:r>
      <w:r w:rsidDel="00000000" w:rsidR="00000000" w:rsidRPr="00000000">
        <w:rPr>
          <w:i w:val="1"/>
          <w:highlight w:val="white"/>
          <w:rtl w:val="0"/>
        </w:rPr>
        <w:t xml:space="preserve">GEOFFREY of MONMOUTH (1090? - 1155), or Galfridus (Gaufridus) Artur, or Galfridus (Gaufridus) Monemutensis, bishop of St Asaph and chronicler</w:t>
      </w:r>
      <w:r w:rsidDel="00000000" w:rsidR="00000000" w:rsidRPr="00000000">
        <w:rPr>
          <w:highlight w:val="white"/>
          <w:rtl w:val="0"/>
        </w:rPr>
        <w:t xml:space="preserve"> (1959), &lt;</w:t>
      </w:r>
      <w:hyperlink r:id="rId8">
        <w:r w:rsidDel="00000000" w:rsidR="00000000" w:rsidRPr="00000000">
          <w:rPr>
            <w:color w:val="1155cc"/>
            <w:highlight w:val="white"/>
            <w:u w:val="single"/>
            <w:rtl w:val="0"/>
          </w:rPr>
          <w:t xml:space="preserve">https://biography.wales/article/s-SIEF-OFY-1090</w:t>
        </w:r>
      </w:hyperlink>
      <w:r w:rsidDel="00000000" w:rsidR="00000000" w:rsidRPr="00000000">
        <w:rPr>
          <w:highlight w:val="white"/>
          <w:rtl w:val="0"/>
        </w:rPr>
        <w:t xml:space="preserve">&gt; [accessed October 24th 2024]</w:t>
      </w:r>
    </w:p>
    <w:p w:rsidR="00000000" w:rsidDel="00000000" w:rsidP="00000000" w:rsidRDefault="00000000" w:rsidRPr="00000000" w14:paraId="00000019">
      <w:pPr>
        <w:ind w:left="0" w:firstLine="0"/>
        <w:rPr>
          <w:highlight w:val="white"/>
        </w:rPr>
      </w:pPr>
      <w:r w:rsidDel="00000000" w:rsidR="00000000" w:rsidRPr="00000000">
        <w:rPr>
          <w:rtl w:val="0"/>
        </w:rPr>
      </w:r>
    </w:p>
    <w:p w:rsidR="00000000" w:rsidDel="00000000" w:rsidP="00000000" w:rsidRDefault="00000000" w:rsidRPr="00000000" w14:paraId="0000001A">
      <w:pPr>
        <w:ind w:left="283.46456692913387" w:hanging="283.46456692913387"/>
        <w:rPr>
          <w:highlight w:val="white"/>
        </w:rPr>
      </w:pPr>
      <w:r w:rsidDel="00000000" w:rsidR="00000000" w:rsidRPr="00000000">
        <w:rPr>
          <w:highlight w:val="white"/>
          <w:rtl w:val="0"/>
        </w:rPr>
        <w:t xml:space="preserve">Geoffrey of Monmouth, </w:t>
      </w:r>
      <w:r w:rsidDel="00000000" w:rsidR="00000000" w:rsidRPr="00000000">
        <w:rPr>
          <w:i w:val="1"/>
          <w:highlight w:val="white"/>
          <w:rtl w:val="0"/>
        </w:rPr>
        <w:t xml:space="preserve">The History of the Kings of Britain</w:t>
      </w:r>
      <w:r w:rsidDel="00000000" w:rsidR="00000000" w:rsidRPr="00000000">
        <w:rPr>
          <w:highlight w:val="white"/>
          <w:rtl w:val="0"/>
        </w:rPr>
        <w:t xml:space="preserve">, trans. by Lewis Thorpe (London: Penguin Group, 1966)</w:t>
      </w:r>
      <w:r w:rsidDel="00000000" w:rsidR="00000000" w:rsidRPr="00000000">
        <w:rPr>
          <w:rtl w:val="0"/>
        </w:rPr>
      </w:r>
    </w:p>
    <w:p w:rsidR="00000000" w:rsidDel="00000000" w:rsidP="00000000" w:rsidRDefault="00000000" w:rsidRPr="00000000" w14:paraId="0000001B">
      <w:pPr>
        <w:ind w:left="283.46456692913387" w:hanging="283.46456692913387"/>
        <w:rPr>
          <w:highlight w:val="white"/>
        </w:rPr>
      </w:pPr>
      <w:r w:rsidDel="00000000" w:rsidR="00000000" w:rsidRPr="00000000">
        <w:rPr>
          <w:rtl w:val="0"/>
        </w:rPr>
      </w:r>
    </w:p>
    <w:p w:rsidR="00000000" w:rsidDel="00000000" w:rsidP="00000000" w:rsidRDefault="00000000" w:rsidRPr="00000000" w14:paraId="0000001C">
      <w:pPr>
        <w:ind w:left="283.46456692913387" w:hanging="283.46456692913387"/>
        <w:rPr>
          <w:highlight w:val="white"/>
        </w:rPr>
      </w:pPr>
      <w:r w:rsidDel="00000000" w:rsidR="00000000" w:rsidRPr="00000000">
        <w:rPr>
          <w:highlight w:val="white"/>
          <w:rtl w:val="0"/>
        </w:rPr>
        <w:t xml:space="preserve">Jankulak, Karen, </w:t>
      </w:r>
      <w:r w:rsidDel="00000000" w:rsidR="00000000" w:rsidRPr="00000000">
        <w:rPr>
          <w:i w:val="1"/>
          <w:highlight w:val="white"/>
          <w:rtl w:val="0"/>
        </w:rPr>
        <w:t xml:space="preserve">Geoffrey of Monmouth</w:t>
      </w:r>
      <w:r w:rsidDel="00000000" w:rsidR="00000000" w:rsidRPr="00000000">
        <w:rPr>
          <w:highlight w:val="white"/>
          <w:rtl w:val="0"/>
        </w:rPr>
        <w:t xml:space="preserve"> (Cardiff: University of Wales Press, 2010)</w:t>
      </w:r>
    </w:p>
    <w:p w:rsidR="00000000" w:rsidDel="00000000" w:rsidP="00000000" w:rsidRDefault="00000000" w:rsidRPr="00000000" w14:paraId="0000001D">
      <w:pPr>
        <w:ind w:left="283.46456692913387" w:hanging="283.46456692913387"/>
        <w:rPr>
          <w:highlight w:val="white"/>
        </w:rPr>
      </w:pPr>
      <w:r w:rsidDel="00000000" w:rsidR="00000000" w:rsidRPr="00000000">
        <w:rPr>
          <w:rtl w:val="0"/>
        </w:rPr>
      </w:r>
    </w:p>
    <w:p w:rsidR="00000000" w:rsidDel="00000000" w:rsidP="00000000" w:rsidRDefault="00000000" w:rsidRPr="00000000" w14:paraId="0000001E">
      <w:pPr>
        <w:ind w:left="283.46456692913387" w:hanging="283.46456692913387"/>
        <w:rPr>
          <w:highlight w:val="white"/>
        </w:rPr>
      </w:pPr>
      <w:r w:rsidDel="00000000" w:rsidR="00000000" w:rsidRPr="00000000">
        <w:rPr>
          <w:highlight w:val="white"/>
          <w:rtl w:val="0"/>
        </w:rPr>
        <w:t xml:space="preserve">Padel, O. J., </w:t>
      </w:r>
      <w:r w:rsidDel="00000000" w:rsidR="00000000" w:rsidRPr="00000000">
        <w:rPr>
          <w:i w:val="1"/>
          <w:highlight w:val="white"/>
          <w:rtl w:val="0"/>
        </w:rPr>
        <w:t xml:space="preserve">Arthur in Medieval Welsh Literature</w:t>
      </w:r>
      <w:r w:rsidDel="00000000" w:rsidR="00000000" w:rsidRPr="00000000">
        <w:rPr>
          <w:highlight w:val="white"/>
          <w:rtl w:val="0"/>
        </w:rPr>
        <w:t xml:space="preserve">, 2nd ed. (Cardiff: University of Wales Press, 2013)</w:t>
      </w:r>
    </w:p>
    <w:p w:rsidR="00000000" w:rsidDel="00000000" w:rsidP="00000000" w:rsidRDefault="00000000" w:rsidRPr="00000000" w14:paraId="0000001F">
      <w:pPr>
        <w:ind w:left="283.46456692913387" w:hanging="283.46456692913387"/>
        <w:rPr>
          <w:highlight w:val="white"/>
        </w:rPr>
      </w:pPr>
      <w:r w:rsidDel="00000000" w:rsidR="00000000" w:rsidRPr="00000000">
        <w:rPr>
          <w:rtl w:val="0"/>
        </w:rPr>
      </w:r>
    </w:p>
    <w:p w:rsidR="00000000" w:rsidDel="00000000" w:rsidP="00000000" w:rsidRDefault="00000000" w:rsidRPr="00000000" w14:paraId="00000020">
      <w:pPr>
        <w:ind w:left="283.46456692913387" w:hanging="283.46456692913387"/>
        <w:rPr/>
      </w:pPr>
      <w:r w:rsidDel="00000000" w:rsidR="00000000" w:rsidRPr="00000000">
        <w:rPr>
          <w:highlight w:val="white"/>
          <w:rtl w:val="0"/>
        </w:rPr>
        <w:t xml:space="preserve">Smith, Joshua Byron, and Georgia Henley, </w:t>
      </w:r>
      <w:r w:rsidDel="00000000" w:rsidR="00000000" w:rsidRPr="00000000">
        <w:rPr>
          <w:i w:val="1"/>
          <w:highlight w:val="white"/>
          <w:rtl w:val="0"/>
        </w:rPr>
        <w:t xml:space="preserve">A Companion to Geoffrey of Monmouth</w:t>
      </w:r>
      <w:r w:rsidDel="00000000" w:rsidR="00000000" w:rsidRPr="00000000">
        <w:rPr>
          <w:highlight w:val="white"/>
          <w:rtl w:val="0"/>
        </w:rPr>
        <w:t xml:space="preserve">, 1st ed. (Leiden, The Netherlands: Koninklijke Brill NV, 2020)</w:t>
      </w:r>
      <w:r w:rsidDel="00000000" w:rsidR="00000000" w:rsidRPr="00000000">
        <w:rPr>
          <w:rtl w:val="0"/>
        </w:rPr>
      </w:r>
    </w:p>
    <w:sectPr>
      <w:headerReference r:id="rId9" w:type="default"/>
      <w:headerReference r:id="rId10" w:type="first"/>
      <w:footerReference r:id="rId11" w:type="first"/>
      <w:pgSz w:h="15840" w:w="12240" w:orient="portrait"/>
      <w:pgMar w:bottom="1440.0000000000002" w:top="1440.0000000000002" w:left="1440.0000000000002" w:right="1440.0000000000002"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7">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Crick, J. C., </w:t>
      </w:r>
      <w:r w:rsidDel="00000000" w:rsidR="00000000" w:rsidRPr="00000000">
        <w:rPr>
          <w:i w:val="1"/>
          <w:sz w:val="20"/>
          <w:szCs w:val="20"/>
          <w:rtl w:val="0"/>
        </w:rPr>
        <w:t xml:space="preserve">Monmouth, Geoffrey of [Galfridus Arturus] (d. 1154/5), bishop of St Asaph and historian.</w:t>
      </w:r>
      <w:r w:rsidDel="00000000" w:rsidR="00000000" w:rsidRPr="00000000">
        <w:rPr>
          <w:sz w:val="20"/>
          <w:szCs w:val="20"/>
          <w:rtl w:val="0"/>
        </w:rPr>
        <w:t xml:space="preserve">, Oxford Dictionary of National Biography.  (Oxford University Press, September 23 2004), &lt;https://www.oxforddnb.com/view/10.1093/ref:odnb/9780198614128.001.0001/odnb-9780198614128-e-10530&gt; [accessed 27 October 2024].</w:t>
      </w:r>
    </w:p>
  </w:footnote>
  <w:footnote w:id="1">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Jankulak, Karen,</w:t>
      </w:r>
      <w:r w:rsidDel="00000000" w:rsidR="00000000" w:rsidRPr="00000000">
        <w:rPr>
          <w:i w:val="1"/>
          <w:sz w:val="20"/>
          <w:szCs w:val="20"/>
          <w:rtl w:val="0"/>
        </w:rPr>
        <w:t xml:space="preserve"> Geoffrey of Monmouth</w:t>
      </w:r>
      <w:r w:rsidDel="00000000" w:rsidR="00000000" w:rsidRPr="00000000">
        <w:rPr>
          <w:sz w:val="20"/>
          <w:szCs w:val="20"/>
          <w:rtl w:val="0"/>
        </w:rPr>
        <w:t xml:space="preserve"> (Cardiff: University of Wales Press, 2010), pp. 10–11.</w:t>
      </w:r>
    </w:p>
    <w:p w:rsidR="00000000" w:rsidDel="00000000" w:rsidP="00000000" w:rsidRDefault="00000000" w:rsidRPr="00000000" w14:paraId="0000002A">
      <w:pPr>
        <w:spacing w:line="240" w:lineRule="auto"/>
        <w:rPr>
          <w:sz w:val="20"/>
          <w:szCs w:val="20"/>
        </w:rPr>
      </w:pPr>
      <w:r w:rsidDel="00000000" w:rsidR="00000000" w:rsidRPr="00000000">
        <w:rPr>
          <w:rtl w:val="0"/>
        </w:rPr>
      </w:r>
    </w:p>
  </w:footnote>
  <w:footnote w:id="2">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 w:id="6">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 J. Padel, </w:t>
      </w:r>
      <w:r w:rsidDel="00000000" w:rsidR="00000000" w:rsidRPr="00000000">
        <w:rPr>
          <w:i w:val="1"/>
          <w:sz w:val="20"/>
          <w:szCs w:val="20"/>
          <w:rtl w:val="0"/>
        </w:rPr>
        <w:t xml:space="preserve">Arthur in Medieval Welsh Literature</w:t>
      </w:r>
      <w:r w:rsidDel="00000000" w:rsidR="00000000" w:rsidRPr="00000000">
        <w:rPr>
          <w:sz w:val="20"/>
          <w:szCs w:val="20"/>
          <w:rtl w:val="0"/>
        </w:rPr>
        <w:t xml:space="preserve">, 2nd ed. (Cardiff: University of Wales Press, 2013), p. 57.</w:t>
      </w:r>
    </w:p>
  </w:footnote>
  <w:footnote w:id="7">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r w:rsidDel="00000000" w:rsidR="00000000" w:rsidRPr="00000000">
        <w:rPr>
          <w:i w:val="1"/>
          <w:sz w:val="20"/>
          <w:szCs w:val="20"/>
          <w:rtl w:val="0"/>
        </w:rPr>
        <w:t xml:space="preserve"> </w:t>
      </w:r>
      <w:r w:rsidDel="00000000" w:rsidR="00000000" w:rsidRPr="00000000">
        <w:rPr>
          <w:sz w:val="20"/>
          <w:szCs w:val="20"/>
          <w:rtl w:val="0"/>
        </w:rPr>
        <w:t xml:space="preserve">p. 58.</w:t>
      </w:r>
    </w:p>
  </w:footnote>
  <w:footnote w:id="3">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Jaako Tahkokallio, </w:t>
      </w:r>
      <w:r w:rsidDel="00000000" w:rsidR="00000000" w:rsidRPr="00000000">
        <w:rPr>
          <w:i w:val="1"/>
          <w:sz w:val="20"/>
          <w:szCs w:val="20"/>
          <w:rtl w:val="0"/>
        </w:rPr>
        <w:t xml:space="preserve">A Companion to Geoffrey of Monmouth</w:t>
      </w:r>
      <w:r w:rsidDel="00000000" w:rsidR="00000000" w:rsidRPr="00000000">
        <w:rPr>
          <w:sz w:val="20"/>
          <w:szCs w:val="20"/>
          <w:rtl w:val="0"/>
        </w:rPr>
        <w:t xml:space="preserve">, ed. by Joshua Byron Smith, and Georgia Henley, 1st ed. (Leiden, The Netherlands: Koninklijke Brill NV, 2020), pp. 158–159.</w:t>
      </w:r>
    </w:p>
  </w:footnote>
  <w:footnote w:id="5">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Jankulak, </w:t>
      </w:r>
      <w:r w:rsidDel="00000000" w:rsidR="00000000" w:rsidRPr="00000000">
        <w:rPr>
          <w:i w:val="1"/>
          <w:sz w:val="20"/>
          <w:szCs w:val="20"/>
          <w:rtl w:val="0"/>
        </w:rPr>
        <w:t xml:space="preserve">Geoffrey of Monmouth, </w:t>
      </w:r>
      <w:r w:rsidDel="00000000" w:rsidR="00000000" w:rsidRPr="00000000">
        <w:rPr>
          <w:sz w:val="20"/>
          <w:szCs w:val="20"/>
          <w:rtl w:val="0"/>
        </w:rPr>
        <w:t xml:space="preserve">pp. 13–16.</w:t>
      </w:r>
    </w:p>
  </w:footnote>
  <w:footnote w:id="4">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155.</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1">
    <w:pPr>
      <w:jc w:val="right"/>
      <w:rPr/>
    </w:pPr>
    <w:r w:rsidDel="00000000" w:rsidR="00000000" w:rsidRPr="00000000">
      <w:rPr>
        <w:rtl w:val="0"/>
      </w:rPr>
      <w:t xml:space="preserve">Stephenson </w:t>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2">
    <w:pPr>
      <w:jc w:val="right"/>
      <w:rPr/>
    </w:pPr>
    <w:r w:rsidDel="00000000" w:rsidR="00000000" w:rsidRPr="00000000">
      <w:rPr>
        <w:rtl w:val="0"/>
      </w:rPr>
      <w:t xml:space="preserve">30th October 2024</w:t>
    </w:r>
  </w:p>
  <w:p w:rsidR="00000000" w:rsidDel="00000000" w:rsidP="00000000" w:rsidRDefault="00000000" w:rsidRPr="00000000" w14:paraId="00000023">
    <w:pPr>
      <w:jc w:val="right"/>
      <w:rPr/>
    </w:pPr>
    <w:r w:rsidDel="00000000" w:rsidR="00000000" w:rsidRPr="00000000">
      <w:rPr>
        <w:rtl w:val="0"/>
      </w:rPr>
      <w:t xml:space="preserve">Sebastian Stephenson </w:t>
    </w:r>
  </w:p>
  <w:p w:rsidR="00000000" w:rsidDel="00000000" w:rsidP="00000000" w:rsidRDefault="00000000" w:rsidRPr="00000000" w14:paraId="00000024">
    <w:pPr>
      <w:jc w:val="right"/>
      <w:rPr/>
    </w:pPr>
    <w:r w:rsidDel="00000000" w:rsidR="00000000" w:rsidRPr="00000000">
      <w:rPr>
        <w:rtl w:val="0"/>
      </w:rPr>
      <w:t xml:space="preserve">(2309647)</w:t>
    </w:r>
  </w:p>
  <w:p w:rsidR="00000000" w:rsidDel="00000000" w:rsidP="00000000" w:rsidRDefault="00000000" w:rsidRPr="00000000" w14:paraId="00000025">
    <w:pPr>
      <w:jc w:val="right"/>
      <w:rPr/>
    </w:pPr>
    <w:r w:rsidDel="00000000" w:rsidR="00000000" w:rsidRPr="00000000">
      <w:rPr>
        <w:rtl w:val="0"/>
      </w:rPr>
    </w:r>
  </w:p>
  <w:p w:rsidR="00000000" w:rsidDel="00000000" w:rsidP="00000000" w:rsidRDefault="00000000" w:rsidRPr="00000000" w14:paraId="00000026">
    <w:pPr>
      <w:jc w:val="righ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footer" Target="footer1.xml"/><Relationship Id="rId10" Type="http://schemas.openxmlformats.org/officeDocument/2006/relationships/header" Target="header2.xml"/><Relationship Id="rId9" Type="http://schemas.openxmlformats.org/officeDocument/2006/relationships/header" Target="head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oxforddnb.com/view/10.1093/ref:odnb/9780198614128.001.0001/odnb-9780198614128-e-10530" TargetMode="External"/><Relationship Id="rId8" Type="http://schemas.openxmlformats.org/officeDocument/2006/relationships/hyperlink" Target="https://biography.wales/article/s-SIEF-OFY-10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