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3AA3" w:rsidRPr="00421BEA" w:rsidRDefault="00B46CF0"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When studying a people, they are often understood through chronicles, narrative texts, and other written sources, ignoring the other material evidence that were created by them. The Normans are a prime example of this, especially as they created a plethora of different sources, in a variety of languages. </w:t>
      </w:r>
      <w:proofErr w:type="gramStart"/>
      <w:r w:rsidRPr="00421BEA">
        <w:rPr>
          <w:rFonts w:ascii="Times New Roman" w:hAnsi="Times New Roman" w:cs="Times New Roman"/>
          <w:sz w:val="24"/>
          <w:szCs w:val="24"/>
        </w:rPr>
        <w:t>As a result of</w:t>
      </w:r>
      <w:proofErr w:type="gramEnd"/>
      <w:r w:rsidRPr="00421BEA">
        <w:rPr>
          <w:rFonts w:ascii="Times New Roman" w:hAnsi="Times New Roman" w:cs="Times New Roman"/>
          <w:sz w:val="24"/>
          <w:szCs w:val="24"/>
        </w:rPr>
        <w:t xml:space="preserve"> this, the various other artefacts created by the Normans are often overlooked, with their importance ignored in favour of more certain evidence, as can </w:t>
      </w:r>
      <w:r w:rsidR="0048786A" w:rsidRPr="00421BEA">
        <w:rPr>
          <w:rFonts w:ascii="Times New Roman" w:hAnsi="Times New Roman" w:cs="Times New Roman"/>
          <w:sz w:val="24"/>
          <w:szCs w:val="24"/>
        </w:rPr>
        <w:t xml:space="preserve">often </w:t>
      </w:r>
      <w:r w:rsidRPr="00421BEA">
        <w:rPr>
          <w:rFonts w:ascii="Times New Roman" w:hAnsi="Times New Roman" w:cs="Times New Roman"/>
          <w:sz w:val="24"/>
          <w:szCs w:val="24"/>
        </w:rPr>
        <w:t>be found in literary recording</w:t>
      </w:r>
      <w:r w:rsidR="0048786A" w:rsidRPr="00421BEA">
        <w:rPr>
          <w:rFonts w:ascii="Times New Roman" w:hAnsi="Times New Roman" w:cs="Times New Roman"/>
          <w:sz w:val="24"/>
          <w:szCs w:val="24"/>
        </w:rPr>
        <w:t xml:space="preserve">s, once the myths created by the Normans about themselves are sifted through. One such category of evidence regularly ignored is the great amount of artwork created by the Normans. There is much that can be learned about the Normans through their artwork, whether they were creating grandiose architecture, mosaics, or illuminations and tapestries. The Normans frequently used these pieces of artwork to </w:t>
      </w:r>
      <w:r w:rsidR="00B771A4" w:rsidRPr="00421BEA">
        <w:rPr>
          <w:rFonts w:ascii="Times New Roman" w:hAnsi="Times New Roman" w:cs="Times New Roman"/>
          <w:sz w:val="24"/>
          <w:szCs w:val="24"/>
        </w:rPr>
        <w:t xml:space="preserve">portray how they viewed themselves, or how they wanted others to view them. This can clearly be seen in territories conquered by the Normans, such as England and Sicily, more than in territories that were rightfully theirs, such as Normandy itself. </w:t>
      </w:r>
    </w:p>
    <w:p w:rsidR="00222B97" w:rsidRPr="00421BEA" w:rsidRDefault="00222B97"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One of the most common ideas the Normans tried to portray about themselves through artwork was of them as religious individuals. The clearest example of this is in their large stone churches and cathedrals, as they were a semi-permanent mark on the landscape, often in places of great prominence. With symbolism in the masonry, carpentry, and even the floor plan of their ecclesiastical buildings, churches were a very large, expensive piece of religious artwork,</w:t>
      </w:r>
      <w:r w:rsidRPr="00421BEA">
        <w:rPr>
          <w:rStyle w:val="FootnoteReference"/>
          <w:rFonts w:ascii="Times New Roman" w:hAnsi="Times New Roman" w:cs="Times New Roman"/>
          <w:sz w:val="24"/>
          <w:szCs w:val="24"/>
        </w:rPr>
        <w:footnoteReference w:id="1"/>
      </w:r>
      <w:r w:rsidRPr="00421BEA">
        <w:rPr>
          <w:rFonts w:ascii="Times New Roman" w:hAnsi="Times New Roman" w:cs="Times New Roman"/>
          <w:sz w:val="24"/>
          <w:szCs w:val="24"/>
        </w:rPr>
        <w:t xml:space="preserve"> making an imposing statement in their conquered territories and to their neighbours. By doing so, they portray themselves as extremely pious individuals, as only those who are religiously motivated would spend so much money on creating such a grand statement as a church – or so </w:t>
      </w:r>
      <w:r w:rsidRPr="00421BEA">
        <w:rPr>
          <w:rFonts w:ascii="Times New Roman" w:hAnsi="Times New Roman" w:cs="Times New Roman"/>
          <w:sz w:val="24"/>
          <w:szCs w:val="24"/>
        </w:rPr>
        <w:lastRenderedPageBreak/>
        <w:t>the Norman leaders wanted it to be believed. High value items were also used to decorate the interior of these buildings, such as reliquaries and other items encrusted with precious and semi-precious gems, including Bibles.</w:t>
      </w:r>
      <w:r w:rsidRPr="00421BEA">
        <w:rPr>
          <w:rStyle w:val="FootnoteReference"/>
          <w:rFonts w:ascii="Times New Roman" w:hAnsi="Times New Roman" w:cs="Times New Roman"/>
          <w:sz w:val="24"/>
          <w:szCs w:val="24"/>
        </w:rPr>
        <w:footnoteReference w:id="2"/>
      </w:r>
      <w:r w:rsidRPr="00421BEA">
        <w:rPr>
          <w:rFonts w:ascii="Times New Roman" w:hAnsi="Times New Roman" w:cs="Times New Roman"/>
          <w:sz w:val="24"/>
          <w:szCs w:val="24"/>
        </w:rPr>
        <w:t xml:space="preserve"> By using such expensive materials in every aspect of their churches – both inside and out, the Normans clearly portray their wealth. However, because it is used in a religious setting, they also cleverly demonstrate their devotion to God, avoiding the deadly sins of pride and greed.</w:t>
      </w:r>
      <w:r w:rsidRPr="00421BEA">
        <w:rPr>
          <w:rStyle w:val="FootnoteReference"/>
          <w:rFonts w:ascii="Times New Roman" w:hAnsi="Times New Roman" w:cs="Times New Roman"/>
          <w:sz w:val="24"/>
          <w:szCs w:val="24"/>
        </w:rPr>
        <w:footnoteReference w:id="3"/>
      </w:r>
      <w:r w:rsidRPr="00421BEA">
        <w:rPr>
          <w:rFonts w:ascii="Times New Roman" w:hAnsi="Times New Roman" w:cs="Times New Roman"/>
          <w:sz w:val="24"/>
          <w:szCs w:val="24"/>
        </w:rPr>
        <w:t xml:space="preserve"> </w:t>
      </w:r>
    </w:p>
    <w:p w:rsidR="00D170C4" w:rsidRPr="00421BEA" w:rsidRDefault="00D170C4"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Reliquaries were a clear way of portraying their affinity towards religion through artwork, using metals, coloured clays, and miniature paintings to house relics in expensive containers, thoroughly glorifying the saint they represent. This can be seen in the reliquary of St Taurin </w:t>
      </w:r>
      <w:r w:rsidR="00A12FDD" w:rsidRPr="00421BEA">
        <w:rPr>
          <w:rFonts w:ascii="Times New Roman" w:hAnsi="Times New Roman" w:cs="Times New Roman"/>
          <w:sz w:val="24"/>
          <w:szCs w:val="24"/>
        </w:rPr>
        <w:t xml:space="preserve">at Evreux </w:t>
      </w:r>
      <w:r w:rsidRPr="00421BEA">
        <w:rPr>
          <w:rFonts w:ascii="Times New Roman" w:hAnsi="Times New Roman" w:cs="Times New Roman"/>
          <w:sz w:val="24"/>
          <w:szCs w:val="24"/>
        </w:rPr>
        <w:t xml:space="preserve">which, although </w:t>
      </w:r>
      <w:r w:rsidR="00934AAC" w:rsidRPr="00421BEA">
        <w:rPr>
          <w:rFonts w:ascii="Times New Roman" w:hAnsi="Times New Roman" w:cs="Times New Roman"/>
          <w:sz w:val="24"/>
          <w:szCs w:val="24"/>
        </w:rPr>
        <w:t>created relatively late in c.</w:t>
      </w:r>
      <w:r w:rsidRPr="00421BEA">
        <w:rPr>
          <w:rFonts w:ascii="Times New Roman" w:hAnsi="Times New Roman" w:cs="Times New Roman"/>
          <w:sz w:val="24"/>
          <w:szCs w:val="24"/>
        </w:rPr>
        <w:t>1250, evidently shows the viewpoints of the Normans. Measuring just over a metre in height, this reliquary is made from gold, silver and copper, and decorated in semi-precious jewels. This reliquary is truly a marvel of medieval goldsmithery and, as it is in the shape of a gothic church, it strongly implies that the Normans placed great import on how their religiosity was viewed.</w:t>
      </w:r>
      <w:r w:rsidR="000B7980" w:rsidRPr="00421BEA">
        <w:rPr>
          <w:rStyle w:val="FootnoteReference"/>
          <w:rFonts w:ascii="Times New Roman" w:hAnsi="Times New Roman" w:cs="Times New Roman"/>
          <w:sz w:val="24"/>
          <w:szCs w:val="24"/>
        </w:rPr>
        <w:footnoteReference w:id="4"/>
      </w:r>
    </w:p>
    <w:p w:rsidR="002C3E2F" w:rsidRPr="00421BEA" w:rsidRDefault="002C3E2F"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A secondary form of decoration within an ecclesiastical building is a mosaic. Varying in size, Norman mosaics tend to be found in the territories that have Moorish histories, such as Sicily. Proof of this extravagance can be seen throughout the Sicilian capital of Palermo, especially in Monreale Cathedral, which is full of ceramic tiles, most popularly used in mosaics, such as the mosaic of Roger II of Sicily in the cathedral, which depicts his coronation.</w:t>
      </w:r>
      <w:r w:rsidRPr="00421BEA">
        <w:rPr>
          <w:rStyle w:val="FootnoteReference"/>
          <w:rFonts w:ascii="Times New Roman" w:hAnsi="Times New Roman" w:cs="Times New Roman"/>
          <w:sz w:val="24"/>
          <w:szCs w:val="24"/>
        </w:rPr>
        <w:footnoteReference w:id="5"/>
      </w:r>
      <w:r w:rsidRPr="00421BEA">
        <w:rPr>
          <w:rFonts w:ascii="Times New Roman" w:hAnsi="Times New Roman" w:cs="Times New Roman"/>
          <w:sz w:val="24"/>
          <w:szCs w:val="24"/>
        </w:rPr>
        <w:t xml:space="preserve"> The use of gold mosaics throughout this image is extensive, portraying both his role as a monarch, and as the chosen one of God. This is further highlighted by the inclusion of Jesus on the righthand side of the image, touching the crown on Roger’s head, blessing him, and possibly crowning him. To be shown as on the right-hand side of Jesus is to stand on the right hand of God, a favoured </w:t>
      </w:r>
      <w:r w:rsidR="00934AAC" w:rsidRPr="00421BEA">
        <w:rPr>
          <w:rFonts w:ascii="Times New Roman" w:hAnsi="Times New Roman" w:cs="Times New Roman"/>
          <w:sz w:val="24"/>
          <w:szCs w:val="24"/>
        </w:rPr>
        <w:t>position, as described in the Bo</w:t>
      </w:r>
      <w:r w:rsidRPr="00421BEA">
        <w:rPr>
          <w:rFonts w:ascii="Times New Roman" w:hAnsi="Times New Roman" w:cs="Times New Roman"/>
          <w:sz w:val="24"/>
          <w:szCs w:val="24"/>
        </w:rPr>
        <w:t>ok of Acts.</w:t>
      </w:r>
      <w:r w:rsidRPr="00421BEA">
        <w:rPr>
          <w:rStyle w:val="FootnoteReference"/>
          <w:rFonts w:ascii="Times New Roman" w:hAnsi="Times New Roman" w:cs="Times New Roman"/>
          <w:sz w:val="24"/>
          <w:szCs w:val="24"/>
        </w:rPr>
        <w:footnoteReference w:id="6"/>
      </w:r>
      <w:r w:rsidRPr="00421BEA">
        <w:rPr>
          <w:rFonts w:ascii="Times New Roman" w:hAnsi="Times New Roman" w:cs="Times New Roman"/>
          <w:sz w:val="24"/>
          <w:szCs w:val="24"/>
        </w:rPr>
        <w:t xml:space="preserve"> Further to this idea, Roger is portrayed as kneeling subserviently as Jesus crowns him, giving Jesus the correct respect he deserves. With this image using gold throughout, most prominently in the crown of Roger II and the halo of Jesus, as well as including a visual representation of Jesus blessing Roger as his favourite clearly shows the amount of wealth the Normans invested into religious buildings, and the respect they wished to be seen to be showing it. Whether this is the actual reason for this is unclear, as their use of Jesus crowning Roger II could have a variety of reasons. Whether it is because of their want to be seen as religious people, or because it made the conquering and unification of Palermo easier is unclear, as Jesus is a religious figure to the three main religions found in Palermo at the time of the Norman conquest of Sicily (Christianity, Judaism, and Islam).</w:t>
      </w:r>
      <w:r w:rsidRPr="00421BEA">
        <w:rPr>
          <w:rStyle w:val="FootnoteReference"/>
          <w:rFonts w:ascii="Times New Roman" w:hAnsi="Times New Roman" w:cs="Times New Roman"/>
          <w:sz w:val="24"/>
          <w:szCs w:val="24"/>
        </w:rPr>
        <w:footnoteReference w:id="7"/>
      </w:r>
      <w:r w:rsidRPr="00421BEA">
        <w:rPr>
          <w:rFonts w:ascii="Times New Roman" w:hAnsi="Times New Roman" w:cs="Times New Roman"/>
          <w:sz w:val="24"/>
          <w:szCs w:val="24"/>
        </w:rPr>
        <w:t xml:space="preserve"> Regardless of this differing of opinion as to its meaning, the fact that Jesus is portrayed on such a large scale inside the focal religious building in Palermo suggests that the Norman conquerors of Sicily were keen to portray themselves as religious, with a great focus placed on their Christianity in an effort to disguise their pagan history.</w:t>
      </w:r>
      <w:r w:rsidRPr="00421BEA">
        <w:rPr>
          <w:rStyle w:val="FootnoteReference"/>
          <w:rFonts w:ascii="Times New Roman" w:hAnsi="Times New Roman" w:cs="Times New Roman"/>
          <w:sz w:val="24"/>
          <w:szCs w:val="24"/>
        </w:rPr>
        <w:footnoteReference w:id="8"/>
      </w:r>
    </w:p>
    <w:p w:rsidR="001B1F9C" w:rsidRPr="00421BEA" w:rsidRDefault="001B1F9C"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A slightly </w:t>
      </w:r>
      <w:proofErr w:type="gramStart"/>
      <w:r w:rsidRPr="00421BEA">
        <w:rPr>
          <w:rFonts w:ascii="Times New Roman" w:hAnsi="Times New Roman" w:cs="Times New Roman"/>
          <w:sz w:val="24"/>
          <w:szCs w:val="24"/>
        </w:rPr>
        <w:t>more subtle</w:t>
      </w:r>
      <w:proofErr w:type="gramEnd"/>
      <w:r w:rsidRPr="00421BEA">
        <w:rPr>
          <w:rFonts w:ascii="Times New Roman" w:hAnsi="Times New Roman" w:cs="Times New Roman"/>
          <w:sz w:val="24"/>
          <w:szCs w:val="24"/>
        </w:rPr>
        <w:t xml:space="preserve"> example of how keen the Normans were to portray themselves as devout Christians can be seen throughout the </w:t>
      </w:r>
      <w:r w:rsidR="00934AAC" w:rsidRPr="00421BEA">
        <w:rPr>
          <w:rFonts w:ascii="Times New Roman" w:hAnsi="Times New Roman" w:cs="Times New Roman"/>
          <w:sz w:val="24"/>
          <w:szCs w:val="24"/>
        </w:rPr>
        <w:t>two hundred and thirty four</w:t>
      </w:r>
      <w:r w:rsidRPr="00421BEA">
        <w:rPr>
          <w:rFonts w:ascii="Times New Roman" w:hAnsi="Times New Roman" w:cs="Times New Roman"/>
          <w:sz w:val="24"/>
          <w:szCs w:val="24"/>
        </w:rPr>
        <w:t xml:space="preserve"> feet of embroidery,</w:t>
      </w:r>
      <w:r w:rsidRPr="00421BEA">
        <w:rPr>
          <w:rStyle w:val="FootnoteReference"/>
          <w:rFonts w:ascii="Times New Roman" w:hAnsi="Times New Roman" w:cs="Times New Roman"/>
          <w:sz w:val="24"/>
          <w:szCs w:val="24"/>
        </w:rPr>
        <w:footnoteReference w:id="9"/>
      </w:r>
      <w:r w:rsidRPr="00421BEA">
        <w:rPr>
          <w:rFonts w:ascii="Times New Roman" w:hAnsi="Times New Roman" w:cs="Times New Roman"/>
          <w:sz w:val="24"/>
          <w:szCs w:val="24"/>
        </w:rPr>
        <w:t xml:space="preserve"> with there being inclusions of religious events demonstrated. Each of these examples illustrates something different about how the Normans wished to appear to those they had conquered, but each of them shows the Normans in a favourable, suitably religious light. One such example is that of Harold Godwinson swearing upon relics to recognise William of Normandy as King of England following the death of Edward the Confessor.</w:t>
      </w:r>
      <w:r w:rsidRPr="00421BEA">
        <w:rPr>
          <w:rStyle w:val="FootnoteReference"/>
          <w:rFonts w:ascii="Times New Roman" w:hAnsi="Times New Roman" w:cs="Times New Roman"/>
          <w:sz w:val="24"/>
          <w:szCs w:val="24"/>
        </w:rPr>
        <w:footnoteReference w:id="10"/>
      </w:r>
      <w:r w:rsidRPr="00421BEA">
        <w:rPr>
          <w:rFonts w:ascii="Times New Roman" w:hAnsi="Times New Roman" w:cs="Times New Roman"/>
          <w:sz w:val="24"/>
          <w:szCs w:val="24"/>
        </w:rPr>
        <w:t xml:space="preserve"> This event links closely with the importance placed on relics and the decorative, expensive nature of reliquaries, as discussed above. This evidently depicts the amount of belief the Normans held in Christianity, or, at the very least, the amount of faith they wanted to be seen to have. Another religious event shown in the Bayeux Tapestry is the appearance of an object in the nights sky, now known to be Halley’s Comet. The comet, which really did appear in 1066,</w:t>
      </w:r>
      <w:r w:rsidRPr="00421BEA">
        <w:rPr>
          <w:rStyle w:val="FootnoteReference"/>
          <w:rFonts w:ascii="Times New Roman" w:hAnsi="Times New Roman" w:cs="Times New Roman"/>
          <w:sz w:val="24"/>
          <w:szCs w:val="24"/>
        </w:rPr>
        <w:footnoteReference w:id="11"/>
      </w:r>
      <w:r w:rsidRPr="00421BEA">
        <w:rPr>
          <w:rFonts w:ascii="Times New Roman" w:hAnsi="Times New Roman" w:cs="Times New Roman"/>
          <w:sz w:val="24"/>
          <w:szCs w:val="24"/>
        </w:rPr>
        <w:t xml:space="preserve"> is shown in the tapestry relating to the coronation of Harold Godwinson,</w:t>
      </w:r>
      <w:r w:rsidRPr="00421BEA">
        <w:rPr>
          <w:rStyle w:val="FootnoteReference"/>
          <w:rFonts w:ascii="Times New Roman" w:hAnsi="Times New Roman" w:cs="Times New Roman"/>
          <w:sz w:val="24"/>
          <w:szCs w:val="24"/>
        </w:rPr>
        <w:footnoteReference w:id="12"/>
      </w:r>
      <w:r w:rsidRPr="00421BEA">
        <w:rPr>
          <w:rFonts w:ascii="Times New Roman" w:hAnsi="Times New Roman" w:cs="Times New Roman"/>
          <w:sz w:val="24"/>
          <w:szCs w:val="24"/>
        </w:rPr>
        <w:t xml:space="preserve"> and is used to suggest that God was in opposition to his crowning, supposedly in relation to the oath he had sworn on relics, as is depicted earlier in the tapestry.</w:t>
      </w:r>
      <w:r w:rsidRPr="00421BEA">
        <w:rPr>
          <w:rStyle w:val="FootnoteReference"/>
          <w:rFonts w:ascii="Times New Roman" w:hAnsi="Times New Roman" w:cs="Times New Roman"/>
          <w:sz w:val="24"/>
          <w:szCs w:val="24"/>
        </w:rPr>
        <w:footnoteReference w:id="13"/>
      </w:r>
      <w:r w:rsidRPr="00421BEA">
        <w:rPr>
          <w:rFonts w:ascii="Times New Roman" w:hAnsi="Times New Roman" w:cs="Times New Roman"/>
          <w:sz w:val="24"/>
          <w:szCs w:val="24"/>
        </w:rPr>
        <w:t xml:space="preserve"> God being against the crowning of Harold clearly and firmly places the Normans in his favour, once again portraying them as God’s chosen people, and showing another method the Normans used to portray themselves as devout Christians. </w:t>
      </w:r>
    </w:p>
    <w:p w:rsidR="00640C3A" w:rsidRPr="00421BEA" w:rsidRDefault="00640C3A"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Another aspect of Norman culture that they were keen to highlight is their methods of conquest. Much like the Romans, the Normans were keen to rule their empire peacefully and prosperously, rather than through military strength. Because of this, much of what they believed about themselves is recorded in the form of artwork. One such method of conquest they used frequently was through marriage and inheritance. This form of conquest is most commonly recorded in family trees which demonstrate the links between the dukes of Normandy and the various other ruling families of Europe. One such example of this is the ‘Genealogical Chronicle of English Kings’ currently held by the British Library.</w:t>
      </w:r>
      <w:r w:rsidRPr="00421BEA">
        <w:rPr>
          <w:rStyle w:val="FootnoteReference"/>
          <w:rFonts w:ascii="Times New Roman" w:hAnsi="Times New Roman" w:cs="Times New Roman"/>
          <w:sz w:val="24"/>
          <w:szCs w:val="24"/>
        </w:rPr>
        <w:footnoteReference w:id="14"/>
      </w:r>
      <w:r w:rsidRPr="00421BEA">
        <w:rPr>
          <w:rFonts w:ascii="Times New Roman" w:hAnsi="Times New Roman" w:cs="Times New Roman"/>
          <w:sz w:val="24"/>
          <w:szCs w:val="24"/>
        </w:rPr>
        <w:t xml:space="preserve"> The section of this which displays the Norman kings of England is started by an unjoined Harold Godwinson, before the Norman dynasty is recorded as starting with Rollo. Whilst this section by itself does not highlight the relationship between the Norman dukes and the other noble or royal families of Europe, there is a blue line that runs down the left hand side of each of the scrolls, connecting the various scrolls that form this collection, connecting Henry I and Edward the Confessor together through his marriage to Queen Matilda, demonstrating their use of marriage to create alliances between nations or duchies, as well as furthering their own prestige through the inclusion of royal blood in their lineage.</w:t>
      </w:r>
      <w:r w:rsidRPr="00421BEA">
        <w:rPr>
          <w:rStyle w:val="FootnoteReference"/>
          <w:rFonts w:ascii="Times New Roman" w:hAnsi="Times New Roman" w:cs="Times New Roman"/>
          <w:sz w:val="24"/>
          <w:szCs w:val="24"/>
        </w:rPr>
        <w:footnoteReference w:id="15"/>
      </w:r>
      <w:r w:rsidRPr="00421BEA">
        <w:rPr>
          <w:rFonts w:ascii="Times New Roman" w:hAnsi="Times New Roman" w:cs="Times New Roman"/>
          <w:sz w:val="24"/>
          <w:szCs w:val="24"/>
        </w:rPr>
        <w:t xml:space="preserve"> Whilst this may not be the most reliable source in terms of demonstrating how the Normans viewed themselves, as it is believed to have been as created in approximately 1300,</w:t>
      </w:r>
      <w:r w:rsidRPr="00421BEA">
        <w:rPr>
          <w:rStyle w:val="FootnoteReference"/>
          <w:rFonts w:ascii="Times New Roman" w:hAnsi="Times New Roman" w:cs="Times New Roman"/>
          <w:sz w:val="24"/>
          <w:szCs w:val="24"/>
        </w:rPr>
        <w:footnoteReference w:id="16"/>
      </w:r>
      <w:r w:rsidRPr="00421BEA">
        <w:rPr>
          <w:rFonts w:ascii="Times New Roman" w:hAnsi="Times New Roman" w:cs="Times New Roman"/>
          <w:sz w:val="24"/>
          <w:szCs w:val="24"/>
        </w:rPr>
        <w:t xml:space="preserve"> it is a clear demonstration of how they wished to be viewed, closely matching a description of ‘BL MS Cotton Vitellius a.XIII’ in John Spense’s ‘Reimagining History in Anglo-Norman Prose Chronicles, which he records as having an image that runs alongside a descriptive text.</w:t>
      </w:r>
      <w:r w:rsidRPr="00421BEA">
        <w:rPr>
          <w:rStyle w:val="FootnoteReference"/>
          <w:rFonts w:ascii="Times New Roman" w:hAnsi="Times New Roman" w:cs="Times New Roman"/>
          <w:sz w:val="24"/>
          <w:szCs w:val="24"/>
        </w:rPr>
        <w:footnoteReference w:id="17"/>
      </w:r>
      <w:r w:rsidRPr="00421BEA">
        <w:rPr>
          <w:rFonts w:ascii="Times New Roman" w:hAnsi="Times New Roman" w:cs="Times New Roman"/>
          <w:sz w:val="24"/>
          <w:szCs w:val="24"/>
        </w:rPr>
        <w:t xml:space="preserve"> This therefore suggests that the genealogy of English Kings is an accurate representation of how the Normans wished to portray their lineage in artwork, as it is described in a similar manner to that of the Cotton manuscript. </w:t>
      </w:r>
      <w:proofErr w:type="gramStart"/>
      <w:r w:rsidRPr="00421BEA">
        <w:rPr>
          <w:rFonts w:ascii="Times New Roman" w:hAnsi="Times New Roman" w:cs="Times New Roman"/>
          <w:sz w:val="24"/>
          <w:szCs w:val="24"/>
        </w:rPr>
        <w:t>Both of these</w:t>
      </w:r>
      <w:proofErr w:type="gramEnd"/>
      <w:r w:rsidRPr="00421BEA">
        <w:rPr>
          <w:rFonts w:ascii="Times New Roman" w:hAnsi="Times New Roman" w:cs="Times New Roman"/>
          <w:sz w:val="24"/>
          <w:szCs w:val="24"/>
        </w:rPr>
        <w:t xml:space="preserve"> manuscript images also closely match the recorded descriptions of the genealogy of the Norman dukes, giving it further prestige and reliability.  </w:t>
      </w:r>
    </w:p>
    <w:p w:rsidR="000C4D39" w:rsidRPr="00421BEA" w:rsidRDefault="000C4D39"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A further method used by the Normans to portray themselves as a unifying force can be seen in the religious ideals they pushed throughout their various conquests. Whilst the main religion they promoted was clearly Christianity, as it was the religion of many of the ruling families of Europe when they were given Normandy by the French King,</w:t>
      </w:r>
      <w:r w:rsidRPr="00421BEA">
        <w:rPr>
          <w:rStyle w:val="FootnoteReference"/>
          <w:rFonts w:ascii="Times New Roman" w:hAnsi="Times New Roman" w:cs="Times New Roman"/>
          <w:sz w:val="24"/>
          <w:szCs w:val="24"/>
        </w:rPr>
        <w:footnoteReference w:id="18"/>
      </w:r>
      <w:r w:rsidRPr="00421BEA">
        <w:rPr>
          <w:rFonts w:ascii="Times New Roman" w:hAnsi="Times New Roman" w:cs="Times New Roman"/>
          <w:sz w:val="24"/>
          <w:szCs w:val="24"/>
        </w:rPr>
        <w:t xml:space="preserve"> it was not the only religion of the territories ruled by them. When the Normans claimed Sicily, for example, there was </w:t>
      </w:r>
      <w:proofErr w:type="gramStart"/>
      <w:r w:rsidRPr="00421BEA">
        <w:rPr>
          <w:rFonts w:ascii="Times New Roman" w:hAnsi="Times New Roman" w:cs="Times New Roman"/>
          <w:sz w:val="24"/>
          <w:szCs w:val="24"/>
        </w:rPr>
        <w:t>a large number of</w:t>
      </w:r>
      <w:proofErr w:type="gramEnd"/>
      <w:r w:rsidRPr="00421BEA">
        <w:rPr>
          <w:rFonts w:ascii="Times New Roman" w:hAnsi="Times New Roman" w:cs="Times New Roman"/>
          <w:sz w:val="24"/>
          <w:szCs w:val="24"/>
        </w:rPr>
        <w:t xml:space="preserve"> Muslims and Jews in the city, something which is then reflected in the artwork produced in this region. It is most commonly seen in the architecture and other features of the city of Palermo which were commonly accessed by the common people of Sicily, but the Normans also learned from it, using the Islamic and Judaic practices to improve their own. Because of this, there is a clear fusion between the Norman styles and practices, and those of the existing inhabitants of Palermo. As with language, the Normans assimilated anything they thought would have merit, once more mirroring the Roman method of conquering a nation through assimilation</w:t>
      </w:r>
      <w:r w:rsidR="0032197E" w:rsidRPr="00421BEA">
        <w:rPr>
          <w:rFonts w:ascii="Times New Roman" w:hAnsi="Times New Roman" w:cs="Times New Roman"/>
          <w:sz w:val="24"/>
          <w:szCs w:val="24"/>
        </w:rPr>
        <w:t xml:space="preserve"> and peaceful co-existence</w:t>
      </w:r>
      <w:r w:rsidRPr="00421BEA">
        <w:rPr>
          <w:rFonts w:ascii="Times New Roman" w:hAnsi="Times New Roman" w:cs="Times New Roman"/>
          <w:sz w:val="24"/>
          <w:szCs w:val="24"/>
        </w:rPr>
        <w:t>,</w:t>
      </w:r>
      <w:r w:rsidR="0032197E" w:rsidRPr="00421BEA">
        <w:rPr>
          <w:rStyle w:val="FootnoteReference"/>
          <w:rFonts w:ascii="Times New Roman" w:hAnsi="Times New Roman" w:cs="Times New Roman"/>
          <w:sz w:val="24"/>
          <w:szCs w:val="24"/>
        </w:rPr>
        <w:footnoteReference w:id="19"/>
      </w:r>
      <w:r w:rsidRPr="00421BEA">
        <w:rPr>
          <w:rFonts w:ascii="Times New Roman" w:hAnsi="Times New Roman" w:cs="Times New Roman"/>
          <w:sz w:val="24"/>
          <w:szCs w:val="24"/>
        </w:rPr>
        <w:t xml:space="preserve"> rather than through military force. </w:t>
      </w:r>
    </w:p>
    <w:p w:rsidR="00985774" w:rsidRPr="00421BEA" w:rsidRDefault="00985774"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Another clear demonstration of their multi-cultural assimilation </w:t>
      </w:r>
      <w:proofErr w:type="gramStart"/>
      <w:r w:rsidRPr="00421BEA">
        <w:rPr>
          <w:rFonts w:ascii="Times New Roman" w:hAnsi="Times New Roman" w:cs="Times New Roman"/>
          <w:sz w:val="24"/>
          <w:szCs w:val="24"/>
        </w:rPr>
        <w:t>in order to</w:t>
      </w:r>
      <w:proofErr w:type="gramEnd"/>
      <w:r w:rsidRPr="00421BEA">
        <w:rPr>
          <w:rFonts w:ascii="Times New Roman" w:hAnsi="Times New Roman" w:cs="Times New Roman"/>
          <w:sz w:val="24"/>
          <w:szCs w:val="24"/>
        </w:rPr>
        <w:t xml:space="preserve"> peacefully conquer nations can be seen in the descriptions of the images, especially the mosaics inside Monreale Cathedral. The labelling surrounding the mosaic depiction of the Roger II’s coronation uses Greek lettering, something not originally found in Norman works, nor in any other parts of Europe, as the Grecian language was unpopular on mainland Europe, having fallen out of</w:t>
      </w:r>
      <w:r w:rsidR="00F739F1" w:rsidRPr="00421BEA">
        <w:rPr>
          <w:rFonts w:ascii="Times New Roman" w:hAnsi="Times New Roman" w:cs="Times New Roman"/>
          <w:sz w:val="24"/>
          <w:szCs w:val="24"/>
        </w:rPr>
        <w:t xml:space="preserve"> mainstream studying</w:t>
      </w:r>
      <w:r w:rsidRPr="00421BEA">
        <w:rPr>
          <w:rFonts w:ascii="Times New Roman" w:hAnsi="Times New Roman" w:cs="Times New Roman"/>
          <w:sz w:val="24"/>
          <w:szCs w:val="24"/>
        </w:rPr>
        <w:t xml:space="preserve"> </w:t>
      </w:r>
      <w:r w:rsidR="00E94CD1" w:rsidRPr="00421BEA">
        <w:rPr>
          <w:rFonts w:ascii="Times New Roman" w:hAnsi="Times New Roman" w:cs="Times New Roman"/>
          <w:sz w:val="24"/>
          <w:szCs w:val="24"/>
        </w:rPr>
        <w:t>centuries previously.</w:t>
      </w:r>
      <w:r w:rsidR="00F739F1" w:rsidRPr="00421BEA">
        <w:rPr>
          <w:rStyle w:val="FootnoteReference"/>
          <w:rFonts w:ascii="Times New Roman" w:hAnsi="Times New Roman" w:cs="Times New Roman"/>
          <w:sz w:val="24"/>
          <w:szCs w:val="24"/>
        </w:rPr>
        <w:footnoteReference w:id="20"/>
      </w:r>
      <w:r w:rsidRPr="00421BEA">
        <w:rPr>
          <w:rFonts w:ascii="Times New Roman" w:hAnsi="Times New Roman" w:cs="Times New Roman"/>
          <w:sz w:val="24"/>
          <w:szCs w:val="24"/>
        </w:rPr>
        <w:t xml:space="preserve"> This surrounding description, therefore, demonstrates the ‘syncretism’ between the various religions and cultural backgrounds that peacefully co-existed in Norman Sicily,</w:t>
      </w:r>
      <w:r w:rsidRPr="00421BEA">
        <w:rPr>
          <w:rStyle w:val="FootnoteReference"/>
          <w:rFonts w:ascii="Times New Roman" w:hAnsi="Times New Roman" w:cs="Times New Roman"/>
          <w:sz w:val="24"/>
          <w:szCs w:val="24"/>
        </w:rPr>
        <w:footnoteReference w:id="21"/>
      </w:r>
      <w:r w:rsidRPr="00421BEA">
        <w:rPr>
          <w:rFonts w:ascii="Times New Roman" w:hAnsi="Times New Roman" w:cs="Times New Roman"/>
          <w:sz w:val="24"/>
          <w:szCs w:val="24"/>
        </w:rPr>
        <w:t xml:space="preserve"> as it is a phrase in Latin which has been written out using the Grecian alphabet. When translated the phrase is fairly obvious – “</w:t>
      </w:r>
      <w:proofErr w:type="spellStart"/>
      <w:r w:rsidRPr="00421BEA">
        <w:rPr>
          <w:rFonts w:ascii="Times New Roman" w:hAnsi="Times New Roman" w:cs="Times New Roman"/>
          <w:i/>
          <w:sz w:val="24"/>
          <w:szCs w:val="24"/>
        </w:rPr>
        <w:t>Rogerios</w:t>
      </w:r>
      <w:proofErr w:type="spellEnd"/>
      <w:r w:rsidRPr="00421BEA">
        <w:rPr>
          <w:rFonts w:ascii="Times New Roman" w:hAnsi="Times New Roman" w:cs="Times New Roman"/>
          <w:i/>
          <w:sz w:val="24"/>
          <w:szCs w:val="24"/>
        </w:rPr>
        <w:t xml:space="preserve"> Rex</w:t>
      </w:r>
      <w:r w:rsidRPr="00421BEA">
        <w:rPr>
          <w:rFonts w:ascii="Times New Roman" w:hAnsi="Times New Roman" w:cs="Times New Roman"/>
          <w:sz w:val="24"/>
          <w:szCs w:val="24"/>
        </w:rPr>
        <w:t>” and “</w:t>
      </w:r>
      <w:r w:rsidRPr="00421BEA">
        <w:rPr>
          <w:rFonts w:ascii="Times New Roman" w:hAnsi="Times New Roman" w:cs="Times New Roman"/>
          <w:i/>
          <w:sz w:val="24"/>
          <w:szCs w:val="24"/>
        </w:rPr>
        <w:t>I C X</w:t>
      </w:r>
      <w:r w:rsidRPr="00421BEA">
        <w:rPr>
          <w:rFonts w:ascii="Times New Roman" w:hAnsi="Times New Roman" w:cs="Times New Roman"/>
          <w:sz w:val="24"/>
          <w:szCs w:val="24"/>
        </w:rPr>
        <w:t>”,</w:t>
      </w:r>
      <w:r w:rsidRPr="00421BEA">
        <w:rPr>
          <w:rStyle w:val="FootnoteReference"/>
          <w:rFonts w:ascii="Times New Roman" w:hAnsi="Times New Roman" w:cs="Times New Roman"/>
          <w:sz w:val="24"/>
          <w:szCs w:val="24"/>
        </w:rPr>
        <w:footnoteReference w:id="22"/>
      </w:r>
      <w:r w:rsidRPr="00421BEA">
        <w:rPr>
          <w:rFonts w:ascii="Times New Roman" w:hAnsi="Times New Roman" w:cs="Times New Roman"/>
          <w:sz w:val="24"/>
          <w:szCs w:val="24"/>
        </w:rPr>
        <w:t xml:space="preserve"> or ‘King Roger’ and ‘Jesus Christ’.</w:t>
      </w:r>
      <w:r w:rsidRPr="00421BEA">
        <w:rPr>
          <w:rStyle w:val="FootnoteReference"/>
          <w:rFonts w:ascii="Times New Roman" w:hAnsi="Times New Roman" w:cs="Times New Roman"/>
          <w:sz w:val="24"/>
          <w:szCs w:val="24"/>
        </w:rPr>
        <w:footnoteReference w:id="23"/>
      </w:r>
      <w:r w:rsidRPr="00421BEA">
        <w:rPr>
          <w:rFonts w:ascii="Times New Roman" w:hAnsi="Times New Roman" w:cs="Times New Roman"/>
          <w:sz w:val="24"/>
          <w:szCs w:val="24"/>
        </w:rPr>
        <w:t xml:space="preserve"> Despite this, it would have required an individual to be familiar with the Grecian alphabet in order to understand the phrase and, as it surrounds the mosaic depicting a Norman king, it is obvious that it was intended to appease the local people, as well as encourage co-existence of the Normans in Sicily, as well as demonstrate the continuation of everyday life in Sicily, even though the ruling house has changed. Because of this, it is once again easy to see the use of cultural assimilation to aid the Norman conquests as represented artistically. Alternatively, this amalgamation of languages could suggest that, although the image is that of a Norman King being crowned by a Christian deity, it was created by Arabic craftsmen who used the language they understood best. </w:t>
      </w:r>
    </w:p>
    <w:p w:rsidR="00985774" w:rsidRPr="00421BEA" w:rsidRDefault="00985774"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The Normans were, however, very keen to also portray themselves as the successful warriors who were prized and sought after throughout medieval Europe. As can be seen in many different sources, whether they be manuscripts, tapestries, stone, or other forms of artwork utilised by the Normans, they aimed to illustrate just how mighty their armies could be if necessary. One manuscript that shows this is the </w:t>
      </w:r>
      <w:r w:rsidRPr="00421BEA">
        <w:rPr>
          <w:rFonts w:ascii="Times New Roman" w:hAnsi="Times New Roman" w:cs="Times New Roman"/>
          <w:i/>
          <w:sz w:val="24"/>
          <w:szCs w:val="24"/>
        </w:rPr>
        <w:t>‘</w:t>
      </w:r>
      <w:proofErr w:type="spellStart"/>
      <w:r w:rsidRPr="00421BEA">
        <w:rPr>
          <w:rFonts w:ascii="Times New Roman" w:hAnsi="Times New Roman" w:cs="Times New Roman"/>
          <w:i/>
          <w:sz w:val="24"/>
          <w:szCs w:val="24"/>
        </w:rPr>
        <w:t>Histoire</w:t>
      </w:r>
      <w:proofErr w:type="spellEnd"/>
      <w:r w:rsidRPr="00421BEA">
        <w:rPr>
          <w:rFonts w:ascii="Times New Roman" w:hAnsi="Times New Roman" w:cs="Times New Roman"/>
          <w:i/>
          <w:sz w:val="24"/>
          <w:szCs w:val="24"/>
        </w:rPr>
        <w:t xml:space="preserve"> </w:t>
      </w:r>
      <w:proofErr w:type="spellStart"/>
      <w:r w:rsidRPr="00421BEA">
        <w:rPr>
          <w:rFonts w:ascii="Times New Roman" w:hAnsi="Times New Roman" w:cs="Times New Roman"/>
          <w:sz w:val="24"/>
          <w:szCs w:val="24"/>
        </w:rPr>
        <w:t>d’Outremer</w:t>
      </w:r>
      <w:proofErr w:type="spellEnd"/>
      <w:r w:rsidRPr="00421BEA">
        <w:rPr>
          <w:rFonts w:ascii="Times New Roman" w:hAnsi="Times New Roman" w:cs="Times New Roman"/>
          <w:sz w:val="24"/>
          <w:szCs w:val="24"/>
        </w:rPr>
        <w:t>’ which depicts armies surrounding the walls of Antioch.</w:t>
      </w:r>
      <w:r w:rsidRPr="00421BEA">
        <w:rPr>
          <w:rStyle w:val="FootnoteReference"/>
          <w:rFonts w:ascii="Times New Roman" w:hAnsi="Times New Roman" w:cs="Times New Roman"/>
          <w:sz w:val="24"/>
          <w:szCs w:val="24"/>
        </w:rPr>
        <w:footnoteReference w:id="24"/>
      </w:r>
      <w:r w:rsidRPr="00421BEA">
        <w:rPr>
          <w:rFonts w:ascii="Times New Roman" w:hAnsi="Times New Roman" w:cs="Times New Roman"/>
          <w:sz w:val="24"/>
          <w:szCs w:val="24"/>
        </w:rPr>
        <w:t xml:space="preserve">  Whilst this British Library copy was created far later than the event as it was created during the 15</w:t>
      </w:r>
      <w:r w:rsidRPr="00421BEA">
        <w:rPr>
          <w:rFonts w:ascii="Times New Roman" w:hAnsi="Times New Roman" w:cs="Times New Roman"/>
          <w:sz w:val="24"/>
          <w:szCs w:val="24"/>
          <w:vertAlign w:val="superscript"/>
        </w:rPr>
        <w:t>th</w:t>
      </w:r>
      <w:r w:rsidRPr="00421BEA">
        <w:rPr>
          <w:rFonts w:ascii="Times New Roman" w:hAnsi="Times New Roman" w:cs="Times New Roman"/>
          <w:sz w:val="24"/>
          <w:szCs w:val="24"/>
        </w:rPr>
        <w:t xml:space="preserve"> century, it closely matches other examples of this manuscript, such as ‘Egerton MS 1500’ which was created between 1321 and 1324.</w:t>
      </w:r>
      <w:r w:rsidRPr="00421BEA">
        <w:rPr>
          <w:rStyle w:val="FootnoteReference"/>
          <w:rFonts w:ascii="Times New Roman" w:hAnsi="Times New Roman" w:cs="Times New Roman"/>
          <w:sz w:val="24"/>
          <w:szCs w:val="24"/>
        </w:rPr>
        <w:footnoteReference w:id="25"/>
      </w:r>
      <w:r w:rsidRPr="00421BEA">
        <w:rPr>
          <w:rFonts w:ascii="Times New Roman" w:hAnsi="Times New Roman" w:cs="Times New Roman"/>
          <w:sz w:val="24"/>
          <w:szCs w:val="24"/>
        </w:rPr>
        <w:t xml:space="preserve"> As both of these manuscripts and their illustrations closely match each other and other manuscript copies of William of Tyre’s work, it is likely that they show the events as Normans would have preferred, even if this was edited to suit contemporary views and thoughts. </w:t>
      </w:r>
    </w:p>
    <w:p w:rsidR="000C4D39" w:rsidRPr="00421BEA" w:rsidRDefault="00F134A5"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Perhaps the most prevalent theme the Normans portrayed through the varying forms of artwork previously discussed is that they used artwork to effectively demonstrate their wealth. Whether this be </w:t>
      </w:r>
      <w:proofErr w:type="gramStart"/>
      <w:r w:rsidRPr="00421BEA">
        <w:rPr>
          <w:rFonts w:ascii="Times New Roman" w:hAnsi="Times New Roman" w:cs="Times New Roman"/>
          <w:sz w:val="24"/>
          <w:szCs w:val="24"/>
        </w:rPr>
        <w:t>through the use of</w:t>
      </w:r>
      <w:proofErr w:type="gramEnd"/>
      <w:r w:rsidRPr="00421BEA">
        <w:rPr>
          <w:rFonts w:ascii="Times New Roman" w:hAnsi="Times New Roman" w:cs="Times New Roman"/>
          <w:sz w:val="24"/>
          <w:szCs w:val="24"/>
        </w:rPr>
        <w:t xml:space="preserve"> expensive inks and dyes, or through the sheer scale of their projects, the Normans constantly found ways of showing their wealth to the commoners and surrounding nobility. In addition to the examples already discussed, such as the use of gold in the mosaics of Monreale Cathedral, the number of castles and other defensive structures created or added to around England would be an excellent example of this. By the time the Domesday Book was compiled in 1086, it is recorded that there are fifty-six castles in England, and when studying forty-nine of these, only one (Arundel Castle) had existed during the reign of Edward the Confessor. This suggests that William I or his regents had ordered the building of fifty-five castles in the space of only twenty years,</w:t>
      </w:r>
      <w:r w:rsidRPr="00421BEA">
        <w:rPr>
          <w:rStyle w:val="FootnoteReference"/>
          <w:rFonts w:ascii="Times New Roman" w:hAnsi="Times New Roman" w:cs="Times New Roman"/>
          <w:sz w:val="24"/>
          <w:szCs w:val="24"/>
        </w:rPr>
        <w:footnoteReference w:id="26"/>
      </w:r>
      <w:r w:rsidRPr="00421BEA">
        <w:rPr>
          <w:rFonts w:ascii="Times New Roman" w:hAnsi="Times New Roman" w:cs="Times New Roman"/>
          <w:sz w:val="24"/>
          <w:szCs w:val="24"/>
        </w:rPr>
        <w:t xml:space="preserve"> clearly demonstrating how the Normans used local resources and funds, as well as their own resources and money to portray their personal wealth, and the wealth of their territories. This is further illustrated when a focus is placed on the White Tower at the Tower of London, which is constructed partially from Caen stone, quarried and imported from Normandy.</w:t>
      </w:r>
      <w:r w:rsidRPr="00421BEA">
        <w:rPr>
          <w:rStyle w:val="FootnoteReference"/>
          <w:rFonts w:ascii="Times New Roman" w:hAnsi="Times New Roman" w:cs="Times New Roman"/>
          <w:sz w:val="24"/>
          <w:szCs w:val="24"/>
        </w:rPr>
        <w:footnoteReference w:id="27"/>
      </w:r>
      <w:r w:rsidRPr="00421BEA">
        <w:rPr>
          <w:rFonts w:ascii="Times New Roman" w:hAnsi="Times New Roman" w:cs="Times New Roman"/>
          <w:sz w:val="24"/>
          <w:szCs w:val="24"/>
        </w:rPr>
        <w:t xml:space="preserve"> Stone buildings were also far more costly than the more common, wooden buildings, as they required a stone mason to construct, who was paid more, and the foundations for the building went far further beneath ground in order to support the weight of a stone building.</w:t>
      </w:r>
      <w:r w:rsidRPr="00421BEA">
        <w:rPr>
          <w:rStyle w:val="FootnoteReference"/>
          <w:rFonts w:ascii="Times New Roman" w:hAnsi="Times New Roman" w:cs="Times New Roman"/>
          <w:sz w:val="24"/>
          <w:szCs w:val="24"/>
        </w:rPr>
        <w:footnoteReference w:id="28"/>
      </w:r>
      <w:r w:rsidRPr="00421BEA">
        <w:rPr>
          <w:rFonts w:ascii="Times New Roman" w:hAnsi="Times New Roman" w:cs="Times New Roman"/>
          <w:sz w:val="24"/>
          <w:szCs w:val="24"/>
        </w:rPr>
        <w:t xml:space="preserve"> Each of these factors clearly illustrate the fact that the Normans had a large disposable income that they used to great effect – both to subjugate their new people, and to inspire them. </w:t>
      </w:r>
    </w:p>
    <w:p w:rsidR="001D6A2A" w:rsidRPr="00421BEA" w:rsidRDefault="00F739F1"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A further indication of the wealth of the Normans, and the amount of money they spent on displaying this wealth can be seen in the Coronation mantle of Roger II of Sicily. Made from red silk embroidered with gold silken thread, and with semi-precious and glass gems applied, it is clearly a demonstration of the wealth of a new monarch and ruling dynasty.</w:t>
      </w:r>
      <w:r w:rsidRPr="00421BEA">
        <w:rPr>
          <w:rStyle w:val="FootnoteReference"/>
          <w:rFonts w:ascii="Times New Roman" w:hAnsi="Times New Roman" w:cs="Times New Roman"/>
          <w:sz w:val="24"/>
          <w:szCs w:val="24"/>
        </w:rPr>
        <w:footnoteReference w:id="29"/>
      </w:r>
      <w:r w:rsidRPr="00421BEA">
        <w:rPr>
          <w:rFonts w:ascii="Times New Roman" w:hAnsi="Times New Roman" w:cs="Times New Roman"/>
          <w:sz w:val="24"/>
          <w:szCs w:val="24"/>
        </w:rPr>
        <w:t xml:space="preserve">  Dating to c.1134 and measuring 345cm by 146cm,</w:t>
      </w:r>
      <w:r w:rsidRPr="00421BEA">
        <w:rPr>
          <w:rStyle w:val="FootnoteReference"/>
          <w:rFonts w:ascii="Times New Roman" w:hAnsi="Times New Roman" w:cs="Times New Roman"/>
          <w:sz w:val="24"/>
          <w:szCs w:val="24"/>
        </w:rPr>
        <w:footnoteReference w:id="30"/>
      </w:r>
      <w:r w:rsidRPr="00421BEA">
        <w:rPr>
          <w:rFonts w:ascii="Times New Roman" w:hAnsi="Times New Roman" w:cs="Times New Roman"/>
          <w:sz w:val="24"/>
          <w:szCs w:val="24"/>
        </w:rPr>
        <w:t xml:space="preserve"> it is a large and ostentatious display of his power, intended to show that Roger and his descendants were intending to rule Sicily for many years to come, further emphasised by the design of the Lion attacking a Camel – representing the conquest of the Arab world (the Camel) by the Normans (the Lion).</w:t>
      </w:r>
      <w:r w:rsidRPr="00421BEA">
        <w:rPr>
          <w:rStyle w:val="FootnoteReference"/>
          <w:rFonts w:ascii="Times New Roman" w:hAnsi="Times New Roman" w:cs="Times New Roman"/>
          <w:sz w:val="24"/>
          <w:szCs w:val="24"/>
        </w:rPr>
        <w:footnoteReference w:id="31"/>
      </w:r>
      <w:r w:rsidRPr="00421BEA">
        <w:rPr>
          <w:rFonts w:ascii="Times New Roman" w:hAnsi="Times New Roman" w:cs="Times New Roman"/>
          <w:sz w:val="24"/>
          <w:szCs w:val="24"/>
        </w:rPr>
        <w:t xml:space="preserve"> Despite this clear sign that the Normans were the new rulers of Sicily, the garment was made by Arab craftsmen,</w:t>
      </w:r>
      <w:r w:rsidRPr="00421BEA">
        <w:rPr>
          <w:rStyle w:val="FootnoteReference"/>
          <w:rFonts w:ascii="Times New Roman" w:hAnsi="Times New Roman" w:cs="Times New Roman"/>
          <w:sz w:val="24"/>
          <w:szCs w:val="24"/>
        </w:rPr>
        <w:footnoteReference w:id="32"/>
      </w:r>
      <w:r w:rsidRPr="00421BEA">
        <w:rPr>
          <w:rFonts w:ascii="Times New Roman" w:hAnsi="Times New Roman" w:cs="Times New Roman"/>
          <w:sz w:val="24"/>
          <w:szCs w:val="24"/>
        </w:rPr>
        <w:t xml:space="preserve"> so, much like the mosaic of Roger II’s coronation in Monreale Cathedral, the inscription around the outer edge of the mantle is in a language understood by the local Sicilians, this time using Arabic.</w:t>
      </w:r>
      <w:r w:rsidRPr="00421BEA">
        <w:rPr>
          <w:rStyle w:val="FootnoteReference"/>
          <w:rFonts w:ascii="Times New Roman" w:hAnsi="Times New Roman" w:cs="Times New Roman"/>
          <w:sz w:val="24"/>
          <w:szCs w:val="24"/>
        </w:rPr>
        <w:footnoteReference w:id="33"/>
      </w:r>
      <w:r w:rsidRPr="00421BEA">
        <w:rPr>
          <w:rFonts w:ascii="Times New Roman" w:hAnsi="Times New Roman" w:cs="Times New Roman"/>
          <w:sz w:val="24"/>
          <w:szCs w:val="24"/>
        </w:rPr>
        <w:t xml:space="preserve"> </w:t>
      </w:r>
      <w:r w:rsidR="001D6A2A" w:rsidRPr="00421BEA">
        <w:rPr>
          <w:rFonts w:ascii="Times New Roman" w:hAnsi="Times New Roman" w:cs="Times New Roman"/>
          <w:sz w:val="24"/>
          <w:szCs w:val="24"/>
        </w:rPr>
        <w:t xml:space="preserve">Each of these methods of portraying the wealth and splendour of the Normans show the versatility of the craftsmen employed by the Norman conquerors and kings as, whether they were using silk and gems, stone and chisel, ink and quill, or another method entirely, the Normans were creative and knew how best to use and display their wealth in a manner that both ensured the loyalty of their new subjects, and their submission. </w:t>
      </w:r>
    </w:p>
    <w:p w:rsidR="00EF1F7C" w:rsidRPr="00421BEA" w:rsidRDefault="00EF1F7C"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In conclusion, the Normans had several different agendas they wished to pursue, and many different messages they wanted to illustrate through the artwork they commissioned, and the legacy they created. Whether the messages the modern eye interprets from these pieces of art is difficult to determine, as many of the ideas and concepts construed are complex and many-faceted, often not making sense to a modern viewer. To a medieval eye, however, the messages would have been quite clear, with only the best materials being used, and the biggest projects being undertaken. Nothing ordered by a conquering Norman was done cheaply or on a minimal scale. Regardless of if the Norman was creating a religious object, such as a reliquary or Bible, or a sign of conquest, such as a Castle or the Bayeux Tapestry, these items were all created to the highest standard achievable – even if it meant spending obscene amounts of money on stone and craftsmen. Therefore, what is possible to determine is what the Normans thought of themselves, and the legacy they wanted to leave to their descendants. In both war and peace, religion and secular society, the Normans </w:t>
      </w:r>
      <w:r w:rsidR="00983214">
        <w:rPr>
          <w:rFonts w:ascii="Times New Roman" w:hAnsi="Times New Roman" w:cs="Times New Roman"/>
          <w:sz w:val="24"/>
          <w:szCs w:val="24"/>
        </w:rPr>
        <w:t>believed themselves to be</w:t>
      </w:r>
      <w:r w:rsidRPr="00421BEA">
        <w:rPr>
          <w:rFonts w:ascii="Times New Roman" w:hAnsi="Times New Roman" w:cs="Times New Roman"/>
          <w:sz w:val="24"/>
          <w:szCs w:val="24"/>
        </w:rPr>
        <w:t xml:space="preserve"> superior, and </w:t>
      </w:r>
      <w:r w:rsidR="00983214">
        <w:rPr>
          <w:rFonts w:ascii="Times New Roman" w:hAnsi="Times New Roman" w:cs="Times New Roman"/>
          <w:sz w:val="24"/>
          <w:szCs w:val="24"/>
        </w:rPr>
        <w:t xml:space="preserve">they </w:t>
      </w:r>
      <w:r w:rsidRPr="00421BEA">
        <w:rPr>
          <w:rFonts w:ascii="Times New Roman" w:hAnsi="Times New Roman" w:cs="Times New Roman"/>
          <w:sz w:val="24"/>
          <w:szCs w:val="24"/>
        </w:rPr>
        <w:t>used their extensive resources to show thi</w:t>
      </w:r>
      <w:r w:rsidR="00983214">
        <w:rPr>
          <w:rFonts w:ascii="Times New Roman" w:hAnsi="Times New Roman" w:cs="Times New Roman"/>
          <w:sz w:val="24"/>
          <w:szCs w:val="24"/>
        </w:rPr>
        <w:t>s in everything, including the artworks they commissioned.</w:t>
      </w:r>
    </w:p>
    <w:p w:rsidR="00421BEA" w:rsidRPr="00421BEA" w:rsidRDefault="00421BEA" w:rsidP="00421BEA">
      <w:pPr>
        <w:spacing w:line="480" w:lineRule="auto"/>
        <w:jc w:val="both"/>
        <w:rPr>
          <w:rFonts w:ascii="Times New Roman" w:hAnsi="Times New Roman" w:cs="Times New Roman"/>
          <w:sz w:val="24"/>
          <w:szCs w:val="24"/>
        </w:rPr>
      </w:pPr>
      <w:r w:rsidRPr="00421BEA">
        <w:rPr>
          <w:rFonts w:ascii="Times New Roman" w:hAnsi="Times New Roman" w:cs="Times New Roman"/>
          <w:sz w:val="24"/>
          <w:szCs w:val="24"/>
        </w:rPr>
        <w:br w:type="page"/>
      </w:r>
      <w:bookmarkStart w:id="3" w:name="_GoBack"/>
      <w:bookmarkEnd w:id="3"/>
    </w:p>
    <w:p w:rsidR="00421BEA" w:rsidRPr="00421BEA" w:rsidRDefault="00421BEA" w:rsidP="00EC179C">
      <w:pPr>
        <w:spacing w:line="360" w:lineRule="auto"/>
        <w:jc w:val="both"/>
        <w:rPr>
          <w:rFonts w:ascii="Times New Roman" w:hAnsi="Times New Roman" w:cs="Times New Roman"/>
          <w:sz w:val="24"/>
          <w:szCs w:val="24"/>
          <w:u w:val="single"/>
        </w:rPr>
      </w:pPr>
      <w:r w:rsidRPr="00421BEA">
        <w:rPr>
          <w:rFonts w:ascii="Times New Roman" w:hAnsi="Times New Roman" w:cs="Times New Roman"/>
          <w:sz w:val="24"/>
          <w:szCs w:val="24"/>
          <w:u w:val="single"/>
        </w:rPr>
        <w:t>Bibliography</w:t>
      </w:r>
    </w:p>
    <w:p w:rsidR="00421BEA" w:rsidRPr="00421BEA" w:rsidRDefault="00421BEA" w:rsidP="00EC179C">
      <w:pPr>
        <w:spacing w:line="360" w:lineRule="auto"/>
        <w:jc w:val="both"/>
        <w:rPr>
          <w:rFonts w:ascii="Times New Roman" w:hAnsi="Times New Roman" w:cs="Times New Roman"/>
          <w:sz w:val="24"/>
          <w:szCs w:val="24"/>
          <w:u w:val="single"/>
        </w:rPr>
      </w:pPr>
      <w:r w:rsidRPr="00421BEA">
        <w:rPr>
          <w:rFonts w:ascii="Times New Roman" w:hAnsi="Times New Roman" w:cs="Times New Roman"/>
          <w:sz w:val="24"/>
          <w:szCs w:val="24"/>
          <w:u w:val="single"/>
        </w:rPr>
        <w:t>Primary Sources</w:t>
      </w:r>
    </w:p>
    <w:p w:rsidR="00EC179C" w:rsidRPr="00421BEA" w:rsidRDefault="00EC179C" w:rsidP="00EC179C">
      <w:pPr>
        <w:pStyle w:val="FootnoteText"/>
        <w:spacing w:line="360" w:lineRule="auto"/>
        <w:jc w:val="both"/>
        <w:rPr>
          <w:rFonts w:ascii="Times New Roman" w:hAnsi="Times New Roman" w:cs="Times New Roman"/>
          <w:sz w:val="24"/>
          <w:szCs w:val="24"/>
        </w:rPr>
      </w:pPr>
      <w:proofErr w:type="spellStart"/>
      <w:r w:rsidRPr="00421BEA">
        <w:rPr>
          <w:rFonts w:ascii="Times New Roman" w:hAnsi="Times New Roman" w:cs="Times New Roman"/>
          <w:sz w:val="24"/>
          <w:szCs w:val="24"/>
        </w:rPr>
        <w:t>Aymerich</w:t>
      </w:r>
      <w:proofErr w:type="spellEnd"/>
      <w:r>
        <w:rPr>
          <w:rFonts w:ascii="Times New Roman" w:hAnsi="Times New Roman" w:cs="Times New Roman"/>
          <w:sz w:val="24"/>
          <w:szCs w:val="24"/>
        </w:rPr>
        <w:t>,</w:t>
      </w:r>
      <w:r w:rsidRPr="00EC179C">
        <w:rPr>
          <w:rFonts w:ascii="Times New Roman" w:hAnsi="Times New Roman" w:cs="Times New Roman"/>
          <w:sz w:val="24"/>
          <w:szCs w:val="24"/>
        </w:rPr>
        <w:t xml:space="preserve"> </w:t>
      </w:r>
      <w:r w:rsidRPr="00421BEA">
        <w:rPr>
          <w:rFonts w:ascii="Times New Roman" w:hAnsi="Times New Roman" w:cs="Times New Roman"/>
          <w:sz w:val="24"/>
          <w:szCs w:val="24"/>
        </w:rPr>
        <w:t xml:space="preserve">S. </w:t>
      </w:r>
      <w:r w:rsidRPr="00421BEA">
        <w:rPr>
          <w:rFonts w:ascii="Times New Roman" w:hAnsi="Times New Roman" w:cs="Times New Roman"/>
          <w:i/>
          <w:sz w:val="24"/>
          <w:szCs w:val="24"/>
        </w:rPr>
        <w:t>The mosaic of Roger II in in Santa Maria dell’Ammiraglio, Palermo</w:t>
      </w:r>
      <w:r w:rsidRPr="00421BEA">
        <w:rPr>
          <w:rFonts w:ascii="Times New Roman" w:hAnsi="Times New Roman" w:cs="Times New Roman"/>
          <w:sz w:val="24"/>
          <w:szCs w:val="24"/>
        </w:rPr>
        <w:t>, Trans. 24/10/2017.</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Britain’s Bayeux Tapestry, Long Live the King – Scene 1, Available on: </w:t>
      </w:r>
    </w:p>
    <w:p w:rsidR="00983214" w:rsidRPr="00421BEA" w:rsidRDefault="00983214" w:rsidP="00EC179C">
      <w:pPr>
        <w:pStyle w:val="FootnoteText"/>
        <w:spacing w:line="360" w:lineRule="auto"/>
        <w:jc w:val="both"/>
        <w:rPr>
          <w:rFonts w:ascii="Times New Roman" w:hAnsi="Times New Roman" w:cs="Times New Roman"/>
          <w:sz w:val="24"/>
          <w:szCs w:val="24"/>
        </w:rPr>
      </w:pPr>
      <w:hyperlink r:id="rId7" w:history="1">
        <w:r w:rsidRPr="00421BEA">
          <w:rPr>
            <w:rStyle w:val="Hyperlink"/>
            <w:rFonts w:ascii="Times New Roman" w:hAnsi="Times New Roman" w:cs="Times New Roman"/>
            <w:color w:val="auto"/>
            <w:sz w:val="24"/>
            <w:szCs w:val="24"/>
          </w:rPr>
          <w:t>http://www.bayeuxtapestry.org.uk/Bayeux14.htm</w:t>
        </w:r>
      </w:hyperlink>
      <w:r w:rsidRPr="00421BEA">
        <w:rPr>
          <w:rFonts w:ascii="Times New Roman" w:hAnsi="Times New Roman" w:cs="Times New Roman"/>
          <w:sz w:val="24"/>
          <w:szCs w:val="24"/>
        </w:rPr>
        <w:t xml:space="preserve"> Accessed on [08/01/2018].</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Britain’s Bayeux Tapestry, The Oath – Scene One, Available on: </w:t>
      </w:r>
    </w:p>
    <w:p w:rsidR="00983214" w:rsidRPr="00421BEA" w:rsidRDefault="00983214" w:rsidP="00EC179C">
      <w:pPr>
        <w:pStyle w:val="FootnoteText"/>
        <w:spacing w:line="360" w:lineRule="auto"/>
        <w:jc w:val="both"/>
        <w:rPr>
          <w:rFonts w:ascii="Times New Roman" w:hAnsi="Times New Roman" w:cs="Times New Roman"/>
          <w:sz w:val="24"/>
          <w:szCs w:val="24"/>
        </w:rPr>
      </w:pPr>
      <w:hyperlink r:id="rId8" w:history="1">
        <w:r w:rsidRPr="00421BEA">
          <w:rPr>
            <w:rStyle w:val="Hyperlink"/>
            <w:rFonts w:ascii="Times New Roman" w:hAnsi="Times New Roman" w:cs="Times New Roman"/>
            <w:color w:val="auto"/>
            <w:sz w:val="24"/>
            <w:szCs w:val="24"/>
          </w:rPr>
          <w:t>http://www.bayeuxtapestry.org.uk/Bayeux11.htm</w:t>
        </w:r>
      </w:hyperlink>
      <w:r w:rsidRPr="00421BEA">
        <w:rPr>
          <w:rFonts w:ascii="Times New Roman" w:hAnsi="Times New Roman" w:cs="Times New Roman"/>
          <w:sz w:val="24"/>
          <w:szCs w:val="24"/>
        </w:rPr>
        <w:t xml:space="preserve"> Accessed on [08/01/2018]. </w:t>
      </w:r>
    </w:p>
    <w:p w:rsidR="00EC179C" w:rsidRPr="00421BEA"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Dobson</w:t>
      </w:r>
      <w:r>
        <w:rPr>
          <w:rFonts w:ascii="Times New Roman" w:hAnsi="Times New Roman" w:cs="Times New Roman"/>
          <w:sz w:val="24"/>
          <w:szCs w:val="24"/>
        </w:rPr>
        <w:t>,</w:t>
      </w:r>
      <w:r w:rsidRPr="00EC179C">
        <w:rPr>
          <w:rFonts w:ascii="Times New Roman" w:hAnsi="Times New Roman" w:cs="Times New Roman"/>
          <w:sz w:val="24"/>
          <w:szCs w:val="24"/>
        </w:rPr>
        <w:t xml:space="preserve"> </w:t>
      </w:r>
      <w:r w:rsidRPr="00421BEA">
        <w:rPr>
          <w:rFonts w:ascii="Times New Roman" w:hAnsi="Times New Roman" w:cs="Times New Roman"/>
          <w:sz w:val="24"/>
          <w:szCs w:val="24"/>
        </w:rPr>
        <w:t xml:space="preserve">T. </w:t>
      </w:r>
      <w:r w:rsidRPr="00421BEA">
        <w:rPr>
          <w:rFonts w:ascii="Times New Roman" w:hAnsi="Times New Roman" w:cs="Times New Roman"/>
          <w:i/>
          <w:sz w:val="24"/>
          <w:szCs w:val="24"/>
        </w:rPr>
        <w:t>The mosaic of Roger II in in Santa Maria dell’Ammiraglio, Palermo</w:t>
      </w:r>
      <w:r w:rsidRPr="00421BEA">
        <w:rPr>
          <w:rFonts w:ascii="Times New Roman" w:hAnsi="Times New Roman" w:cs="Times New Roman"/>
          <w:sz w:val="24"/>
          <w:szCs w:val="24"/>
        </w:rPr>
        <w:t>, Trans. 24/10/2017.</w:t>
      </w:r>
    </w:p>
    <w:p w:rsidR="00EC179C"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King James Bible, Acts 7:55</w:t>
      </w:r>
    </w:p>
    <w:p w:rsidR="00EC179C"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Online Medieval Sourcebook, The Chronicle of St Denis Based on Dudo and William of Jumièges Vol. III, p. 105], Available on: </w:t>
      </w:r>
    </w:p>
    <w:p w:rsidR="00EC179C" w:rsidRPr="00421BEA" w:rsidRDefault="00EC179C" w:rsidP="00EC179C">
      <w:pPr>
        <w:pStyle w:val="FootnoteText"/>
        <w:spacing w:line="360" w:lineRule="auto"/>
        <w:jc w:val="both"/>
        <w:rPr>
          <w:rFonts w:ascii="Times New Roman" w:hAnsi="Times New Roman" w:cs="Times New Roman"/>
          <w:sz w:val="24"/>
          <w:szCs w:val="24"/>
        </w:rPr>
      </w:pPr>
      <w:hyperlink r:id="rId9" w:history="1">
        <w:r w:rsidRPr="00421BEA">
          <w:rPr>
            <w:rStyle w:val="Hyperlink"/>
            <w:rFonts w:ascii="Times New Roman" w:hAnsi="Times New Roman" w:cs="Times New Roman"/>
            <w:color w:val="auto"/>
            <w:sz w:val="24"/>
            <w:szCs w:val="24"/>
          </w:rPr>
          <w:t>https://sourcebooks.fordham.edu/source/843bertin.asp</w:t>
        </w:r>
      </w:hyperlink>
      <w:r w:rsidRPr="00421BEA">
        <w:rPr>
          <w:rFonts w:ascii="Times New Roman" w:hAnsi="Times New Roman" w:cs="Times New Roman"/>
          <w:sz w:val="24"/>
          <w:szCs w:val="24"/>
        </w:rPr>
        <w:t xml:space="preserve"> Accessed on [10/01/2018]. </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The British Library, Royal 14 B vi Genealogical Chronicle of the English Kings, Available on: </w:t>
      </w:r>
      <w:hyperlink r:id="rId10" w:anchor="ROLL" w:history="1">
        <w:r w:rsidRPr="00421BEA">
          <w:rPr>
            <w:rStyle w:val="Hyperlink"/>
            <w:rFonts w:ascii="Times New Roman" w:hAnsi="Times New Roman" w:cs="Times New Roman"/>
            <w:color w:val="auto"/>
            <w:sz w:val="24"/>
            <w:szCs w:val="24"/>
          </w:rPr>
          <w:t>https://www.bl.uk/catalogues/illuminatedmanuscripts/TourHistoryGeneal.asp#ROLL</w:t>
        </w:r>
      </w:hyperlink>
      <w:r w:rsidRPr="00421BEA">
        <w:rPr>
          <w:rFonts w:ascii="Times New Roman" w:hAnsi="Times New Roman" w:cs="Times New Roman"/>
          <w:sz w:val="24"/>
          <w:szCs w:val="24"/>
        </w:rPr>
        <w:t xml:space="preserve"> Accessed on [10/01/2018]. </w:t>
      </w:r>
    </w:p>
    <w:p w:rsidR="00EC179C" w:rsidRPr="00421BEA" w:rsidRDefault="00EC179C" w:rsidP="00EC179C">
      <w:pPr>
        <w:spacing w:line="360" w:lineRule="auto"/>
        <w:jc w:val="both"/>
        <w:rPr>
          <w:rFonts w:ascii="Times New Roman" w:hAnsi="Times New Roman" w:cs="Times New Roman"/>
          <w:sz w:val="24"/>
          <w:szCs w:val="24"/>
          <w:shd w:val="clear" w:color="auto" w:fill="FFFFFF"/>
        </w:rPr>
      </w:pPr>
      <w:r w:rsidRPr="00421BEA">
        <w:rPr>
          <w:rFonts w:ascii="Times New Roman" w:hAnsi="Times New Roman" w:cs="Times New Roman"/>
          <w:sz w:val="24"/>
          <w:szCs w:val="24"/>
        </w:rPr>
        <w:t xml:space="preserve">The British Library, Royal Manuscripts, Royal MS 15 E 1, </w:t>
      </w:r>
      <w:proofErr w:type="spellStart"/>
      <w:r w:rsidRPr="00421BEA">
        <w:rPr>
          <w:rFonts w:ascii="Times New Roman" w:hAnsi="Times New Roman" w:cs="Times New Roman"/>
          <w:i/>
          <w:sz w:val="24"/>
          <w:szCs w:val="24"/>
          <w:shd w:val="clear" w:color="auto" w:fill="FFFFFF"/>
        </w:rPr>
        <w:t>Histoire</w:t>
      </w:r>
      <w:proofErr w:type="spellEnd"/>
      <w:r w:rsidRPr="00421BEA">
        <w:rPr>
          <w:rFonts w:ascii="Times New Roman" w:hAnsi="Times New Roman" w:cs="Times New Roman"/>
          <w:i/>
          <w:sz w:val="24"/>
          <w:szCs w:val="24"/>
          <w:shd w:val="clear" w:color="auto" w:fill="FFFFFF"/>
        </w:rPr>
        <w:t xml:space="preserve"> </w:t>
      </w:r>
      <w:proofErr w:type="spellStart"/>
      <w:r w:rsidRPr="00421BEA">
        <w:rPr>
          <w:rFonts w:ascii="Times New Roman" w:hAnsi="Times New Roman" w:cs="Times New Roman"/>
          <w:i/>
          <w:sz w:val="24"/>
          <w:szCs w:val="24"/>
          <w:shd w:val="clear" w:color="auto" w:fill="FFFFFF"/>
        </w:rPr>
        <w:t>d'Outremer</w:t>
      </w:r>
      <w:proofErr w:type="spellEnd"/>
      <w:r w:rsidRPr="00421BEA">
        <w:rPr>
          <w:rFonts w:ascii="Times New Roman" w:hAnsi="Times New Roman" w:cs="Times New Roman"/>
          <w:sz w:val="24"/>
          <w:szCs w:val="24"/>
          <w:shd w:val="clear" w:color="auto" w:fill="FFFFFF"/>
        </w:rPr>
        <w:t xml:space="preserve">, c.1479-1480 in Medieval Manuscripts Blog, Medieval depictions of the Crusades, Available on: </w:t>
      </w:r>
      <w:hyperlink r:id="rId11" w:history="1">
        <w:r w:rsidRPr="00421BEA">
          <w:rPr>
            <w:rStyle w:val="Hyperlink"/>
            <w:rFonts w:ascii="Times New Roman" w:hAnsi="Times New Roman" w:cs="Times New Roman"/>
            <w:color w:val="auto"/>
            <w:sz w:val="24"/>
            <w:szCs w:val="24"/>
            <w:shd w:val="clear" w:color="auto" w:fill="FFFFFF"/>
          </w:rPr>
          <w:t>http://blogs.bl.uk/digitisedmanuscripts/2017/03/medieval-depictions-of-the-crusades.html</w:t>
        </w:r>
      </w:hyperlink>
      <w:r w:rsidRPr="00421BEA">
        <w:rPr>
          <w:rFonts w:ascii="Times New Roman" w:hAnsi="Times New Roman" w:cs="Times New Roman"/>
          <w:sz w:val="24"/>
          <w:szCs w:val="24"/>
          <w:shd w:val="clear" w:color="auto" w:fill="FFFFFF"/>
        </w:rPr>
        <w:t xml:space="preserve"> Accessed on [10/01/2018].</w:t>
      </w:r>
    </w:p>
    <w:p w:rsidR="00421BEA" w:rsidRDefault="00421BEA" w:rsidP="00EC179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Journals</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Botley C. M. and White, R.E. ‘Halley’s Comet in 1066’, </w:t>
      </w:r>
      <w:r w:rsidRPr="00421BEA">
        <w:rPr>
          <w:rFonts w:ascii="Times New Roman" w:hAnsi="Times New Roman" w:cs="Times New Roman"/>
          <w:i/>
          <w:sz w:val="24"/>
          <w:szCs w:val="24"/>
        </w:rPr>
        <w:t>Astronomical Society of the Pacific</w:t>
      </w:r>
      <w:r w:rsidRPr="00421BEA">
        <w:rPr>
          <w:rFonts w:ascii="Times New Roman" w:hAnsi="Times New Roman" w:cs="Times New Roman"/>
          <w:sz w:val="24"/>
          <w:szCs w:val="24"/>
        </w:rPr>
        <w:t>, Vol. 10: (1967), pp. 9-16.</w:t>
      </w:r>
    </w:p>
    <w:p w:rsidR="00EC179C" w:rsidRPr="00421BEA" w:rsidRDefault="00EC179C" w:rsidP="00EC179C">
      <w:pPr>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Ellis, H.</w:t>
      </w:r>
      <w:r>
        <w:rPr>
          <w:rFonts w:ascii="Times New Roman" w:hAnsi="Times New Roman" w:cs="Times New Roman"/>
          <w:sz w:val="24"/>
          <w:szCs w:val="24"/>
        </w:rPr>
        <w:t xml:space="preserve"> </w:t>
      </w:r>
      <w:r w:rsidRPr="00421BEA">
        <w:rPr>
          <w:rFonts w:ascii="Times New Roman" w:hAnsi="Times New Roman" w:cs="Times New Roman"/>
          <w:i/>
          <w:sz w:val="24"/>
          <w:szCs w:val="24"/>
        </w:rPr>
        <w:t>An Introduction to Domesday Book</w:t>
      </w:r>
      <w:r w:rsidRPr="00421BEA">
        <w:rPr>
          <w:rFonts w:ascii="Times New Roman" w:hAnsi="Times New Roman" w:cs="Times New Roman"/>
          <w:sz w:val="24"/>
          <w:szCs w:val="24"/>
        </w:rPr>
        <w:t xml:space="preserve">, (London: Commission of the Public Records, 1833), p. 211 in </w:t>
      </w:r>
      <w:proofErr w:type="spellStart"/>
      <w:r w:rsidRPr="00421BEA">
        <w:rPr>
          <w:rFonts w:ascii="Times New Roman" w:hAnsi="Times New Roman" w:cs="Times New Roman"/>
          <w:sz w:val="24"/>
          <w:szCs w:val="24"/>
        </w:rPr>
        <w:t>Harfield</w:t>
      </w:r>
      <w:proofErr w:type="spellEnd"/>
      <w:r>
        <w:rPr>
          <w:rFonts w:ascii="Times New Roman" w:hAnsi="Times New Roman" w:cs="Times New Roman"/>
          <w:sz w:val="24"/>
          <w:szCs w:val="24"/>
        </w:rPr>
        <w:t>,</w:t>
      </w:r>
      <w:r w:rsidRPr="00EC179C">
        <w:rPr>
          <w:rFonts w:ascii="Times New Roman" w:hAnsi="Times New Roman" w:cs="Times New Roman"/>
          <w:sz w:val="24"/>
          <w:szCs w:val="24"/>
        </w:rPr>
        <w:t xml:space="preserve"> </w:t>
      </w:r>
      <w:r w:rsidRPr="00421BEA">
        <w:rPr>
          <w:rFonts w:ascii="Times New Roman" w:hAnsi="Times New Roman" w:cs="Times New Roman"/>
          <w:sz w:val="24"/>
          <w:szCs w:val="24"/>
        </w:rPr>
        <w:t xml:space="preserve">C.G. ‘A Hand-list of the Castles Recorded in the Domesday Book’, </w:t>
      </w:r>
      <w:r w:rsidRPr="00421BEA">
        <w:rPr>
          <w:rFonts w:ascii="Times New Roman" w:hAnsi="Times New Roman" w:cs="Times New Roman"/>
          <w:i/>
          <w:sz w:val="24"/>
          <w:szCs w:val="24"/>
        </w:rPr>
        <w:t xml:space="preserve">English Historical Review, </w:t>
      </w:r>
      <w:r w:rsidRPr="00421BEA">
        <w:rPr>
          <w:rFonts w:ascii="Times New Roman" w:hAnsi="Times New Roman" w:cs="Times New Roman"/>
          <w:sz w:val="24"/>
          <w:szCs w:val="24"/>
        </w:rPr>
        <w:t>Vol. CVI</w:t>
      </w:r>
      <w:r w:rsidRPr="00421BEA">
        <w:rPr>
          <w:rFonts w:ascii="Times New Roman" w:hAnsi="Times New Roman" w:cs="Times New Roman"/>
          <w:i/>
          <w:sz w:val="24"/>
          <w:szCs w:val="24"/>
        </w:rPr>
        <w:t xml:space="preserve">: </w:t>
      </w:r>
      <w:r>
        <w:rPr>
          <w:rFonts w:ascii="Times New Roman" w:hAnsi="Times New Roman" w:cs="Times New Roman"/>
          <w:sz w:val="24"/>
          <w:szCs w:val="24"/>
        </w:rPr>
        <w:t>(1991), pp. 371-92</w:t>
      </w:r>
      <w:r w:rsidRPr="00421BEA">
        <w:rPr>
          <w:rFonts w:ascii="Times New Roman" w:hAnsi="Times New Roman" w:cs="Times New Roman"/>
          <w:sz w:val="24"/>
          <w:szCs w:val="24"/>
        </w:rPr>
        <w:t xml:space="preserve">. </w:t>
      </w:r>
    </w:p>
    <w:p w:rsidR="00421BEA" w:rsidRPr="00421BEA" w:rsidRDefault="00421BEA"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Rannells, E. W. ‘The Study of Architecture as Art’, </w:t>
      </w:r>
      <w:r w:rsidRPr="00421BEA">
        <w:rPr>
          <w:rFonts w:ascii="Times New Roman" w:hAnsi="Times New Roman" w:cs="Times New Roman"/>
          <w:i/>
          <w:sz w:val="24"/>
          <w:szCs w:val="24"/>
        </w:rPr>
        <w:t xml:space="preserve">College Art Journal, </w:t>
      </w:r>
      <w:r w:rsidRPr="00421BEA">
        <w:rPr>
          <w:rFonts w:ascii="Times New Roman" w:hAnsi="Times New Roman" w:cs="Times New Roman"/>
          <w:sz w:val="24"/>
          <w:szCs w:val="24"/>
        </w:rPr>
        <w:t>Vol. 8: (Spring 1949), pp. 204-208.</w:t>
      </w:r>
      <w:r w:rsidRPr="00421BEA">
        <w:rPr>
          <w:rFonts w:ascii="Times New Roman" w:hAnsi="Times New Roman" w:cs="Times New Roman"/>
          <w:i/>
          <w:sz w:val="24"/>
          <w:szCs w:val="24"/>
        </w:rPr>
        <w:t xml:space="preserve"> </w:t>
      </w:r>
    </w:p>
    <w:p w:rsidR="00421BEA" w:rsidRPr="00421BEA" w:rsidRDefault="00421BEA" w:rsidP="00EC179C">
      <w:pPr>
        <w:spacing w:line="360" w:lineRule="auto"/>
        <w:jc w:val="both"/>
        <w:rPr>
          <w:rFonts w:ascii="Times New Roman" w:hAnsi="Times New Roman" w:cs="Times New Roman"/>
          <w:sz w:val="24"/>
          <w:szCs w:val="24"/>
          <w:u w:val="single"/>
        </w:rPr>
      </w:pPr>
      <w:r w:rsidRPr="00421BEA">
        <w:rPr>
          <w:rFonts w:ascii="Times New Roman" w:hAnsi="Times New Roman" w:cs="Times New Roman"/>
          <w:sz w:val="24"/>
          <w:szCs w:val="24"/>
          <w:u w:val="single"/>
        </w:rPr>
        <w:t xml:space="preserve">Secondary Printed Sources </w:t>
      </w:r>
    </w:p>
    <w:p w:rsidR="00421BEA" w:rsidRPr="00421BEA" w:rsidRDefault="00421BEA"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Henderson, G. ‘Illuminated Medieval Manuscripts’, </w:t>
      </w:r>
      <w:r w:rsidRPr="00421BEA">
        <w:rPr>
          <w:rFonts w:ascii="Times New Roman" w:hAnsi="Times New Roman" w:cs="Times New Roman"/>
          <w:i/>
          <w:sz w:val="24"/>
          <w:szCs w:val="24"/>
        </w:rPr>
        <w:t xml:space="preserve">Cambridge University Library: Great Collections, </w:t>
      </w:r>
      <w:r w:rsidRPr="00421BEA">
        <w:rPr>
          <w:rFonts w:ascii="Times New Roman" w:hAnsi="Times New Roman" w:cs="Times New Roman"/>
          <w:sz w:val="24"/>
          <w:szCs w:val="24"/>
        </w:rPr>
        <w:t>ed. Peter Fox (Cambridge: Ca</w:t>
      </w:r>
      <w:r>
        <w:rPr>
          <w:rFonts w:ascii="Times New Roman" w:hAnsi="Times New Roman" w:cs="Times New Roman"/>
          <w:sz w:val="24"/>
          <w:szCs w:val="24"/>
        </w:rPr>
        <w:t>mbridge University Press, 1998)</w:t>
      </w:r>
      <w:r w:rsidRPr="00421BEA">
        <w:rPr>
          <w:rFonts w:ascii="Times New Roman" w:hAnsi="Times New Roman" w:cs="Times New Roman"/>
          <w:sz w:val="24"/>
          <w:szCs w:val="24"/>
        </w:rPr>
        <w:t xml:space="preserve">. </w:t>
      </w:r>
    </w:p>
    <w:p w:rsidR="00EC179C" w:rsidRPr="00421BEA"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Spense, J. </w:t>
      </w:r>
      <w:r w:rsidRPr="00421BEA">
        <w:rPr>
          <w:rFonts w:ascii="Times New Roman" w:hAnsi="Times New Roman" w:cs="Times New Roman"/>
          <w:i/>
          <w:sz w:val="24"/>
          <w:szCs w:val="24"/>
        </w:rPr>
        <w:t>Reimagining History in Anglo-Norman Prose Chronicles,</w:t>
      </w:r>
      <w:r w:rsidRPr="00421BEA">
        <w:rPr>
          <w:rFonts w:ascii="Times New Roman" w:hAnsi="Times New Roman" w:cs="Times New Roman"/>
          <w:sz w:val="24"/>
          <w:szCs w:val="24"/>
        </w:rPr>
        <w:t xml:space="preserve"> (York</w:t>
      </w:r>
      <w:r>
        <w:rPr>
          <w:rFonts w:ascii="Times New Roman" w:hAnsi="Times New Roman" w:cs="Times New Roman"/>
          <w:sz w:val="24"/>
          <w:szCs w:val="24"/>
        </w:rPr>
        <w:t>: York Medieval Press, 2013)</w:t>
      </w:r>
      <w:r w:rsidRPr="00421BEA">
        <w:rPr>
          <w:rFonts w:ascii="Times New Roman" w:hAnsi="Times New Roman" w:cs="Times New Roman"/>
          <w:sz w:val="24"/>
          <w:szCs w:val="24"/>
        </w:rPr>
        <w:t>.</w:t>
      </w:r>
    </w:p>
    <w:p w:rsidR="00EC179C" w:rsidRPr="00421BEA" w:rsidRDefault="00EC179C" w:rsidP="00EC179C">
      <w:pPr>
        <w:pStyle w:val="FootnoteText"/>
        <w:spacing w:line="360" w:lineRule="auto"/>
        <w:jc w:val="both"/>
        <w:rPr>
          <w:rFonts w:ascii="Times New Roman" w:hAnsi="Times New Roman" w:cs="Times New Roman"/>
          <w:sz w:val="24"/>
          <w:szCs w:val="24"/>
        </w:rPr>
      </w:pPr>
      <w:proofErr w:type="spellStart"/>
      <w:r w:rsidRPr="00421BEA">
        <w:rPr>
          <w:rFonts w:ascii="Times New Roman" w:hAnsi="Times New Roman" w:cs="Times New Roman"/>
          <w:sz w:val="24"/>
          <w:szCs w:val="24"/>
        </w:rPr>
        <w:t>Wigelsworth</w:t>
      </w:r>
      <w:proofErr w:type="spellEnd"/>
      <w:r w:rsidRPr="00421BEA">
        <w:rPr>
          <w:rFonts w:ascii="Times New Roman" w:hAnsi="Times New Roman" w:cs="Times New Roman"/>
          <w:sz w:val="24"/>
          <w:szCs w:val="24"/>
        </w:rPr>
        <w:t xml:space="preserve">, J. R. </w:t>
      </w:r>
      <w:r w:rsidRPr="00421BEA">
        <w:rPr>
          <w:rFonts w:ascii="Times New Roman" w:hAnsi="Times New Roman" w:cs="Times New Roman"/>
          <w:i/>
          <w:sz w:val="24"/>
          <w:szCs w:val="24"/>
        </w:rPr>
        <w:t xml:space="preserve">Science and Technology in Medieval European Life, </w:t>
      </w:r>
      <w:r w:rsidRPr="00421BEA">
        <w:rPr>
          <w:rFonts w:ascii="Times New Roman" w:hAnsi="Times New Roman" w:cs="Times New Roman"/>
          <w:sz w:val="24"/>
          <w:szCs w:val="24"/>
        </w:rPr>
        <w:t>(Londo</w:t>
      </w:r>
      <w:r>
        <w:rPr>
          <w:rFonts w:ascii="Times New Roman" w:hAnsi="Times New Roman" w:cs="Times New Roman"/>
          <w:sz w:val="24"/>
          <w:szCs w:val="24"/>
        </w:rPr>
        <w:t>n: Greenwood Press, 2006)</w:t>
      </w:r>
      <w:r w:rsidRPr="00421BEA">
        <w:rPr>
          <w:rFonts w:ascii="Times New Roman" w:hAnsi="Times New Roman" w:cs="Times New Roman"/>
          <w:sz w:val="24"/>
          <w:szCs w:val="24"/>
        </w:rPr>
        <w:t xml:space="preserve">. </w:t>
      </w:r>
    </w:p>
    <w:p w:rsidR="00421BEA" w:rsidRDefault="00421BEA" w:rsidP="00EC179C">
      <w:pPr>
        <w:spacing w:line="360" w:lineRule="auto"/>
        <w:jc w:val="both"/>
        <w:rPr>
          <w:rFonts w:ascii="Times New Roman" w:hAnsi="Times New Roman" w:cs="Times New Roman"/>
          <w:sz w:val="24"/>
          <w:szCs w:val="24"/>
          <w:u w:val="single"/>
        </w:rPr>
      </w:pPr>
      <w:r w:rsidRPr="00421BEA">
        <w:rPr>
          <w:rFonts w:ascii="Times New Roman" w:hAnsi="Times New Roman" w:cs="Times New Roman"/>
          <w:sz w:val="24"/>
          <w:szCs w:val="24"/>
          <w:u w:val="single"/>
        </w:rPr>
        <w:t>Web Sources</w:t>
      </w:r>
    </w:p>
    <w:p w:rsidR="00EC179C" w:rsidRPr="00421BEA"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C. </w:t>
      </w:r>
      <w:proofErr w:type="spellStart"/>
      <w:r w:rsidRPr="00421BEA">
        <w:rPr>
          <w:rFonts w:ascii="Times New Roman" w:hAnsi="Times New Roman" w:cs="Times New Roman"/>
          <w:sz w:val="24"/>
          <w:szCs w:val="24"/>
        </w:rPr>
        <w:t>O’Hogan</w:t>
      </w:r>
      <w:proofErr w:type="spellEnd"/>
      <w:r w:rsidRPr="00421BEA">
        <w:rPr>
          <w:rFonts w:ascii="Times New Roman" w:hAnsi="Times New Roman" w:cs="Times New Roman"/>
          <w:sz w:val="24"/>
          <w:szCs w:val="24"/>
        </w:rPr>
        <w:t xml:space="preserve">, Knowledge of Greek in the medieval Latin West, Available on: </w:t>
      </w:r>
      <w:hyperlink r:id="rId12" w:history="1">
        <w:r w:rsidRPr="00421BEA">
          <w:rPr>
            <w:rStyle w:val="Hyperlink"/>
            <w:rFonts w:ascii="Times New Roman" w:hAnsi="Times New Roman" w:cs="Times New Roman"/>
            <w:color w:val="auto"/>
            <w:sz w:val="24"/>
            <w:szCs w:val="24"/>
          </w:rPr>
          <w:t>https://www.bl.uk/greek-manuscripts/articles/knowledge-of-greek-in-the-medieval-latin-west</w:t>
        </w:r>
      </w:hyperlink>
      <w:r w:rsidRPr="00421BEA">
        <w:rPr>
          <w:rFonts w:ascii="Times New Roman" w:hAnsi="Times New Roman" w:cs="Times New Roman"/>
          <w:sz w:val="24"/>
          <w:szCs w:val="24"/>
        </w:rPr>
        <w:t xml:space="preserve"> Accessed on [19/01/2018]. </w:t>
      </w:r>
    </w:p>
    <w:p w:rsidR="00421BEA" w:rsidRDefault="00421BEA" w:rsidP="00EC179C">
      <w:pPr>
        <w:pStyle w:val="FootnoteText"/>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Encyclopaedia </w:t>
      </w:r>
      <w:r w:rsidRPr="00421BEA">
        <w:rPr>
          <w:rFonts w:ascii="Times New Roman" w:hAnsi="Times New Roman" w:cs="Times New Roman"/>
          <w:sz w:val="24"/>
          <w:szCs w:val="24"/>
        </w:rPr>
        <w:t xml:space="preserve">Britannica, Seven Deadly Sins, Available on: </w:t>
      </w:r>
    </w:p>
    <w:p w:rsidR="00421BEA" w:rsidRPr="00421BEA" w:rsidRDefault="00421BEA" w:rsidP="00EC179C">
      <w:pPr>
        <w:pStyle w:val="FootnoteText"/>
        <w:spacing w:line="360" w:lineRule="auto"/>
        <w:jc w:val="both"/>
        <w:rPr>
          <w:rFonts w:ascii="Times New Roman" w:hAnsi="Times New Roman" w:cs="Times New Roman"/>
          <w:sz w:val="24"/>
          <w:szCs w:val="24"/>
        </w:rPr>
      </w:pPr>
      <w:hyperlink r:id="rId13" w:history="1">
        <w:r w:rsidRPr="00421BEA">
          <w:rPr>
            <w:rStyle w:val="Hyperlink"/>
            <w:rFonts w:ascii="Times New Roman" w:hAnsi="Times New Roman" w:cs="Times New Roman"/>
            <w:color w:val="auto"/>
            <w:sz w:val="24"/>
            <w:szCs w:val="24"/>
          </w:rPr>
          <w:t>https://www.britannica.com/topic/seven-deadly-sins</w:t>
        </w:r>
      </w:hyperlink>
      <w:r w:rsidRPr="00421BEA">
        <w:rPr>
          <w:rFonts w:ascii="Times New Roman" w:hAnsi="Times New Roman" w:cs="Times New Roman"/>
          <w:sz w:val="24"/>
          <w:szCs w:val="24"/>
        </w:rPr>
        <w:t xml:space="preserve"> Accessed on [08/01/2018]. </w:t>
      </w:r>
    </w:p>
    <w:p w:rsidR="00EC179C" w:rsidRPr="00421BEA" w:rsidRDefault="00EC179C" w:rsidP="00EC179C">
      <w:pPr>
        <w:spacing w:line="360" w:lineRule="auto"/>
        <w:jc w:val="both"/>
        <w:rPr>
          <w:rFonts w:ascii="Times New Roman" w:hAnsi="Times New Roman" w:cs="Times New Roman"/>
          <w:sz w:val="24"/>
          <w:szCs w:val="24"/>
          <w:shd w:val="clear" w:color="auto" w:fill="FFFFFF"/>
        </w:rPr>
      </w:pPr>
      <w:r w:rsidRPr="00421BEA">
        <w:rPr>
          <w:rFonts w:ascii="Times New Roman" w:hAnsi="Times New Roman" w:cs="Times New Roman"/>
          <w:sz w:val="24"/>
          <w:szCs w:val="24"/>
          <w:shd w:val="clear" w:color="auto" w:fill="FFFFFF"/>
        </w:rPr>
        <w:t xml:space="preserve">Medieval Manuscripts Blog, Medieval depictions of the Crusades, Available on: </w:t>
      </w:r>
      <w:hyperlink r:id="rId14" w:history="1">
        <w:r w:rsidRPr="00421BEA">
          <w:rPr>
            <w:rStyle w:val="Hyperlink"/>
            <w:rFonts w:ascii="Times New Roman" w:hAnsi="Times New Roman" w:cs="Times New Roman"/>
            <w:color w:val="auto"/>
            <w:sz w:val="24"/>
            <w:szCs w:val="24"/>
            <w:shd w:val="clear" w:color="auto" w:fill="FFFFFF"/>
          </w:rPr>
          <w:t>http://blogs.bl.uk/digitisedmanuscripts/2017/03/medieval-depictions-of-the-crusades.html</w:t>
        </w:r>
      </w:hyperlink>
      <w:r w:rsidRPr="00421BEA">
        <w:rPr>
          <w:rFonts w:ascii="Times New Roman" w:hAnsi="Times New Roman" w:cs="Times New Roman"/>
          <w:sz w:val="24"/>
          <w:szCs w:val="24"/>
          <w:shd w:val="clear" w:color="auto" w:fill="FFFFFF"/>
        </w:rPr>
        <w:t xml:space="preserve"> Accessed on [10/01/2018].</w:t>
      </w:r>
    </w:p>
    <w:p w:rsidR="00421BEA" w:rsidRPr="00421BEA" w:rsidRDefault="00421BEA"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Norman Abbeys, Saint-Taurin Abbey, Evreux, Available on: </w:t>
      </w:r>
      <w:hyperlink r:id="rId15" w:history="1">
        <w:r w:rsidRPr="00421BEA">
          <w:rPr>
            <w:rStyle w:val="Hyperlink"/>
            <w:rFonts w:ascii="Times New Roman" w:hAnsi="Times New Roman" w:cs="Times New Roman"/>
            <w:color w:val="auto"/>
            <w:sz w:val="24"/>
            <w:szCs w:val="24"/>
          </w:rPr>
          <w:t>http://www.norman-abbeys.com/abbaye/abbatiale-de-saint-taurin-evreux/</w:t>
        </w:r>
      </w:hyperlink>
      <w:r w:rsidRPr="00421BEA">
        <w:rPr>
          <w:rFonts w:ascii="Times New Roman" w:hAnsi="Times New Roman" w:cs="Times New Roman"/>
          <w:sz w:val="24"/>
          <w:szCs w:val="24"/>
        </w:rPr>
        <w:t xml:space="preserve"> Accessed on [08/01/2018]. </w:t>
      </w:r>
    </w:p>
    <w:p w:rsidR="00EC179C" w:rsidRPr="00421BEA"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Textile Research Centre, Mantle of Roger II of Sicily, Available on: </w:t>
      </w:r>
      <w:hyperlink r:id="rId16" w:history="1">
        <w:r w:rsidRPr="00421BEA">
          <w:rPr>
            <w:rStyle w:val="Hyperlink"/>
            <w:rFonts w:ascii="Times New Roman" w:hAnsi="Times New Roman" w:cs="Times New Roman"/>
            <w:color w:val="auto"/>
            <w:sz w:val="24"/>
            <w:szCs w:val="24"/>
          </w:rPr>
          <w:t>https://trc-leiden.nl/trc-needles/individual-textiles-and-textile-types/secular-ceremonies-and-rituals/mantle-of-roger-ii-of-sicily</w:t>
        </w:r>
      </w:hyperlink>
      <w:r w:rsidRPr="00421BEA">
        <w:rPr>
          <w:rFonts w:ascii="Times New Roman" w:hAnsi="Times New Roman" w:cs="Times New Roman"/>
          <w:sz w:val="24"/>
          <w:szCs w:val="24"/>
        </w:rPr>
        <w:t xml:space="preserve"> Accessed on [17/01/2018].</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The Bayeux Tapestry, An Embroidery, Available on:</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 </w:t>
      </w:r>
      <w:hyperlink r:id="rId17" w:history="1">
        <w:r w:rsidRPr="00421BEA">
          <w:rPr>
            <w:rStyle w:val="Hyperlink"/>
            <w:rFonts w:ascii="Times New Roman" w:hAnsi="Times New Roman" w:cs="Times New Roman"/>
            <w:color w:val="auto"/>
            <w:sz w:val="24"/>
            <w:szCs w:val="24"/>
          </w:rPr>
          <w:t>http://www.bayeuxmuseum.com/en/une_uvre_textile_en.html</w:t>
        </w:r>
      </w:hyperlink>
      <w:r w:rsidRPr="00421BEA">
        <w:rPr>
          <w:rFonts w:ascii="Times New Roman" w:hAnsi="Times New Roman" w:cs="Times New Roman"/>
          <w:sz w:val="24"/>
          <w:szCs w:val="24"/>
        </w:rPr>
        <w:t xml:space="preserve"> Accessed on [08/01/2018]. </w:t>
      </w:r>
    </w:p>
    <w:p w:rsidR="00983214" w:rsidRPr="00421BEA" w:rsidRDefault="00983214"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The British Library Medieval Manuscripts Blog, Genealogy of a Royal Bastard, Available on: </w:t>
      </w:r>
      <w:hyperlink r:id="rId18" w:history="1">
        <w:r w:rsidRPr="00421BEA">
          <w:rPr>
            <w:rStyle w:val="Hyperlink"/>
            <w:rFonts w:ascii="Times New Roman" w:hAnsi="Times New Roman" w:cs="Times New Roman"/>
            <w:color w:val="auto"/>
            <w:sz w:val="24"/>
            <w:szCs w:val="24"/>
          </w:rPr>
          <w:t>http://blogs.bl.uk/digitisedmanuscripts/2012/01/genealogy-of-a-royal-bastard.html</w:t>
        </w:r>
      </w:hyperlink>
      <w:r w:rsidRPr="00421BEA">
        <w:rPr>
          <w:rFonts w:ascii="Times New Roman" w:hAnsi="Times New Roman" w:cs="Times New Roman"/>
          <w:sz w:val="24"/>
          <w:szCs w:val="24"/>
        </w:rPr>
        <w:t xml:space="preserve"> Accessed on [10/01/2018].   </w:t>
      </w:r>
    </w:p>
    <w:p w:rsidR="00EC179C" w:rsidRPr="00421BEA" w:rsidRDefault="00EC179C"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The British Geological Society, Building Stones of London, Available on: </w:t>
      </w:r>
    </w:p>
    <w:p w:rsidR="00EC179C" w:rsidRPr="00421BEA" w:rsidRDefault="00EC179C" w:rsidP="00EC179C">
      <w:pPr>
        <w:pStyle w:val="FootnoteText"/>
        <w:spacing w:line="360" w:lineRule="auto"/>
        <w:jc w:val="both"/>
        <w:rPr>
          <w:rFonts w:ascii="Times New Roman" w:hAnsi="Times New Roman" w:cs="Times New Roman"/>
          <w:sz w:val="24"/>
          <w:szCs w:val="24"/>
        </w:rPr>
      </w:pPr>
      <w:hyperlink r:id="rId19" w:history="1">
        <w:r w:rsidRPr="00421BEA">
          <w:rPr>
            <w:rStyle w:val="Hyperlink"/>
            <w:rFonts w:ascii="Times New Roman" w:hAnsi="Times New Roman" w:cs="Times New Roman"/>
            <w:color w:val="auto"/>
            <w:sz w:val="24"/>
            <w:szCs w:val="24"/>
          </w:rPr>
          <w:t>http://www.bgs.ac.uk/discoveringGeology/geologyOfBritain/buildingStonesLondon/home.html</w:t>
        </w:r>
      </w:hyperlink>
      <w:r w:rsidRPr="00421BEA">
        <w:rPr>
          <w:rFonts w:ascii="Times New Roman" w:hAnsi="Times New Roman" w:cs="Times New Roman"/>
          <w:sz w:val="24"/>
          <w:szCs w:val="24"/>
        </w:rPr>
        <w:t xml:space="preserve"> Accessed on [13/01/2017]. </w:t>
      </w:r>
    </w:p>
    <w:p w:rsidR="00421BEA" w:rsidRPr="00421BEA" w:rsidRDefault="00421BEA"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The Vatican, Christ and the Other Religions, Available on: </w:t>
      </w:r>
    </w:p>
    <w:p w:rsidR="00421BEA" w:rsidRPr="00421BEA" w:rsidRDefault="00421BEA" w:rsidP="00EC179C">
      <w:pPr>
        <w:pStyle w:val="FootnoteText"/>
        <w:spacing w:line="360" w:lineRule="auto"/>
        <w:jc w:val="both"/>
        <w:rPr>
          <w:rFonts w:ascii="Times New Roman" w:hAnsi="Times New Roman" w:cs="Times New Roman"/>
          <w:sz w:val="24"/>
          <w:szCs w:val="24"/>
        </w:rPr>
      </w:pPr>
      <w:hyperlink r:id="rId20" w:history="1">
        <w:r w:rsidRPr="00421BEA">
          <w:rPr>
            <w:rStyle w:val="Hyperlink"/>
            <w:rFonts w:ascii="Times New Roman" w:hAnsi="Times New Roman" w:cs="Times New Roman"/>
            <w:color w:val="auto"/>
            <w:sz w:val="24"/>
            <w:szCs w:val="24"/>
          </w:rPr>
          <w:t>http://www.vatican.va/jubilee_2000/magazine/documents/ju_mag_01031997_p-29_en.html</w:t>
        </w:r>
      </w:hyperlink>
      <w:r w:rsidRPr="00421BEA">
        <w:rPr>
          <w:rFonts w:ascii="Times New Roman" w:hAnsi="Times New Roman" w:cs="Times New Roman"/>
          <w:sz w:val="24"/>
          <w:szCs w:val="24"/>
        </w:rPr>
        <w:t xml:space="preserve"> </w:t>
      </w:r>
    </w:p>
    <w:p w:rsidR="00421BEA" w:rsidRPr="00421BEA" w:rsidRDefault="00421BEA"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Accessed on [08/01/2018]. </w:t>
      </w:r>
    </w:p>
    <w:p w:rsidR="00EC179C" w:rsidRPr="00421BEA" w:rsidRDefault="00EC179C" w:rsidP="00EC179C">
      <w:pPr>
        <w:pStyle w:val="FootnoteText"/>
        <w:tabs>
          <w:tab w:val="left" w:pos="3825"/>
        </w:tabs>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UNESCO, Arab-Norman Palermo and the Cathedral Churches of Cefalú and Monreale, Available on: </w:t>
      </w:r>
      <w:hyperlink r:id="rId21" w:history="1">
        <w:r w:rsidRPr="00421BEA">
          <w:rPr>
            <w:rStyle w:val="Hyperlink"/>
            <w:rFonts w:ascii="Times New Roman" w:hAnsi="Times New Roman" w:cs="Times New Roman"/>
            <w:color w:val="auto"/>
            <w:sz w:val="24"/>
            <w:szCs w:val="24"/>
          </w:rPr>
          <w:t>http://whc.unesco.org/en/list/1487/</w:t>
        </w:r>
      </w:hyperlink>
      <w:r w:rsidRPr="00421BEA">
        <w:rPr>
          <w:rFonts w:ascii="Times New Roman" w:hAnsi="Times New Roman" w:cs="Times New Roman"/>
          <w:sz w:val="24"/>
          <w:szCs w:val="24"/>
        </w:rPr>
        <w:t xml:space="preserve"> Accessed on [10/01/2018]. </w:t>
      </w:r>
    </w:p>
    <w:p w:rsidR="00421BEA" w:rsidRPr="00EC179C" w:rsidRDefault="00421BEA" w:rsidP="00EC179C">
      <w:pPr>
        <w:pStyle w:val="FootnoteText"/>
        <w:spacing w:line="360" w:lineRule="auto"/>
        <w:jc w:val="both"/>
        <w:rPr>
          <w:rFonts w:ascii="Times New Roman" w:hAnsi="Times New Roman" w:cs="Times New Roman"/>
          <w:sz w:val="24"/>
          <w:szCs w:val="24"/>
        </w:rPr>
      </w:pPr>
      <w:r w:rsidRPr="00421BEA">
        <w:rPr>
          <w:rFonts w:ascii="Times New Roman" w:hAnsi="Times New Roman" w:cs="Times New Roman"/>
          <w:sz w:val="24"/>
          <w:szCs w:val="24"/>
        </w:rPr>
        <w:t xml:space="preserve">Wonders of Sicily, La Martorana (Santa Maria dell’Ammiraglio), Available on: </w:t>
      </w:r>
      <w:hyperlink r:id="rId22" w:history="1">
        <w:r w:rsidRPr="00421BEA">
          <w:rPr>
            <w:rStyle w:val="Hyperlink"/>
            <w:rFonts w:ascii="Times New Roman" w:hAnsi="Times New Roman" w:cs="Times New Roman"/>
            <w:color w:val="auto"/>
            <w:sz w:val="24"/>
            <w:szCs w:val="24"/>
          </w:rPr>
          <w:t>http://www.wondersofsicily.com/palermo-martorana-santa-maria-ammiraglio.htm</w:t>
        </w:r>
      </w:hyperlink>
      <w:r w:rsidRPr="00421BEA">
        <w:rPr>
          <w:rFonts w:ascii="Times New Roman" w:hAnsi="Times New Roman" w:cs="Times New Roman"/>
          <w:sz w:val="24"/>
          <w:szCs w:val="24"/>
        </w:rPr>
        <w:t xml:space="preserve"> Accessed on: [08/01/2018].  </w:t>
      </w:r>
    </w:p>
    <w:p w:rsidR="00421BEA" w:rsidRPr="00421BEA" w:rsidRDefault="00421BEA" w:rsidP="00421BEA">
      <w:pPr>
        <w:pStyle w:val="FootnoteText"/>
        <w:spacing w:line="480" w:lineRule="auto"/>
        <w:jc w:val="both"/>
        <w:rPr>
          <w:rFonts w:ascii="Times New Roman" w:hAnsi="Times New Roman" w:cs="Times New Roman"/>
          <w:i/>
          <w:sz w:val="24"/>
          <w:szCs w:val="24"/>
        </w:rPr>
      </w:pPr>
    </w:p>
    <w:p w:rsidR="00F739F1" w:rsidRPr="00421BEA" w:rsidRDefault="00F739F1" w:rsidP="00421BEA">
      <w:pPr>
        <w:spacing w:line="480" w:lineRule="auto"/>
        <w:jc w:val="both"/>
        <w:rPr>
          <w:rFonts w:ascii="Times New Roman" w:hAnsi="Times New Roman" w:cs="Times New Roman"/>
          <w:sz w:val="24"/>
          <w:szCs w:val="24"/>
        </w:rPr>
      </w:pPr>
    </w:p>
    <w:p w:rsidR="00640C3A" w:rsidRPr="00421BEA" w:rsidRDefault="00640C3A" w:rsidP="00421BEA">
      <w:pPr>
        <w:spacing w:line="480" w:lineRule="auto"/>
        <w:jc w:val="both"/>
        <w:rPr>
          <w:rFonts w:ascii="Times New Roman" w:hAnsi="Times New Roman" w:cs="Times New Roman"/>
          <w:sz w:val="24"/>
          <w:szCs w:val="24"/>
        </w:rPr>
      </w:pPr>
    </w:p>
    <w:p w:rsidR="00222B97" w:rsidRPr="00421BEA" w:rsidRDefault="00222B97" w:rsidP="00421BEA">
      <w:pPr>
        <w:spacing w:line="480" w:lineRule="auto"/>
        <w:jc w:val="both"/>
        <w:rPr>
          <w:rFonts w:ascii="Times New Roman" w:hAnsi="Times New Roman" w:cs="Times New Roman"/>
          <w:sz w:val="24"/>
          <w:szCs w:val="24"/>
        </w:rPr>
      </w:pPr>
    </w:p>
    <w:sectPr w:rsidR="00222B97" w:rsidRPr="00421BE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430E" w:rsidRDefault="0063430E" w:rsidP="00153AA3">
      <w:pPr>
        <w:spacing w:after="0" w:line="240" w:lineRule="auto"/>
      </w:pPr>
      <w:r>
        <w:separator/>
      </w:r>
    </w:p>
  </w:endnote>
  <w:endnote w:type="continuationSeparator" w:id="0">
    <w:p w:rsidR="0063430E" w:rsidRDefault="0063430E" w:rsidP="00153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430E" w:rsidRDefault="0063430E" w:rsidP="00153AA3">
      <w:pPr>
        <w:spacing w:after="0" w:line="240" w:lineRule="auto"/>
      </w:pPr>
      <w:r>
        <w:separator/>
      </w:r>
    </w:p>
  </w:footnote>
  <w:footnote w:type="continuationSeparator" w:id="0">
    <w:p w:rsidR="0063430E" w:rsidRDefault="0063430E" w:rsidP="00153AA3">
      <w:pPr>
        <w:spacing w:after="0" w:line="240" w:lineRule="auto"/>
      </w:pPr>
      <w:r>
        <w:continuationSeparator/>
      </w:r>
    </w:p>
  </w:footnote>
  <w:footnote w:id="1">
    <w:p w:rsidR="00222B97" w:rsidRPr="007073EC" w:rsidRDefault="00222B97"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E. W. Rannells, ‘The Study of Architecture as Art’, </w:t>
      </w:r>
      <w:r w:rsidRPr="007073EC">
        <w:rPr>
          <w:rFonts w:ascii="Times New Roman" w:hAnsi="Times New Roman" w:cs="Times New Roman"/>
          <w:i/>
        </w:rPr>
        <w:t xml:space="preserve">College Art Journal, </w:t>
      </w:r>
      <w:r w:rsidRPr="007073EC">
        <w:rPr>
          <w:rFonts w:ascii="Times New Roman" w:hAnsi="Times New Roman" w:cs="Times New Roman"/>
        </w:rPr>
        <w:t>Vol. 8: (Spring 1949), pp. 204-208.</w:t>
      </w:r>
      <w:r w:rsidRPr="007073EC">
        <w:rPr>
          <w:rFonts w:ascii="Times New Roman" w:hAnsi="Times New Roman" w:cs="Times New Roman"/>
          <w:i/>
        </w:rPr>
        <w:t xml:space="preserve"> </w:t>
      </w:r>
    </w:p>
  </w:footnote>
  <w:footnote w:id="2">
    <w:p w:rsidR="00222B97" w:rsidRPr="007073EC" w:rsidRDefault="00222B97"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G. Henderson, ‘Illuminated Medieval Manuscripts’, </w:t>
      </w:r>
      <w:r w:rsidRPr="007073EC">
        <w:rPr>
          <w:rFonts w:ascii="Times New Roman" w:hAnsi="Times New Roman" w:cs="Times New Roman"/>
          <w:i/>
        </w:rPr>
        <w:t xml:space="preserve">Cambridge University Library: Great Collections, </w:t>
      </w:r>
      <w:r w:rsidRPr="007073EC">
        <w:rPr>
          <w:rFonts w:ascii="Times New Roman" w:hAnsi="Times New Roman" w:cs="Times New Roman"/>
        </w:rPr>
        <w:t xml:space="preserve">ed. Peter Fox (Cambridge: Cambridge University Press, 1998), P. 46. </w:t>
      </w:r>
    </w:p>
  </w:footnote>
  <w:footnote w:id="3">
    <w:p w:rsidR="00222B97" w:rsidRPr="007073EC" w:rsidRDefault="00222B97"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Encyclopaedia </w:t>
      </w:r>
      <w:r w:rsidR="005D525E" w:rsidRPr="007073EC">
        <w:rPr>
          <w:rFonts w:ascii="Times New Roman" w:hAnsi="Times New Roman" w:cs="Times New Roman"/>
        </w:rPr>
        <w:t>Britannica</w:t>
      </w:r>
      <w:r w:rsidRPr="007073EC">
        <w:rPr>
          <w:rFonts w:ascii="Times New Roman" w:hAnsi="Times New Roman" w:cs="Times New Roman"/>
        </w:rPr>
        <w:t xml:space="preserve">, Seven Deadly Sins, Available on: </w:t>
      </w:r>
      <w:hyperlink r:id="rId1" w:history="1">
        <w:r w:rsidRPr="007073EC">
          <w:rPr>
            <w:rStyle w:val="Hyperlink"/>
            <w:rFonts w:ascii="Times New Roman" w:hAnsi="Times New Roman" w:cs="Times New Roman"/>
            <w:color w:val="auto"/>
          </w:rPr>
          <w:t>https://www.britannica.com/topic/seven-deadly-sins</w:t>
        </w:r>
      </w:hyperlink>
      <w:r w:rsidRPr="007073EC">
        <w:rPr>
          <w:rFonts w:ascii="Times New Roman" w:hAnsi="Times New Roman" w:cs="Times New Roman"/>
        </w:rPr>
        <w:t xml:space="preserve"> Accessed on [08/01/2018]. </w:t>
      </w:r>
    </w:p>
  </w:footnote>
  <w:footnote w:id="4">
    <w:p w:rsidR="000B7980" w:rsidRPr="007073EC" w:rsidRDefault="000B7980"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Norman Abbeys, Saint-Taurin Abbey, Evreux, Available on: </w:t>
      </w:r>
      <w:hyperlink r:id="rId2" w:history="1">
        <w:r w:rsidRPr="007073EC">
          <w:rPr>
            <w:rStyle w:val="Hyperlink"/>
            <w:rFonts w:ascii="Times New Roman" w:hAnsi="Times New Roman" w:cs="Times New Roman"/>
            <w:color w:val="auto"/>
          </w:rPr>
          <w:t>http://www.norman-abbeys.com/abbaye/abbatiale-de-saint-taurin-evreux/</w:t>
        </w:r>
      </w:hyperlink>
      <w:r w:rsidRPr="007073EC">
        <w:rPr>
          <w:rFonts w:ascii="Times New Roman" w:hAnsi="Times New Roman" w:cs="Times New Roman"/>
        </w:rPr>
        <w:t xml:space="preserve"> Accessed on [08/01/2018]. </w:t>
      </w:r>
    </w:p>
  </w:footnote>
  <w:footnote w:id="5">
    <w:p w:rsidR="002C3E2F" w:rsidRPr="007073EC" w:rsidRDefault="002C3E2F"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Wonders of Sicily, La Martorana (Santa Maria dell’Ammiraglio), Available on: </w:t>
      </w:r>
      <w:hyperlink r:id="rId3" w:history="1">
        <w:r w:rsidRPr="007073EC">
          <w:rPr>
            <w:rStyle w:val="Hyperlink"/>
            <w:rFonts w:ascii="Times New Roman" w:hAnsi="Times New Roman" w:cs="Times New Roman"/>
            <w:color w:val="auto"/>
          </w:rPr>
          <w:t>http://www.wondersofsicily.com/palermo-martorana-santa-maria-ammiraglio.htm</w:t>
        </w:r>
      </w:hyperlink>
      <w:r w:rsidRPr="007073EC">
        <w:rPr>
          <w:rFonts w:ascii="Times New Roman" w:hAnsi="Times New Roman" w:cs="Times New Roman"/>
        </w:rPr>
        <w:t xml:space="preserve"> Accessed on: [08/01/2018].  </w:t>
      </w:r>
    </w:p>
  </w:footnote>
  <w:footnote w:id="6">
    <w:p w:rsidR="002C3E2F" w:rsidRPr="007073EC" w:rsidRDefault="002C3E2F"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King James Bible, Acts 7:55.</w:t>
      </w:r>
    </w:p>
  </w:footnote>
  <w:footnote w:id="7">
    <w:p w:rsidR="007073EC" w:rsidRDefault="002C3E2F"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The Vatican, Christ and the Other Religions, Available on: </w:t>
      </w:r>
    </w:p>
    <w:p w:rsidR="007073EC" w:rsidRDefault="00EC179C" w:rsidP="007073EC">
      <w:pPr>
        <w:pStyle w:val="FootnoteText"/>
        <w:jc w:val="both"/>
        <w:rPr>
          <w:rFonts w:ascii="Times New Roman" w:hAnsi="Times New Roman" w:cs="Times New Roman"/>
        </w:rPr>
      </w:pPr>
      <w:hyperlink r:id="rId4" w:history="1">
        <w:r w:rsidR="002C3E2F" w:rsidRPr="007073EC">
          <w:rPr>
            <w:rStyle w:val="Hyperlink"/>
            <w:rFonts w:ascii="Times New Roman" w:hAnsi="Times New Roman" w:cs="Times New Roman"/>
            <w:color w:val="auto"/>
          </w:rPr>
          <w:t>http://www.vatican.va/jubilee_2000/magazine/documents/ju_mag_01031997_p-29_en.html</w:t>
        </w:r>
      </w:hyperlink>
      <w:r w:rsidR="002C3E2F" w:rsidRPr="007073EC">
        <w:rPr>
          <w:rFonts w:ascii="Times New Roman" w:hAnsi="Times New Roman" w:cs="Times New Roman"/>
        </w:rPr>
        <w:t xml:space="preserve"> </w:t>
      </w:r>
    </w:p>
    <w:p w:rsidR="002C3E2F" w:rsidRPr="007073EC" w:rsidRDefault="002C3E2F" w:rsidP="007073EC">
      <w:pPr>
        <w:pStyle w:val="FootnoteText"/>
        <w:jc w:val="both"/>
        <w:rPr>
          <w:rFonts w:ascii="Times New Roman" w:hAnsi="Times New Roman" w:cs="Times New Roman"/>
        </w:rPr>
      </w:pPr>
      <w:r w:rsidRPr="007073EC">
        <w:rPr>
          <w:rFonts w:ascii="Times New Roman" w:hAnsi="Times New Roman" w:cs="Times New Roman"/>
        </w:rPr>
        <w:t xml:space="preserve">Accessed on [08/01/2018]. </w:t>
      </w:r>
    </w:p>
  </w:footnote>
  <w:footnote w:id="8">
    <w:p w:rsidR="002C3E2F" w:rsidRPr="007073EC" w:rsidRDefault="002C3E2F"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Encyclopaedia </w:t>
      </w:r>
      <w:r w:rsidR="005D525E" w:rsidRPr="007073EC">
        <w:rPr>
          <w:rFonts w:ascii="Times New Roman" w:hAnsi="Times New Roman" w:cs="Times New Roman"/>
        </w:rPr>
        <w:t>Britannica</w:t>
      </w:r>
      <w:r w:rsidRPr="007073EC">
        <w:rPr>
          <w:rFonts w:ascii="Times New Roman" w:hAnsi="Times New Roman" w:cs="Times New Roman"/>
        </w:rPr>
        <w:t xml:space="preserve">, Norman, Available on: </w:t>
      </w:r>
      <w:hyperlink r:id="rId5" w:history="1">
        <w:r w:rsidRPr="007073EC">
          <w:rPr>
            <w:rStyle w:val="Hyperlink"/>
            <w:rFonts w:ascii="Times New Roman" w:hAnsi="Times New Roman" w:cs="Times New Roman"/>
            <w:color w:val="auto"/>
          </w:rPr>
          <w:t>https://www.britannica.com/topic/Norman-people</w:t>
        </w:r>
      </w:hyperlink>
      <w:r w:rsidR="00983214">
        <w:rPr>
          <w:rFonts w:ascii="Times New Roman" w:hAnsi="Times New Roman" w:cs="Times New Roman"/>
        </w:rPr>
        <w:t xml:space="preserve"> Accessed on [08/01/2018]</w:t>
      </w:r>
      <w:r w:rsidRPr="007073EC">
        <w:rPr>
          <w:rFonts w:ascii="Times New Roman" w:hAnsi="Times New Roman" w:cs="Times New Roman"/>
        </w:rPr>
        <w:t xml:space="preserve">.  </w:t>
      </w:r>
    </w:p>
  </w:footnote>
  <w:footnote w:id="9">
    <w:p w:rsidR="007073EC" w:rsidRDefault="001B1F9C"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The Bayeux Tapestry, An Embroidery, Available on:</w:t>
      </w:r>
    </w:p>
    <w:p w:rsidR="001B1F9C" w:rsidRPr="007073EC" w:rsidRDefault="001B1F9C" w:rsidP="007073EC">
      <w:pPr>
        <w:pStyle w:val="FootnoteText"/>
        <w:jc w:val="both"/>
        <w:rPr>
          <w:rFonts w:ascii="Times New Roman" w:hAnsi="Times New Roman" w:cs="Times New Roman"/>
        </w:rPr>
      </w:pPr>
      <w:r w:rsidRPr="007073EC">
        <w:rPr>
          <w:rFonts w:ascii="Times New Roman" w:hAnsi="Times New Roman" w:cs="Times New Roman"/>
        </w:rPr>
        <w:t xml:space="preserve"> </w:t>
      </w:r>
      <w:hyperlink r:id="rId6" w:history="1">
        <w:r w:rsidRPr="007073EC">
          <w:rPr>
            <w:rStyle w:val="Hyperlink"/>
            <w:rFonts w:ascii="Times New Roman" w:hAnsi="Times New Roman" w:cs="Times New Roman"/>
            <w:color w:val="auto"/>
          </w:rPr>
          <w:t>http://www.bayeuxmuseum.com/en/une_uvre_textile_en.html</w:t>
        </w:r>
      </w:hyperlink>
      <w:r w:rsidRPr="007073EC">
        <w:rPr>
          <w:rFonts w:ascii="Times New Roman" w:hAnsi="Times New Roman" w:cs="Times New Roman"/>
        </w:rPr>
        <w:t xml:space="preserve"> Accessed on [08/01/2018]. </w:t>
      </w:r>
    </w:p>
  </w:footnote>
  <w:footnote w:id="10">
    <w:p w:rsidR="007073EC" w:rsidRDefault="001B1F9C"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Britain’s Bayeux Tapestry, The Oath – Scene One, Available on: </w:t>
      </w:r>
    </w:p>
    <w:p w:rsidR="001B1F9C" w:rsidRPr="007073EC" w:rsidRDefault="00EC179C" w:rsidP="007073EC">
      <w:pPr>
        <w:pStyle w:val="FootnoteText"/>
        <w:jc w:val="both"/>
        <w:rPr>
          <w:rFonts w:ascii="Times New Roman" w:hAnsi="Times New Roman" w:cs="Times New Roman"/>
        </w:rPr>
      </w:pPr>
      <w:hyperlink r:id="rId7" w:history="1">
        <w:r w:rsidR="001B1F9C" w:rsidRPr="007073EC">
          <w:rPr>
            <w:rStyle w:val="Hyperlink"/>
            <w:rFonts w:ascii="Times New Roman" w:hAnsi="Times New Roman" w:cs="Times New Roman"/>
            <w:color w:val="auto"/>
          </w:rPr>
          <w:t>http://www.bayeuxtapestry.org.uk/Bayeux11.htm</w:t>
        </w:r>
      </w:hyperlink>
      <w:r w:rsidR="001B1F9C" w:rsidRPr="007073EC">
        <w:rPr>
          <w:rFonts w:ascii="Times New Roman" w:hAnsi="Times New Roman" w:cs="Times New Roman"/>
        </w:rPr>
        <w:t xml:space="preserve"> Accessed on [08/01/2018]. </w:t>
      </w:r>
    </w:p>
  </w:footnote>
  <w:footnote w:id="11">
    <w:p w:rsidR="001B1F9C" w:rsidRPr="007073EC" w:rsidRDefault="001B1F9C"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C. M. Botley and R.E. White, ‘Halley’s Comet in 1066’, </w:t>
      </w:r>
      <w:r w:rsidRPr="007073EC">
        <w:rPr>
          <w:rFonts w:ascii="Times New Roman" w:hAnsi="Times New Roman" w:cs="Times New Roman"/>
          <w:i/>
        </w:rPr>
        <w:t>Astronomical Society of the Pacific</w:t>
      </w:r>
      <w:r w:rsidRPr="007073EC">
        <w:rPr>
          <w:rFonts w:ascii="Times New Roman" w:hAnsi="Times New Roman" w:cs="Times New Roman"/>
        </w:rPr>
        <w:t>, Vol. 10: (1967), pp. 9-16.</w:t>
      </w:r>
    </w:p>
  </w:footnote>
  <w:footnote w:id="12">
    <w:p w:rsidR="007073EC" w:rsidRDefault="001B1F9C"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Britain’s Bayeux Tapestry, Long Live the King – Scene 1, Available on: </w:t>
      </w:r>
    </w:p>
    <w:p w:rsidR="001B1F9C" w:rsidRPr="007073EC" w:rsidRDefault="00EC179C" w:rsidP="007073EC">
      <w:pPr>
        <w:pStyle w:val="FootnoteText"/>
        <w:jc w:val="both"/>
        <w:rPr>
          <w:rFonts w:ascii="Times New Roman" w:hAnsi="Times New Roman" w:cs="Times New Roman"/>
        </w:rPr>
      </w:pPr>
      <w:hyperlink r:id="rId8" w:history="1">
        <w:r w:rsidR="001B1F9C" w:rsidRPr="007073EC">
          <w:rPr>
            <w:rStyle w:val="Hyperlink"/>
            <w:rFonts w:ascii="Times New Roman" w:hAnsi="Times New Roman" w:cs="Times New Roman"/>
            <w:color w:val="auto"/>
          </w:rPr>
          <w:t>http://www.bayeuxtapestry.org.uk/Bayeux14.htm</w:t>
        </w:r>
      </w:hyperlink>
      <w:r w:rsidR="001B1F9C" w:rsidRPr="007073EC">
        <w:rPr>
          <w:rFonts w:ascii="Times New Roman" w:hAnsi="Times New Roman" w:cs="Times New Roman"/>
        </w:rPr>
        <w:t xml:space="preserve"> Accessed on [08/01/2018]. </w:t>
      </w:r>
    </w:p>
  </w:footnote>
  <w:footnote w:id="13">
    <w:p w:rsidR="001B1F9C" w:rsidRPr="007073EC" w:rsidRDefault="001B1F9C"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Britain’s Bayeux Tapestry, The Oath – Scene One, Available on: </w:t>
      </w:r>
      <w:hyperlink r:id="rId9" w:history="1">
        <w:r w:rsidRPr="007073EC">
          <w:rPr>
            <w:rStyle w:val="Hyperlink"/>
            <w:rFonts w:ascii="Times New Roman" w:hAnsi="Times New Roman" w:cs="Times New Roman"/>
            <w:color w:val="auto"/>
          </w:rPr>
          <w:t>http://www.bayeuxtapestry.org.uk/Bayeux11.htm</w:t>
        </w:r>
      </w:hyperlink>
      <w:r w:rsidRPr="007073EC">
        <w:rPr>
          <w:rFonts w:ascii="Times New Roman" w:hAnsi="Times New Roman" w:cs="Times New Roman"/>
        </w:rPr>
        <w:t xml:space="preserve"> Accessed on [08/01/2018].</w:t>
      </w:r>
    </w:p>
  </w:footnote>
  <w:footnote w:id="14">
    <w:p w:rsidR="00640C3A" w:rsidRPr="007073EC" w:rsidRDefault="00640C3A"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w:t>
      </w:r>
      <w:r w:rsidR="00983214" w:rsidRPr="007073EC">
        <w:rPr>
          <w:rFonts w:ascii="Times New Roman" w:hAnsi="Times New Roman" w:cs="Times New Roman"/>
        </w:rPr>
        <w:t xml:space="preserve">The British Library, Royal 14 B vi Genealogical Chronicle of the English Kings, Available on: </w:t>
      </w:r>
      <w:hyperlink r:id="rId10" w:anchor="ROLL" w:history="1">
        <w:r w:rsidR="00983214" w:rsidRPr="007073EC">
          <w:rPr>
            <w:rStyle w:val="Hyperlink"/>
            <w:rFonts w:ascii="Times New Roman" w:hAnsi="Times New Roman" w:cs="Times New Roman"/>
            <w:color w:val="auto"/>
          </w:rPr>
          <w:t>https://www.bl.uk/catalogues/illuminatedmanuscripts/TourHistoryGeneal.asp#ROLL</w:t>
        </w:r>
      </w:hyperlink>
      <w:r w:rsidR="00983214" w:rsidRPr="007073EC">
        <w:rPr>
          <w:rFonts w:ascii="Times New Roman" w:hAnsi="Times New Roman" w:cs="Times New Roman"/>
        </w:rPr>
        <w:t xml:space="preserve"> Accessed on [10/01/2018].</w:t>
      </w:r>
    </w:p>
  </w:footnote>
  <w:footnote w:id="15">
    <w:p w:rsidR="00640C3A" w:rsidRPr="007073EC" w:rsidRDefault="00640C3A"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The British Library Medieval Manuscripts Blog, Genealogy of a Royal Bastard, Available on: </w:t>
      </w:r>
      <w:hyperlink r:id="rId11" w:history="1">
        <w:r w:rsidRPr="007073EC">
          <w:rPr>
            <w:rStyle w:val="Hyperlink"/>
            <w:rFonts w:ascii="Times New Roman" w:hAnsi="Times New Roman" w:cs="Times New Roman"/>
            <w:color w:val="auto"/>
          </w:rPr>
          <w:t>http://blogs.bl.uk/digitisedmanuscripts/2012/01/genealogy-of-a-royal-bastard.html</w:t>
        </w:r>
      </w:hyperlink>
      <w:r w:rsidRPr="007073EC">
        <w:rPr>
          <w:rFonts w:ascii="Times New Roman" w:hAnsi="Times New Roman" w:cs="Times New Roman"/>
        </w:rPr>
        <w:t xml:space="preserve"> Accessed on [10/01/2018].   </w:t>
      </w:r>
    </w:p>
  </w:footnote>
  <w:footnote w:id="16">
    <w:p w:rsidR="00640C3A" w:rsidRPr="007073EC" w:rsidRDefault="00640C3A"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The British Library, Royal 14 B vi Genealogical Chronicle of the English Kings, Available on: </w:t>
      </w:r>
      <w:hyperlink r:id="rId12" w:anchor="ROLL" w:history="1">
        <w:r w:rsidRPr="007073EC">
          <w:rPr>
            <w:rStyle w:val="Hyperlink"/>
            <w:rFonts w:ascii="Times New Roman" w:hAnsi="Times New Roman" w:cs="Times New Roman"/>
            <w:color w:val="auto"/>
          </w:rPr>
          <w:t>https://www.bl.uk/catalogues/illuminatedmanuscripts/TourHistoryGeneal.asp#ROLL</w:t>
        </w:r>
      </w:hyperlink>
      <w:r w:rsidRPr="007073EC">
        <w:rPr>
          <w:rFonts w:ascii="Times New Roman" w:hAnsi="Times New Roman" w:cs="Times New Roman"/>
        </w:rPr>
        <w:t xml:space="preserve"> Accessed on [10/01/2018]. </w:t>
      </w:r>
    </w:p>
  </w:footnote>
  <w:footnote w:id="17">
    <w:p w:rsidR="00640C3A" w:rsidRPr="007073EC" w:rsidRDefault="00640C3A"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J. Spense, </w:t>
      </w:r>
      <w:r w:rsidRPr="007073EC">
        <w:rPr>
          <w:rFonts w:ascii="Times New Roman" w:hAnsi="Times New Roman" w:cs="Times New Roman"/>
          <w:i/>
        </w:rPr>
        <w:t>Reimagining History in Anglo-Norman Prose Chronicles,</w:t>
      </w:r>
      <w:r w:rsidRPr="007073EC">
        <w:rPr>
          <w:rFonts w:ascii="Times New Roman" w:hAnsi="Times New Roman" w:cs="Times New Roman"/>
        </w:rPr>
        <w:t xml:space="preserve"> (York: York Medieval Press, 2013), p. 111.</w:t>
      </w:r>
    </w:p>
  </w:footnote>
  <w:footnote w:id="18">
    <w:p w:rsidR="000C4D39" w:rsidRPr="007073EC" w:rsidRDefault="000C4D39"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Online Medieval Sourcebook, The Chronicle of St Denis Based on Dudo and William of Jumi</w:t>
      </w:r>
      <w:r w:rsidR="0032197E" w:rsidRPr="007073EC">
        <w:rPr>
          <w:rFonts w:ascii="Times New Roman" w:hAnsi="Times New Roman" w:cs="Times New Roman"/>
        </w:rPr>
        <w:t>è</w:t>
      </w:r>
      <w:r w:rsidRPr="007073EC">
        <w:rPr>
          <w:rFonts w:ascii="Times New Roman" w:hAnsi="Times New Roman" w:cs="Times New Roman"/>
        </w:rPr>
        <w:t xml:space="preserve">ges [Vol. III, p. 105], Available on: </w:t>
      </w:r>
      <w:hyperlink r:id="rId13" w:history="1">
        <w:r w:rsidRPr="007073EC">
          <w:rPr>
            <w:rStyle w:val="Hyperlink"/>
            <w:rFonts w:ascii="Times New Roman" w:hAnsi="Times New Roman" w:cs="Times New Roman"/>
            <w:color w:val="auto"/>
          </w:rPr>
          <w:t>https://sourcebooks.fordham.edu/source/843bertin.asp</w:t>
        </w:r>
      </w:hyperlink>
      <w:r w:rsidRPr="007073EC">
        <w:rPr>
          <w:rFonts w:ascii="Times New Roman" w:hAnsi="Times New Roman" w:cs="Times New Roman"/>
        </w:rPr>
        <w:t xml:space="preserve"> Accessed on [10/01/2018]. </w:t>
      </w:r>
    </w:p>
  </w:footnote>
  <w:footnote w:id="19">
    <w:p w:rsidR="0032197E" w:rsidRPr="007073EC" w:rsidRDefault="0032197E" w:rsidP="007073EC">
      <w:pPr>
        <w:pStyle w:val="FootnoteText"/>
        <w:tabs>
          <w:tab w:val="left" w:pos="3825"/>
        </w:tabs>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w:t>
      </w:r>
      <w:bookmarkStart w:id="0" w:name="_Hlk504133239"/>
      <w:bookmarkStart w:id="1" w:name="_Hlk504133240"/>
      <w:bookmarkStart w:id="2" w:name="_Hlk504133241"/>
      <w:r w:rsidRPr="007073EC">
        <w:rPr>
          <w:rFonts w:ascii="Times New Roman" w:hAnsi="Times New Roman" w:cs="Times New Roman"/>
        </w:rPr>
        <w:t xml:space="preserve">UNESCO, Arab-Norman Palermo and the Cathedral Churches of Cefalú and Monreale, Available on: </w:t>
      </w:r>
      <w:hyperlink r:id="rId14" w:history="1">
        <w:r w:rsidRPr="007073EC">
          <w:rPr>
            <w:rStyle w:val="Hyperlink"/>
            <w:rFonts w:ascii="Times New Roman" w:hAnsi="Times New Roman" w:cs="Times New Roman"/>
            <w:color w:val="auto"/>
          </w:rPr>
          <w:t>http://whc.unesco.org/en/list/1487/</w:t>
        </w:r>
      </w:hyperlink>
      <w:r w:rsidRPr="007073EC">
        <w:rPr>
          <w:rFonts w:ascii="Times New Roman" w:hAnsi="Times New Roman" w:cs="Times New Roman"/>
        </w:rPr>
        <w:t xml:space="preserve"> Accessed on [10/01/2018]. </w:t>
      </w:r>
      <w:bookmarkEnd w:id="0"/>
      <w:bookmarkEnd w:id="1"/>
      <w:bookmarkEnd w:id="2"/>
    </w:p>
  </w:footnote>
  <w:footnote w:id="20">
    <w:p w:rsidR="00F739F1" w:rsidRPr="007073EC" w:rsidRDefault="00F739F1"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C. </w:t>
      </w:r>
      <w:proofErr w:type="spellStart"/>
      <w:r w:rsidRPr="007073EC">
        <w:rPr>
          <w:rFonts w:ascii="Times New Roman" w:hAnsi="Times New Roman" w:cs="Times New Roman"/>
        </w:rPr>
        <w:t>O’Hogan</w:t>
      </w:r>
      <w:proofErr w:type="spellEnd"/>
      <w:r w:rsidRPr="007073EC">
        <w:rPr>
          <w:rFonts w:ascii="Times New Roman" w:hAnsi="Times New Roman" w:cs="Times New Roman"/>
        </w:rPr>
        <w:t xml:space="preserve">, Knowledge of Greek in the medieval Latin West, Available on: </w:t>
      </w:r>
      <w:hyperlink r:id="rId15" w:history="1">
        <w:r w:rsidRPr="007073EC">
          <w:rPr>
            <w:rStyle w:val="Hyperlink"/>
            <w:rFonts w:ascii="Times New Roman" w:hAnsi="Times New Roman" w:cs="Times New Roman"/>
            <w:color w:val="auto"/>
          </w:rPr>
          <w:t>https://www.bl.uk/greek-manuscripts/articles/knowledge-of-greek-in-the-medieval-latin-west</w:t>
        </w:r>
      </w:hyperlink>
      <w:r w:rsidRPr="007073EC">
        <w:rPr>
          <w:rFonts w:ascii="Times New Roman" w:hAnsi="Times New Roman" w:cs="Times New Roman"/>
        </w:rPr>
        <w:t xml:space="preserve"> Accessed on [19/01/2018]. </w:t>
      </w:r>
    </w:p>
  </w:footnote>
  <w:footnote w:id="21">
    <w:p w:rsidR="00985774" w:rsidRPr="007073EC" w:rsidRDefault="00985774" w:rsidP="007073EC">
      <w:pPr>
        <w:pStyle w:val="FootnoteText"/>
        <w:tabs>
          <w:tab w:val="left" w:pos="3825"/>
        </w:tabs>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UNESCO, Arab-Norman Palermo and the Cathedral Churches of Cefalú and Monreale, Available on: </w:t>
      </w:r>
      <w:hyperlink r:id="rId16" w:history="1">
        <w:r w:rsidRPr="007073EC">
          <w:rPr>
            <w:rStyle w:val="Hyperlink"/>
            <w:rFonts w:ascii="Times New Roman" w:hAnsi="Times New Roman" w:cs="Times New Roman"/>
            <w:color w:val="auto"/>
          </w:rPr>
          <w:t>http://whc.unesco.org/en/list/1487/</w:t>
        </w:r>
      </w:hyperlink>
      <w:r w:rsidRPr="007073EC">
        <w:rPr>
          <w:rFonts w:ascii="Times New Roman" w:hAnsi="Times New Roman" w:cs="Times New Roman"/>
        </w:rPr>
        <w:t xml:space="preserve"> Accessed on [10/01/2018]. </w:t>
      </w:r>
    </w:p>
  </w:footnote>
  <w:footnote w:id="22">
    <w:p w:rsidR="00985774" w:rsidRPr="007073EC" w:rsidRDefault="00985774"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S. </w:t>
      </w:r>
      <w:proofErr w:type="spellStart"/>
      <w:r w:rsidRPr="007073EC">
        <w:rPr>
          <w:rFonts w:ascii="Times New Roman" w:hAnsi="Times New Roman" w:cs="Times New Roman"/>
        </w:rPr>
        <w:t>Aymerich</w:t>
      </w:r>
      <w:proofErr w:type="spellEnd"/>
      <w:r w:rsidRPr="007073EC">
        <w:rPr>
          <w:rFonts w:ascii="Times New Roman" w:hAnsi="Times New Roman" w:cs="Times New Roman"/>
        </w:rPr>
        <w:t xml:space="preserve">, </w:t>
      </w:r>
      <w:r w:rsidRPr="007073EC">
        <w:rPr>
          <w:rFonts w:ascii="Times New Roman" w:hAnsi="Times New Roman" w:cs="Times New Roman"/>
          <w:i/>
        </w:rPr>
        <w:t>The mosaic of Roger II in in Santa Maria dell’Ammiraglio, Palermo</w:t>
      </w:r>
      <w:r w:rsidRPr="007073EC">
        <w:rPr>
          <w:rFonts w:ascii="Times New Roman" w:hAnsi="Times New Roman" w:cs="Times New Roman"/>
        </w:rPr>
        <w:t>, Trans. 24/10/2017.</w:t>
      </w:r>
    </w:p>
  </w:footnote>
  <w:footnote w:id="23">
    <w:p w:rsidR="00985774" w:rsidRPr="007073EC" w:rsidRDefault="00985774"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 Dobson, </w:t>
      </w:r>
      <w:r w:rsidRPr="007073EC">
        <w:rPr>
          <w:rFonts w:ascii="Times New Roman" w:hAnsi="Times New Roman" w:cs="Times New Roman"/>
          <w:i/>
        </w:rPr>
        <w:t>The mosaic of Roger II in in Santa Maria dell’Ammiraglio, Palermo</w:t>
      </w:r>
      <w:r w:rsidRPr="007073EC">
        <w:rPr>
          <w:rFonts w:ascii="Times New Roman" w:hAnsi="Times New Roman" w:cs="Times New Roman"/>
        </w:rPr>
        <w:t>, Trans. 24/10/2017.</w:t>
      </w:r>
    </w:p>
  </w:footnote>
  <w:footnote w:id="24">
    <w:p w:rsidR="00985774" w:rsidRPr="007073EC" w:rsidRDefault="00985774" w:rsidP="007073EC">
      <w:pPr>
        <w:spacing w:line="240" w:lineRule="auto"/>
        <w:jc w:val="both"/>
        <w:rPr>
          <w:rFonts w:ascii="Times New Roman" w:hAnsi="Times New Roman" w:cs="Times New Roman"/>
          <w:sz w:val="20"/>
          <w:szCs w:val="20"/>
          <w:shd w:val="clear" w:color="auto" w:fill="FFFFFF"/>
        </w:rPr>
      </w:pPr>
      <w:r w:rsidRPr="007073EC">
        <w:rPr>
          <w:rStyle w:val="FootnoteReference"/>
          <w:rFonts w:ascii="Times New Roman" w:hAnsi="Times New Roman" w:cs="Times New Roman"/>
          <w:sz w:val="20"/>
          <w:szCs w:val="20"/>
        </w:rPr>
        <w:footnoteRef/>
      </w:r>
      <w:r w:rsidRPr="007073EC">
        <w:rPr>
          <w:rFonts w:ascii="Times New Roman" w:hAnsi="Times New Roman" w:cs="Times New Roman"/>
          <w:sz w:val="20"/>
          <w:szCs w:val="20"/>
        </w:rPr>
        <w:t xml:space="preserve"> The British Library, Royal Manuscripts, Royal MS 15 E 1, </w:t>
      </w:r>
      <w:proofErr w:type="spellStart"/>
      <w:r w:rsidRPr="007073EC">
        <w:rPr>
          <w:rFonts w:ascii="Times New Roman" w:hAnsi="Times New Roman" w:cs="Times New Roman"/>
          <w:i/>
          <w:sz w:val="20"/>
          <w:szCs w:val="20"/>
          <w:shd w:val="clear" w:color="auto" w:fill="FFFFFF"/>
        </w:rPr>
        <w:t>Histoire</w:t>
      </w:r>
      <w:proofErr w:type="spellEnd"/>
      <w:r w:rsidRPr="007073EC">
        <w:rPr>
          <w:rFonts w:ascii="Times New Roman" w:hAnsi="Times New Roman" w:cs="Times New Roman"/>
          <w:i/>
          <w:sz w:val="20"/>
          <w:szCs w:val="20"/>
          <w:shd w:val="clear" w:color="auto" w:fill="FFFFFF"/>
        </w:rPr>
        <w:t xml:space="preserve"> </w:t>
      </w:r>
      <w:proofErr w:type="spellStart"/>
      <w:r w:rsidRPr="007073EC">
        <w:rPr>
          <w:rFonts w:ascii="Times New Roman" w:hAnsi="Times New Roman" w:cs="Times New Roman"/>
          <w:i/>
          <w:sz w:val="20"/>
          <w:szCs w:val="20"/>
          <w:shd w:val="clear" w:color="auto" w:fill="FFFFFF"/>
        </w:rPr>
        <w:t>d'Outremer</w:t>
      </w:r>
      <w:proofErr w:type="spellEnd"/>
      <w:r w:rsidRPr="007073EC">
        <w:rPr>
          <w:rFonts w:ascii="Times New Roman" w:hAnsi="Times New Roman" w:cs="Times New Roman"/>
          <w:sz w:val="20"/>
          <w:szCs w:val="20"/>
          <w:shd w:val="clear" w:color="auto" w:fill="FFFFFF"/>
        </w:rPr>
        <w:t xml:space="preserve">, c.1479-1480 in Medieval Manuscripts Blog, Medieval depictions of the Crusades, Available on: </w:t>
      </w:r>
      <w:hyperlink r:id="rId17" w:history="1">
        <w:r w:rsidRPr="007073EC">
          <w:rPr>
            <w:rStyle w:val="Hyperlink"/>
            <w:rFonts w:ascii="Times New Roman" w:hAnsi="Times New Roman" w:cs="Times New Roman"/>
            <w:color w:val="auto"/>
            <w:sz w:val="20"/>
            <w:szCs w:val="20"/>
            <w:shd w:val="clear" w:color="auto" w:fill="FFFFFF"/>
          </w:rPr>
          <w:t>http://blogs.bl.uk/digitisedmanuscripts/2017/03/medieval-depictions-of-the-crusades.html</w:t>
        </w:r>
      </w:hyperlink>
      <w:r w:rsidRPr="007073EC">
        <w:rPr>
          <w:rFonts w:ascii="Times New Roman" w:hAnsi="Times New Roman" w:cs="Times New Roman"/>
          <w:sz w:val="20"/>
          <w:szCs w:val="20"/>
          <w:shd w:val="clear" w:color="auto" w:fill="FFFFFF"/>
        </w:rPr>
        <w:t xml:space="preserve"> Accessed on [10/01/2018].</w:t>
      </w:r>
    </w:p>
  </w:footnote>
  <w:footnote w:id="25">
    <w:p w:rsidR="00985774" w:rsidRPr="007073EC" w:rsidRDefault="00985774" w:rsidP="007073EC">
      <w:pPr>
        <w:spacing w:line="240" w:lineRule="auto"/>
        <w:jc w:val="both"/>
        <w:rPr>
          <w:rFonts w:ascii="Times New Roman" w:hAnsi="Times New Roman" w:cs="Times New Roman"/>
          <w:spacing w:val="24"/>
          <w:sz w:val="20"/>
          <w:szCs w:val="20"/>
        </w:rPr>
      </w:pPr>
      <w:r w:rsidRPr="007073EC">
        <w:rPr>
          <w:rStyle w:val="FootnoteReference"/>
          <w:rFonts w:ascii="Times New Roman" w:hAnsi="Times New Roman" w:cs="Times New Roman"/>
          <w:sz w:val="20"/>
          <w:szCs w:val="20"/>
        </w:rPr>
        <w:footnoteRef/>
      </w:r>
      <w:r w:rsidRPr="007073EC">
        <w:rPr>
          <w:rFonts w:ascii="Times New Roman" w:hAnsi="Times New Roman" w:cs="Times New Roman"/>
          <w:sz w:val="20"/>
          <w:szCs w:val="20"/>
        </w:rPr>
        <w:t xml:space="preserve"> </w:t>
      </w:r>
      <w:r w:rsidRPr="007073EC">
        <w:rPr>
          <w:rFonts w:ascii="Times New Roman" w:hAnsi="Times New Roman" w:cs="Times New Roman"/>
          <w:sz w:val="20"/>
          <w:szCs w:val="20"/>
          <w:shd w:val="clear" w:color="auto" w:fill="FFFFFF"/>
        </w:rPr>
        <w:t xml:space="preserve">Medieval Manuscripts Blog, Medieval depictions of the Crusades, Available on: </w:t>
      </w:r>
      <w:hyperlink r:id="rId18" w:history="1">
        <w:r w:rsidRPr="007073EC">
          <w:rPr>
            <w:rStyle w:val="Hyperlink"/>
            <w:rFonts w:ascii="Times New Roman" w:hAnsi="Times New Roman" w:cs="Times New Roman"/>
            <w:color w:val="auto"/>
            <w:sz w:val="20"/>
            <w:szCs w:val="20"/>
            <w:shd w:val="clear" w:color="auto" w:fill="FFFFFF"/>
          </w:rPr>
          <w:t>http://blogs.bl.uk/digitisedmanuscripts/2017/03/medieval-depictions-of-the-crusades.html</w:t>
        </w:r>
      </w:hyperlink>
      <w:r w:rsidRPr="007073EC">
        <w:rPr>
          <w:rFonts w:ascii="Times New Roman" w:hAnsi="Times New Roman" w:cs="Times New Roman"/>
          <w:sz w:val="20"/>
          <w:szCs w:val="20"/>
          <w:shd w:val="clear" w:color="auto" w:fill="FFFFFF"/>
        </w:rPr>
        <w:t xml:space="preserve"> Accessed on [10/01/2018]. </w:t>
      </w:r>
    </w:p>
    <w:p w:rsidR="00985774" w:rsidRPr="007073EC" w:rsidRDefault="00985774" w:rsidP="007073EC">
      <w:pPr>
        <w:pStyle w:val="FootnoteText"/>
        <w:jc w:val="both"/>
        <w:rPr>
          <w:rFonts w:ascii="Times New Roman" w:hAnsi="Times New Roman" w:cs="Times New Roman"/>
        </w:rPr>
      </w:pPr>
    </w:p>
  </w:footnote>
  <w:footnote w:id="26">
    <w:p w:rsidR="00F134A5" w:rsidRPr="007073EC" w:rsidRDefault="00F134A5"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H. Ellis, </w:t>
      </w:r>
      <w:r w:rsidRPr="007073EC">
        <w:rPr>
          <w:rFonts w:ascii="Times New Roman" w:hAnsi="Times New Roman" w:cs="Times New Roman"/>
          <w:i/>
        </w:rPr>
        <w:t>An Introduction to Domesday Book</w:t>
      </w:r>
      <w:r w:rsidRPr="007073EC">
        <w:rPr>
          <w:rFonts w:ascii="Times New Roman" w:hAnsi="Times New Roman" w:cs="Times New Roman"/>
        </w:rPr>
        <w:t xml:space="preserve">, (London: Commission of the Public Records, 1833), p. 211 in C.G. </w:t>
      </w:r>
      <w:proofErr w:type="spellStart"/>
      <w:r w:rsidRPr="007073EC">
        <w:rPr>
          <w:rFonts w:ascii="Times New Roman" w:hAnsi="Times New Roman" w:cs="Times New Roman"/>
        </w:rPr>
        <w:t>Harfield</w:t>
      </w:r>
      <w:proofErr w:type="spellEnd"/>
      <w:r w:rsidRPr="007073EC">
        <w:rPr>
          <w:rFonts w:ascii="Times New Roman" w:hAnsi="Times New Roman" w:cs="Times New Roman"/>
        </w:rPr>
        <w:t xml:space="preserve">, ‘A Hand-list of the Castles Recorded in the Domesday Book’, </w:t>
      </w:r>
      <w:r w:rsidRPr="007073EC">
        <w:rPr>
          <w:rFonts w:ascii="Times New Roman" w:hAnsi="Times New Roman" w:cs="Times New Roman"/>
          <w:i/>
        </w:rPr>
        <w:t xml:space="preserve">English Historical Review, </w:t>
      </w:r>
      <w:r w:rsidRPr="007073EC">
        <w:rPr>
          <w:rFonts w:ascii="Times New Roman" w:hAnsi="Times New Roman" w:cs="Times New Roman"/>
        </w:rPr>
        <w:t>Vol. CVI</w:t>
      </w:r>
      <w:r w:rsidRPr="007073EC">
        <w:rPr>
          <w:rFonts w:ascii="Times New Roman" w:hAnsi="Times New Roman" w:cs="Times New Roman"/>
          <w:i/>
        </w:rPr>
        <w:t xml:space="preserve">: </w:t>
      </w:r>
      <w:r w:rsidRPr="007073EC">
        <w:rPr>
          <w:rFonts w:ascii="Times New Roman" w:hAnsi="Times New Roman" w:cs="Times New Roman"/>
        </w:rPr>
        <w:t xml:space="preserve">(1991), pp. 371-92, p. 371. </w:t>
      </w:r>
    </w:p>
  </w:footnote>
  <w:footnote w:id="27">
    <w:p w:rsidR="007073EC" w:rsidRDefault="00F134A5"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The British Geological Society, Building Stones of London, Available on: </w:t>
      </w:r>
    </w:p>
    <w:p w:rsidR="00F134A5" w:rsidRPr="007073EC" w:rsidRDefault="00F134A5" w:rsidP="007073EC">
      <w:pPr>
        <w:pStyle w:val="FootnoteText"/>
        <w:jc w:val="both"/>
        <w:rPr>
          <w:rFonts w:ascii="Times New Roman" w:hAnsi="Times New Roman" w:cs="Times New Roman"/>
        </w:rPr>
      </w:pPr>
      <w:hyperlink r:id="rId19" w:history="1">
        <w:r w:rsidRPr="007073EC">
          <w:rPr>
            <w:rStyle w:val="Hyperlink"/>
            <w:rFonts w:ascii="Times New Roman" w:hAnsi="Times New Roman" w:cs="Times New Roman"/>
            <w:color w:val="auto"/>
          </w:rPr>
          <w:t>http://www.bgs.ac.uk/discoveringGeology/geologyOfBritain/buildingStonesLondon/home.html</w:t>
        </w:r>
      </w:hyperlink>
      <w:r w:rsidRPr="007073EC">
        <w:rPr>
          <w:rFonts w:ascii="Times New Roman" w:hAnsi="Times New Roman" w:cs="Times New Roman"/>
        </w:rPr>
        <w:t xml:space="preserve"> Accessed on [13/01/2017]. </w:t>
      </w:r>
    </w:p>
  </w:footnote>
  <w:footnote w:id="28">
    <w:p w:rsidR="00F134A5" w:rsidRPr="007073EC" w:rsidRDefault="00F134A5"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J. R. </w:t>
      </w:r>
      <w:proofErr w:type="spellStart"/>
      <w:r w:rsidRPr="007073EC">
        <w:rPr>
          <w:rFonts w:ascii="Times New Roman" w:hAnsi="Times New Roman" w:cs="Times New Roman"/>
        </w:rPr>
        <w:t>Wigelsworth</w:t>
      </w:r>
      <w:proofErr w:type="spellEnd"/>
      <w:r w:rsidRPr="007073EC">
        <w:rPr>
          <w:rFonts w:ascii="Times New Roman" w:hAnsi="Times New Roman" w:cs="Times New Roman"/>
        </w:rPr>
        <w:t xml:space="preserve">, </w:t>
      </w:r>
      <w:r w:rsidRPr="007073EC">
        <w:rPr>
          <w:rFonts w:ascii="Times New Roman" w:hAnsi="Times New Roman" w:cs="Times New Roman"/>
          <w:i/>
        </w:rPr>
        <w:t xml:space="preserve">Science and Technology in Medieval European Life, </w:t>
      </w:r>
      <w:r w:rsidRPr="007073EC">
        <w:rPr>
          <w:rFonts w:ascii="Times New Roman" w:hAnsi="Times New Roman" w:cs="Times New Roman"/>
        </w:rPr>
        <w:t xml:space="preserve">(London: Greenwood Press, 2006), p. 27. </w:t>
      </w:r>
    </w:p>
  </w:footnote>
  <w:footnote w:id="29">
    <w:p w:rsidR="00F739F1" w:rsidRPr="007073EC" w:rsidRDefault="00F739F1"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Textile Research Centre, Mantle of Roger II of Sicily, Available on: </w:t>
      </w:r>
      <w:hyperlink r:id="rId20" w:history="1">
        <w:r w:rsidRPr="007073EC">
          <w:rPr>
            <w:rStyle w:val="Hyperlink"/>
            <w:rFonts w:ascii="Times New Roman" w:hAnsi="Times New Roman" w:cs="Times New Roman"/>
            <w:color w:val="auto"/>
          </w:rPr>
          <w:t>https://trc-leiden.nl/trc-needles/individual-textiles-and-textile-types/secular-ceremonies-and-rituals/mantle-of-roger-ii-of-sicily</w:t>
        </w:r>
      </w:hyperlink>
      <w:r w:rsidRPr="007073EC">
        <w:rPr>
          <w:rFonts w:ascii="Times New Roman" w:hAnsi="Times New Roman" w:cs="Times New Roman"/>
        </w:rPr>
        <w:t xml:space="preserve"> Accessed on [17/01/2018].</w:t>
      </w:r>
    </w:p>
  </w:footnote>
  <w:footnote w:id="30">
    <w:p w:rsidR="00F739F1" w:rsidRPr="007073EC" w:rsidRDefault="00F739F1" w:rsidP="007073EC">
      <w:pPr>
        <w:pStyle w:val="FootnoteText"/>
        <w:jc w:val="both"/>
        <w:rPr>
          <w:rFonts w:ascii="Times New Roman" w:hAnsi="Times New Roman" w:cs="Times New Roman"/>
          <w:i/>
        </w:rPr>
      </w:pPr>
      <w:r w:rsidRPr="007073EC">
        <w:rPr>
          <w:rStyle w:val="FootnoteReference"/>
          <w:rFonts w:ascii="Times New Roman" w:hAnsi="Times New Roman" w:cs="Times New Roman"/>
        </w:rPr>
        <w:footnoteRef/>
      </w:r>
      <w:r w:rsidRPr="007073EC">
        <w:rPr>
          <w:rFonts w:ascii="Times New Roman" w:hAnsi="Times New Roman" w:cs="Times New Roman"/>
        </w:rPr>
        <w:t xml:space="preserve"> </w:t>
      </w:r>
      <w:r w:rsidRPr="007073EC">
        <w:rPr>
          <w:rFonts w:ascii="Times New Roman" w:hAnsi="Times New Roman" w:cs="Times New Roman"/>
          <w:i/>
        </w:rPr>
        <w:t xml:space="preserve">Ibid. </w:t>
      </w:r>
    </w:p>
  </w:footnote>
  <w:footnote w:id="31">
    <w:p w:rsidR="00F739F1" w:rsidRPr="007073EC" w:rsidRDefault="00F739F1" w:rsidP="007073EC">
      <w:pPr>
        <w:pStyle w:val="FootnoteText"/>
        <w:jc w:val="both"/>
        <w:rPr>
          <w:rFonts w:ascii="Times New Roman" w:hAnsi="Times New Roman" w:cs="Times New Roman"/>
          <w:i/>
        </w:rPr>
      </w:pPr>
      <w:r w:rsidRPr="007073EC">
        <w:rPr>
          <w:rStyle w:val="FootnoteReference"/>
          <w:rFonts w:ascii="Times New Roman" w:hAnsi="Times New Roman" w:cs="Times New Roman"/>
        </w:rPr>
        <w:footnoteRef/>
      </w:r>
      <w:r w:rsidRPr="007073EC">
        <w:rPr>
          <w:rFonts w:ascii="Times New Roman" w:hAnsi="Times New Roman" w:cs="Times New Roman"/>
        </w:rPr>
        <w:t xml:space="preserve"> </w:t>
      </w:r>
      <w:r w:rsidRPr="007073EC">
        <w:rPr>
          <w:rFonts w:ascii="Times New Roman" w:hAnsi="Times New Roman" w:cs="Times New Roman"/>
          <w:i/>
        </w:rPr>
        <w:t xml:space="preserve">Ibid. </w:t>
      </w:r>
    </w:p>
  </w:footnote>
  <w:footnote w:id="32">
    <w:p w:rsidR="00F739F1" w:rsidRPr="007073EC" w:rsidRDefault="00F739F1" w:rsidP="007073EC">
      <w:pPr>
        <w:pStyle w:val="FootnoteText"/>
        <w:jc w:val="both"/>
        <w:rPr>
          <w:rFonts w:ascii="Times New Roman" w:hAnsi="Times New Roman" w:cs="Times New Roman"/>
          <w:i/>
        </w:rPr>
      </w:pPr>
      <w:r w:rsidRPr="007073EC">
        <w:rPr>
          <w:rStyle w:val="FootnoteReference"/>
          <w:rFonts w:ascii="Times New Roman" w:hAnsi="Times New Roman" w:cs="Times New Roman"/>
        </w:rPr>
        <w:footnoteRef/>
      </w:r>
      <w:r w:rsidRPr="007073EC">
        <w:rPr>
          <w:rFonts w:ascii="Times New Roman" w:hAnsi="Times New Roman" w:cs="Times New Roman"/>
        </w:rPr>
        <w:t xml:space="preserve"> </w:t>
      </w:r>
      <w:r w:rsidRPr="007073EC">
        <w:rPr>
          <w:rFonts w:ascii="Times New Roman" w:hAnsi="Times New Roman" w:cs="Times New Roman"/>
          <w:i/>
        </w:rPr>
        <w:t xml:space="preserve">Ibid. </w:t>
      </w:r>
    </w:p>
  </w:footnote>
  <w:footnote w:id="33">
    <w:p w:rsidR="00F739F1" w:rsidRPr="007073EC" w:rsidRDefault="00F739F1" w:rsidP="007073EC">
      <w:pPr>
        <w:pStyle w:val="FootnoteText"/>
        <w:jc w:val="both"/>
        <w:rPr>
          <w:rFonts w:ascii="Times New Roman" w:hAnsi="Times New Roman" w:cs="Times New Roman"/>
        </w:rPr>
      </w:pPr>
      <w:r w:rsidRPr="007073EC">
        <w:rPr>
          <w:rStyle w:val="FootnoteReference"/>
          <w:rFonts w:ascii="Times New Roman" w:hAnsi="Times New Roman" w:cs="Times New Roman"/>
        </w:rPr>
        <w:footnoteRef/>
      </w:r>
      <w:r w:rsidRPr="007073EC">
        <w:rPr>
          <w:rFonts w:ascii="Times New Roman" w:hAnsi="Times New Roman" w:cs="Times New Roman"/>
        </w:rPr>
        <w:t xml:space="preserve"> Textile Research Centre, Mantle of Roger II of Sicily, Available on: </w:t>
      </w:r>
      <w:hyperlink r:id="rId21" w:history="1">
        <w:r w:rsidRPr="007073EC">
          <w:rPr>
            <w:rStyle w:val="Hyperlink"/>
            <w:rFonts w:ascii="Times New Roman" w:hAnsi="Times New Roman" w:cs="Times New Roman"/>
            <w:color w:val="auto"/>
          </w:rPr>
          <w:t>https://trc-leiden.nl/trc-needles/individual-textiles-and-textile-types/secular-ceremonies-and-rituals/mantle-of-roger-ii-of-sicily</w:t>
        </w:r>
      </w:hyperlink>
      <w:r w:rsidRPr="007073EC">
        <w:rPr>
          <w:rFonts w:ascii="Times New Roman" w:hAnsi="Times New Roman" w:cs="Times New Roman"/>
        </w:rPr>
        <w:t xml:space="preserve"> Accessed on [17/01/2018].</w:t>
      </w:r>
    </w:p>
    <w:p w:rsidR="00F739F1" w:rsidRPr="007073EC" w:rsidRDefault="00F739F1" w:rsidP="007073EC">
      <w:pPr>
        <w:pStyle w:val="FootnoteText"/>
        <w:jc w:val="both"/>
        <w:rPr>
          <w:rFonts w:ascii="Times New Roman" w:hAnsi="Times New Roman" w:cs="Times New Roman"/>
          <w:i/>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71A4" w:rsidRPr="00B771A4" w:rsidRDefault="00B771A4" w:rsidP="00B771A4">
    <w:pPr>
      <w:contextualSpacing/>
      <w:jc w:val="right"/>
      <w:rPr>
        <w:rFonts w:ascii="Calibri" w:hAnsi="Calibri" w:cs="Calibri"/>
      </w:rPr>
    </w:pPr>
    <w:r>
      <w:rPr>
        <w:rFonts w:ascii="Calibri" w:hAnsi="Calibri" w:cs="Calibri"/>
      </w:rPr>
      <w:t xml:space="preserve">Thomas J. Dobson (1500215) </w:t>
    </w:r>
    <w:r>
      <w:rPr>
        <w:rFonts w:ascii="Calibri" w:hAnsi="Calibri" w:cs="Calibri"/>
      </w:rPr>
      <w:br/>
      <w:t>Due Friday 19</w:t>
    </w:r>
    <w:r w:rsidRPr="00B771A4">
      <w:rPr>
        <w:rFonts w:ascii="Calibri" w:hAnsi="Calibri" w:cs="Calibri"/>
        <w:vertAlign w:val="superscript"/>
      </w:rPr>
      <w:t>th</w:t>
    </w:r>
    <w:r>
      <w:rPr>
        <w:rFonts w:ascii="Calibri" w:hAnsi="Calibri" w:cs="Calibri"/>
      </w:rPr>
      <w:t xml:space="preserve"> January 2018, 23.59</w:t>
    </w:r>
  </w:p>
  <w:p w:rsidR="00153AA3" w:rsidRDefault="00153AA3" w:rsidP="00B771A4">
    <w:pPr>
      <w:contextualSpacing/>
      <w:jc w:val="center"/>
      <w:rPr>
        <w:rFonts w:ascii="Calibri" w:hAnsi="Calibri" w:cs="Calibri"/>
        <w:u w:val="single"/>
      </w:rPr>
    </w:pPr>
    <w:r w:rsidRPr="00B771A4">
      <w:rPr>
        <w:rFonts w:ascii="Calibri" w:hAnsi="Calibri" w:cs="Calibri"/>
        <w:u w:val="single"/>
      </w:rPr>
      <w:t>What does the artwork commissioned by the Normans tell us about how they wished to be perceived?</w:t>
    </w:r>
  </w:p>
  <w:p w:rsidR="0039195F" w:rsidRDefault="0039195F" w:rsidP="00B771A4">
    <w:pPr>
      <w:contextualSpacing/>
      <w:jc w:val="center"/>
      <w:rPr>
        <w:rFonts w:ascii="Calibri" w:hAnsi="Calibri" w:cs="Calibri"/>
        <w:u w:val="single"/>
      </w:rPr>
    </w:pPr>
  </w:p>
  <w:p w:rsidR="0039195F" w:rsidRPr="00B771A4" w:rsidRDefault="0039195F" w:rsidP="00B771A4">
    <w:pPr>
      <w:contextualSpacing/>
      <w:jc w:val="center"/>
      <w:rPr>
        <w:rFonts w:ascii="Calibri" w:hAnsi="Calibri" w:cs="Calibri"/>
        <w:u w:val="single"/>
      </w:rPr>
    </w:pPr>
  </w:p>
  <w:p w:rsidR="00153AA3" w:rsidRDefault="00153A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AA3"/>
    <w:rsid w:val="000614F2"/>
    <w:rsid w:val="000B7980"/>
    <w:rsid w:val="000C4D39"/>
    <w:rsid w:val="00153AA3"/>
    <w:rsid w:val="001B1F9C"/>
    <w:rsid w:val="001B62B2"/>
    <w:rsid w:val="001D6A2A"/>
    <w:rsid w:val="00222B97"/>
    <w:rsid w:val="002C3E2F"/>
    <w:rsid w:val="002D6660"/>
    <w:rsid w:val="0032197E"/>
    <w:rsid w:val="0039195F"/>
    <w:rsid w:val="00421BEA"/>
    <w:rsid w:val="0048786A"/>
    <w:rsid w:val="005D525E"/>
    <w:rsid w:val="0063430E"/>
    <w:rsid w:val="00640C3A"/>
    <w:rsid w:val="006D2195"/>
    <w:rsid w:val="007073EC"/>
    <w:rsid w:val="00855C88"/>
    <w:rsid w:val="00874257"/>
    <w:rsid w:val="00911287"/>
    <w:rsid w:val="00934AAC"/>
    <w:rsid w:val="00983214"/>
    <w:rsid w:val="00985774"/>
    <w:rsid w:val="00A12FDD"/>
    <w:rsid w:val="00B46CF0"/>
    <w:rsid w:val="00B771A4"/>
    <w:rsid w:val="00C06AD2"/>
    <w:rsid w:val="00C16B9E"/>
    <w:rsid w:val="00C60112"/>
    <w:rsid w:val="00C77973"/>
    <w:rsid w:val="00D170C4"/>
    <w:rsid w:val="00E94CD1"/>
    <w:rsid w:val="00EC179C"/>
    <w:rsid w:val="00EF1F7C"/>
    <w:rsid w:val="00F134A5"/>
    <w:rsid w:val="00F27CFA"/>
    <w:rsid w:val="00F73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849DD4"/>
  <w15:chartTrackingRefBased/>
  <w15:docId w15:val="{FD15441C-B6AD-4485-972E-83F957CC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3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AA3"/>
  </w:style>
  <w:style w:type="paragraph" w:styleId="Footer">
    <w:name w:val="footer"/>
    <w:basedOn w:val="Normal"/>
    <w:link w:val="FooterChar"/>
    <w:uiPriority w:val="99"/>
    <w:unhideWhenUsed/>
    <w:rsid w:val="00153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AA3"/>
  </w:style>
  <w:style w:type="paragraph" w:styleId="FootnoteText">
    <w:name w:val="footnote text"/>
    <w:basedOn w:val="Normal"/>
    <w:link w:val="FootnoteTextChar"/>
    <w:uiPriority w:val="99"/>
    <w:unhideWhenUsed/>
    <w:rsid w:val="00222B97"/>
    <w:pPr>
      <w:spacing w:after="0" w:line="240" w:lineRule="auto"/>
    </w:pPr>
    <w:rPr>
      <w:sz w:val="20"/>
      <w:szCs w:val="20"/>
    </w:rPr>
  </w:style>
  <w:style w:type="character" w:customStyle="1" w:styleId="FootnoteTextChar">
    <w:name w:val="Footnote Text Char"/>
    <w:basedOn w:val="DefaultParagraphFont"/>
    <w:link w:val="FootnoteText"/>
    <w:uiPriority w:val="99"/>
    <w:rsid w:val="00222B97"/>
    <w:rPr>
      <w:sz w:val="20"/>
      <w:szCs w:val="20"/>
    </w:rPr>
  </w:style>
  <w:style w:type="character" w:styleId="FootnoteReference">
    <w:name w:val="footnote reference"/>
    <w:basedOn w:val="DefaultParagraphFont"/>
    <w:uiPriority w:val="99"/>
    <w:semiHidden/>
    <w:unhideWhenUsed/>
    <w:rsid w:val="00222B97"/>
    <w:rPr>
      <w:vertAlign w:val="superscript"/>
    </w:rPr>
  </w:style>
  <w:style w:type="character" w:styleId="Hyperlink">
    <w:name w:val="Hyperlink"/>
    <w:basedOn w:val="DefaultParagraphFont"/>
    <w:uiPriority w:val="99"/>
    <w:unhideWhenUsed/>
    <w:rsid w:val="00222B97"/>
    <w:rPr>
      <w:color w:val="0563C1" w:themeColor="hyperlink"/>
      <w:u w:val="single"/>
    </w:rPr>
  </w:style>
  <w:style w:type="character" w:styleId="UnresolvedMention">
    <w:name w:val="Unresolved Mention"/>
    <w:basedOn w:val="DefaultParagraphFont"/>
    <w:uiPriority w:val="99"/>
    <w:semiHidden/>
    <w:unhideWhenUsed/>
    <w:rsid w:val="000B798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185503">
      <w:bodyDiv w:val="1"/>
      <w:marLeft w:val="0"/>
      <w:marRight w:val="0"/>
      <w:marTop w:val="0"/>
      <w:marBottom w:val="0"/>
      <w:divBdr>
        <w:top w:val="none" w:sz="0" w:space="0" w:color="auto"/>
        <w:left w:val="none" w:sz="0" w:space="0" w:color="auto"/>
        <w:bottom w:val="none" w:sz="0" w:space="0" w:color="auto"/>
        <w:right w:val="none" w:sz="0" w:space="0" w:color="auto"/>
      </w:divBdr>
    </w:div>
    <w:div w:id="301355117">
      <w:bodyDiv w:val="1"/>
      <w:marLeft w:val="0"/>
      <w:marRight w:val="0"/>
      <w:marTop w:val="0"/>
      <w:marBottom w:val="0"/>
      <w:divBdr>
        <w:top w:val="none" w:sz="0" w:space="0" w:color="auto"/>
        <w:left w:val="none" w:sz="0" w:space="0" w:color="auto"/>
        <w:bottom w:val="none" w:sz="0" w:space="0" w:color="auto"/>
        <w:right w:val="none" w:sz="0" w:space="0" w:color="auto"/>
      </w:divBdr>
    </w:div>
    <w:div w:id="448357991">
      <w:bodyDiv w:val="1"/>
      <w:marLeft w:val="0"/>
      <w:marRight w:val="0"/>
      <w:marTop w:val="0"/>
      <w:marBottom w:val="0"/>
      <w:divBdr>
        <w:top w:val="none" w:sz="0" w:space="0" w:color="auto"/>
        <w:left w:val="none" w:sz="0" w:space="0" w:color="auto"/>
        <w:bottom w:val="none" w:sz="0" w:space="0" w:color="auto"/>
        <w:right w:val="none" w:sz="0" w:space="0" w:color="auto"/>
      </w:divBdr>
    </w:div>
    <w:div w:id="658458421">
      <w:bodyDiv w:val="1"/>
      <w:marLeft w:val="0"/>
      <w:marRight w:val="0"/>
      <w:marTop w:val="0"/>
      <w:marBottom w:val="0"/>
      <w:divBdr>
        <w:top w:val="none" w:sz="0" w:space="0" w:color="auto"/>
        <w:left w:val="none" w:sz="0" w:space="0" w:color="auto"/>
        <w:bottom w:val="none" w:sz="0" w:space="0" w:color="auto"/>
        <w:right w:val="none" w:sz="0" w:space="0" w:color="auto"/>
      </w:divBdr>
    </w:div>
    <w:div w:id="1093819530">
      <w:bodyDiv w:val="1"/>
      <w:marLeft w:val="0"/>
      <w:marRight w:val="0"/>
      <w:marTop w:val="0"/>
      <w:marBottom w:val="0"/>
      <w:divBdr>
        <w:top w:val="none" w:sz="0" w:space="0" w:color="auto"/>
        <w:left w:val="none" w:sz="0" w:space="0" w:color="auto"/>
        <w:bottom w:val="none" w:sz="0" w:space="0" w:color="auto"/>
        <w:right w:val="none" w:sz="0" w:space="0" w:color="auto"/>
      </w:divBdr>
    </w:div>
    <w:div w:id="1239749685">
      <w:bodyDiv w:val="1"/>
      <w:marLeft w:val="0"/>
      <w:marRight w:val="0"/>
      <w:marTop w:val="0"/>
      <w:marBottom w:val="0"/>
      <w:divBdr>
        <w:top w:val="none" w:sz="0" w:space="0" w:color="auto"/>
        <w:left w:val="none" w:sz="0" w:space="0" w:color="auto"/>
        <w:bottom w:val="none" w:sz="0" w:space="0" w:color="auto"/>
        <w:right w:val="none" w:sz="0" w:space="0" w:color="auto"/>
      </w:divBdr>
    </w:div>
    <w:div w:id="208371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yeuxtapestry.org.uk/Bayeux11.htm" TargetMode="External"/><Relationship Id="rId13" Type="http://schemas.openxmlformats.org/officeDocument/2006/relationships/hyperlink" Target="https://www.britannica.com/topic/seven-deadly-sins" TargetMode="External"/><Relationship Id="rId18" Type="http://schemas.openxmlformats.org/officeDocument/2006/relationships/hyperlink" Target="http://blogs.bl.uk/digitisedmanuscripts/2012/01/genealogy-of-a-royal-bastard.html" TargetMode="External"/><Relationship Id="rId3" Type="http://schemas.openxmlformats.org/officeDocument/2006/relationships/settings" Target="settings.xml"/><Relationship Id="rId21" Type="http://schemas.openxmlformats.org/officeDocument/2006/relationships/hyperlink" Target="http://whc.unesco.org/en/list/1487/" TargetMode="External"/><Relationship Id="rId7" Type="http://schemas.openxmlformats.org/officeDocument/2006/relationships/hyperlink" Target="http://www.bayeuxtapestry.org.uk/Bayeux14.htm" TargetMode="External"/><Relationship Id="rId12" Type="http://schemas.openxmlformats.org/officeDocument/2006/relationships/hyperlink" Target="https://www.bl.uk/greek-manuscripts/articles/knowledge-of-greek-in-the-medieval-latin-west" TargetMode="External"/><Relationship Id="rId17" Type="http://schemas.openxmlformats.org/officeDocument/2006/relationships/hyperlink" Target="http://www.bayeuxmuseum.com/en/une_uvre_textile_en.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rc-leiden.nl/trc-needles/individual-textiles-and-textile-types/secular-ceremonies-and-rituals/mantle-of-roger-ii-of-sicily" TargetMode="External"/><Relationship Id="rId20" Type="http://schemas.openxmlformats.org/officeDocument/2006/relationships/hyperlink" Target="http://www.vatican.va/jubilee_2000/magazine/documents/ju_mag_01031997_p-29_en.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blogs.bl.uk/digitisedmanuscripts/2017/03/medieval-depictions-of-the-crusades.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norman-abbeys.com/abbaye/abbatiale-de-saint-taurin-evreux/" TargetMode="External"/><Relationship Id="rId23" Type="http://schemas.openxmlformats.org/officeDocument/2006/relationships/header" Target="header1.xml"/><Relationship Id="rId10" Type="http://schemas.openxmlformats.org/officeDocument/2006/relationships/hyperlink" Target="https://www.bl.uk/catalogues/illuminatedmanuscripts/TourHistoryGeneal.asp" TargetMode="External"/><Relationship Id="rId19" Type="http://schemas.openxmlformats.org/officeDocument/2006/relationships/hyperlink" Target="http://www.bgs.ac.uk/discoveringGeology/geologyOfBritain/buildingStonesLondon/home.html" TargetMode="External"/><Relationship Id="rId4" Type="http://schemas.openxmlformats.org/officeDocument/2006/relationships/webSettings" Target="webSettings.xml"/><Relationship Id="rId9" Type="http://schemas.openxmlformats.org/officeDocument/2006/relationships/hyperlink" Target="https://sourcebooks.fordham.edu/source/843bertin.asp" TargetMode="External"/><Relationship Id="rId14" Type="http://schemas.openxmlformats.org/officeDocument/2006/relationships/hyperlink" Target="http://blogs.bl.uk/digitisedmanuscripts/2017/03/medieval-depictions-of-the-crusades.html" TargetMode="External"/><Relationship Id="rId22" Type="http://schemas.openxmlformats.org/officeDocument/2006/relationships/hyperlink" Target="http://www.wondersofsicily.com/palermo-martorana-santa-maria-ammiraglio.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ayeuxtapestry.org.uk/Bayeux14.htm" TargetMode="External"/><Relationship Id="rId13" Type="http://schemas.openxmlformats.org/officeDocument/2006/relationships/hyperlink" Target="https://sourcebooks.fordham.edu/source/843bertin.asp" TargetMode="External"/><Relationship Id="rId18" Type="http://schemas.openxmlformats.org/officeDocument/2006/relationships/hyperlink" Target="http://blogs.bl.uk/digitisedmanuscripts/2017/03/medieval-depictions-of-the-crusades.html" TargetMode="External"/><Relationship Id="rId3" Type="http://schemas.openxmlformats.org/officeDocument/2006/relationships/hyperlink" Target="http://www.wondersofsicily.com/palermo-martorana-santa-maria-ammiraglio.htm" TargetMode="External"/><Relationship Id="rId21" Type="http://schemas.openxmlformats.org/officeDocument/2006/relationships/hyperlink" Target="https://trc-leiden.nl/trc-needles/individual-textiles-and-textile-types/secular-ceremonies-and-rituals/mantle-of-roger-ii-of-sicily" TargetMode="External"/><Relationship Id="rId7" Type="http://schemas.openxmlformats.org/officeDocument/2006/relationships/hyperlink" Target="http://www.bayeuxtapestry.org.uk/Bayeux11.htm" TargetMode="External"/><Relationship Id="rId12" Type="http://schemas.openxmlformats.org/officeDocument/2006/relationships/hyperlink" Target="https://www.bl.uk/catalogues/illuminatedmanuscripts/TourHistoryGeneal.asp" TargetMode="External"/><Relationship Id="rId17" Type="http://schemas.openxmlformats.org/officeDocument/2006/relationships/hyperlink" Target="http://blogs.bl.uk/digitisedmanuscripts/2017/03/medieval-depictions-of-the-crusades.html" TargetMode="External"/><Relationship Id="rId2" Type="http://schemas.openxmlformats.org/officeDocument/2006/relationships/hyperlink" Target="http://www.norman-abbeys.com/abbaye/abbatiale-de-saint-taurin-evreux/" TargetMode="External"/><Relationship Id="rId16" Type="http://schemas.openxmlformats.org/officeDocument/2006/relationships/hyperlink" Target="http://whc.unesco.org/en/list/1487/" TargetMode="External"/><Relationship Id="rId20" Type="http://schemas.openxmlformats.org/officeDocument/2006/relationships/hyperlink" Target="https://trc-leiden.nl/trc-needles/individual-textiles-and-textile-types/secular-ceremonies-and-rituals/mantle-of-roger-ii-of-sicily" TargetMode="External"/><Relationship Id="rId1" Type="http://schemas.openxmlformats.org/officeDocument/2006/relationships/hyperlink" Target="https://www.britannica.com/topic/seven-deadly-sins" TargetMode="External"/><Relationship Id="rId6" Type="http://schemas.openxmlformats.org/officeDocument/2006/relationships/hyperlink" Target="http://www.bayeuxmuseum.com/en/une_uvre_textile_en.html" TargetMode="External"/><Relationship Id="rId11" Type="http://schemas.openxmlformats.org/officeDocument/2006/relationships/hyperlink" Target="http://blogs.bl.uk/digitisedmanuscripts/2012/01/genealogy-of-a-royal-bastard.html" TargetMode="External"/><Relationship Id="rId5" Type="http://schemas.openxmlformats.org/officeDocument/2006/relationships/hyperlink" Target="https://www.britannica.com/topic/Norman-people" TargetMode="External"/><Relationship Id="rId15" Type="http://schemas.openxmlformats.org/officeDocument/2006/relationships/hyperlink" Target="https://www.bl.uk/greek-manuscripts/articles/knowledge-of-greek-in-the-medieval-latin-west" TargetMode="External"/><Relationship Id="rId10" Type="http://schemas.openxmlformats.org/officeDocument/2006/relationships/hyperlink" Target="https://www.bl.uk/catalogues/illuminatedmanuscripts/TourHistoryGeneal.asp" TargetMode="External"/><Relationship Id="rId19" Type="http://schemas.openxmlformats.org/officeDocument/2006/relationships/hyperlink" Target="http://www.bgs.ac.uk/discoveringGeology/geologyOfBritain/buildingStonesLondon/home.html" TargetMode="External"/><Relationship Id="rId4" Type="http://schemas.openxmlformats.org/officeDocument/2006/relationships/hyperlink" Target="http://www.vatican.va/jubilee_2000/magazine/documents/ju_mag_01031997_p-29_en.html" TargetMode="External"/><Relationship Id="rId9" Type="http://schemas.openxmlformats.org/officeDocument/2006/relationships/hyperlink" Target="http://www.bayeuxtapestry.org.uk/Bayeux11.htm" TargetMode="External"/><Relationship Id="rId14" Type="http://schemas.openxmlformats.org/officeDocument/2006/relationships/hyperlink" Target="http://whc.unesco.org/en/list/14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5A294-8430-459F-B244-CF96A1FA0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3286</Words>
  <Characters>19659</Characters>
  <Application>Microsoft Office Word</Application>
  <DocSecurity>0</DocSecurity>
  <Lines>248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John Dobson</dc:creator>
  <cp:keywords/>
  <dc:description/>
  <cp:lastModifiedBy>Thomas John Dobson</cp:lastModifiedBy>
  <cp:revision>2</cp:revision>
  <dcterms:created xsi:type="dcterms:W3CDTF">2018-01-19T18:11:00Z</dcterms:created>
  <dcterms:modified xsi:type="dcterms:W3CDTF">2018-01-19T18:11:00Z</dcterms:modified>
</cp:coreProperties>
</file>