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r>
        <w:rPr>
          <w:rFonts w:ascii="Arial" w:hAnsi="Arial" w:cs="Arial"/>
        </w:rPr>
        <w:t>Global Marketing Strategy Plan: TWB international marketing Strategy</w:t>
      </w:r>
    </w:p>
    <w:p>
      <w:pPr>
        <w:spacing w:line="480" w:lineRule="auto"/>
        <w:jc w:val="center"/>
        <w:rPr>
          <w:rFonts w:hint="eastAsia" w:ascii="Arial" w:hAnsi="Arial" w:cs="Arial"/>
          <w:lang w:val="en-US" w:eastAsia="zh-CN"/>
        </w:rPr>
      </w:pPr>
      <w:r>
        <w:rPr>
          <w:rFonts w:ascii="Arial" w:hAnsi="Arial" w:cs="Arial"/>
        </w:rPr>
        <w:t>Student’s Name</w:t>
      </w:r>
      <w:r>
        <w:rPr>
          <w:rFonts w:hint="eastAsia" w:ascii="Arial" w:hAnsi="Arial" w:cs="Arial"/>
          <w:lang w:eastAsia="zh-CN"/>
        </w:rPr>
        <w:t>：</w:t>
      </w:r>
      <w:r>
        <w:rPr>
          <w:rFonts w:hint="eastAsia" w:ascii="Arial" w:hAnsi="Arial" w:cs="Arial"/>
          <w:lang w:val="en-US" w:eastAsia="zh-CN"/>
        </w:rPr>
        <w:t>Tong Jin</w:t>
      </w:r>
    </w:p>
    <w:p>
      <w:pPr>
        <w:spacing w:line="480" w:lineRule="auto"/>
        <w:jc w:val="center"/>
        <w:rPr>
          <w:rFonts w:hint="default" w:ascii="Arial" w:hAnsi="Arial" w:cs="Arial"/>
          <w:lang w:val="en-US" w:eastAsia="zh-CN"/>
        </w:rPr>
      </w:pPr>
      <w:r>
        <w:rPr>
          <w:rFonts w:hint="eastAsia" w:ascii="Arial" w:hAnsi="Arial" w:cs="Arial"/>
          <w:lang w:val="en-US" w:eastAsia="zh-CN"/>
        </w:rPr>
        <w:t>ID:1800166</w:t>
      </w:r>
    </w:p>
    <w:p>
      <w:pPr>
        <w:spacing w:line="480" w:lineRule="auto"/>
        <w:jc w:val="center"/>
        <w:rPr>
          <w:rFonts w:ascii="Arial" w:hAnsi="Arial" w:cs="Arial"/>
        </w:rPr>
      </w:pPr>
      <w:r>
        <w:rPr>
          <w:rFonts w:ascii="Arial" w:hAnsi="Arial" w:cs="Arial"/>
        </w:rPr>
        <w:t xml:space="preserve">Subject </w:t>
      </w:r>
      <w:r>
        <w:rPr>
          <w:rFonts w:hint="eastAsia" w:ascii="Arial" w:hAnsi="Arial" w:cs="Arial"/>
          <w:lang w:val="en-US" w:eastAsia="zh-CN"/>
        </w:rPr>
        <w:t>:Assignment 1</w:t>
      </w:r>
      <w:r>
        <w:rPr>
          <w:rFonts w:ascii="Arial" w:hAnsi="Arial" w:cs="Arial"/>
        </w:rPr>
        <w:br w:type="textWrapping"/>
      </w:r>
      <w:r>
        <w:rPr>
          <w:rFonts w:ascii="Arial" w:hAnsi="Arial" w:cs="Arial"/>
        </w:rPr>
        <w:t xml:space="preserve">Date  </w:t>
      </w:r>
      <w:r>
        <w:rPr>
          <w:rFonts w:hint="eastAsia" w:ascii="Arial" w:hAnsi="Arial" w:cs="Arial"/>
          <w:lang w:val="en-US" w:eastAsia="zh-CN"/>
        </w:rPr>
        <w:t>:2/3/3019</w:t>
      </w:r>
      <w:bookmarkStart w:id="23" w:name="_GoBack"/>
      <w:bookmarkEnd w:id="23"/>
      <w:r>
        <w:rPr>
          <w:rFonts w:ascii="Arial" w:hAnsi="Arial" w:cs="Arial"/>
        </w:rPr>
        <w:br w:type="page"/>
      </w:r>
    </w:p>
    <w:p>
      <w:pPr>
        <w:pStyle w:val="2"/>
        <w:spacing w:line="480" w:lineRule="auto"/>
        <w:rPr>
          <w:rFonts w:ascii="Arial" w:hAnsi="Arial" w:cs="Arial"/>
          <w:color w:val="000000" w:themeColor="text1"/>
          <w:sz w:val="22"/>
          <w:szCs w:val="22"/>
          <w14:textFill>
            <w14:solidFill>
              <w14:schemeClr w14:val="tx1"/>
            </w14:solidFill>
          </w14:textFill>
        </w:rPr>
      </w:pPr>
      <w:bookmarkStart w:id="0" w:name="_Toc2225133"/>
      <w:r>
        <w:rPr>
          <w:rFonts w:ascii="Arial" w:hAnsi="Arial" w:cs="Arial"/>
          <w:color w:val="000000" w:themeColor="text1"/>
          <w:sz w:val="22"/>
          <w:szCs w:val="22"/>
          <w14:textFill>
            <w14:solidFill>
              <w14:schemeClr w14:val="tx1"/>
            </w14:solidFill>
          </w14:textFill>
        </w:rPr>
        <w:t>Executive Summary</w:t>
      </w:r>
      <w:bookmarkEnd w:id="0"/>
      <w:r>
        <w:rPr>
          <w:rFonts w:ascii="Arial" w:hAnsi="Arial" w:cs="Arial"/>
          <w:color w:val="000000" w:themeColor="text1"/>
          <w:sz w:val="22"/>
          <w:szCs w:val="22"/>
          <w14:textFill>
            <w14:solidFill>
              <w14:schemeClr w14:val="tx1"/>
            </w14:solidFill>
          </w14:textFill>
        </w:rPr>
        <w:t xml:space="preserve"> </w:t>
      </w:r>
    </w:p>
    <w:p>
      <w:pPr>
        <w:spacing w:line="480" w:lineRule="auto"/>
        <w:jc w:val="both"/>
        <w:rPr>
          <w:rFonts w:ascii="Arial" w:hAnsi="Arial" w:cs="Arial"/>
        </w:rPr>
      </w:pPr>
      <w:r>
        <w:rPr>
          <w:rFonts w:ascii="Arial" w:hAnsi="Arial" w:cs="Arial"/>
        </w:rPr>
        <w:t xml:space="preserve">International marketing strategy is vital to every company’s success because it helps the firm to optimize and meet consumer’s preferences using the organizational capabilities to enlarge profit and increase market share. This report entails TWB report discussing possible options of entering into the new market. The company is popular in the UK market, and due to rapid growth, TWB is looking forward to establishing a new market, which after lengthy analysis the company has settled on the Indian market. The report is divided into three major sections. The first part of the report lays the foundation of the study through the introduction and overview of the company. The second section examines the current nature of the Brazil and India market, and the industry analysis using Porter's five forces while the third section describes international market entry options for the company and recommendation of the best entry strategy. </w:t>
      </w:r>
    </w:p>
    <w:p>
      <w:pPr>
        <w:spacing w:line="480" w:lineRule="auto"/>
        <w:jc w:val="both"/>
        <w:rPr>
          <w:rFonts w:ascii="Arial" w:hAnsi="Arial" w:cs="Arial"/>
        </w:rPr>
      </w:pPr>
    </w:p>
    <w:p>
      <w:pPr>
        <w:spacing w:line="480" w:lineRule="auto"/>
        <w:rPr>
          <w:rFonts w:ascii="Arial" w:hAnsi="Arial" w:cs="Arial"/>
        </w:rPr>
      </w:pPr>
    </w:p>
    <w:p>
      <w:pPr>
        <w:spacing w:line="480" w:lineRule="auto"/>
        <w:rPr>
          <w:rFonts w:ascii="Arial" w:hAnsi="Arial" w:cs="Arial"/>
          <w:b/>
        </w:rPr>
      </w:pPr>
      <w:r>
        <w:rPr>
          <w:rFonts w:ascii="Arial" w:hAnsi="Arial" w:cs="Arial"/>
          <w:b/>
        </w:rPr>
        <w:br w:type="page"/>
      </w:r>
    </w:p>
    <w:p>
      <w:pPr>
        <w:spacing w:line="480" w:lineRule="auto"/>
        <w:rPr>
          <w:rFonts w:ascii="Arial" w:hAnsi="Arial" w:cs="Arial"/>
          <w:b/>
        </w:rPr>
      </w:pPr>
    </w:p>
    <w:sdt>
      <w:sdtPr>
        <w:rPr>
          <w:rFonts w:ascii="Arial" w:hAnsi="Arial" w:cs="Arial" w:eastAsiaTheme="minorHAnsi"/>
          <w:b w:val="0"/>
          <w:bCs w:val="0"/>
          <w:color w:val="auto"/>
          <w:sz w:val="22"/>
          <w:szCs w:val="22"/>
          <w:lang w:val="en-GB" w:eastAsia="en-US"/>
        </w:rPr>
        <w:id w:val="234669579"/>
        <w:docPartObj>
          <w:docPartGallery w:val="Table of Contents"/>
          <w:docPartUnique/>
        </w:docPartObj>
      </w:sdtPr>
      <w:sdtEndPr>
        <w:rPr>
          <w:rFonts w:ascii="Arial" w:hAnsi="Arial" w:cs="Arial" w:eastAsiaTheme="minorEastAsia"/>
          <w:b w:val="0"/>
          <w:bCs w:val="0"/>
          <w:color w:val="auto"/>
          <w:sz w:val="22"/>
          <w:szCs w:val="22"/>
          <w:lang w:val="en-GB" w:eastAsia="en-US"/>
        </w:rPr>
      </w:sdtEndPr>
      <w:sdtContent>
        <w:p>
          <w:pPr>
            <w:pStyle w:val="21"/>
            <w:spacing w:line="240" w:lineRule="auto"/>
            <w:rPr>
              <w:rFonts w:ascii="Arial" w:hAnsi="Arial" w:cs="Arial"/>
              <w:sz w:val="22"/>
              <w:szCs w:val="22"/>
            </w:rPr>
          </w:pPr>
          <w:r>
            <w:rPr>
              <w:rFonts w:ascii="Arial" w:hAnsi="Arial" w:cs="Arial"/>
              <w:sz w:val="22"/>
              <w:szCs w:val="22"/>
            </w:rPr>
            <w:t>Table of Contents</w:t>
          </w:r>
        </w:p>
        <w:p>
          <w:pPr>
            <w:pStyle w:val="9"/>
            <w:spacing w:line="240" w:lineRule="auto"/>
            <w:rPr>
              <w:rFonts w:asciiTheme="minorHAnsi" w:hAnsiTheme="minorHAnsi" w:cstheme="minorBidi"/>
              <w:lang w:val="en-US"/>
            </w:rPr>
          </w:pPr>
          <w:r>
            <w:fldChar w:fldCharType="begin"/>
          </w:r>
          <w:r>
            <w:instrText xml:space="preserve"> TOC \o "1-3" \h \z \u </w:instrText>
          </w:r>
          <w:r>
            <w:fldChar w:fldCharType="separate"/>
          </w:r>
          <w:r>
            <w:fldChar w:fldCharType="begin"/>
          </w:r>
          <w:r>
            <w:instrText xml:space="preserve"> HYPERLINK \l "_Toc2225133" </w:instrText>
          </w:r>
          <w:r>
            <w:fldChar w:fldCharType="separate"/>
          </w:r>
          <w:r>
            <w:rPr>
              <w:rStyle w:val="15"/>
            </w:rPr>
            <w:t>Executive Summary</w:t>
          </w:r>
          <w:r>
            <w:tab/>
          </w:r>
          <w:r>
            <w:fldChar w:fldCharType="begin"/>
          </w:r>
          <w:r>
            <w:instrText xml:space="preserve"> PAGEREF _Toc2225133 \h </w:instrText>
          </w:r>
          <w:r>
            <w:fldChar w:fldCharType="separate"/>
          </w:r>
          <w:r>
            <w:t>2</w:t>
          </w:r>
          <w:r>
            <w:fldChar w:fldCharType="end"/>
          </w:r>
          <w:r>
            <w:fldChar w:fldCharType="end"/>
          </w:r>
        </w:p>
        <w:p>
          <w:pPr>
            <w:pStyle w:val="9"/>
            <w:spacing w:line="240" w:lineRule="auto"/>
            <w:rPr>
              <w:rFonts w:asciiTheme="minorHAnsi" w:hAnsiTheme="minorHAnsi" w:cstheme="minorBidi"/>
              <w:lang w:val="en-US"/>
            </w:rPr>
          </w:pPr>
          <w:r>
            <w:fldChar w:fldCharType="begin"/>
          </w:r>
          <w:r>
            <w:instrText xml:space="preserve"> HYPERLINK \l "_Toc2225134" </w:instrText>
          </w:r>
          <w:r>
            <w:fldChar w:fldCharType="separate"/>
          </w:r>
          <w:r>
            <w:rPr>
              <w:rStyle w:val="15"/>
            </w:rPr>
            <w:t>1.0</w:t>
          </w:r>
          <w:r>
            <w:rPr>
              <w:rFonts w:asciiTheme="minorHAnsi" w:hAnsiTheme="minorHAnsi" w:cstheme="minorBidi"/>
              <w:lang w:val="en-US"/>
            </w:rPr>
            <w:tab/>
          </w:r>
          <w:r>
            <w:rPr>
              <w:rStyle w:val="15"/>
            </w:rPr>
            <w:t>Introduction</w:t>
          </w:r>
          <w:r>
            <w:tab/>
          </w:r>
          <w:r>
            <w:fldChar w:fldCharType="begin"/>
          </w:r>
          <w:r>
            <w:instrText xml:space="preserve"> PAGEREF _Toc2225134 \h </w:instrText>
          </w:r>
          <w:r>
            <w:fldChar w:fldCharType="separate"/>
          </w:r>
          <w:r>
            <w:t>4</w:t>
          </w:r>
          <w:r>
            <w:fldChar w:fldCharType="end"/>
          </w:r>
          <w:r>
            <w:fldChar w:fldCharType="end"/>
          </w:r>
        </w:p>
        <w:p>
          <w:pPr>
            <w:pStyle w:val="9"/>
            <w:spacing w:line="240" w:lineRule="auto"/>
            <w:rPr>
              <w:rFonts w:asciiTheme="minorHAnsi" w:hAnsiTheme="minorHAnsi" w:cstheme="minorBidi"/>
              <w:lang w:val="en-US"/>
            </w:rPr>
          </w:pPr>
          <w:r>
            <w:fldChar w:fldCharType="begin"/>
          </w:r>
          <w:r>
            <w:instrText xml:space="preserve"> HYPERLINK \l "_Toc2225136" </w:instrText>
          </w:r>
          <w:r>
            <w:fldChar w:fldCharType="separate"/>
          </w:r>
          <w:r>
            <w:rPr>
              <w:rStyle w:val="15"/>
            </w:rPr>
            <w:t>2.0 Potential Market Analysis</w:t>
          </w:r>
          <w:r>
            <w:tab/>
          </w:r>
          <w:r>
            <w:fldChar w:fldCharType="begin"/>
          </w:r>
          <w:r>
            <w:instrText xml:space="preserve"> PAGEREF _Toc2225136 \h </w:instrText>
          </w:r>
          <w:r>
            <w:fldChar w:fldCharType="separate"/>
          </w:r>
          <w:r>
            <w:t>4</w:t>
          </w:r>
          <w:r>
            <w:fldChar w:fldCharType="end"/>
          </w:r>
          <w:r>
            <w:fldChar w:fldCharType="end"/>
          </w:r>
        </w:p>
        <w:p>
          <w:pPr>
            <w:pStyle w:val="10"/>
            <w:tabs>
              <w:tab w:val="right" w:leader="dot" w:pos="9350"/>
            </w:tabs>
            <w:spacing w:line="240" w:lineRule="auto"/>
            <w:rPr>
              <w:lang w:val="en-US"/>
            </w:rPr>
          </w:pPr>
          <w:r>
            <w:fldChar w:fldCharType="begin"/>
          </w:r>
          <w:r>
            <w:instrText xml:space="preserve"> HYPERLINK \l "_Toc2225137" </w:instrText>
          </w:r>
          <w:r>
            <w:fldChar w:fldCharType="separate"/>
          </w:r>
          <w:r>
            <w:rPr>
              <w:rStyle w:val="15"/>
              <w:rFonts w:ascii="Arial" w:hAnsi="Arial" w:cs="Arial"/>
            </w:rPr>
            <w:t>2.1 Brazil Beer Market</w:t>
          </w:r>
          <w:r>
            <w:tab/>
          </w:r>
          <w:r>
            <w:fldChar w:fldCharType="begin"/>
          </w:r>
          <w:r>
            <w:instrText xml:space="preserve"> PAGEREF _Toc2225137 \h </w:instrText>
          </w:r>
          <w:r>
            <w:fldChar w:fldCharType="separate"/>
          </w:r>
          <w:r>
            <w:t>4</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"_Toc2225138" </w:instrText>
          </w:r>
          <w:r>
            <w:fldChar w:fldCharType="separate"/>
          </w:r>
          <w:r>
            <w:rPr>
              <w:rStyle w:val="15"/>
              <w:rFonts w:ascii="Arial" w:hAnsi="Arial" w:cs="Arial"/>
            </w:rPr>
            <w:t>2.1.1 Economic Aspect</w:t>
          </w:r>
          <w:r>
            <w:tab/>
          </w:r>
          <w:r>
            <w:fldChar w:fldCharType="begin"/>
          </w:r>
          <w:r>
            <w:instrText xml:space="preserve"> PAGEREF _Toc2225138 \h </w:instrText>
          </w:r>
          <w:r>
            <w:fldChar w:fldCharType="separate"/>
          </w:r>
          <w:r>
            <w:t>4</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"_Toc2225139" </w:instrText>
          </w:r>
          <w:r>
            <w:fldChar w:fldCharType="separate"/>
          </w:r>
          <w:r>
            <w:rPr>
              <w:rStyle w:val="15"/>
              <w:rFonts w:ascii="Arial" w:hAnsi="Arial" w:cs="Arial"/>
            </w:rPr>
            <w:t>2.1.2 Social-Cultural Aspect</w:t>
          </w:r>
          <w:r>
            <w:tab/>
          </w:r>
          <w:r>
            <w:fldChar w:fldCharType="begin"/>
          </w:r>
          <w:r>
            <w:instrText xml:space="preserve"> PAGEREF _Toc2225139 \h </w:instrText>
          </w:r>
          <w:r>
            <w:fldChar w:fldCharType="separate"/>
          </w:r>
          <w:r>
            <w:t>5</w:t>
          </w:r>
          <w:r>
            <w:fldChar w:fldCharType="end"/>
          </w:r>
          <w:r>
            <w:fldChar w:fldCharType="end"/>
          </w:r>
        </w:p>
        <w:p>
          <w:pPr>
            <w:pStyle w:val="10"/>
            <w:tabs>
              <w:tab w:val="left" w:pos="880"/>
              <w:tab w:val="right" w:leader="dot" w:pos="9350"/>
            </w:tabs>
            <w:spacing w:line="240" w:lineRule="auto"/>
            <w:rPr>
              <w:lang w:val="en-US"/>
            </w:rPr>
          </w:pPr>
          <w:r>
            <w:fldChar w:fldCharType="begin"/>
          </w:r>
          <w:r>
            <w:instrText xml:space="preserve"> HYPERLINK \l "_Toc2225140" </w:instrText>
          </w:r>
          <w:r>
            <w:fldChar w:fldCharType="separate"/>
          </w:r>
          <w:r>
            <w:rPr>
              <w:rStyle w:val="15"/>
              <w:rFonts w:ascii="Arial" w:hAnsi="Arial" w:cs="Arial"/>
            </w:rPr>
            <w:t>2.2</w:t>
          </w:r>
          <w:r>
            <w:rPr>
              <w:lang w:val="en-US"/>
            </w:rPr>
            <w:tab/>
          </w:r>
          <w:r>
            <w:rPr>
              <w:rStyle w:val="15"/>
              <w:rFonts w:ascii="Arial" w:hAnsi="Arial" w:cs="Arial"/>
            </w:rPr>
            <w:t>India Beer Market</w:t>
          </w:r>
          <w:r>
            <w:tab/>
          </w:r>
          <w:r>
            <w:fldChar w:fldCharType="begin"/>
          </w:r>
          <w:r>
            <w:instrText xml:space="preserve"> PAGEREF _Toc2225140 \h </w:instrText>
          </w:r>
          <w:r>
            <w:fldChar w:fldCharType="separate"/>
          </w:r>
          <w:r>
            <w:t>6</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"_Toc2225141" </w:instrText>
          </w:r>
          <w:r>
            <w:fldChar w:fldCharType="separate"/>
          </w:r>
          <w:r>
            <w:rPr>
              <w:rStyle w:val="15"/>
              <w:rFonts w:ascii="Arial" w:hAnsi="Arial" w:cs="Arial"/>
            </w:rPr>
            <w:t>2.2.1 Economic Aspect</w:t>
          </w:r>
          <w:r>
            <w:tab/>
          </w:r>
          <w:r>
            <w:fldChar w:fldCharType="begin"/>
          </w:r>
          <w:r>
            <w:instrText xml:space="preserve"> PAGEREF _Toc2225141 \h </w:instrText>
          </w:r>
          <w:r>
            <w:fldChar w:fldCharType="separate"/>
          </w:r>
          <w:r>
            <w:t>6</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"_Toc2225142" </w:instrText>
          </w:r>
          <w:r>
            <w:fldChar w:fldCharType="separate"/>
          </w:r>
          <w:r>
            <w:rPr>
              <w:rStyle w:val="15"/>
              <w:rFonts w:ascii="Arial" w:hAnsi="Arial" w:cs="Arial"/>
            </w:rPr>
            <w:t>2.2.2 Social-cultural Aspect</w:t>
          </w:r>
          <w:r>
            <w:tab/>
          </w:r>
          <w:r>
            <w:fldChar w:fldCharType="begin"/>
          </w:r>
          <w:r>
            <w:instrText xml:space="preserve"> PAGEREF _Toc2225142 \h </w:instrText>
          </w:r>
          <w:r>
            <w:fldChar w:fldCharType="separate"/>
          </w:r>
          <w:r>
            <w:t>7</w:t>
          </w:r>
          <w:r>
            <w:fldChar w:fldCharType="end"/>
          </w:r>
          <w:r>
            <w:fldChar w:fldCharType="end"/>
          </w:r>
        </w:p>
        <w:p>
          <w:pPr>
            <w:pStyle w:val="10"/>
            <w:tabs>
              <w:tab w:val="right" w:leader="dot" w:pos="9350"/>
            </w:tabs>
            <w:spacing w:line="240" w:lineRule="auto"/>
            <w:rPr>
              <w:lang w:val="en-US"/>
            </w:rPr>
          </w:pPr>
          <w:r>
            <w:fldChar w:fldCharType="begin"/>
          </w:r>
          <w:r>
            <w:instrText xml:space="preserve"> HYPERLINK \l "_Toc2225143" </w:instrText>
          </w:r>
          <w:r>
            <w:fldChar w:fldCharType="separate"/>
          </w:r>
          <w:r>
            <w:rPr>
              <w:rStyle w:val="15"/>
              <w:rFonts w:ascii="Arial" w:hAnsi="Arial" w:cs="Arial"/>
            </w:rPr>
            <w:t>2.3 Industry Analysis</w:t>
          </w:r>
          <w:r>
            <w:tab/>
          </w:r>
          <w:r>
            <w:fldChar w:fldCharType="begin"/>
          </w:r>
          <w:r>
            <w:instrText xml:space="preserve"> PAGEREF _Toc2225143 \h </w:instrText>
          </w:r>
          <w:r>
            <w:fldChar w:fldCharType="separate"/>
          </w:r>
          <w:r>
            <w:t>7</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"_Toc2225144" </w:instrText>
          </w:r>
          <w:r>
            <w:fldChar w:fldCharType="separate"/>
          </w:r>
          <w:r>
            <w:rPr>
              <w:rStyle w:val="15"/>
              <w:rFonts w:ascii="Arial" w:hAnsi="Arial" w:cs="Arial"/>
            </w:rPr>
            <w:t>2.3.1 Supply Power</w:t>
          </w:r>
          <w:r>
            <w:tab/>
          </w:r>
          <w:r>
            <w:fldChar w:fldCharType="begin"/>
          </w:r>
          <w:r>
            <w:instrText xml:space="preserve"> PAGEREF _Toc2225144 \h </w:instrText>
          </w:r>
          <w:r>
            <w:fldChar w:fldCharType="separate"/>
          </w:r>
          <w:r>
            <w:t>9</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"_Toc2225145" </w:instrText>
          </w:r>
          <w:r>
            <w:fldChar w:fldCharType="separate"/>
          </w:r>
          <w:r>
            <w:rPr>
              <w:rStyle w:val="15"/>
              <w:rFonts w:ascii="Arial" w:hAnsi="Arial" w:cs="Arial"/>
            </w:rPr>
            <w:t>2.3.2 Buying Power</w:t>
          </w:r>
          <w:r>
            <w:tab/>
          </w:r>
          <w:r>
            <w:fldChar w:fldCharType="begin"/>
          </w:r>
          <w:r>
            <w:instrText xml:space="preserve"> PAGEREF _Toc2225145 \h </w:instrText>
          </w:r>
          <w:r>
            <w:fldChar w:fldCharType="separate"/>
          </w:r>
          <w:r>
            <w:t>9</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"_Toc2225146" </w:instrText>
          </w:r>
          <w:r>
            <w:fldChar w:fldCharType="separate"/>
          </w:r>
          <w:r>
            <w:rPr>
              <w:rStyle w:val="15"/>
              <w:rFonts w:ascii="Arial" w:hAnsi="Arial" w:cs="Arial"/>
            </w:rPr>
            <w:t>2.3.3 Threats of substitutes</w:t>
          </w:r>
          <w:r>
            <w:tab/>
          </w:r>
          <w:r>
            <w:fldChar w:fldCharType="begin"/>
          </w:r>
          <w:r>
            <w:instrText xml:space="preserve"> PAGEREF _Toc2225146 \h </w:instrText>
          </w:r>
          <w:r>
            <w:fldChar w:fldCharType="separate"/>
          </w:r>
          <w:r>
            <w:t>9</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"_Toc2225147" </w:instrText>
          </w:r>
          <w:r>
            <w:fldChar w:fldCharType="separate"/>
          </w:r>
          <w:r>
            <w:rPr>
              <w:rStyle w:val="15"/>
              <w:rFonts w:ascii="Arial" w:hAnsi="Arial" w:cs="Arial"/>
            </w:rPr>
            <w:t>2.3.4 Threat of new entries</w:t>
          </w:r>
          <w:r>
            <w:tab/>
          </w:r>
          <w:r>
            <w:fldChar w:fldCharType="begin"/>
          </w:r>
          <w:r>
            <w:instrText xml:space="preserve"> PAGEREF _Toc2225147 \h </w:instrText>
          </w:r>
          <w:r>
            <w:fldChar w:fldCharType="separate"/>
          </w:r>
          <w:r>
            <w:t>10</w:t>
          </w:r>
          <w:r>
            <w:fldChar w:fldCharType="end"/>
          </w:r>
          <w:r>
            <w:fldChar w:fldCharType="end"/>
          </w:r>
        </w:p>
        <w:p>
          <w:pPr>
            <w:pStyle w:val="5"/>
            <w:tabs>
              <w:tab w:val="right" w:leader="dot" w:pos="9350"/>
            </w:tabs>
            <w:spacing w:line="240" w:lineRule="auto"/>
            <w:rPr>
              <w:lang w:val="en-US"/>
            </w:rPr>
          </w:pPr>
          <w:r>
            <w:fldChar w:fldCharType="begin"/>
          </w:r>
          <w:r>
            <w:instrText xml:space="preserve"> HYPERLINK \l "_Toc2225148" </w:instrText>
          </w:r>
          <w:r>
            <w:fldChar w:fldCharType="separate"/>
          </w:r>
          <w:r>
            <w:rPr>
              <w:rStyle w:val="15"/>
              <w:rFonts w:ascii="Arial" w:hAnsi="Arial" w:cs="Arial"/>
            </w:rPr>
            <w:t>2.3.5 Rivalry established by competitors</w:t>
          </w:r>
          <w:r>
            <w:tab/>
          </w:r>
          <w:r>
            <w:fldChar w:fldCharType="begin"/>
          </w:r>
          <w:r>
            <w:instrText xml:space="preserve"> PAGEREF _Toc2225148 \h </w:instrText>
          </w:r>
          <w:r>
            <w:fldChar w:fldCharType="separate"/>
          </w:r>
          <w:r>
            <w:t>10</w:t>
          </w:r>
          <w:r>
            <w:fldChar w:fldCharType="end"/>
          </w:r>
          <w:r>
            <w:fldChar w:fldCharType="end"/>
          </w:r>
        </w:p>
        <w:p>
          <w:pPr>
            <w:pStyle w:val="9"/>
            <w:spacing w:line="240" w:lineRule="auto"/>
            <w:rPr>
              <w:rFonts w:asciiTheme="minorHAnsi" w:hAnsiTheme="minorHAnsi" w:cstheme="minorBidi"/>
              <w:lang w:val="en-US"/>
            </w:rPr>
          </w:pPr>
          <w:r>
            <w:fldChar w:fldCharType="begin"/>
          </w:r>
          <w:r>
            <w:instrText xml:space="preserve"> HYPERLINK \l "_Toc2225149" </w:instrText>
          </w:r>
          <w:r>
            <w:fldChar w:fldCharType="separate"/>
          </w:r>
          <w:r>
            <w:rPr>
              <w:rStyle w:val="15"/>
            </w:rPr>
            <w:t>3.0 TWB Market Entry Options</w:t>
          </w:r>
          <w:r>
            <w:tab/>
          </w:r>
          <w:r>
            <w:fldChar w:fldCharType="begin"/>
          </w:r>
          <w:r>
            <w:instrText xml:space="preserve"> PAGEREF _Toc2225149 \h </w:instrText>
          </w:r>
          <w:r>
            <w:fldChar w:fldCharType="separate"/>
          </w:r>
          <w:r>
            <w:t>10</w:t>
          </w:r>
          <w:r>
            <w:fldChar w:fldCharType="end"/>
          </w:r>
          <w:r>
            <w:fldChar w:fldCharType="end"/>
          </w:r>
        </w:p>
        <w:p>
          <w:pPr>
            <w:pStyle w:val="10"/>
            <w:tabs>
              <w:tab w:val="right" w:leader="dot" w:pos="9350"/>
            </w:tabs>
            <w:spacing w:line="240" w:lineRule="auto"/>
            <w:rPr>
              <w:lang w:val="en-US"/>
            </w:rPr>
          </w:pPr>
          <w:r>
            <w:fldChar w:fldCharType="begin"/>
          </w:r>
          <w:r>
            <w:instrText xml:space="preserve"> HYPERLINK \l "_Toc2225150" </w:instrText>
          </w:r>
          <w:r>
            <w:fldChar w:fldCharType="separate"/>
          </w:r>
          <w:r>
            <w:rPr>
              <w:rStyle w:val="15"/>
              <w:rFonts w:ascii="Arial" w:hAnsi="Arial" w:cs="Arial"/>
            </w:rPr>
            <w:t>3.1 Indirect export</w:t>
          </w:r>
          <w:r>
            <w:tab/>
          </w:r>
          <w:r>
            <w:fldChar w:fldCharType="begin"/>
          </w:r>
          <w:r>
            <w:instrText xml:space="preserve"> PAGEREF _Toc2225150 \h </w:instrText>
          </w:r>
          <w:r>
            <w:fldChar w:fldCharType="separate"/>
          </w:r>
          <w:r>
            <w:t>11</w:t>
          </w:r>
          <w:r>
            <w:fldChar w:fldCharType="end"/>
          </w:r>
          <w:r>
            <w:fldChar w:fldCharType="end"/>
          </w:r>
        </w:p>
        <w:p>
          <w:pPr>
            <w:pStyle w:val="10"/>
            <w:tabs>
              <w:tab w:val="right" w:leader="dot" w:pos="9350"/>
            </w:tabs>
            <w:spacing w:line="240" w:lineRule="auto"/>
            <w:rPr>
              <w:lang w:val="en-US"/>
            </w:rPr>
          </w:pPr>
          <w:r>
            <w:fldChar w:fldCharType="begin"/>
          </w:r>
          <w:r>
            <w:instrText xml:space="preserve"> HYPERLINK \l "_Toc2225151" </w:instrText>
          </w:r>
          <w:r>
            <w:fldChar w:fldCharType="separate"/>
          </w:r>
          <w:r>
            <w:rPr>
              <w:rStyle w:val="15"/>
              <w:rFonts w:ascii="Arial" w:hAnsi="Arial" w:cs="Arial"/>
            </w:rPr>
            <w:t>3.2 Foreign Direct Investment (FDI)</w:t>
          </w:r>
          <w:r>
            <w:tab/>
          </w:r>
          <w:r>
            <w:fldChar w:fldCharType="begin"/>
          </w:r>
          <w:r>
            <w:instrText xml:space="preserve"> PAGEREF _Toc2225151 \h </w:instrText>
          </w:r>
          <w:r>
            <w:fldChar w:fldCharType="separate"/>
          </w:r>
          <w:r>
            <w:t>11</w:t>
          </w:r>
          <w:r>
            <w:fldChar w:fldCharType="end"/>
          </w:r>
          <w:r>
            <w:fldChar w:fldCharType="end"/>
          </w:r>
        </w:p>
        <w:p>
          <w:pPr>
            <w:pStyle w:val="10"/>
            <w:tabs>
              <w:tab w:val="right" w:leader="dot" w:pos="9350"/>
            </w:tabs>
            <w:spacing w:line="240" w:lineRule="auto"/>
            <w:rPr>
              <w:lang w:val="en-US"/>
            </w:rPr>
          </w:pPr>
          <w:r>
            <w:fldChar w:fldCharType="begin"/>
          </w:r>
          <w:r>
            <w:instrText xml:space="preserve"> HYPERLINK \l "_Toc2225152" </w:instrText>
          </w:r>
          <w:r>
            <w:fldChar w:fldCharType="separate"/>
          </w:r>
          <w:r>
            <w:rPr>
              <w:rStyle w:val="15"/>
              <w:rFonts w:ascii="Arial" w:hAnsi="Arial" w:cs="Arial"/>
            </w:rPr>
            <w:t>3.3 Recommendation</w:t>
          </w:r>
          <w:r>
            <w:tab/>
          </w:r>
          <w:r>
            <w:fldChar w:fldCharType="begin"/>
          </w:r>
          <w:r>
            <w:instrText xml:space="preserve"> PAGEREF _Toc2225152 \h </w:instrText>
          </w:r>
          <w:r>
            <w:fldChar w:fldCharType="separate"/>
          </w:r>
          <w:r>
            <w:t>11</w:t>
          </w:r>
          <w:r>
            <w:fldChar w:fldCharType="end"/>
          </w:r>
          <w:r>
            <w:fldChar w:fldCharType="end"/>
          </w:r>
        </w:p>
        <w:p>
          <w:pPr>
            <w:pStyle w:val="9"/>
            <w:spacing w:line="240" w:lineRule="auto"/>
            <w:rPr>
              <w:rFonts w:asciiTheme="minorHAnsi" w:hAnsiTheme="minorHAnsi" w:cstheme="minorBidi"/>
              <w:lang w:val="en-US"/>
            </w:rPr>
          </w:pPr>
          <w:r>
            <w:fldChar w:fldCharType="begin"/>
          </w:r>
          <w:r>
            <w:instrText xml:space="preserve"> HYPERLINK \l "_Toc2225153" </w:instrText>
          </w:r>
          <w:r>
            <w:fldChar w:fldCharType="separate"/>
          </w:r>
          <w:r>
            <w:rPr>
              <w:rStyle w:val="15"/>
            </w:rPr>
            <w:t>4.0 Conclusion</w:t>
          </w:r>
          <w:r>
            <w:tab/>
          </w:r>
          <w:r>
            <w:fldChar w:fldCharType="begin"/>
          </w:r>
          <w:r>
            <w:instrText xml:space="preserve"> PAGEREF _Toc2225153 \h </w:instrText>
          </w:r>
          <w:r>
            <w:fldChar w:fldCharType="separate"/>
          </w:r>
          <w:r>
            <w:t>12</w:t>
          </w:r>
          <w:r>
            <w:fldChar w:fldCharType="end"/>
          </w:r>
          <w:r>
            <w:fldChar w:fldCharType="end"/>
          </w:r>
        </w:p>
        <w:p>
          <w:pPr>
            <w:pStyle w:val="9"/>
            <w:spacing w:line="240" w:lineRule="auto"/>
            <w:rPr>
              <w:rFonts w:asciiTheme="minorHAnsi" w:hAnsiTheme="minorHAnsi" w:cstheme="minorBidi"/>
              <w:lang w:val="en-US"/>
            </w:rPr>
          </w:pPr>
          <w:r>
            <w:fldChar w:fldCharType="begin"/>
          </w:r>
          <w:r>
            <w:instrText xml:space="preserve"> HYPERLINK \l "_Toc2225154" </w:instrText>
          </w:r>
          <w:r>
            <w:fldChar w:fldCharType="separate"/>
          </w:r>
          <w:r>
            <w:rPr>
              <w:rStyle w:val="15"/>
            </w:rPr>
            <w:t>5.0 References</w:t>
          </w:r>
          <w:r>
            <w:tab/>
          </w:r>
          <w:r>
            <w:fldChar w:fldCharType="begin"/>
          </w:r>
          <w:r>
            <w:instrText xml:space="preserve"> PAGEREF _Toc2225154 \h </w:instrText>
          </w:r>
          <w:r>
            <w:fldChar w:fldCharType="separate"/>
          </w:r>
          <w:r>
            <w:t>14</w:t>
          </w:r>
          <w:r>
            <w:fldChar w:fldCharType="end"/>
          </w:r>
          <w:r>
            <w:fldChar w:fldCharType="end"/>
          </w:r>
        </w:p>
        <w:p>
          <w:pPr>
            <w:spacing w:line="240" w:lineRule="auto"/>
            <w:rPr>
              <w:rFonts w:ascii="Arial" w:hAnsi="Arial" w:cs="Arial"/>
            </w:rPr>
          </w:pPr>
          <w:r>
            <w:rPr>
              <w:rFonts w:ascii="Arial" w:hAnsi="Arial" w:cs="Arial"/>
              <w:b/>
              <w:bCs/>
            </w:rPr>
            <w:fldChar w:fldCharType="end"/>
          </w:r>
        </w:p>
      </w:sdtContent>
    </w:sdt>
    <w:p>
      <w:pPr>
        <w:spacing w:line="480" w:lineRule="auto"/>
        <w:rPr>
          <w:rFonts w:ascii="Arial" w:hAnsi="Arial" w:cs="Arial"/>
          <w:b/>
        </w:rPr>
      </w:pPr>
      <w:r>
        <w:rPr>
          <w:rFonts w:ascii="Arial" w:hAnsi="Arial" w:cs="Arial"/>
          <w:b/>
        </w:rPr>
        <w:br w:type="page"/>
      </w:r>
    </w:p>
    <w:p>
      <w:pPr>
        <w:pStyle w:val="17"/>
        <w:numPr>
          <w:ilvl w:val="0"/>
          <w:numId w:val="1"/>
        </w:numPr>
        <w:spacing w:line="480" w:lineRule="auto"/>
        <w:outlineLvl w:val="0"/>
        <w:rPr>
          <w:rFonts w:ascii="Arial" w:hAnsi="Arial" w:cs="Arial"/>
          <w:b/>
        </w:rPr>
      </w:pPr>
      <w:bookmarkStart w:id="1" w:name="_Toc2225134"/>
      <w:r>
        <w:rPr>
          <w:rFonts w:ascii="Arial" w:hAnsi="Arial" w:cs="Arial"/>
          <w:b/>
        </w:rPr>
        <w:t>Introduction</w:t>
      </w:r>
      <w:bookmarkEnd w:id="1"/>
      <w:r>
        <w:rPr>
          <w:rFonts w:ascii="Arial" w:hAnsi="Arial" w:cs="Arial"/>
          <w:b/>
        </w:rPr>
        <w:t xml:space="preserve"> </w:t>
      </w:r>
    </w:p>
    <w:p>
      <w:pPr>
        <w:spacing w:line="480" w:lineRule="auto"/>
        <w:jc w:val="both"/>
        <w:outlineLvl w:val="0"/>
        <w:rPr>
          <w:rFonts w:ascii="Arial" w:hAnsi="Arial" w:cs="Arial"/>
          <w:b/>
        </w:rPr>
      </w:pPr>
      <w:bookmarkStart w:id="2" w:name="_Toc2225135"/>
      <w:bookmarkStart w:id="3" w:name="_Toc1948421"/>
      <w:r>
        <w:rPr>
          <w:rFonts w:ascii="Arial" w:hAnsi="Arial" w:cs="Arial"/>
        </w:rPr>
        <w:t>Marketing strategy plays a pivotal role in every business as it aspires to create value to the targeted markets. Therefore, marketing strategy is formulated not only to serve the company operations but also to reach out to meet and satisfy targeted customers’ needs by offering diversified or specific products and services. Accordingly, it is important for a company to establish itself based on market needs for sustainability purposes. Thus, modern companies are developing global marketing strategies to array the competitive edge arising from world scale economies, and with this, the individual companies are in a position to build a global presence through market fragmentation (Schlegelmilch, 2016).</w:t>
      </w:r>
      <w:bookmarkEnd w:id="2"/>
      <w:bookmarkEnd w:id="3"/>
    </w:p>
    <w:p>
      <w:pPr>
        <w:pStyle w:val="2"/>
        <w:spacing w:line="480" w:lineRule="auto"/>
        <w:rPr>
          <w:rFonts w:ascii="Arial" w:hAnsi="Arial" w:cs="Arial"/>
          <w:color w:val="000000" w:themeColor="text1"/>
          <w:sz w:val="22"/>
          <w:szCs w:val="22"/>
          <w14:textFill>
            <w14:solidFill>
              <w14:schemeClr w14:val="tx1"/>
            </w14:solidFill>
          </w14:textFill>
        </w:rPr>
      </w:pPr>
      <w:bookmarkStart w:id="4" w:name="_Toc2225136"/>
      <w:r>
        <w:rPr>
          <w:rFonts w:ascii="Arial" w:hAnsi="Arial" w:cs="Arial"/>
          <w:color w:val="000000" w:themeColor="text1"/>
          <w:sz w:val="22"/>
          <w:szCs w:val="22"/>
          <w14:textFill>
            <w14:solidFill>
              <w14:schemeClr w14:val="tx1"/>
            </w14:solidFill>
          </w14:textFill>
        </w:rPr>
        <w:t>2.0 Potential Market Analysis</w:t>
      </w:r>
      <w:bookmarkEnd w:id="4"/>
      <w:r>
        <w:rPr>
          <w:rFonts w:ascii="Arial" w:hAnsi="Arial" w:cs="Arial"/>
          <w:color w:val="000000" w:themeColor="text1"/>
          <w:sz w:val="22"/>
          <w:szCs w:val="22"/>
          <w14:textFill>
            <w14:solidFill>
              <w14:schemeClr w14:val="tx1"/>
            </w14:solidFill>
          </w14:textFill>
        </w:rPr>
        <w:t xml:space="preserve">  </w:t>
      </w:r>
    </w:p>
    <w:p>
      <w:pPr>
        <w:pStyle w:val="3"/>
        <w:spacing w:line="480" w:lineRule="auto"/>
        <w:rPr>
          <w:rFonts w:ascii="Arial" w:hAnsi="Arial" w:cs="Arial"/>
          <w:color w:val="000000" w:themeColor="text1"/>
          <w:sz w:val="22"/>
          <w:szCs w:val="22"/>
          <w14:textFill>
            <w14:solidFill>
              <w14:schemeClr w14:val="tx1"/>
            </w14:solidFill>
          </w14:textFill>
        </w:rPr>
      </w:pPr>
      <w:bookmarkStart w:id="5" w:name="_Toc2225137"/>
      <w:r>
        <w:rPr>
          <w:rFonts w:ascii="Arial" w:hAnsi="Arial" w:cs="Arial"/>
          <w:color w:val="000000" w:themeColor="text1"/>
          <w:sz w:val="22"/>
          <w:szCs w:val="22"/>
          <w14:textFill>
            <w14:solidFill>
              <w14:schemeClr w14:val="tx1"/>
            </w14:solidFill>
          </w14:textFill>
        </w:rPr>
        <w:t>2.1 Brazil Beer Market</w:t>
      </w:r>
      <w:bookmarkEnd w:id="5"/>
      <w:r>
        <w:rPr>
          <w:rFonts w:ascii="Arial" w:hAnsi="Arial" w:cs="Arial"/>
          <w:color w:val="000000" w:themeColor="text1"/>
          <w:sz w:val="22"/>
          <w:szCs w:val="22"/>
          <w14:textFill>
            <w14:solidFill>
              <w14:schemeClr w14:val="tx1"/>
            </w14:solidFill>
          </w14:textFill>
        </w:rPr>
        <w:t xml:space="preserve"> </w:t>
      </w:r>
    </w:p>
    <w:p>
      <w:pPr>
        <w:pStyle w:val="4"/>
        <w:spacing w:line="480" w:lineRule="auto"/>
        <w:rPr>
          <w:rFonts w:ascii="Arial" w:hAnsi="Arial" w:cs="Arial"/>
          <w:color w:val="000000" w:themeColor="text1"/>
          <w14:textFill>
            <w14:solidFill>
              <w14:schemeClr w14:val="tx1"/>
            </w14:solidFill>
          </w14:textFill>
        </w:rPr>
      </w:pPr>
      <w:bookmarkStart w:id="6" w:name="_Toc2225138"/>
      <w:r>
        <w:rPr>
          <w:rFonts w:ascii="Arial" w:hAnsi="Arial" w:cs="Arial"/>
          <w:color w:val="000000" w:themeColor="text1"/>
          <w14:textFill>
            <w14:solidFill>
              <w14:schemeClr w14:val="tx1"/>
            </w14:solidFill>
          </w14:textFill>
        </w:rPr>
        <w:t>2.1.1 Economic Aspect</w:t>
      </w:r>
      <w:bookmarkEnd w:id="6"/>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b/>
        </w:rPr>
      </w:pPr>
      <w:r>
        <w:rPr>
          <w:rFonts w:ascii="Arial" w:hAnsi="Arial" w:cs="Arial"/>
        </w:rPr>
        <w:t>From an economic perspective, Brazil is one of the significant world’s economy in terms of gross domestic product and eighth most significant in terms of purchasing power parity. The country’s GDP growth between 2018 and 2019 expanded with 0.8 % (Frank, 2018). Brazil is the third world largest beer market after the United States and China in terms of beer volume consumption (Piacentini et al., 2017).</w:t>
      </w:r>
      <w:r>
        <w:rPr>
          <w:rFonts w:ascii="Arial" w:hAnsi="Arial" w:cs="Arial"/>
          <w:b/>
        </w:rPr>
        <w:t xml:space="preserve"> </w:t>
      </w:r>
      <w:r>
        <w:rPr>
          <w:rFonts w:ascii="Arial" w:hAnsi="Arial" w:cs="Arial"/>
        </w:rPr>
        <w:t>The beer industry in Brazil is regulated by the government in terms of importation and tax systems (Mullins, 2017).In addition,</w:t>
      </w:r>
      <w:r>
        <w:rPr>
          <w:rFonts w:ascii="Arial" w:hAnsi="Arial" w:cs="Arial"/>
          <w:b/>
        </w:rPr>
        <w:t xml:space="preserve"> </w:t>
      </w:r>
      <w:r>
        <w:rPr>
          <w:rFonts w:ascii="Arial" w:hAnsi="Arial" w:cs="Arial"/>
        </w:rPr>
        <w:t>Beer has become a substitute drink for soft drinks and carbonated drinks due to culminating health issues related to junk eating habits among the young and aging population (</w:t>
      </w:r>
      <w:r>
        <w:rPr>
          <w:rFonts w:ascii="Arial" w:hAnsi="Arial" w:cs="Arial"/>
          <w:iCs/>
        </w:rPr>
        <w:t>Restaurant Hospitality</w:t>
      </w:r>
      <w:r>
        <w:rPr>
          <w:rFonts w:ascii="Arial" w:hAnsi="Arial" w:cs="Arial"/>
        </w:rPr>
        <w:t>, 2018).</w:t>
      </w:r>
      <w:r>
        <w:rPr>
          <w:rFonts w:ascii="Arial" w:hAnsi="Arial" w:cs="Arial"/>
          <w:b/>
        </w:rPr>
        <w:t xml:space="preserve"> </w:t>
      </w:r>
    </w:p>
    <w:p>
      <w:pPr>
        <w:spacing w:line="480" w:lineRule="auto"/>
        <w:jc w:val="center"/>
        <w:rPr>
          <w:rFonts w:ascii="Arial" w:hAnsi="Arial" w:cs="Arial"/>
          <w:b/>
        </w:rPr>
      </w:pPr>
      <w:r>
        <w:rPr>
          <w:rFonts w:ascii="Arial" w:hAnsi="Arial" w:cs="Arial"/>
          <w:b/>
        </w:rPr>
        <w:br w:type="page"/>
      </w:r>
      <w:r>
        <w:rPr>
          <w:rFonts w:ascii="Arial" w:hAnsi="Arial" w:cs="Arial"/>
          <w:lang w:val="en-US" w:eastAsia="zh-CN"/>
        </w:rPr>
        <w:drawing>
          <wp:inline distT="0" distB="0" distL="0" distR="0">
            <wp:extent cx="4495800" cy="2571750"/>
            <wp:effectExtent l="0" t="0" r="0" b="0"/>
            <wp:docPr id="7" name="Picture 7" descr="Image result for Brazil beer market share,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age result for Brazil beer market share, 20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495800" cy="2571750"/>
                    </a:xfrm>
                    <a:prstGeom prst="rect">
                      <a:avLst/>
                    </a:prstGeom>
                    <a:noFill/>
                    <a:ln>
                      <a:noFill/>
                    </a:ln>
                  </pic:spPr>
                </pic:pic>
              </a:graphicData>
            </a:graphic>
          </wp:inline>
        </w:drawing>
      </w:r>
    </w:p>
    <w:p>
      <w:pPr>
        <w:spacing w:line="480" w:lineRule="auto"/>
        <w:jc w:val="center"/>
        <w:rPr>
          <w:rFonts w:ascii="Arial" w:hAnsi="Arial" w:cs="Arial"/>
          <w:b/>
        </w:rPr>
      </w:pPr>
      <w:r>
        <w:rPr>
          <w:rFonts w:ascii="Arial" w:hAnsi="Arial" w:cs="Arial"/>
        </w:rPr>
        <w:t>Fig 1: Brazil Beer Market Share source; (Sharma, 2014)</w:t>
      </w:r>
      <w:r>
        <w:rPr>
          <w:rFonts w:ascii="Arial" w:hAnsi="Arial" w:cs="Arial"/>
          <w:b/>
        </w:rPr>
        <w:t xml:space="preserve"> </w:t>
      </w:r>
    </w:p>
    <w:p>
      <w:pPr>
        <w:spacing w:line="480" w:lineRule="auto"/>
        <w:jc w:val="both"/>
        <w:rPr>
          <w:rFonts w:ascii="Arial" w:hAnsi="Arial" w:cs="Arial"/>
        </w:rPr>
      </w:pPr>
      <w:r>
        <w:rPr>
          <w:rFonts w:ascii="Arial" w:hAnsi="Arial" w:cs="Arial"/>
        </w:rPr>
        <w:t xml:space="preserve">TWB company deals with high-end beer premium beers suitable of the Brazilian upper-class market more specifically people living in the major cities. In the last decade, the importation of the popular brands into the Brazilian market has tripled due to increasing demand. Most of the foreign brands in the Brazilian markets are from Europe and the United States which are more expensive than the local beers. The majority of the Brazilian beer markets are dominated by Inbev occupying over 65% market share followed by Petropolis, Heineken and Brasil Kirin respectively (De Oliveira Dias and Falconi, 2018).      </w:t>
      </w:r>
    </w:p>
    <w:p>
      <w:pPr>
        <w:pStyle w:val="4"/>
        <w:spacing w:line="480" w:lineRule="auto"/>
        <w:rPr>
          <w:rFonts w:ascii="Arial" w:hAnsi="Arial" w:cs="Arial"/>
          <w:color w:val="000000" w:themeColor="text1"/>
          <w14:textFill>
            <w14:solidFill>
              <w14:schemeClr w14:val="tx1"/>
            </w14:solidFill>
          </w14:textFill>
        </w:rPr>
      </w:pPr>
      <w:bookmarkStart w:id="7" w:name="_Toc2225139"/>
      <w:r>
        <w:rPr>
          <w:rFonts w:ascii="Arial" w:hAnsi="Arial" w:cs="Arial"/>
          <w:color w:val="000000" w:themeColor="text1"/>
          <w14:textFill>
            <w14:solidFill>
              <w14:schemeClr w14:val="tx1"/>
            </w14:solidFill>
          </w14:textFill>
        </w:rPr>
        <w:t>2.1.2 Social-Cultural Aspect</w:t>
      </w:r>
      <w:bookmarkEnd w:id="7"/>
    </w:p>
    <w:p>
      <w:pPr>
        <w:spacing w:line="480" w:lineRule="auto"/>
        <w:jc w:val="both"/>
        <w:rPr>
          <w:rFonts w:ascii="Arial" w:hAnsi="Arial" w:cs="Arial"/>
        </w:rPr>
      </w:pPr>
      <w:r>
        <w:rPr>
          <w:rFonts w:ascii="Arial" w:hAnsi="Arial" w:cs="Arial"/>
        </w:rPr>
        <w:t>From a social-cultural perspective, the Brazilian beer consumers’ majority are aged between 24 and 45 years which is over 60% of the total population (</w:t>
      </w:r>
      <w:r>
        <w:rPr>
          <w:rFonts w:ascii="Arial" w:hAnsi="Arial" w:cs="Arial"/>
          <w:bCs/>
        </w:rPr>
        <w:t>Thomé et al., 2017</w:t>
      </w:r>
      <w:r>
        <w:rPr>
          <w:rFonts w:ascii="Arial" w:hAnsi="Arial" w:cs="Arial"/>
        </w:rPr>
        <w:t>). At large, Brazil culture entails the integration of individualism and collectivism culture. People living in major cities have adopted a westernized culture of Individualism while those living in small towns and rural areas have a collectivism culture. Thus, segmenting beer consumption in terms of culture is a complex strategy. Beer is taken by all types of consumers above 21 years majority been men with over 80% men and 20% women with all levels of occupations and income</w:t>
      </w:r>
      <w:r>
        <w:rPr>
          <w:rFonts w:ascii="Arial" w:hAnsi="Arial" w:cs="Arial"/>
          <w:bCs/>
        </w:rPr>
        <w:t xml:space="preserve"> (Thomé et al., 2017). </w:t>
      </w:r>
      <w:r>
        <w:rPr>
          <w:rFonts w:ascii="Arial" w:hAnsi="Arial" w:cs="Arial"/>
        </w:rPr>
        <w:t>The aged population is a bit diverted from beer taking and affiliated to wine and spirits</w:t>
      </w:r>
      <w:r>
        <w:rPr>
          <w:rFonts w:ascii="Arial" w:hAnsi="Arial" w:cs="Arial"/>
          <w:b/>
          <w:i/>
          <w:iCs/>
        </w:rPr>
        <w:t xml:space="preserve"> </w:t>
      </w:r>
      <w:r>
        <w:rPr>
          <w:rFonts w:ascii="Arial" w:hAnsi="Arial" w:cs="Arial"/>
          <w:i/>
          <w:iCs/>
        </w:rPr>
        <w:t>(</w:t>
      </w:r>
      <w:r>
        <w:rPr>
          <w:rFonts w:ascii="Arial" w:hAnsi="Arial" w:cs="Arial"/>
          <w:iCs/>
        </w:rPr>
        <w:t>De Oliveira Dias and Falconi, 2018</w:t>
      </w:r>
      <w:r>
        <w:rPr>
          <w:rFonts w:ascii="Arial" w:hAnsi="Arial" w:cs="Arial"/>
        </w:rPr>
        <w:t>).</w:t>
      </w:r>
      <w:r>
        <w:rPr>
          <w:rFonts w:ascii="Arial" w:hAnsi="Arial" w:cs="Arial"/>
          <w:b/>
        </w:rPr>
        <w:t xml:space="preserve"> </w:t>
      </w:r>
    </w:p>
    <w:p>
      <w:pPr>
        <w:pStyle w:val="17"/>
        <w:numPr>
          <w:ilvl w:val="1"/>
          <w:numId w:val="2"/>
        </w:numPr>
        <w:spacing w:line="480" w:lineRule="auto"/>
        <w:jc w:val="both"/>
        <w:outlineLvl w:val="1"/>
        <w:rPr>
          <w:rFonts w:ascii="Arial" w:hAnsi="Arial" w:cs="Arial"/>
          <w:b/>
        </w:rPr>
      </w:pPr>
      <w:bookmarkStart w:id="8" w:name="_Toc2225140"/>
      <w:r>
        <w:rPr>
          <w:rFonts w:ascii="Arial" w:hAnsi="Arial" w:cs="Arial"/>
          <w:b/>
        </w:rPr>
        <w:t>India Beer Market</w:t>
      </w:r>
      <w:bookmarkEnd w:id="8"/>
      <w:r>
        <w:rPr>
          <w:rFonts w:ascii="Arial" w:hAnsi="Arial" w:cs="Arial"/>
          <w:b/>
        </w:rPr>
        <w:t xml:space="preserve"> </w:t>
      </w:r>
    </w:p>
    <w:p>
      <w:pPr>
        <w:spacing w:line="480" w:lineRule="auto"/>
        <w:jc w:val="both"/>
        <w:outlineLvl w:val="2"/>
        <w:rPr>
          <w:rFonts w:ascii="Arial" w:hAnsi="Arial" w:cs="Arial"/>
          <w:b/>
        </w:rPr>
      </w:pPr>
      <w:bookmarkStart w:id="9" w:name="_Toc2225141"/>
      <w:r>
        <w:rPr>
          <w:rFonts w:ascii="Arial" w:hAnsi="Arial" w:cs="Arial"/>
          <w:b/>
        </w:rPr>
        <w:t>2.2.1 Economic Aspect</w:t>
      </w:r>
      <w:bookmarkEnd w:id="9"/>
      <w:r>
        <w:rPr>
          <w:rFonts w:ascii="Arial" w:hAnsi="Arial" w:cs="Arial"/>
          <w:b/>
        </w:rPr>
        <w:t xml:space="preserve"> </w:t>
      </w:r>
    </w:p>
    <w:p>
      <w:pPr>
        <w:spacing w:line="480" w:lineRule="auto"/>
        <w:jc w:val="both"/>
        <w:rPr>
          <w:rFonts w:ascii="Arial" w:hAnsi="Arial" w:cs="Arial"/>
        </w:rPr>
      </w:pPr>
      <w:r>
        <w:rPr>
          <w:rFonts w:ascii="Arial" w:hAnsi="Arial" w:cs="Arial"/>
        </w:rPr>
        <w:t>India beer market is growing rapidly in recent years characterized by economic development and high population. Between 2017 and 2018 the Indian economy grew with a GDP of 0.6% from 6.1 to 6.7% marking it the fastest growing country economically among the developing countries (Freeman, 2018). As a result, the demand for beer is expected to increase as the country’s economy thrives. The Indian beer market has less than 20% market share, with the increasing growth of 8% annually and the trend is expected to continue in the future. In terms of market share, United Breweries (Heineken) is leading in the market with over 40% market share followed by SAB Miller with 24% and Carlsberg with 17% (</w:t>
      </w:r>
      <w:r>
        <w:rPr>
          <w:rFonts w:ascii="Arial" w:hAnsi="Arial" w:cs="Arial"/>
          <w:bCs/>
        </w:rPr>
        <w:t>NPCS Team, 2014</w:t>
      </w:r>
      <w:r>
        <w:rPr>
          <w:rFonts w:ascii="Arial" w:hAnsi="Arial" w:cs="Arial"/>
        </w:rPr>
        <w:t>). Additionally, increasing disposable income in the country has also become a contributing factor to the demand for beer products in the Indian market</w:t>
      </w:r>
      <w:r>
        <w:rPr>
          <w:rFonts w:ascii="Arial" w:hAnsi="Arial" w:cs="Arial"/>
          <w:bCs/>
        </w:rPr>
        <w:t xml:space="preserve"> (NPCS Team, 2014)</w:t>
      </w:r>
      <w:r>
        <w:rPr>
          <w:rFonts w:ascii="Arial" w:hAnsi="Arial" w:cs="Arial"/>
        </w:rPr>
        <w:t xml:space="preserve">. </w:t>
      </w:r>
    </w:p>
    <w:p>
      <w:pPr>
        <w:spacing w:line="480" w:lineRule="auto"/>
        <w:jc w:val="both"/>
        <w:rPr>
          <w:rFonts w:ascii="Arial" w:hAnsi="Arial" w:cs="Arial"/>
        </w:rPr>
      </w:pPr>
    </w:p>
    <w:p>
      <w:pPr>
        <w:spacing w:line="480" w:lineRule="auto"/>
        <w:jc w:val="center"/>
        <w:rPr>
          <w:rFonts w:ascii="Arial" w:hAnsi="Arial" w:cs="Arial"/>
        </w:rPr>
      </w:pPr>
      <w:r>
        <w:rPr>
          <w:rFonts w:ascii="Arial" w:hAnsi="Arial" w:cs="Arial"/>
          <w:lang w:val="en-US" w:eastAsia="zh-CN"/>
        </w:rPr>
        <w:drawing>
          <wp:inline distT="0" distB="0" distL="0" distR="0">
            <wp:extent cx="4552950" cy="1695450"/>
            <wp:effectExtent l="0" t="0" r="0" b="0"/>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4552950" cy="1695450"/>
                    </a:xfrm>
                    <a:prstGeom prst="rect">
                      <a:avLst/>
                    </a:prstGeom>
                    <a:noFill/>
                    <a:ln>
                      <a:noFill/>
                    </a:ln>
                  </pic:spPr>
                </pic:pic>
              </a:graphicData>
            </a:graphic>
          </wp:inline>
        </w:drawing>
      </w:r>
    </w:p>
    <w:p>
      <w:pPr>
        <w:spacing w:line="480" w:lineRule="auto"/>
        <w:jc w:val="center"/>
        <w:rPr>
          <w:rFonts w:ascii="Arial" w:hAnsi="Arial" w:cs="Arial"/>
        </w:rPr>
      </w:pPr>
      <w:r>
        <w:rPr>
          <w:rFonts w:ascii="Arial" w:hAnsi="Arial" w:cs="Arial"/>
        </w:rPr>
        <w:t>Fig 2: Beer Brands in Indian and market share (source: Sharma (2014)</w:t>
      </w:r>
    </w:p>
    <w:p>
      <w:pPr>
        <w:pStyle w:val="4"/>
        <w:spacing w:line="480" w:lineRule="auto"/>
        <w:rPr>
          <w:rFonts w:ascii="Arial" w:hAnsi="Arial" w:cs="Arial"/>
          <w:color w:val="000000" w:themeColor="text1"/>
          <w14:textFill>
            <w14:solidFill>
              <w14:schemeClr w14:val="tx1"/>
            </w14:solidFill>
          </w14:textFill>
        </w:rPr>
      </w:pPr>
      <w:bookmarkStart w:id="10" w:name="_Toc2225142"/>
      <w:r>
        <w:rPr>
          <w:rFonts w:ascii="Arial" w:hAnsi="Arial" w:cs="Arial"/>
          <w:color w:val="000000" w:themeColor="text1"/>
          <w14:textFill>
            <w14:solidFill>
              <w14:schemeClr w14:val="tx1"/>
            </w14:solidFill>
          </w14:textFill>
        </w:rPr>
        <w:t>2.2.2 Social-cultural Aspect</w:t>
      </w:r>
      <w:bookmarkEnd w:id="10"/>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rPr>
      </w:pPr>
      <w:r>
        <w:rPr>
          <w:rFonts w:ascii="Arial" w:hAnsi="Arial" w:cs="Arial"/>
        </w:rPr>
        <w:t>India is made up of multiple cultures and religious subgroups that have cohesively build a collectivism society. Unlike in most western countries, Indian people live in groups of families and groups of communities. Similarly, beer is heavily consumed during the significant functions and weekends. Men remain key doormats in beer pubs and outlets in most of the markets</w:t>
      </w:r>
      <w:r>
        <w:rPr>
          <w:rFonts w:ascii="Arial" w:hAnsi="Arial" w:cs="Arial"/>
          <w:bCs/>
        </w:rPr>
        <w:t xml:space="preserve"> (Sharma et al., 2010). </w:t>
      </w:r>
      <w:r>
        <w:rPr>
          <w:rFonts w:ascii="Arial" w:hAnsi="Arial" w:cs="Arial"/>
        </w:rPr>
        <w:t>Notably, the high spending of consumers in the country has been triggered by the growing middle and upper class in the major cities. As a result, the majority of the beer consumers living in the cities are affiliated to the international brands (</w:t>
      </w:r>
      <w:r>
        <w:rPr>
          <w:rFonts w:ascii="Arial" w:hAnsi="Arial" w:cs="Arial"/>
          <w:bCs/>
        </w:rPr>
        <w:t xml:space="preserve">Kissin and Begleiter, 2013). Thus, TWB has an opportunity to exploit the emerging beer market n India. </w:t>
      </w:r>
    </w:p>
    <w:p>
      <w:pPr>
        <w:pStyle w:val="3"/>
        <w:spacing w:line="480" w:lineRule="auto"/>
        <w:rPr>
          <w:rFonts w:ascii="Arial" w:hAnsi="Arial" w:cs="Arial"/>
          <w:color w:val="000000" w:themeColor="text1"/>
          <w:sz w:val="22"/>
          <w:szCs w:val="22"/>
          <w14:textFill>
            <w14:solidFill>
              <w14:schemeClr w14:val="tx1"/>
            </w14:solidFill>
          </w14:textFill>
        </w:rPr>
      </w:pPr>
      <w:bookmarkStart w:id="11" w:name="_Toc2225143"/>
      <w:r>
        <w:rPr>
          <w:rFonts w:ascii="Arial" w:hAnsi="Arial" w:cs="Arial"/>
          <w:color w:val="000000" w:themeColor="text1"/>
          <w:sz w:val="22"/>
          <w:szCs w:val="22"/>
          <w14:textFill>
            <w14:solidFill>
              <w14:schemeClr w14:val="tx1"/>
            </w14:solidFill>
          </w14:textFill>
        </w:rPr>
        <w:t>2.3 Industry Analysis</w:t>
      </w:r>
      <w:bookmarkEnd w:id="11"/>
      <w:r>
        <w:rPr>
          <w:rFonts w:ascii="Arial" w:hAnsi="Arial" w:cs="Arial"/>
          <w:color w:val="000000" w:themeColor="text1"/>
          <w:sz w:val="22"/>
          <w:szCs w:val="22"/>
          <w14:textFill>
            <w14:solidFill>
              <w14:schemeClr w14:val="tx1"/>
            </w14:solidFill>
          </w14:textFill>
        </w:rPr>
        <w:t xml:space="preserve">   </w:t>
      </w:r>
    </w:p>
    <w:p>
      <w:pPr>
        <w:spacing w:line="480" w:lineRule="auto"/>
        <w:jc w:val="both"/>
        <w:rPr>
          <w:rFonts w:ascii="Arial" w:hAnsi="Arial" w:cs="Arial"/>
        </w:rPr>
      </w:pPr>
      <w:r>
        <w:rPr>
          <w:rFonts w:ascii="Arial" w:hAnsi="Arial" w:cs="Arial"/>
        </w:rPr>
        <w:t>Expanding business operations to the new market requires an understanding of the market in terms of competition, barriers, demand forecast and potential growth rate (Hollensen, 2013). Thus, it is essential to analyse and compare market dynamics that might trigger or inhibit TWB from thriving in the Brazil and India markets. The analysis applies Porters five forces. The analytical tool entails five key elements: supplier power, buyer power competitive rivalry, the threat of substitution and threat of new entry (Dinkhoff, 2013).</w:t>
      </w:r>
    </w:p>
    <w:p>
      <w:pPr>
        <w:spacing w:line="480" w:lineRule="auto"/>
        <w:jc w:val="both"/>
        <w:rPr>
          <w:rFonts w:ascii="Arial" w:hAnsi="Arial" w:cs="Arial"/>
        </w:rPr>
      </w:pPr>
      <w:r>
        <w:rPr>
          <w:rFonts w:ascii="Arial" w:hAnsi="Arial" w:cs="Arial"/>
          <w:lang w:val="en-US" w:eastAsia="zh-CN"/>
        </w:rPr>
        <w:drawing>
          <wp:inline distT="0" distB="0" distL="0" distR="0">
            <wp:extent cx="6158865" cy="4486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a:stretch>
                      <a:fillRect/>
                    </a:stretch>
                  </pic:blipFill>
                  <pic:spPr>
                    <a:xfrm>
                      <a:off x="0" y="0"/>
                      <a:ext cx="6167701" cy="4492669"/>
                    </a:xfrm>
                    <a:prstGeom prst="rect">
                      <a:avLst/>
                    </a:prstGeom>
                  </pic:spPr>
                </pic:pic>
              </a:graphicData>
            </a:graphic>
          </wp:inline>
        </w:drawing>
      </w:r>
    </w:p>
    <w:p>
      <w:pPr>
        <w:spacing w:line="480" w:lineRule="auto"/>
        <w:jc w:val="both"/>
        <w:rPr>
          <w:rFonts w:ascii="Arial" w:hAnsi="Arial" w:cs="Arial"/>
        </w:rPr>
      </w:pPr>
      <w:r>
        <w:rPr>
          <w:rFonts w:ascii="Arial" w:hAnsi="Arial" w:cs="Arial"/>
          <w:lang w:val="en-US" w:eastAsia="zh-CN"/>
        </w:rPr>
        <w:drawing>
          <wp:inline distT="0" distB="0" distL="0" distR="0">
            <wp:extent cx="6158230" cy="27863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3"/>
                    <a:stretch>
                      <a:fillRect/>
                    </a:stretch>
                  </pic:blipFill>
                  <pic:spPr>
                    <a:xfrm>
                      <a:off x="0" y="0"/>
                      <a:ext cx="6170667" cy="2791963"/>
                    </a:xfrm>
                    <a:prstGeom prst="rect">
                      <a:avLst/>
                    </a:prstGeom>
                  </pic:spPr>
                </pic:pic>
              </a:graphicData>
            </a:graphic>
          </wp:inline>
        </w:drawing>
      </w:r>
    </w:p>
    <w:p>
      <w:pPr>
        <w:spacing w:line="480" w:lineRule="auto"/>
        <w:jc w:val="both"/>
        <w:rPr>
          <w:rFonts w:ascii="Arial" w:hAnsi="Arial" w:cs="Arial"/>
        </w:rPr>
      </w:pPr>
      <w:r>
        <w:rPr>
          <w:rFonts w:ascii="Arial" w:hAnsi="Arial" w:cs="Arial"/>
        </w:rPr>
        <w:t>Fig 3: Summary of Brazil and India beer market using porters five forces model; Source (Developed by the author).</w:t>
      </w:r>
    </w:p>
    <w:p>
      <w:pPr>
        <w:pStyle w:val="4"/>
        <w:spacing w:line="480" w:lineRule="auto"/>
        <w:rPr>
          <w:rFonts w:ascii="Arial" w:hAnsi="Arial" w:cs="Arial"/>
          <w:color w:val="auto"/>
        </w:rPr>
      </w:pPr>
      <w:bookmarkStart w:id="12" w:name="_Toc2225144"/>
      <w:r>
        <w:rPr>
          <w:rFonts w:ascii="Arial" w:hAnsi="Arial" w:cs="Arial"/>
          <w:color w:val="000000" w:themeColor="text1"/>
          <w14:textFill>
            <w14:solidFill>
              <w14:schemeClr w14:val="tx1"/>
            </w14:solidFill>
          </w14:textFill>
        </w:rPr>
        <w:t>2.3.1 Supply Power</w:t>
      </w:r>
      <w:bookmarkEnd w:id="12"/>
    </w:p>
    <w:p>
      <w:pPr>
        <w:spacing w:line="480" w:lineRule="auto"/>
        <w:jc w:val="both"/>
        <w:rPr>
          <w:rFonts w:ascii="Arial" w:hAnsi="Arial" w:cs="Arial"/>
        </w:rPr>
      </w:pPr>
      <w:r>
        <w:rPr>
          <w:rFonts w:ascii="Arial" w:hAnsi="Arial" w:cs="Arial"/>
        </w:rPr>
        <w:t xml:space="preserve">Suppliers determine the nature and the type of product the company will present into the market. TWB aims to position the brand in either of the two markets and therefore, the company should select the most suitable market based on the market forces. In the Brazil suppliers power is low; the company will be forced to export beer through the intermediaries to the market. This is due to factors such as taxation system for foreign brands and the industrial regulations, scarcity of the raw materials and the high cost of labour. These factors might limit TWB from investing directly to Brazil market. On the other hand, supplier’s power is high in India at the national level, and thus, the company has an opportunity to use regional brewers to distribute the company’s products at a national level. </w:t>
      </w:r>
    </w:p>
    <w:p>
      <w:pPr>
        <w:pStyle w:val="4"/>
        <w:spacing w:line="480" w:lineRule="auto"/>
        <w:rPr>
          <w:rFonts w:ascii="Arial" w:hAnsi="Arial" w:cs="Arial"/>
          <w:color w:val="auto"/>
        </w:rPr>
      </w:pPr>
      <w:bookmarkStart w:id="13" w:name="_Toc2225145"/>
      <w:r>
        <w:rPr>
          <w:rFonts w:ascii="Arial" w:hAnsi="Arial" w:cs="Arial"/>
          <w:color w:val="000000" w:themeColor="text1"/>
          <w14:textFill>
            <w14:solidFill>
              <w14:schemeClr w14:val="tx1"/>
            </w14:solidFill>
          </w14:textFill>
        </w:rPr>
        <w:t>2.3.2 Buying Power</w:t>
      </w:r>
      <w:bookmarkEnd w:id="13"/>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rPr>
      </w:pPr>
      <w:r>
        <w:rPr>
          <w:rFonts w:ascii="Arial" w:hAnsi="Arial" w:cs="Arial"/>
        </w:rPr>
        <w:t>In both Brazil and Indian markets, beer consumers are not loyal to any beer brand regionally and nationally.  Presence of multiple brands in both markets gives the buyer purchasing power such that they freely switch from one brand to the other. The advantageous factor is that the demand for beer is very high in both countries and the existing companies have not managed to exploit the opportunities to the maximum. Therefore, irrespective of high buyer purchasing power TWB has an opportunity to thrive in both markets.</w:t>
      </w:r>
    </w:p>
    <w:p>
      <w:pPr>
        <w:pStyle w:val="4"/>
        <w:spacing w:line="480" w:lineRule="auto"/>
        <w:rPr>
          <w:rFonts w:ascii="Arial" w:hAnsi="Arial" w:cs="Arial"/>
          <w:color w:val="000000" w:themeColor="text1"/>
          <w14:textFill>
            <w14:solidFill>
              <w14:schemeClr w14:val="tx1"/>
            </w14:solidFill>
          </w14:textFill>
        </w:rPr>
      </w:pPr>
      <w:bookmarkStart w:id="14" w:name="_Toc2225146"/>
      <w:r>
        <w:rPr>
          <w:rFonts w:ascii="Arial" w:hAnsi="Arial" w:cs="Arial"/>
          <w:color w:val="000000" w:themeColor="text1"/>
          <w14:textFill>
            <w14:solidFill>
              <w14:schemeClr w14:val="tx1"/>
            </w14:solidFill>
          </w14:textFill>
        </w:rPr>
        <w:t>2.3.3 Threats of substitutes</w:t>
      </w:r>
      <w:bookmarkEnd w:id="14"/>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rPr>
      </w:pPr>
      <w:r>
        <w:rPr>
          <w:rFonts w:ascii="Arial" w:hAnsi="Arial" w:cs="Arial"/>
        </w:rPr>
        <w:t xml:space="preserve">The appreciation of wine and spirits in the Indian market has triggered competition within the industry. Additionally, increasing health awareness in the country has forced the beer consumers to drift from beer to wine and other non-alcoholic beverages. This is because customers perceive wine as being better than beer health wise. Additionally, the majority of beer consumers in India are young adults, thus, the pertained population is expected to give TWB an opportunity to venture in the business. Brazil market is prone to substitutes due to the presence of energy and carbonated drinks in the market. However, the advantageous factor is that beer is brewed and distributed locally.  </w:t>
      </w:r>
    </w:p>
    <w:p>
      <w:pPr>
        <w:pStyle w:val="4"/>
        <w:spacing w:line="480" w:lineRule="auto"/>
        <w:rPr>
          <w:rFonts w:ascii="Arial" w:hAnsi="Arial" w:cs="Arial"/>
          <w:color w:val="000000" w:themeColor="text1"/>
          <w14:textFill>
            <w14:solidFill>
              <w14:schemeClr w14:val="tx1"/>
            </w14:solidFill>
          </w14:textFill>
        </w:rPr>
      </w:pPr>
      <w:bookmarkStart w:id="15" w:name="_Toc2225147"/>
      <w:r>
        <w:rPr>
          <w:rFonts w:ascii="Arial" w:hAnsi="Arial" w:cs="Arial"/>
          <w:color w:val="000000" w:themeColor="text1"/>
          <w14:textFill>
            <w14:solidFill>
              <w14:schemeClr w14:val="tx1"/>
            </w14:solidFill>
          </w14:textFill>
        </w:rPr>
        <w:t>2.3.4 Threat of new entries</w:t>
      </w:r>
      <w:bookmarkEnd w:id="15"/>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rPr>
      </w:pPr>
      <w:r>
        <w:rPr>
          <w:rFonts w:ascii="Arial" w:hAnsi="Arial" w:cs="Arial"/>
        </w:rPr>
        <w:t>The growing demand for beer in Brazil and India has triggered massive entry of new players within the industry. However, in comparison to India, the cost of building and managing a brewer in Brazil is very high, and with this, only a few companies have managed to thrive in the market. In the last three decades only four companies, Inbev Petropolis, Heineken and Brasil Kirin have been successful in the Brazillian market (</w:t>
      </w:r>
      <w:r>
        <w:rPr>
          <w:rFonts w:ascii="Arial" w:hAnsi="Arial" w:cs="Arial"/>
          <w:bCs/>
        </w:rPr>
        <w:t>Kumar et al., 2018).</w:t>
      </w:r>
      <w:r>
        <w:rPr>
          <w:rFonts w:ascii="Arial" w:hAnsi="Arial" w:cs="Arial"/>
        </w:rPr>
        <w:t xml:space="preserve"> Thus, it is difficult for TWB to crack the top sellers in the country. In India, most of the markets remain untapped, and the dominating brands have only focused on major towns and cities. Thus, TWB has an opportunity to reach out customers in the interior villages of India. </w:t>
      </w:r>
    </w:p>
    <w:p>
      <w:pPr>
        <w:pStyle w:val="4"/>
        <w:spacing w:line="480" w:lineRule="auto"/>
        <w:rPr>
          <w:rFonts w:ascii="Arial" w:hAnsi="Arial" w:cs="Arial"/>
        </w:rPr>
      </w:pPr>
      <w:bookmarkStart w:id="16" w:name="_Toc2225148"/>
      <w:r>
        <w:rPr>
          <w:rFonts w:ascii="Arial" w:hAnsi="Arial" w:cs="Arial"/>
          <w:color w:val="000000" w:themeColor="text1"/>
          <w14:textFill>
            <w14:solidFill>
              <w14:schemeClr w14:val="tx1"/>
            </w14:solidFill>
          </w14:textFill>
        </w:rPr>
        <w:t>2.3.5 Rivalry established by competitors</w:t>
      </w:r>
      <w:bookmarkEnd w:id="16"/>
      <w:r>
        <w:rPr>
          <w:rFonts w:ascii="Arial" w:hAnsi="Arial" w:cs="Arial"/>
          <w:color w:val="000000" w:themeColor="text1"/>
          <w14:textFill>
            <w14:solidFill>
              <w14:schemeClr w14:val="tx1"/>
            </w14:solidFill>
          </w14:textFill>
        </w:rPr>
        <w:t xml:space="preserve">   </w:t>
      </w:r>
    </w:p>
    <w:p>
      <w:pPr>
        <w:spacing w:line="480" w:lineRule="auto"/>
        <w:jc w:val="both"/>
        <w:rPr>
          <w:rFonts w:ascii="Arial" w:hAnsi="Arial" w:cs="Arial"/>
          <w:bCs/>
        </w:rPr>
      </w:pPr>
      <w:r>
        <w:rPr>
          <w:rFonts w:ascii="Arial" w:hAnsi="Arial" w:cs="Arial"/>
        </w:rPr>
        <w:t xml:space="preserve">TWB will be facing four beer brewer giants which include Inbev, Petropolis, Heineken and Brasil Kirin in Brazil (Carvalho et al., 2018). </w:t>
      </w:r>
      <w:r>
        <w:rPr>
          <w:rFonts w:ascii="Arial" w:hAnsi="Arial" w:cs="Arial"/>
          <w:bCs/>
        </w:rPr>
        <w:t>These companies have been dominating various markets for decades. Most of the brewers have lost to the company losing billions of dollars. However, existing companies have not managed to exploit the market.</w:t>
      </w:r>
      <w:r>
        <w:rPr>
          <w:rFonts w:ascii="Arial" w:hAnsi="Arial" w:cs="Arial"/>
        </w:rPr>
        <w:t xml:space="preserve"> In India, </w:t>
      </w:r>
      <w:r>
        <w:rPr>
          <w:rFonts w:ascii="Arial" w:hAnsi="Arial" w:cs="Arial"/>
          <w:bCs/>
        </w:rPr>
        <w:t>some of the top national and regional brands include United Breweries share, SAB Miller and Carlsberg (Kumar et al., 2018).</w:t>
      </w:r>
      <w:r>
        <w:rPr>
          <w:rFonts w:ascii="Arial" w:hAnsi="Arial" w:cs="Arial"/>
          <w:b/>
          <w:bCs/>
        </w:rPr>
        <w:t xml:space="preserve"> </w:t>
      </w:r>
    </w:p>
    <w:p>
      <w:pPr>
        <w:pStyle w:val="2"/>
        <w:spacing w:line="480" w:lineRule="auto"/>
        <w:rPr>
          <w:rFonts w:ascii="Arial" w:hAnsi="Arial" w:cs="Arial"/>
          <w:bCs w:val="0"/>
          <w:color w:val="000000" w:themeColor="text1"/>
          <w:sz w:val="22"/>
          <w:szCs w:val="22"/>
          <w14:textFill>
            <w14:solidFill>
              <w14:schemeClr w14:val="tx1"/>
            </w14:solidFill>
          </w14:textFill>
        </w:rPr>
      </w:pPr>
      <w:bookmarkStart w:id="17" w:name="_Toc2225149"/>
      <w:r>
        <w:rPr>
          <w:rFonts w:ascii="Arial" w:hAnsi="Arial" w:cs="Arial"/>
          <w:bCs w:val="0"/>
          <w:color w:val="000000" w:themeColor="text1"/>
          <w:sz w:val="22"/>
          <w:szCs w:val="22"/>
          <w14:textFill>
            <w14:solidFill>
              <w14:schemeClr w14:val="tx1"/>
            </w14:solidFill>
          </w14:textFill>
        </w:rPr>
        <w:t>3.0 TWB Market Entry Options</w:t>
      </w:r>
      <w:bookmarkEnd w:id="17"/>
      <w:r>
        <w:rPr>
          <w:rFonts w:ascii="Arial" w:hAnsi="Arial" w:cs="Arial"/>
          <w:bCs w:val="0"/>
          <w:color w:val="000000" w:themeColor="text1"/>
          <w:sz w:val="22"/>
          <w:szCs w:val="22"/>
          <w14:textFill>
            <w14:solidFill>
              <w14:schemeClr w14:val="tx1"/>
            </w14:solidFill>
          </w14:textFill>
        </w:rPr>
        <w:t xml:space="preserve"> </w:t>
      </w:r>
    </w:p>
    <w:p>
      <w:pPr>
        <w:spacing w:line="480" w:lineRule="auto"/>
        <w:jc w:val="both"/>
        <w:rPr>
          <w:rFonts w:ascii="Arial" w:hAnsi="Arial" w:cs="Arial"/>
          <w:bCs/>
        </w:rPr>
      </w:pPr>
      <w:r>
        <w:rPr>
          <w:rFonts w:ascii="Arial" w:hAnsi="Arial" w:cs="Arial"/>
          <w:bCs/>
        </w:rPr>
        <w:t xml:space="preserve">According to Hinterwimmer (2018), market entry strategy contains key decisions on entry options, the target market and the end goal to be achieved. </w:t>
      </w:r>
    </w:p>
    <w:p>
      <w:pPr>
        <w:pStyle w:val="3"/>
        <w:spacing w:line="480" w:lineRule="auto"/>
        <w:rPr>
          <w:rFonts w:ascii="Arial" w:hAnsi="Arial" w:cs="Arial"/>
          <w:bCs w:val="0"/>
          <w:color w:val="000000" w:themeColor="text1"/>
          <w:sz w:val="22"/>
          <w:szCs w:val="22"/>
          <w14:textFill>
            <w14:solidFill>
              <w14:schemeClr w14:val="tx1"/>
            </w14:solidFill>
          </w14:textFill>
        </w:rPr>
      </w:pPr>
      <w:bookmarkStart w:id="18" w:name="_Toc2225150"/>
      <w:r>
        <w:rPr>
          <w:rFonts w:ascii="Arial" w:hAnsi="Arial" w:cs="Arial"/>
          <w:bCs w:val="0"/>
          <w:color w:val="000000" w:themeColor="text1"/>
          <w:sz w:val="22"/>
          <w:szCs w:val="22"/>
          <w14:textFill>
            <w14:solidFill>
              <w14:schemeClr w14:val="tx1"/>
            </w14:solidFill>
          </w14:textFill>
        </w:rPr>
        <w:t>3.1 Indirect export</w:t>
      </w:r>
      <w:bookmarkEnd w:id="18"/>
      <w:r>
        <w:rPr>
          <w:rFonts w:ascii="Arial" w:hAnsi="Arial" w:cs="Arial"/>
          <w:bCs w:val="0"/>
          <w:color w:val="000000" w:themeColor="text1"/>
          <w:sz w:val="22"/>
          <w:szCs w:val="22"/>
          <w14:textFill>
            <w14:solidFill>
              <w14:schemeClr w14:val="tx1"/>
            </w14:solidFill>
          </w14:textFill>
        </w:rPr>
        <w:t xml:space="preserve"> </w:t>
      </w:r>
    </w:p>
    <w:p>
      <w:pPr>
        <w:spacing w:line="480" w:lineRule="auto"/>
        <w:jc w:val="both"/>
        <w:rPr>
          <w:rFonts w:ascii="Arial" w:hAnsi="Arial" w:cs="Arial"/>
          <w:bCs/>
        </w:rPr>
      </w:pPr>
      <w:r>
        <w:rPr>
          <w:rFonts w:ascii="Arial" w:hAnsi="Arial" w:cs="Arial"/>
          <w:bCs/>
        </w:rPr>
        <w:t xml:space="preserve">Indirect export involves using international intermediaries such as exporters, subsidiary importers from the home countries and importers in the foreign market. TWB has an opportunity to use the local companies that have been exporting beer to the international market. This strategy is easy to manage because the distribution cost is shared among the intermediaries and it is least risky since the company can opt to exit from the business (Dinkhoff, 2013). However, the partnership with other business organization lacks long term commitment.  </w:t>
      </w:r>
    </w:p>
    <w:p>
      <w:pPr>
        <w:pStyle w:val="3"/>
        <w:spacing w:line="480" w:lineRule="auto"/>
        <w:rPr>
          <w:rFonts w:ascii="Arial" w:hAnsi="Arial" w:cs="Arial"/>
          <w:color w:val="000000" w:themeColor="text1"/>
          <w:sz w:val="22"/>
          <w:szCs w:val="22"/>
          <w14:textFill>
            <w14:solidFill>
              <w14:schemeClr w14:val="tx1"/>
            </w14:solidFill>
          </w14:textFill>
        </w:rPr>
      </w:pPr>
      <w:bookmarkStart w:id="19" w:name="_Toc2225151"/>
      <w:r>
        <w:rPr>
          <w:rFonts w:ascii="Arial" w:hAnsi="Arial" w:cs="Arial"/>
          <w:bCs w:val="0"/>
          <w:color w:val="000000" w:themeColor="text1"/>
          <w:sz w:val="22"/>
          <w:szCs w:val="22"/>
          <w14:textFill>
            <w14:solidFill>
              <w14:schemeClr w14:val="tx1"/>
            </w14:solidFill>
          </w14:textFill>
        </w:rPr>
        <w:t>3.2 Foreign Direct Investment (FDI)</w:t>
      </w:r>
      <w:bookmarkEnd w:id="19"/>
      <w:r>
        <w:rPr>
          <w:rFonts w:ascii="Arial" w:hAnsi="Arial" w:cs="Arial"/>
          <w:bCs w:val="0"/>
          <w:color w:val="000000" w:themeColor="text1"/>
          <w:sz w:val="22"/>
          <w:szCs w:val="22"/>
          <w14:textFill>
            <w14:solidFill>
              <w14:schemeClr w14:val="tx1"/>
            </w14:solidFill>
          </w14:textFill>
        </w:rPr>
        <w:t xml:space="preserve"> </w:t>
      </w:r>
    </w:p>
    <w:p>
      <w:pPr>
        <w:spacing w:line="480" w:lineRule="auto"/>
        <w:jc w:val="both"/>
        <w:rPr>
          <w:rFonts w:ascii="Arial" w:hAnsi="Arial" w:cs="Arial"/>
        </w:rPr>
      </w:pPr>
      <w:r>
        <w:rPr>
          <w:rFonts w:ascii="Arial" w:hAnsi="Arial" w:cs="Arial"/>
        </w:rPr>
        <w:t>FDI occurs when a firm aims to enter the foreign market by investing through existing firms in the host country (Buckley and Ghauri, 2015). Indians, especially those living in the cities and developed towns prefer imported beer than local brands, thus, TWB has an opportunity to reach out to all markets using FDI strategy.  Joint ventures, merger, and acquisitions are the main FDI options for TWB to enter into both Brazil and India market. The joint venture will help TWB partner with dominating companies in either of the markets by pooling together resources, including governance, to dominate the market. However, given the current state of the industry which is dominated by four brewers, joint venture is not a suitable option for TWB in Brazilian market but is employable in India</w:t>
      </w:r>
      <w:r>
        <w:rPr>
          <w:rFonts w:ascii="Arial" w:hAnsi="Arial" w:cs="Arial"/>
          <w:bCs/>
        </w:rPr>
        <w:t xml:space="preserve"> (Kumar et al., 2018)</w:t>
      </w:r>
      <w:r>
        <w:rPr>
          <w:rFonts w:ascii="Arial" w:hAnsi="Arial" w:cs="Arial"/>
        </w:rPr>
        <w:t xml:space="preserve">. The merger involves the consolidation of the company by combining two companies to form one mega-company (Madsen et al., 2011). Acquisitions occur when the company takes over the other to create a better value for the other company. TWB is a small company. Thus, merger and acquisition is the ideal option for the company in entering the global market. </w:t>
      </w:r>
    </w:p>
    <w:p>
      <w:pPr>
        <w:pStyle w:val="3"/>
        <w:spacing w:line="480" w:lineRule="auto"/>
        <w:rPr>
          <w:rFonts w:ascii="Arial" w:hAnsi="Arial" w:cs="Arial"/>
          <w:color w:val="000000" w:themeColor="text1"/>
          <w:sz w:val="22"/>
          <w:szCs w:val="22"/>
          <w14:textFill>
            <w14:solidFill>
              <w14:schemeClr w14:val="tx1"/>
            </w14:solidFill>
          </w14:textFill>
        </w:rPr>
      </w:pPr>
      <w:bookmarkStart w:id="20" w:name="_Toc2225152"/>
      <w:r>
        <w:rPr>
          <w:rFonts w:ascii="Arial" w:hAnsi="Arial" w:cs="Arial"/>
          <w:color w:val="000000" w:themeColor="text1"/>
          <w:sz w:val="22"/>
          <w:szCs w:val="22"/>
          <w14:textFill>
            <w14:solidFill>
              <w14:schemeClr w14:val="tx1"/>
            </w14:solidFill>
          </w14:textFill>
        </w:rPr>
        <w:t>3.3 Recommendation</w:t>
      </w:r>
      <w:bookmarkEnd w:id="20"/>
    </w:p>
    <w:p>
      <w:pPr>
        <w:spacing w:line="480" w:lineRule="auto"/>
        <w:jc w:val="both"/>
        <w:rPr>
          <w:rFonts w:ascii="Arial" w:hAnsi="Arial" w:cs="Arial"/>
        </w:rPr>
      </w:pPr>
      <w:r>
        <w:rPr>
          <w:rFonts w:ascii="Arial" w:hAnsi="Arial" w:cs="Arial"/>
        </w:rPr>
        <w:t xml:space="preserve">From the analysis, the most recommendable market for TWB to venture in is Indian. This is because in comparison to the Brazilian market Indian market has attractive aspects such as low cost of entry, positive demand curve, and a large beer market opportunity unexploited. Moreover, unlike the Brazilian market which has major dominant brands, the Indian market has no dominant brand and has a variety of available local distributers. </w:t>
      </w:r>
    </w:p>
    <w:p>
      <w:pPr>
        <w:spacing w:line="480" w:lineRule="auto"/>
        <w:jc w:val="both"/>
        <w:rPr>
          <w:rFonts w:ascii="Arial" w:hAnsi="Arial" w:cs="Arial"/>
        </w:rPr>
      </w:pPr>
      <w:r>
        <w:rPr>
          <w:rFonts w:ascii="Arial" w:hAnsi="Arial" w:cs="Arial"/>
        </w:rPr>
        <w:t xml:space="preserve">Additionally, Vertical merger and acquisition is the most recommendable strategy for TWB to enter into the India market. Vertical merger and acquisition (M&amp;A) involve the company partnering with another company manufacturing in the same but at different market levels. With this, TWB will be vertically integrated by sharing members of staff, logistics, and marketing strategies. </w:t>
      </w:r>
      <w:r>
        <w:rPr>
          <w:rFonts w:ascii="Arial" w:hAnsi="Arial" w:cs="Arial"/>
          <w:bCs/>
        </w:rPr>
        <w:t>Bira 91, a local India company,</w:t>
      </w:r>
      <w:r>
        <w:rPr>
          <w:rFonts w:ascii="Arial" w:hAnsi="Arial" w:cs="Arial"/>
        </w:rPr>
        <w:t xml:space="preserve"> is the most suitable company for TWB to partner with because the company has been brewing beer for young customers in the lower and middle-class markets. This strategy will help the company to distribute super-premium beer for the upper class in Indian major cities. Moreover, it easier for the company to merge with small regional firms in various parts of the country. </w:t>
      </w:r>
    </w:p>
    <w:p>
      <w:pPr>
        <w:spacing w:line="480" w:lineRule="auto"/>
        <w:jc w:val="both"/>
        <w:rPr>
          <w:rFonts w:ascii="Arial" w:hAnsi="Arial" w:cs="Arial"/>
        </w:rPr>
      </w:pPr>
      <w:r>
        <w:rPr>
          <w:rFonts w:ascii="Arial" w:hAnsi="Arial" w:cs="Arial"/>
        </w:rPr>
        <w:t xml:space="preserve">The reasons for recommending M&amp;A is that the company will be able to reactively respond to the market dynamics such as fierce competition from regional brands, strict industry regulations and to overcome the taxation barriers as well as to benefit from cheap raw material and labour. Additionally, the company will be able to access research and development systems established by </w:t>
      </w:r>
      <w:r>
        <w:rPr>
          <w:rFonts w:ascii="Arial" w:hAnsi="Arial" w:cs="Arial"/>
          <w:bCs/>
        </w:rPr>
        <w:t>Bira 91,</w:t>
      </w:r>
      <w:r>
        <w:rPr>
          <w:rFonts w:ascii="Arial" w:hAnsi="Arial" w:cs="Arial"/>
        </w:rPr>
        <w:t xml:space="preserve"> and with this, the company will enhance production activities and in turn deliver innovated products suitable for the market. More importantly, risk and control factors are manageable across all levels of production because the company will be in a position to align the internal operations with the external operations through professionalism.   </w:t>
      </w:r>
    </w:p>
    <w:p>
      <w:pPr>
        <w:pStyle w:val="2"/>
        <w:spacing w:line="480" w:lineRule="auto"/>
        <w:rPr>
          <w:rFonts w:ascii="Arial" w:hAnsi="Arial" w:cs="Arial"/>
          <w:color w:val="000000" w:themeColor="text1"/>
          <w:sz w:val="22"/>
          <w:szCs w:val="22"/>
          <w14:textFill>
            <w14:solidFill>
              <w14:schemeClr w14:val="tx1"/>
            </w14:solidFill>
          </w14:textFill>
        </w:rPr>
      </w:pPr>
      <w:bookmarkStart w:id="21" w:name="_Toc2225153"/>
      <w:r>
        <w:rPr>
          <w:rFonts w:ascii="Arial" w:hAnsi="Arial" w:cs="Arial"/>
          <w:color w:val="000000" w:themeColor="text1"/>
          <w:sz w:val="22"/>
          <w:szCs w:val="22"/>
          <w14:textFill>
            <w14:solidFill>
              <w14:schemeClr w14:val="tx1"/>
            </w14:solidFill>
          </w14:textFill>
        </w:rPr>
        <w:t>4.0 Conclusion</w:t>
      </w:r>
      <w:bookmarkEnd w:id="21"/>
      <w:r>
        <w:rPr>
          <w:rFonts w:ascii="Arial" w:hAnsi="Arial" w:cs="Arial"/>
          <w:color w:val="000000" w:themeColor="text1"/>
          <w:sz w:val="22"/>
          <w:szCs w:val="22"/>
          <w14:textFill>
            <w14:solidFill>
              <w14:schemeClr w14:val="tx1"/>
            </w14:solidFill>
          </w14:textFill>
        </w:rPr>
        <w:t xml:space="preserve"> </w:t>
      </w:r>
    </w:p>
    <w:p>
      <w:pPr>
        <w:spacing w:line="480" w:lineRule="auto"/>
        <w:jc w:val="both"/>
        <w:rPr>
          <w:rFonts w:ascii="Arial" w:hAnsi="Arial" w:cs="Arial"/>
        </w:rPr>
      </w:pPr>
      <w:r>
        <w:rPr>
          <w:rFonts w:ascii="Arial" w:hAnsi="Arial" w:cs="Arial"/>
        </w:rPr>
        <w:t>International marketing is a concept that has gained popularity in recent years in the business world due to globalization effects, fierce competition, changing consumers’ lifestyles and rapid technology growth. Designing effective and efficient international marketing strategy has become a concern to both new and existing firms due to changing business climate across the world. TWB targeting position high-quality beer products in the new market, specifically, Indian market. Multiple options of entering into the international markets have been developed, but only a few of them are suitable and applicable for TWB. FDI is identified as being the most effectiv</w:t>
      </w:r>
      <w:r>
        <w:rPr>
          <w:rFonts w:hint="eastAsia" w:ascii="Arial" w:hAnsi="Arial" w:cs="Arial"/>
          <w:lang w:eastAsia="zh-CN"/>
        </w:rPr>
        <w:t>D</w:t>
      </w:r>
      <w:r>
        <w:rPr>
          <w:rFonts w:ascii="Arial" w:hAnsi="Arial" w:cs="Arial"/>
        </w:rPr>
        <w:t xml:space="preserve">e strategy more specifically M&amp;A due to the nature of the new market. Irrespective of market dynamics, the Indian beer market, is huge, and the upper market remains unexploited which is an opportunity for TWB. The popularity of the company’s brand at the local level will give the company an opportunity to experiment with new markets in Indian and the entire Asian region.  </w:t>
      </w:r>
    </w:p>
    <w:p>
      <w:pPr>
        <w:pStyle w:val="2"/>
        <w:spacing w:line="480" w:lineRule="auto"/>
        <w:rPr>
          <w:rFonts w:ascii="Arial" w:hAnsi="Arial" w:cs="Arial"/>
          <w:sz w:val="22"/>
          <w:szCs w:val="22"/>
        </w:rPr>
      </w:pPr>
      <w:r>
        <w:rPr>
          <w:rFonts w:ascii="Arial" w:hAnsi="Arial" w:cs="Arial"/>
          <w:sz w:val="22"/>
          <w:szCs w:val="22"/>
        </w:rPr>
        <w:br w:type="page"/>
      </w:r>
      <w:bookmarkStart w:id="22" w:name="_Toc2225154"/>
      <w:r>
        <w:rPr>
          <w:rFonts w:ascii="Arial" w:hAnsi="Arial" w:cs="Arial"/>
          <w:color w:val="000000" w:themeColor="text1"/>
          <w:sz w:val="22"/>
          <w:szCs w:val="22"/>
          <w14:textFill>
            <w14:solidFill>
              <w14:schemeClr w14:val="tx1"/>
            </w14:solidFill>
          </w14:textFill>
        </w:rPr>
        <w:t>5.0 References</w:t>
      </w:r>
      <w:bookmarkEnd w:id="22"/>
      <w:r>
        <w:rPr>
          <w:rFonts w:ascii="Arial" w:hAnsi="Arial" w:cs="Arial"/>
          <w:color w:val="000000" w:themeColor="text1"/>
          <w:sz w:val="22"/>
          <w:szCs w:val="22"/>
          <w14:textFill>
            <w14:solidFill>
              <w14:schemeClr w14:val="tx1"/>
            </w14:solidFill>
          </w14:textFill>
        </w:rPr>
        <w:t xml:space="preserve"> </w:t>
      </w:r>
    </w:p>
    <w:p>
      <w:pPr>
        <w:spacing w:line="480" w:lineRule="auto"/>
        <w:jc w:val="both"/>
        <w:rPr>
          <w:rFonts w:ascii="Arial" w:hAnsi="Arial" w:cs="Arial"/>
        </w:rPr>
      </w:pPr>
      <w:r>
        <w:rPr>
          <w:rFonts w:ascii="Arial" w:hAnsi="Arial" w:cs="Arial"/>
          <w:iCs/>
        </w:rPr>
        <w:t>Beer &amp; Ale Wholesale Industry-Industry &amp; Market Report</w:t>
      </w:r>
      <w:r>
        <w:rPr>
          <w:rFonts w:ascii="Arial" w:hAnsi="Arial" w:cs="Arial"/>
          <w:i/>
          <w:iCs/>
        </w:rPr>
        <w:t xml:space="preserve"> (</w:t>
      </w:r>
      <w:r>
        <w:rPr>
          <w:rFonts w:ascii="Arial" w:hAnsi="Arial" w:cs="Arial"/>
        </w:rPr>
        <w:t xml:space="preserve">2016) </w:t>
      </w:r>
      <w:r>
        <w:rPr>
          <w:rFonts w:ascii="Arial" w:hAnsi="Arial" w:cs="Arial"/>
          <w:i/>
        </w:rPr>
        <w:t>Barnes Reports</w:t>
      </w:r>
      <w:r>
        <w:rPr>
          <w:rFonts w:ascii="Arial" w:hAnsi="Arial" w:cs="Arial"/>
        </w:rPr>
        <w:t>, Bonita Springs.</w:t>
      </w:r>
    </w:p>
    <w:p>
      <w:pPr>
        <w:tabs>
          <w:tab w:val="left" w:pos="7185"/>
        </w:tabs>
        <w:spacing w:line="480" w:lineRule="auto"/>
        <w:rPr>
          <w:rFonts w:ascii="Arial" w:hAnsi="Arial" w:cs="Arial"/>
        </w:rPr>
      </w:pPr>
      <w:r>
        <w:rPr>
          <w:rFonts w:ascii="Arial" w:hAnsi="Arial" w:cs="Arial"/>
          <w:iCs/>
        </w:rPr>
        <w:t>Restaurant Hospitality.</w:t>
      </w:r>
      <w:r>
        <w:rPr>
          <w:rFonts w:ascii="Arial" w:hAnsi="Arial" w:cs="Arial"/>
          <w:i/>
          <w:iCs/>
        </w:rPr>
        <w:t xml:space="preserve"> (2018)</w:t>
      </w:r>
      <w:r>
        <w:rPr>
          <w:rFonts w:ascii="Arial" w:hAnsi="Arial" w:cs="Arial"/>
        </w:rPr>
        <w:t xml:space="preserve"> Beer sales remain steady, with imports going strong, </w:t>
      </w:r>
      <w:r>
        <w:rPr>
          <w:rFonts w:ascii="Arial" w:hAnsi="Arial" w:cs="Arial"/>
          <w:i/>
          <w:iCs/>
        </w:rPr>
        <w:t>102</w:t>
      </w:r>
      <w:r>
        <w:rPr>
          <w:rFonts w:ascii="Arial" w:hAnsi="Arial" w:cs="Arial"/>
        </w:rPr>
        <w:t>(10), 10.</w:t>
      </w:r>
    </w:p>
    <w:p>
      <w:pPr>
        <w:tabs>
          <w:tab w:val="left" w:pos="7185"/>
        </w:tabs>
        <w:spacing w:line="480" w:lineRule="auto"/>
        <w:rPr>
          <w:rFonts w:ascii="Arial" w:hAnsi="Arial" w:cs="Arial"/>
        </w:rPr>
      </w:pPr>
      <w:r>
        <w:rPr>
          <w:rFonts w:ascii="Arial" w:hAnsi="Arial" w:cs="Arial"/>
        </w:rPr>
        <w:t xml:space="preserve">Buckley, P. J. and Ghauri, P.  (2015) </w:t>
      </w:r>
      <w:r>
        <w:rPr>
          <w:rFonts w:ascii="Arial" w:hAnsi="Arial" w:cs="Arial"/>
          <w:i/>
          <w:iCs/>
        </w:rPr>
        <w:t>International business strategy: theory and practice</w:t>
      </w:r>
      <w:r>
        <w:rPr>
          <w:rFonts w:ascii="Arial" w:hAnsi="Arial" w:cs="Arial"/>
        </w:rPr>
        <w:t>. Routledge.</w:t>
      </w:r>
    </w:p>
    <w:p>
      <w:pPr>
        <w:tabs>
          <w:tab w:val="left" w:pos="7185"/>
        </w:tabs>
        <w:spacing w:line="480" w:lineRule="auto"/>
        <w:rPr>
          <w:rFonts w:ascii="Arial" w:hAnsi="Arial" w:cs="Arial"/>
        </w:rPr>
      </w:pPr>
      <w:r>
        <w:rPr>
          <w:rFonts w:ascii="Arial" w:hAnsi="Arial" w:cs="Arial"/>
        </w:rPr>
        <w:t xml:space="preserve">Carvalho, N. B. Minim, L. A. Nascimento, M. Ferreira, G. H. D. C. and Minim, V. P. R. (2018) Characterization of the consumer market and motivations for the consumption of craft beer. </w:t>
      </w:r>
      <w:r>
        <w:rPr>
          <w:rFonts w:ascii="Arial" w:hAnsi="Arial" w:cs="Arial"/>
          <w:i/>
          <w:iCs/>
        </w:rPr>
        <w:t>British Food Journal</w:t>
      </w:r>
      <w:r>
        <w:rPr>
          <w:rFonts w:ascii="Arial" w:hAnsi="Arial" w:cs="Arial"/>
        </w:rPr>
        <w:t xml:space="preserve">, </w:t>
      </w:r>
      <w:r>
        <w:rPr>
          <w:rFonts w:ascii="Arial" w:hAnsi="Arial" w:cs="Arial"/>
          <w:i/>
          <w:iCs/>
        </w:rPr>
        <w:t>120</w:t>
      </w:r>
      <w:r>
        <w:rPr>
          <w:rFonts w:ascii="Arial" w:hAnsi="Arial" w:cs="Arial"/>
        </w:rPr>
        <w:t>(2), 378-391.</w:t>
      </w:r>
    </w:p>
    <w:p>
      <w:pPr>
        <w:tabs>
          <w:tab w:val="left" w:pos="7185"/>
        </w:tabs>
        <w:spacing w:line="480" w:lineRule="auto"/>
        <w:rPr>
          <w:rFonts w:ascii="Arial" w:hAnsi="Arial" w:cs="Arial"/>
        </w:rPr>
      </w:pPr>
      <w:r>
        <w:rPr>
          <w:rFonts w:ascii="Arial" w:hAnsi="Arial" w:cs="Arial"/>
        </w:rPr>
        <w:t xml:space="preserve">Cavusgil, S. T. Knight, G. Riesenberger, J. R. Rammal, H. G. and Rose, E. L. (2014) </w:t>
      </w:r>
      <w:r>
        <w:rPr>
          <w:rFonts w:ascii="Arial" w:hAnsi="Arial" w:cs="Arial"/>
          <w:i/>
          <w:iCs/>
        </w:rPr>
        <w:t>International business</w:t>
      </w:r>
      <w:r>
        <w:rPr>
          <w:rFonts w:ascii="Arial" w:hAnsi="Arial" w:cs="Arial"/>
        </w:rPr>
        <w:t>. Pearson Australia.</w:t>
      </w:r>
    </w:p>
    <w:p>
      <w:pPr>
        <w:tabs>
          <w:tab w:val="left" w:pos="7185"/>
        </w:tabs>
        <w:spacing w:line="480" w:lineRule="auto"/>
        <w:rPr>
          <w:rFonts w:ascii="Arial" w:hAnsi="Arial" w:cs="Arial"/>
        </w:rPr>
      </w:pPr>
      <w:r>
        <w:rPr>
          <w:rFonts w:ascii="Arial" w:hAnsi="Arial" w:cs="Arial"/>
        </w:rPr>
        <w:t xml:space="preserve">De Oliveira Dias, M. and Falconi, D. (2018) The Evolution of Craft Beer Industry in Brazil. </w:t>
      </w:r>
      <w:r>
        <w:rPr>
          <w:rFonts w:ascii="Arial" w:hAnsi="Arial" w:cs="Arial"/>
          <w:i/>
          <w:iCs/>
        </w:rPr>
        <w:t>Journal of Economics and Business</w:t>
      </w:r>
      <w:r>
        <w:rPr>
          <w:rFonts w:ascii="Arial" w:hAnsi="Arial" w:cs="Arial"/>
        </w:rPr>
        <w:t xml:space="preserve">, </w:t>
      </w:r>
      <w:r>
        <w:rPr>
          <w:rFonts w:ascii="Arial" w:hAnsi="Arial" w:cs="Arial"/>
          <w:i/>
          <w:iCs/>
        </w:rPr>
        <w:t>1</w:t>
      </w:r>
      <w:r>
        <w:rPr>
          <w:rFonts w:ascii="Arial" w:hAnsi="Arial" w:cs="Arial"/>
        </w:rPr>
        <w:t>(4), 618-626.</w:t>
      </w:r>
    </w:p>
    <w:p>
      <w:pPr>
        <w:tabs>
          <w:tab w:val="left" w:pos="7185"/>
        </w:tabs>
        <w:spacing w:line="480" w:lineRule="auto"/>
        <w:rPr>
          <w:rFonts w:ascii="Arial" w:hAnsi="Arial" w:cs="Arial"/>
        </w:rPr>
      </w:pPr>
      <w:r>
        <w:rPr>
          <w:rFonts w:ascii="Arial" w:hAnsi="Arial" w:cs="Arial"/>
        </w:rPr>
        <w:t xml:space="preserve">Dinkhoff, M. (2013) </w:t>
      </w:r>
      <w:r>
        <w:rPr>
          <w:rFonts w:ascii="Arial" w:hAnsi="Arial" w:cs="Arial"/>
          <w:i/>
          <w:iCs/>
        </w:rPr>
        <w:t>UK Beer Industry Analysis</w:t>
      </w:r>
      <w:r>
        <w:rPr>
          <w:rFonts w:ascii="Arial" w:hAnsi="Arial" w:cs="Arial"/>
        </w:rPr>
        <w:t>. GRIN Verlag.</w:t>
      </w:r>
    </w:p>
    <w:p>
      <w:pPr>
        <w:tabs>
          <w:tab w:val="left" w:pos="7185"/>
        </w:tabs>
        <w:spacing w:line="480" w:lineRule="auto"/>
        <w:rPr>
          <w:rFonts w:ascii="Arial" w:hAnsi="Arial" w:cs="Arial"/>
        </w:rPr>
      </w:pPr>
      <w:r>
        <w:rPr>
          <w:rFonts w:ascii="Arial" w:hAnsi="Arial" w:cs="Arial"/>
        </w:rPr>
        <w:t xml:space="preserve">Ford, L. E. Bardes, B. A., Schmidt, S. W. and  Shelley, M. C. (2015) </w:t>
      </w:r>
      <w:r>
        <w:rPr>
          <w:rFonts w:ascii="Arial" w:hAnsi="Arial" w:cs="Arial"/>
          <w:i/>
          <w:iCs/>
        </w:rPr>
        <w:t>American Government and Politics Today, 2015-2016 Edition</w:t>
      </w:r>
      <w:r>
        <w:rPr>
          <w:rFonts w:ascii="Arial" w:hAnsi="Arial" w:cs="Arial"/>
        </w:rPr>
        <w:t>. New York: Cengage Learning.</w:t>
      </w:r>
    </w:p>
    <w:p>
      <w:pPr>
        <w:tabs>
          <w:tab w:val="left" w:pos="7185"/>
        </w:tabs>
        <w:spacing w:line="480" w:lineRule="auto"/>
        <w:rPr>
          <w:rFonts w:ascii="Arial" w:hAnsi="Arial" w:cs="Arial"/>
        </w:rPr>
      </w:pPr>
      <w:r>
        <w:rPr>
          <w:rFonts w:ascii="Arial" w:hAnsi="Arial" w:cs="Arial"/>
        </w:rPr>
        <w:t xml:space="preserve">Frank, A. G. (2018) the development of underdevelopment. In </w:t>
      </w:r>
      <w:r>
        <w:rPr>
          <w:rFonts w:ascii="Arial" w:hAnsi="Arial" w:cs="Arial"/>
          <w:i/>
          <w:iCs/>
        </w:rPr>
        <w:t>Promise of development</w:t>
      </w:r>
      <w:r>
        <w:rPr>
          <w:rFonts w:ascii="Arial" w:hAnsi="Arial" w:cs="Arial"/>
        </w:rPr>
        <w:t xml:space="preserve"> (pp. 111-123). Routledge.</w:t>
      </w:r>
    </w:p>
    <w:p>
      <w:pPr>
        <w:tabs>
          <w:tab w:val="left" w:pos="7185"/>
        </w:tabs>
        <w:spacing w:line="480" w:lineRule="auto"/>
        <w:rPr>
          <w:rFonts w:ascii="Arial" w:hAnsi="Arial" w:cs="Arial"/>
        </w:rPr>
      </w:pPr>
      <w:r>
        <w:rPr>
          <w:rFonts w:ascii="Arial" w:hAnsi="Arial" w:cs="Arial"/>
        </w:rPr>
        <w:t xml:space="preserve">Freeman, R. (2018) Doubling the global workforce: the challenges of integrating China, India, and the former Soviet block into the world economy. </w:t>
      </w:r>
      <w:r>
        <w:rPr>
          <w:rFonts w:ascii="Arial" w:hAnsi="Arial" w:cs="Arial"/>
          <w:i/>
          <w:iCs/>
        </w:rPr>
        <w:t>Doubling the Global Work Force”</w:t>
      </w:r>
      <w:r>
        <w:rPr>
          <w:rFonts w:ascii="Arial" w:hAnsi="Arial" w:cs="Arial"/>
        </w:rPr>
        <w:t>.</w:t>
      </w:r>
    </w:p>
    <w:p>
      <w:pPr>
        <w:tabs>
          <w:tab w:val="left" w:pos="7185"/>
        </w:tabs>
        <w:spacing w:line="480" w:lineRule="auto"/>
        <w:rPr>
          <w:rFonts w:ascii="Arial" w:hAnsi="Arial" w:eastAsia="Times New Roman" w:cs="Arial"/>
          <w:lang w:eastAsia="en-GB"/>
        </w:rPr>
      </w:pPr>
      <w:r>
        <w:rPr>
          <w:rFonts w:ascii="Arial" w:hAnsi="Arial" w:cs="Arial"/>
        </w:rPr>
        <w:t xml:space="preserve">Hinterwimmer, T. (2018) </w:t>
      </w:r>
      <w:r>
        <w:rPr>
          <w:rFonts w:ascii="Arial" w:hAnsi="Arial" w:cs="Arial"/>
          <w:i/>
          <w:iCs/>
        </w:rPr>
        <w:t>International Marketing. Analysis &amp; Decision-Making</w:t>
      </w:r>
      <w:r>
        <w:rPr>
          <w:rFonts w:ascii="Arial" w:hAnsi="Arial" w:cs="Arial"/>
        </w:rPr>
        <w:t>. GRIN Verlag.</w:t>
      </w:r>
      <w:r>
        <w:rPr>
          <w:rFonts w:ascii="Arial" w:hAnsi="Arial" w:eastAsia="Times New Roman" w:cs="Arial"/>
          <w:lang w:eastAsia="en-GB"/>
        </w:rPr>
        <w:t xml:space="preserve"> </w:t>
      </w:r>
    </w:p>
    <w:p>
      <w:pPr>
        <w:tabs>
          <w:tab w:val="left" w:pos="7185"/>
        </w:tabs>
        <w:spacing w:line="480" w:lineRule="auto"/>
        <w:jc w:val="both"/>
        <w:rPr>
          <w:rFonts w:ascii="Arial" w:hAnsi="Arial" w:cs="Arial"/>
        </w:rPr>
      </w:pPr>
      <w:r>
        <w:rPr>
          <w:rFonts w:ascii="Arial" w:hAnsi="Arial" w:cs="Arial"/>
        </w:rPr>
        <w:t xml:space="preserve">Hollensen, S. (2013) </w:t>
      </w:r>
      <w:r>
        <w:rPr>
          <w:rFonts w:ascii="Arial" w:hAnsi="Arial" w:cs="Arial"/>
          <w:i/>
        </w:rPr>
        <w:t>Global Marketing (6Ed),</w:t>
      </w:r>
      <w:r>
        <w:rPr>
          <w:rFonts w:ascii="Arial" w:hAnsi="Arial" w:cs="Arial"/>
        </w:rPr>
        <w:t xml:space="preserve"> London: Pearson Education Ltd. </w:t>
      </w:r>
    </w:p>
    <w:p>
      <w:pPr>
        <w:tabs>
          <w:tab w:val="left" w:pos="7185"/>
        </w:tabs>
        <w:spacing w:line="480" w:lineRule="auto"/>
        <w:rPr>
          <w:rFonts w:ascii="Arial" w:hAnsi="Arial" w:cs="Arial"/>
          <w:bCs/>
        </w:rPr>
      </w:pPr>
      <w:r>
        <w:rPr>
          <w:rFonts w:ascii="Arial" w:hAnsi="Arial" w:cs="Arial"/>
          <w:bCs/>
        </w:rPr>
        <w:t xml:space="preserve">Kissin, B. and Begleiter, H. (2013) </w:t>
      </w:r>
      <w:r>
        <w:rPr>
          <w:rFonts w:ascii="Arial" w:hAnsi="Arial" w:cs="Arial"/>
          <w:bCs/>
          <w:i/>
          <w:iCs/>
        </w:rPr>
        <w:t>Social aspects of alcoholism</w:t>
      </w:r>
      <w:r>
        <w:rPr>
          <w:rFonts w:ascii="Arial" w:hAnsi="Arial" w:cs="Arial"/>
          <w:bCs/>
        </w:rPr>
        <w:t xml:space="preserve"> (Vol. 4). Springer Science &amp; Business Media.</w:t>
      </w:r>
    </w:p>
    <w:p>
      <w:pPr>
        <w:tabs>
          <w:tab w:val="left" w:pos="7185"/>
        </w:tabs>
        <w:spacing w:line="480" w:lineRule="auto"/>
        <w:rPr>
          <w:rFonts w:ascii="Arial" w:hAnsi="Arial" w:cs="Arial"/>
          <w:bCs/>
        </w:rPr>
      </w:pPr>
      <w:r>
        <w:rPr>
          <w:rFonts w:ascii="Arial" w:hAnsi="Arial" w:cs="Arial"/>
          <w:bCs/>
        </w:rPr>
        <w:t xml:space="preserve">Kumar, K. Kumar, S. and Singh, A. K. (2018) Prevalence and socio-demographic correlates of alcohol consumption: Survey findings from five states in India. </w:t>
      </w:r>
      <w:r>
        <w:rPr>
          <w:rFonts w:ascii="Arial" w:hAnsi="Arial" w:cs="Arial"/>
          <w:bCs/>
          <w:i/>
          <w:iCs/>
        </w:rPr>
        <w:t>Drug and alcohol dependence</w:t>
      </w:r>
      <w:r>
        <w:rPr>
          <w:rFonts w:ascii="Arial" w:hAnsi="Arial" w:cs="Arial"/>
          <w:bCs/>
        </w:rPr>
        <w:t xml:space="preserve">, </w:t>
      </w:r>
      <w:r>
        <w:rPr>
          <w:rFonts w:ascii="Arial" w:hAnsi="Arial" w:cs="Arial"/>
          <w:bCs/>
          <w:iCs/>
        </w:rPr>
        <w:t>185</w:t>
      </w:r>
      <w:r>
        <w:rPr>
          <w:rFonts w:ascii="Arial" w:hAnsi="Arial" w:cs="Arial"/>
          <w:bCs/>
        </w:rPr>
        <w:t>, 381-390.</w:t>
      </w:r>
    </w:p>
    <w:p>
      <w:pPr>
        <w:tabs>
          <w:tab w:val="left" w:pos="7185"/>
        </w:tabs>
        <w:spacing w:line="480" w:lineRule="auto"/>
        <w:rPr>
          <w:rFonts w:ascii="Arial" w:hAnsi="Arial" w:cs="Arial"/>
        </w:rPr>
      </w:pPr>
      <w:r>
        <w:rPr>
          <w:rFonts w:ascii="Arial" w:hAnsi="Arial" w:cs="Arial"/>
        </w:rPr>
        <w:t xml:space="preserve">Madsen, E. S. Pedersen, K. and Lund-Thomsen, L. (2011) M&amp;A as a Driver of Global Competition in the Brewing Industry. </w:t>
      </w:r>
      <w:r>
        <w:rPr>
          <w:rFonts w:ascii="Arial" w:hAnsi="Arial" w:cs="Arial"/>
          <w:i/>
          <w:iCs/>
        </w:rPr>
        <w:t>Department of Economics and Business, Aarhus University, Aarhus</w:t>
      </w:r>
      <w:r>
        <w:rPr>
          <w:rFonts w:ascii="Arial" w:hAnsi="Arial" w:cs="Arial"/>
        </w:rPr>
        <w:t>.</w:t>
      </w:r>
    </w:p>
    <w:p>
      <w:pPr>
        <w:tabs>
          <w:tab w:val="left" w:pos="7185"/>
        </w:tabs>
        <w:spacing w:line="480" w:lineRule="auto"/>
        <w:rPr>
          <w:rFonts w:ascii="Arial" w:hAnsi="Arial" w:cs="Arial"/>
        </w:rPr>
      </w:pPr>
      <w:r>
        <w:rPr>
          <w:rFonts w:ascii="Arial" w:hAnsi="Arial" w:cs="Arial"/>
        </w:rPr>
        <w:t xml:space="preserve">Mullins, J. (2017) </w:t>
      </w:r>
      <w:r>
        <w:rPr>
          <w:rFonts w:ascii="Arial" w:hAnsi="Arial" w:cs="Arial"/>
          <w:i/>
          <w:iCs/>
        </w:rPr>
        <w:t>the new business road test: what entrepreneurs and investors should do before launching a lean start-up</w:t>
      </w:r>
      <w:r>
        <w:rPr>
          <w:rFonts w:ascii="Arial" w:hAnsi="Arial" w:cs="Arial"/>
        </w:rPr>
        <w:t>. Pearson UK.</w:t>
      </w:r>
    </w:p>
    <w:p>
      <w:pPr>
        <w:tabs>
          <w:tab w:val="left" w:pos="7185"/>
        </w:tabs>
        <w:spacing w:line="480" w:lineRule="auto"/>
        <w:rPr>
          <w:rFonts w:ascii="Arial" w:hAnsi="Arial" w:cs="Arial"/>
          <w:bCs/>
        </w:rPr>
      </w:pPr>
      <w:r>
        <w:rPr>
          <w:rFonts w:ascii="Arial" w:hAnsi="Arial" w:cs="Arial"/>
          <w:bCs/>
        </w:rPr>
        <w:t>NPCS Team (2014) India Beer Market- Industry Size, Share, Trends, Analysis and Forecasts. New Delhi: Niir Project Consultancy Services.</w:t>
      </w:r>
    </w:p>
    <w:p>
      <w:pPr>
        <w:tabs>
          <w:tab w:val="left" w:pos="7185"/>
        </w:tabs>
        <w:spacing w:line="480" w:lineRule="auto"/>
        <w:rPr>
          <w:rFonts w:ascii="Arial" w:hAnsi="Arial" w:cs="Arial"/>
        </w:rPr>
      </w:pPr>
      <w:r>
        <w:rPr>
          <w:rFonts w:ascii="Arial" w:hAnsi="Arial" w:cs="Arial"/>
        </w:rPr>
        <w:t xml:space="preserve">Piacentini, K. C. Rocha, L. O. Fontes, L. C. Carnielli, L. Reis, T. A. and  Corrêa, B. (2017) Mycotoxin analysis of industrial beers from Brazil: The influence of fumonisin B1 and deoxynivalenol in beer quality. </w:t>
      </w:r>
      <w:r>
        <w:rPr>
          <w:rFonts w:ascii="Arial" w:hAnsi="Arial" w:cs="Arial"/>
          <w:i/>
          <w:iCs/>
        </w:rPr>
        <w:t>Food chemistry</w:t>
      </w:r>
      <w:r>
        <w:rPr>
          <w:rFonts w:ascii="Arial" w:hAnsi="Arial" w:cs="Arial"/>
        </w:rPr>
        <w:t xml:space="preserve">, </w:t>
      </w:r>
      <w:r>
        <w:rPr>
          <w:rFonts w:ascii="Arial" w:hAnsi="Arial" w:cs="Arial"/>
          <w:i/>
          <w:iCs/>
        </w:rPr>
        <w:t>218</w:t>
      </w:r>
      <w:r>
        <w:rPr>
          <w:rFonts w:ascii="Arial" w:hAnsi="Arial" w:cs="Arial"/>
        </w:rPr>
        <w:t>, 64-69.</w:t>
      </w:r>
    </w:p>
    <w:p>
      <w:pPr>
        <w:tabs>
          <w:tab w:val="left" w:pos="7185"/>
        </w:tabs>
        <w:spacing w:line="480" w:lineRule="auto"/>
        <w:rPr>
          <w:rFonts w:ascii="Arial" w:hAnsi="Arial" w:cs="Arial"/>
        </w:rPr>
      </w:pPr>
      <w:r>
        <w:rPr>
          <w:rFonts w:ascii="Arial" w:hAnsi="Arial" w:cs="Arial"/>
          <w:color w:val="000000"/>
          <w:shd w:val="clear" w:color="auto" w:fill="FFFFFF"/>
        </w:rPr>
        <w:t>Sharma, R. (2014). </w:t>
      </w:r>
      <w:r>
        <w:rPr>
          <w:rFonts w:ascii="Arial" w:hAnsi="Arial" w:cs="Arial"/>
          <w:i/>
          <w:iCs/>
          <w:color w:val="000000"/>
          <w:shd w:val="clear" w:color="auto" w:fill="FFFFFF"/>
        </w:rPr>
        <w:t>More Consolidation For Alcoholic Beverages Companies</w:t>
      </w:r>
      <w:r>
        <w:rPr>
          <w:rFonts w:ascii="Arial" w:hAnsi="Arial" w:cs="Arial"/>
          <w:color w:val="000000"/>
          <w:shd w:val="clear" w:color="auto" w:fill="FFFFFF"/>
        </w:rPr>
        <w:t>. Seeking Alpha. Available at: https://seekingalpha.com/article/2215143-more-consolidation-for-alcoholic-beverages-companies?page=2 [Accessed 28 Feb. 2019].</w:t>
      </w:r>
    </w:p>
    <w:p>
      <w:pPr>
        <w:tabs>
          <w:tab w:val="left" w:pos="7185"/>
        </w:tabs>
        <w:spacing w:line="480" w:lineRule="auto"/>
        <w:rPr>
          <w:rFonts w:ascii="Arial" w:hAnsi="Arial" w:cs="Arial"/>
          <w:bCs/>
        </w:rPr>
      </w:pPr>
      <w:r>
        <w:rPr>
          <w:rFonts w:ascii="Arial" w:hAnsi="Arial" w:cs="Arial"/>
          <w:bCs/>
        </w:rPr>
        <w:t xml:space="preserve">Sharma, H. K. Tripathi, B. M. and Pelto, P. J. (2010) The evolution of alcohol use in India. </w:t>
      </w:r>
      <w:r>
        <w:rPr>
          <w:rFonts w:ascii="Arial" w:hAnsi="Arial" w:cs="Arial"/>
          <w:bCs/>
          <w:i/>
          <w:iCs/>
        </w:rPr>
        <w:t>AIDS and Behavior</w:t>
      </w:r>
      <w:r>
        <w:rPr>
          <w:rFonts w:ascii="Arial" w:hAnsi="Arial" w:cs="Arial"/>
          <w:bCs/>
        </w:rPr>
        <w:t xml:space="preserve">, </w:t>
      </w:r>
      <w:r>
        <w:rPr>
          <w:rFonts w:ascii="Arial" w:hAnsi="Arial" w:cs="Arial"/>
          <w:bCs/>
          <w:i/>
          <w:iCs/>
        </w:rPr>
        <w:t>14</w:t>
      </w:r>
      <w:r>
        <w:rPr>
          <w:rFonts w:ascii="Arial" w:hAnsi="Arial" w:cs="Arial"/>
          <w:bCs/>
        </w:rPr>
        <w:t>(1), 8-17.</w:t>
      </w:r>
    </w:p>
    <w:p>
      <w:pPr>
        <w:tabs>
          <w:tab w:val="left" w:pos="7185"/>
        </w:tabs>
        <w:spacing w:line="480" w:lineRule="auto"/>
        <w:rPr>
          <w:rFonts w:ascii="Arial" w:hAnsi="Arial" w:cs="Arial"/>
        </w:rPr>
      </w:pPr>
      <w:r>
        <w:rPr>
          <w:rFonts w:ascii="Arial" w:hAnsi="Arial" w:cs="Arial"/>
        </w:rPr>
        <w:t xml:space="preserve">Thomé, K. Soares, A. P. and  Moura, J. V. (2017). Social interaction and beer consumption. </w:t>
      </w:r>
      <w:r>
        <w:rPr>
          <w:rFonts w:ascii="Arial" w:hAnsi="Arial" w:cs="Arial"/>
          <w:i/>
          <w:iCs/>
        </w:rPr>
        <w:t>Journal of Food Products Marketing</w:t>
      </w:r>
      <w:r>
        <w:rPr>
          <w:rFonts w:ascii="Arial" w:hAnsi="Arial" w:cs="Arial"/>
        </w:rPr>
        <w:t xml:space="preserve">, </w:t>
      </w:r>
      <w:r>
        <w:rPr>
          <w:rFonts w:ascii="Arial" w:hAnsi="Arial" w:cs="Arial"/>
          <w:i/>
          <w:iCs/>
        </w:rPr>
        <w:t>23</w:t>
      </w:r>
      <w:r>
        <w:rPr>
          <w:rFonts w:ascii="Arial" w:hAnsi="Arial" w:cs="Arial"/>
        </w:rPr>
        <w:t>(2), 186-208.</w:t>
      </w:r>
    </w:p>
    <w:sectPr>
      <w:headerReference r:id="rId5" w:type="first"/>
      <w:footerReference r:id="rId8" w:type="first"/>
      <w:headerReference r:id="rId3" w:type="default"/>
      <w:footerReference r:id="rId6" w:type="default"/>
      <w:headerReference r:id="rId4" w:type="even"/>
      <w:footerReference r:id="rId7" w:type="even"/>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81293948"/>
      <w:docPartObj>
        <w:docPartGallery w:val="AutoText"/>
      </w:docPartObj>
    </w:sdtPr>
    <w:sdtContent>
      <w:p>
        <w:pPr>
          <w:pStyle w:val="8"/>
          <w:jc w:val="right"/>
        </w:pPr>
        <w:r>
          <w:fldChar w:fldCharType="begin"/>
        </w:r>
        <w:r>
          <w:instrText xml:space="preserve"> PAGE   \* MERGEFORMAT </w:instrText>
        </w:r>
        <w:r>
          <w:fldChar w:fldCharType="separate"/>
        </w:r>
        <w:r>
          <w:t>15</w:t>
        </w:r>
        <w:r>
          <w:fldChar w:fldCharType="end"/>
        </w:r>
      </w:p>
    </w:sdtContent>
  </w:sdt>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D72E81"/>
    <w:multiLevelType w:val="multilevel"/>
    <w:tmpl w:val="53D72E81"/>
    <w:lvl w:ilvl="0" w:tentative="0">
      <w:start w:val="2"/>
      <w:numFmt w:val="decimal"/>
      <w:lvlText w:val="%1"/>
      <w:lvlJc w:val="left"/>
      <w:pPr>
        <w:ind w:left="360" w:hanging="360"/>
      </w:pPr>
      <w:rPr>
        <w:rFonts w:hint="default"/>
      </w:rPr>
    </w:lvl>
    <w:lvl w:ilvl="1" w:tentative="0">
      <w:start w:val="2"/>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800" w:hanging="1800"/>
      </w:pPr>
      <w:rPr>
        <w:rFonts w:hint="default"/>
      </w:rPr>
    </w:lvl>
    <w:lvl w:ilvl="8" w:tentative="0">
      <w:start w:val="1"/>
      <w:numFmt w:val="decimal"/>
      <w:lvlText w:val="%1.%2.%3.%4.%5.%6.%7.%8.%9"/>
      <w:lvlJc w:val="left"/>
      <w:pPr>
        <w:ind w:left="1800" w:hanging="1800"/>
      </w:pPr>
      <w:rPr>
        <w:rFonts w:hint="default"/>
      </w:rPr>
    </w:lvl>
  </w:abstractNum>
  <w:abstractNum w:abstractNumId="1">
    <w:nsid w:val="6E9E6ABC"/>
    <w:multiLevelType w:val="multilevel"/>
    <w:tmpl w:val="6E9E6ABC"/>
    <w:lvl w:ilvl="0" w:tentative="0">
      <w:start w:val="1"/>
      <w:numFmt w:val="decimal"/>
      <w:lvlText w:val="%1.0"/>
      <w:lvlJc w:val="left"/>
      <w:pPr>
        <w:ind w:left="405" w:hanging="405"/>
      </w:pPr>
      <w:rPr>
        <w:rFonts w:hint="default"/>
      </w:rPr>
    </w:lvl>
    <w:lvl w:ilvl="1" w:tentative="0">
      <w:start w:val="1"/>
      <w:numFmt w:val="decimal"/>
      <w:lvlText w:val="%1.%2"/>
      <w:lvlJc w:val="left"/>
      <w:pPr>
        <w:ind w:left="1125" w:hanging="405"/>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3240" w:hanging="108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5040" w:hanging="144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840" w:hanging="1800"/>
      </w:pPr>
      <w:rPr>
        <w:rFonts w:hint="default"/>
      </w:rPr>
    </w:lvl>
    <w:lvl w:ilvl="8" w:tentative="0">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DUxNTczsDA1NjY2MTJU0lEKTi0uzszPAykwqgUATuu67ywAAAA="/>
  </w:docVars>
  <w:rsids>
    <w:rsidRoot w:val="001E5C5B"/>
    <w:rsid w:val="00043186"/>
    <w:rsid w:val="00073EC8"/>
    <w:rsid w:val="000862B4"/>
    <w:rsid w:val="00087194"/>
    <w:rsid w:val="000A4E05"/>
    <w:rsid w:val="000A7341"/>
    <w:rsid w:val="000C4506"/>
    <w:rsid w:val="00106DA7"/>
    <w:rsid w:val="00125E14"/>
    <w:rsid w:val="00136E7D"/>
    <w:rsid w:val="00156B03"/>
    <w:rsid w:val="00163166"/>
    <w:rsid w:val="00177ABB"/>
    <w:rsid w:val="00186DDC"/>
    <w:rsid w:val="001965A9"/>
    <w:rsid w:val="001B1B94"/>
    <w:rsid w:val="001C007D"/>
    <w:rsid w:val="001D0375"/>
    <w:rsid w:val="001D25BE"/>
    <w:rsid w:val="001E0B2F"/>
    <w:rsid w:val="001E5C5B"/>
    <w:rsid w:val="00224832"/>
    <w:rsid w:val="00245CD4"/>
    <w:rsid w:val="002708FC"/>
    <w:rsid w:val="00291A4A"/>
    <w:rsid w:val="002962E6"/>
    <w:rsid w:val="00297FEA"/>
    <w:rsid w:val="002B690B"/>
    <w:rsid w:val="002D2D07"/>
    <w:rsid w:val="002E1126"/>
    <w:rsid w:val="002F2FCF"/>
    <w:rsid w:val="002F6871"/>
    <w:rsid w:val="0030340E"/>
    <w:rsid w:val="00304A8A"/>
    <w:rsid w:val="00312EE4"/>
    <w:rsid w:val="0032657F"/>
    <w:rsid w:val="003438E3"/>
    <w:rsid w:val="00371855"/>
    <w:rsid w:val="003932DA"/>
    <w:rsid w:val="00394E4C"/>
    <w:rsid w:val="003A572E"/>
    <w:rsid w:val="003B5B38"/>
    <w:rsid w:val="003C00FF"/>
    <w:rsid w:val="003E0DBF"/>
    <w:rsid w:val="003E4204"/>
    <w:rsid w:val="00420D98"/>
    <w:rsid w:val="00430E10"/>
    <w:rsid w:val="00437132"/>
    <w:rsid w:val="00443823"/>
    <w:rsid w:val="00445A5F"/>
    <w:rsid w:val="00461E47"/>
    <w:rsid w:val="00465701"/>
    <w:rsid w:val="00473171"/>
    <w:rsid w:val="00495046"/>
    <w:rsid w:val="004A6ACD"/>
    <w:rsid w:val="004C29F3"/>
    <w:rsid w:val="004C5C16"/>
    <w:rsid w:val="004E4167"/>
    <w:rsid w:val="00502170"/>
    <w:rsid w:val="00513579"/>
    <w:rsid w:val="0053078C"/>
    <w:rsid w:val="00541FF9"/>
    <w:rsid w:val="00552E90"/>
    <w:rsid w:val="00556DE7"/>
    <w:rsid w:val="00557414"/>
    <w:rsid w:val="00563B93"/>
    <w:rsid w:val="005930DF"/>
    <w:rsid w:val="005B5AC0"/>
    <w:rsid w:val="005C57CB"/>
    <w:rsid w:val="005D26E6"/>
    <w:rsid w:val="0061329B"/>
    <w:rsid w:val="00617D96"/>
    <w:rsid w:val="00646770"/>
    <w:rsid w:val="0065786C"/>
    <w:rsid w:val="00657FD4"/>
    <w:rsid w:val="006721EF"/>
    <w:rsid w:val="006A20FC"/>
    <w:rsid w:val="006A739A"/>
    <w:rsid w:val="006D0A0A"/>
    <w:rsid w:val="006F270A"/>
    <w:rsid w:val="00727A98"/>
    <w:rsid w:val="00731F46"/>
    <w:rsid w:val="007432A0"/>
    <w:rsid w:val="00757EAE"/>
    <w:rsid w:val="0076378F"/>
    <w:rsid w:val="00777276"/>
    <w:rsid w:val="007867AF"/>
    <w:rsid w:val="007A154B"/>
    <w:rsid w:val="007B2940"/>
    <w:rsid w:val="007C48EF"/>
    <w:rsid w:val="007E7F5A"/>
    <w:rsid w:val="008415D0"/>
    <w:rsid w:val="0084602E"/>
    <w:rsid w:val="008501D0"/>
    <w:rsid w:val="008A49A6"/>
    <w:rsid w:val="008A6022"/>
    <w:rsid w:val="008B7087"/>
    <w:rsid w:val="008C26DE"/>
    <w:rsid w:val="008C5C75"/>
    <w:rsid w:val="008C7FE2"/>
    <w:rsid w:val="00906200"/>
    <w:rsid w:val="00910F80"/>
    <w:rsid w:val="00921132"/>
    <w:rsid w:val="0092545F"/>
    <w:rsid w:val="00931323"/>
    <w:rsid w:val="009352C3"/>
    <w:rsid w:val="00940967"/>
    <w:rsid w:val="009544EA"/>
    <w:rsid w:val="00964B73"/>
    <w:rsid w:val="009D532E"/>
    <w:rsid w:val="009E569A"/>
    <w:rsid w:val="009F70C8"/>
    <w:rsid w:val="00A147D1"/>
    <w:rsid w:val="00A20FA4"/>
    <w:rsid w:val="00A22205"/>
    <w:rsid w:val="00A3180D"/>
    <w:rsid w:val="00A5666E"/>
    <w:rsid w:val="00A658F7"/>
    <w:rsid w:val="00A67443"/>
    <w:rsid w:val="00A85FEE"/>
    <w:rsid w:val="00A96002"/>
    <w:rsid w:val="00AA469C"/>
    <w:rsid w:val="00AE5624"/>
    <w:rsid w:val="00AF1D75"/>
    <w:rsid w:val="00B138F1"/>
    <w:rsid w:val="00B13E70"/>
    <w:rsid w:val="00B21B0A"/>
    <w:rsid w:val="00B55312"/>
    <w:rsid w:val="00B6241F"/>
    <w:rsid w:val="00B85423"/>
    <w:rsid w:val="00B86F8E"/>
    <w:rsid w:val="00B91BD4"/>
    <w:rsid w:val="00BA0677"/>
    <w:rsid w:val="00BA65F2"/>
    <w:rsid w:val="00BD259D"/>
    <w:rsid w:val="00BE0C33"/>
    <w:rsid w:val="00BE22E9"/>
    <w:rsid w:val="00BE44D5"/>
    <w:rsid w:val="00C01A0F"/>
    <w:rsid w:val="00C365B2"/>
    <w:rsid w:val="00C72687"/>
    <w:rsid w:val="00C83773"/>
    <w:rsid w:val="00C92642"/>
    <w:rsid w:val="00C94C05"/>
    <w:rsid w:val="00D0205E"/>
    <w:rsid w:val="00D200AE"/>
    <w:rsid w:val="00D20EA5"/>
    <w:rsid w:val="00D3206F"/>
    <w:rsid w:val="00D97414"/>
    <w:rsid w:val="00DA74A9"/>
    <w:rsid w:val="00DC09F5"/>
    <w:rsid w:val="00DC788D"/>
    <w:rsid w:val="00DD0115"/>
    <w:rsid w:val="00DD494F"/>
    <w:rsid w:val="00DE145F"/>
    <w:rsid w:val="00DE14E4"/>
    <w:rsid w:val="00DF6A90"/>
    <w:rsid w:val="00DF6C8F"/>
    <w:rsid w:val="00E10697"/>
    <w:rsid w:val="00E23142"/>
    <w:rsid w:val="00E31E74"/>
    <w:rsid w:val="00E343CE"/>
    <w:rsid w:val="00E4385C"/>
    <w:rsid w:val="00E5235F"/>
    <w:rsid w:val="00E54387"/>
    <w:rsid w:val="00E56C3D"/>
    <w:rsid w:val="00E61CB0"/>
    <w:rsid w:val="00E648C9"/>
    <w:rsid w:val="00E64B4B"/>
    <w:rsid w:val="00E65F8A"/>
    <w:rsid w:val="00E67CAC"/>
    <w:rsid w:val="00E706B3"/>
    <w:rsid w:val="00E77DB0"/>
    <w:rsid w:val="00E857D4"/>
    <w:rsid w:val="00E958D3"/>
    <w:rsid w:val="00EA3C88"/>
    <w:rsid w:val="00EB281C"/>
    <w:rsid w:val="00EC3E50"/>
    <w:rsid w:val="00EC57C7"/>
    <w:rsid w:val="00EC68AC"/>
    <w:rsid w:val="00EF48A9"/>
    <w:rsid w:val="00EF621F"/>
    <w:rsid w:val="00F017E6"/>
    <w:rsid w:val="00F1140A"/>
    <w:rsid w:val="00F15D7A"/>
    <w:rsid w:val="00F32259"/>
    <w:rsid w:val="00F43589"/>
    <w:rsid w:val="00F522A0"/>
    <w:rsid w:val="00F6587B"/>
    <w:rsid w:val="00FA4519"/>
    <w:rsid w:val="00FB14C7"/>
    <w:rsid w:val="00FF3392"/>
    <w:rsid w:val="144D3F8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20"/>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22"/>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23"/>
    <w:semiHidden/>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character" w:default="1" w:styleId="13">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5">
    <w:name w:val="toc 3"/>
    <w:basedOn w:val="1"/>
    <w:next w:val="1"/>
    <w:unhideWhenUsed/>
    <w:uiPriority w:val="39"/>
    <w:pPr>
      <w:spacing w:after="100"/>
      <w:ind w:left="440"/>
    </w:pPr>
  </w:style>
  <w:style w:type="paragraph" w:styleId="6">
    <w:name w:val="Balloon Text"/>
    <w:basedOn w:val="1"/>
    <w:link w:val="16"/>
    <w:semiHidden/>
    <w:unhideWhenUsed/>
    <w:uiPriority w:val="99"/>
    <w:pPr>
      <w:spacing w:after="0" w:line="240" w:lineRule="auto"/>
    </w:pPr>
    <w:rPr>
      <w:rFonts w:ascii="Tahoma" w:hAnsi="Tahoma" w:cs="Tahoma"/>
      <w:sz w:val="16"/>
      <w:szCs w:val="16"/>
    </w:rPr>
  </w:style>
  <w:style w:type="paragraph" w:styleId="7">
    <w:name w:val="footer"/>
    <w:basedOn w:val="1"/>
    <w:link w:val="19"/>
    <w:unhideWhenUsed/>
    <w:uiPriority w:val="99"/>
    <w:pPr>
      <w:tabs>
        <w:tab w:val="center" w:pos="4680"/>
        <w:tab w:val="right" w:pos="9360"/>
      </w:tabs>
      <w:spacing w:after="0" w:line="240" w:lineRule="auto"/>
    </w:pPr>
  </w:style>
  <w:style w:type="paragraph" w:styleId="8">
    <w:name w:val="header"/>
    <w:basedOn w:val="1"/>
    <w:link w:val="18"/>
    <w:unhideWhenUsed/>
    <w:uiPriority w:val="99"/>
    <w:pPr>
      <w:tabs>
        <w:tab w:val="center" w:pos="4680"/>
        <w:tab w:val="right" w:pos="9360"/>
      </w:tabs>
      <w:spacing w:after="0" w:line="240" w:lineRule="auto"/>
    </w:pPr>
  </w:style>
  <w:style w:type="paragraph" w:styleId="9">
    <w:name w:val="toc 1"/>
    <w:basedOn w:val="1"/>
    <w:next w:val="1"/>
    <w:unhideWhenUsed/>
    <w:uiPriority w:val="39"/>
    <w:pPr>
      <w:tabs>
        <w:tab w:val="left" w:pos="660"/>
        <w:tab w:val="right" w:leader="dot" w:pos="9350"/>
      </w:tabs>
      <w:spacing w:after="100"/>
    </w:pPr>
    <w:rPr>
      <w:rFonts w:ascii="Arial" w:hAnsi="Arial" w:cs="Arial"/>
    </w:rPr>
  </w:style>
  <w:style w:type="paragraph" w:styleId="10">
    <w:name w:val="toc 2"/>
    <w:basedOn w:val="1"/>
    <w:next w:val="1"/>
    <w:unhideWhenUsed/>
    <w:uiPriority w:val="39"/>
    <w:pPr>
      <w:spacing w:after="100"/>
      <w:ind w:left="220"/>
    </w:pPr>
  </w:style>
  <w:style w:type="table" w:styleId="12">
    <w:name w:val="Table Grid"/>
    <w:basedOn w:val="11"/>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4">
    <w:name w:val="FollowedHyperlink"/>
    <w:basedOn w:val="13"/>
    <w:semiHidden/>
    <w:unhideWhenUsed/>
    <w:uiPriority w:val="99"/>
    <w:rPr>
      <w:color w:val="800080" w:themeColor="followedHyperlink"/>
      <w:u w:val="single"/>
      <w14:textFill>
        <w14:solidFill>
          <w14:schemeClr w14:val="folHlink"/>
        </w14:solidFill>
      </w14:textFill>
    </w:rPr>
  </w:style>
  <w:style w:type="character" w:styleId="15">
    <w:name w:val="Hyperlink"/>
    <w:basedOn w:val="13"/>
    <w:unhideWhenUsed/>
    <w:uiPriority w:val="99"/>
    <w:rPr>
      <w:color w:val="0000FF" w:themeColor="hyperlink"/>
      <w:u w:val="single"/>
      <w14:textFill>
        <w14:solidFill>
          <w14:schemeClr w14:val="hlink"/>
        </w14:solidFill>
      </w14:textFill>
    </w:rPr>
  </w:style>
  <w:style w:type="character" w:customStyle="1" w:styleId="16">
    <w:name w:val="批注框文本字符"/>
    <w:basedOn w:val="13"/>
    <w:link w:val="6"/>
    <w:semiHidden/>
    <w:uiPriority w:val="99"/>
    <w:rPr>
      <w:rFonts w:ascii="Tahoma" w:hAnsi="Tahoma" w:cs="Tahoma"/>
      <w:sz w:val="16"/>
      <w:szCs w:val="16"/>
    </w:rPr>
  </w:style>
  <w:style w:type="paragraph" w:styleId="17">
    <w:name w:val="List Paragraph"/>
    <w:basedOn w:val="1"/>
    <w:qFormat/>
    <w:uiPriority w:val="34"/>
    <w:pPr>
      <w:ind w:left="720"/>
      <w:contextualSpacing/>
    </w:pPr>
  </w:style>
  <w:style w:type="character" w:customStyle="1" w:styleId="18">
    <w:name w:val="页眉字符"/>
    <w:basedOn w:val="13"/>
    <w:link w:val="8"/>
    <w:uiPriority w:val="99"/>
  </w:style>
  <w:style w:type="character" w:customStyle="1" w:styleId="19">
    <w:name w:val="页脚字符"/>
    <w:basedOn w:val="13"/>
    <w:link w:val="7"/>
    <w:uiPriority w:val="99"/>
  </w:style>
  <w:style w:type="character" w:customStyle="1" w:styleId="20">
    <w:name w:val="标题 1字符"/>
    <w:basedOn w:val="13"/>
    <w:link w:val="2"/>
    <w:uiPriority w:val="9"/>
    <w:rPr>
      <w:rFonts w:asciiTheme="majorHAnsi" w:hAnsiTheme="majorHAnsi" w:eastAsiaTheme="majorEastAsia" w:cstheme="majorBidi"/>
      <w:b/>
      <w:bCs/>
      <w:color w:val="376092" w:themeColor="accent1" w:themeShade="BF"/>
      <w:sz w:val="28"/>
      <w:szCs w:val="28"/>
    </w:rPr>
  </w:style>
  <w:style w:type="paragraph" w:customStyle="1" w:styleId="21">
    <w:name w:val="TOC Heading"/>
    <w:basedOn w:val="2"/>
    <w:next w:val="1"/>
    <w:semiHidden/>
    <w:unhideWhenUsed/>
    <w:qFormat/>
    <w:uiPriority w:val="39"/>
    <w:pPr>
      <w:outlineLvl w:val="9"/>
    </w:pPr>
    <w:rPr>
      <w:lang w:val="en-US" w:eastAsia="ja-JP"/>
    </w:rPr>
  </w:style>
  <w:style w:type="character" w:customStyle="1" w:styleId="22">
    <w:name w:val="标题 2字符"/>
    <w:basedOn w:val="13"/>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23">
    <w:name w:val="标题 3字符"/>
    <w:basedOn w:val="13"/>
    <w:link w:val="4"/>
    <w:semiHidden/>
    <w:uiPriority w:val="9"/>
    <w:rPr>
      <w:rFonts w:asciiTheme="majorHAnsi" w:hAnsiTheme="majorHAnsi" w:eastAsiaTheme="majorEastAsia" w:cstheme="majorBidi"/>
      <w:b/>
      <w:bCs/>
      <w:color w:val="4F81BD" w:themeColor="accent1"/>
      <w14:textFill>
        <w14:solidFill>
          <w14:schemeClr w14:val="accent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6A5D84B-0AD0-4648-91B3-9E9D588A7BB1}">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3149</Words>
  <Characters>16565</Characters>
  <Lines>280</Lines>
  <Paragraphs>67</Paragraphs>
  <TotalTime>5</TotalTime>
  <ScaleCrop>false</ScaleCrop>
  <LinksUpToDate>false</LinksUpToDate>
  <CharactersWithSpaces>19647</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2019-02-28T13:49:00Z</dcterms:created>
  <dcterms:modified xsi:type="dcterms:W3CDTF">2019-03-02T15:34:59Z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