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B39EC" w14:textId="77777777" w:rsidR="00AB1A43" w:rsidRPr="005F6382" w:rsidRDefault="00AB1A43" w:rsidP="00AB1A43">
      <w:pPr>
        <w:pStyle w:val="Title"/>
        <w:rPr>
          <w:lang w:val="en-GB"/>
        </w:rPr>
      </w:pPr>
      <w:r>
        <w:rPr>
          <w:lang w:val="en-GB"/>
        </w:rPr>
        <w:t xml:space="preserve">  </w:t>
      </w:r>
    </w:p>
    <w:p w14:paraId="59E82788" w14:textId="77777777" w:rsidR="00DC288F" w:rsidRPr="00823484" w:rsidRDefault="00DC288F" w:rsidP="00DC288F">
      <w:pPr>
        <w:rPr>
          <w:rFonts w:ascii="Arial" w:hAnsi="Arial" w:cs="Arial"/>
          <w:b/>
          <w:bCs/>
        </w:rPr>
      </w:pPr>
      <w:r w:rsidRPr="00823484">
        <w:rPr>
          <w:rFonts w:ascii="Arial" w:hAnsi="Arial" w:cs="Arial"/>
          <w:b/>
          <w:bCs/>
        </w:rPr>
        <w:t>STUDENT NAME: DRAGOS NICOLAE BUCATARU</w:t>
      </w:r>
    </w:p>
    <w:p w14:paraId="3A416379" w14:textId="77777777" w:rsidR="00DC288F" w:rsidRPr="00823484" w:rsidRDefault="00DC288F" w:rsidP="00DC288F">
      <w:pPr>
        <w:rPr>
          <w:rFonts w:ascii="Arial" w:hAnsi="Arial" w:cs="Arial"/>
          <w:b/>
          <w:bCs/>
        </w:rPr>
      </w:pPr>
      <w:r w:rsidRPr="00823484">
        <w:rPr>
          <w:rFonts w:ascii="Arial" w:hAnsi="Arial" w:cs="Arial"/>
          <w:b/>
          <w:bCs/>
        </w:rPr>
        <w:t>STUDENT NUMBER:1919242</w:t>
      </w:r>
    </w:p>
    <w:p w14:paraId="7991F557" w14:textId="2FDA1E6F" w:rsidR="00DC288F" w:rsidRPr="00823484" w:rsidRDefault="00DC288F" w:rsidP="00DC288F">
      <w:pPr>
        <w:rPr>
          <w:rFonts w:ascii="Arial" w:hAnsi="Arial" w:cs="Arial"/>
          <w:b/>
          <w:bCs/>
        </w:rPr>
      </w:pPr>
      <w:r w:rsidRPr="00823484">
        <w:rPr>
          <w:rFonts w:ascii="Arial" w:hAnsi="Arial" w:cs="Arial"/>
          <w:b/>
          <w:bCs/>
        </w:rPr>
        <w:t xml:space="preserve">MODULE TITLE: </w:t>
      </w:r>
      <w:r>
        <w:rPr>
          <w:rFonts w:ascii="Arial" w:hAnsi="Arial" w:cs="Arial"/>
          <w:b/>
          <w:bCs/>
        </w:rPr>
        <w:t>MANAGING PEOPLE</w:t>
      </w:r>
    </w:p>
    <w:p w14:paraId="6F7E0962" w14:textId="5A0B15A9" w:rsidR="00DC288F" w:rsidRPr="00823484" w:rsidRDefault="00DC288F" w:rsidP="00DC288F">
      <w:pPr>
        <w:rPr>
          <w:rFonts w:ascii="Arial" w:hAnsi="Arial" w:cs="Arial"/>
          <w:b/>
          <w:bCs/>
        </w:rPr>
      </w:pPr>
      <w:r w:rsidRPr="00823484">
        <w:rPr>
          <w:rFonts w:ascii="Arial" w:hAnsi="Arial" w:cs="Arial"/>
          <w:b/>
          <w:bCs/>
        </w:rPr>
        <w:t>ASSESSMENT TYPE: ASSIGNMENT</w:t>
      </w:r>
      <w:r>
        <w:rPr>
          <w:rFonts w:ascii="Arial" w:hAnsi="Arial" w:cs="Arial"/>
          <w:b/>
          <w:bCs/>
        </w:rPr>
        <w:t xml:space="preserve"> 1</w:t>
      </w:r>
    </w:p>
    <w:p w14:paraId="513ADB54" w14:textId="0734D13F" w:rsidR="00DC288F" w:rsidRPr="00823484" w:rsidRDefault="00DC288F" w:rsidP="00DC288F">
      <w:pPr>
        <w:rPr>
          <w:rFonts w:ascii="Arial" w:hAnsi="Arial" w:cs="Arial"/>
          <w:b/>
          <w:bCs/>
        </w:rPr>
      </w:pPr>
      <w:r w:rsidRPr="00823484">
        <w:rPr>
          <w:rFonts w:ascii="Arial" w:hAnsi="Arial" w:cs="Arial"/>
          <w:b/>
          <w:bCs/>
        </w:rPr>
        <w:t xml:space="preserve">LECTURER NAME:  </w:t>
      </w:r>
      <w:r>
        <w:rPr>
          <w:rFonts w:ascii="Arial" w:hAnsi="Arial" w:cs="Arial"/>
          <w:b/>
          <w:bCs/>
        </w:rPr>
        <w:t>ZAINAB ATTA</w:t>
      </w:r>
    </w:p>
    <w:p w14:paraId="2359F857" w14:textId="77777777" w:rsidR="00AB1A43" w:rsidRPr="005F6382" w:rsidRDefault="00AB1A43" w:rsidP="00DC288F">
      <w:pPr>
        <w:pStyle w:val="Title"/>
        <w:jc w:val="left"/>
        <w:rPr>
          <w:lang w:val="en-GB"/>
        </w:rPr>
      </w:pPr>
    </w:p>
    <w:p w14:paraId="4D98E0C5" w14:textId="77777777" w:rsidR="00AB1A43" w:rsidRPr="005F6382" w:rsidRDefault="00AB1A43" w:rsidP="00AB1A43">
      <w:pPr>
        <w:pStyle w:val="Title"/>
        <w:rPr>
          <w:lang w:val="en-GB"/>
        </w:rPr>
      </w:pPr>
    </w:p>
    <w:p w14:paraId="7CF3C41F" w14:textId="77777777" w:rsidR="00AB1A43" w:rsidRPr="005F6382" w:rsidRDefault="00AB1A43" w:rsidP="00AB1A43">
      <w:pPr>
        <w:pStyle w:val="Title"/>
        <w:rPr>
          <w:lang w:val="en-GB"/>
        </w:rPr>
      </w:pPr>
    </w:p>
    <w:p w14:paraId="2EB7E24F" w14:textId="77777777" w:rsidR="00AB1A43" w:rsidRPr="005F6382" w:rsidRDefault="00AB1A43" w:rsidP="00AB1A43">
      <w:pPr>
        <w:pStyle w:val="Title"/>
        <w:rPr>
          <w:lang w:val="en-GB"/>
        </w:rPr>
      </w:pPr>
    </w:p>
    <w:p w14:paraId="5F71ACB7" w14:textId="77777777" w:rsidR="00AB1A43" w:rsidRPr="005F6382" w:rsidRDefault="00AB1A43" w:rsidP="00AB1A43">
      <w:pPr>
        <w:pStyle w:val="Title"/>
        <w:rPr>
          <w:lang w:val="en-GB"/>
        </w:rPr>
      </w:pPr>
    </w:p>
    <w:p w14:paraId="26FBD547" w14:textId="77777777" w:rsidR="00AB1A43" w:rsidRPr="005F6382" w:rsidRDefault="00AB1A43" w:rsidP="00AB1A43">
      <w:pPr>
        <w:pStyle w:val="Title"/>
        <w:rPr>
          <w:lang w:val="en-GB"/>
        </w:rPr>
      </w:pPr>
    </w:p>
    <w:p w14:paraId="2631D4BE" w14:textId="77777777" w:rsidR="00AB1A43" w:rsidRPr="005F6382" w:rsidRDefault="00AB1A43" w:rsidP="00AB1A43">
      <w:pPr>
        <w:pStyle w:val="Title"/>
        <w:rPr>
          <w:lang w:val="en-GB"/>
        </w:rPr>
      </w:pPr>
    </w:p>
    <w:p w14:paraId="60BB4F98" w14:textId="19E1014F" w:rsidR="00AB1A43" w:rsidRPr="005F6382" w:rsidRDefault="007068B4" w:rsidP="00AB1A43">
      <w:pPr>
        <w:pStyle w:val="Title"/>
        <w:rPr>
          <w:lang w:val="en-GB"/>
        </w:rPr>
      </w:pPr>
      <w:r>
        <w:rPr>
          <w:lang w:val="en-GB"/>
        </w:rPr>
        <w:t xml:space="preserve"> </w:t>
      </w:r>
      <w:r w:rsidR="004061A5">
        <w:rPr>
          <w:lang w:val="en-GB"/>
        </w:rPr>
        <w:t>ASSESMENT 1 - INDIVIDUAL PRESENTATION</w:t>
      </w:r>
    </w:p>
    <w:p w14:paraId="0CE95A81" w14:textId="77777777" w:rsidR="00AB1A43" w:rsidRPr="005F6382" w:rsidRDefault="00AB1A43" w:rsidP="00AB1A43">
      <w:pPr>
        <w:rPr>
          <w:rFonts w:eastAsia="Times New Roman" w:cs="Times New Roman"/>
          <w:color w:val="222222"/>
          <w:spacing w:val="5"/>
          <w:kern w:val="28"/>
          <w:sz w:val="36"/>
          <w:lang w:val="en-GB"/>
        </w:rPr>
      </w:pPr>
      <w:r>
        <w:rPr>
          <w:noProof/>
          <w:lang w:eastAsia="en-US"/>
        </w:rPr>
        <w:lastRenderedPageBreak/>
        <w:drawing>
          <wp:inline distT="0" distB="0" distL="0" distR="0" wp14:anchorId="3A949CE8" wp14:editId="72544DDD">
            <wp:extent cx="5943600" cy="445770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noProof/>
          <w:lang w:eastAsia="en-US"/>
        </w:rPr>
        <w:lastRenderedPageBreak/>
        <w:drawing>
          <wp:inline distT="0" distB="0" distL="0" distR="0" wp14:anchorId="273C1278" wp14:editId="469D50BF">
            <wp:extent cx="5943600" cy="44577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sidRPr="005F6382">
        <w:rPr>
          <w:lang w:val="en-GB"/>
        </w:rPr>
        <w:br w:type="page"/>
      </w:r>
    </w:p>
    <w:p w14:paraId="6F41C9FF" w14:textId="77777777" w:rsidR="00AB1A43" w:rsidRPr="005F6382" w:rsidRDefault="00AB1A43" w:rsidP="00AB1A43">
      <w:pPr>
        <w:pStyle w:val="Heading1"/>
        <w:rPr>
          <w:lang w:val="en-GB"/>
        </w:rPr>
      </w:pPr>
      <w:r w:rsidRPr="005F6382">
        <w:rPr>
          <w:lang w:val="en-GB"/>
        </w:rPr>
        <w:lastRenderedPageBreak/>
        <w:t>Slide 3 – Introduction</w:t>
      </w:r>
      <w:r>
        <w:rPr>
          <w:lang w:val="en-GB"/>
        </w:rPr>
        <w:t xml:space="preserve"> </w:t>
      </w:r>
    </w:p>
    <w:p w14:paraId="49EF323F" w14:textId="77777777" w:rsidR="00AB1A43" w:rsidRPr="00792E97" w:rsidRDefault="00AB1A43" w:rsidP="00AB1A43">
      <w:pPr>
        <w:jc w:val="center"/>
      </w:pPr>
      <w:r>
        <w:rPr>
          <w:noProof/>
          <w:lang w:eastAsia="en-US"/>
        </w:rPr>
        <w:drawing>
          <wp:inline distT="0" distB="0" distL="0" distR="0" wp14:anchorId="1C2F9059" wp14:editId="67C15B74">
            <wp:extent cx="5943600" cy="4457700"/>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370F318D" w14:textId="77777777" w:rsidTr="00805B5B">
        <w:tc>
          <w:tcPr>
            <w:tcW w:w="9576" w:type="dxa"/>
          </w:tcPr>
          <w:p w14:paraId="78678967" w14:textId="02485ABA" w:rsidR="00AB1A43" w:rsidRPr="00E35052" w:rsidRDefault="00AB1A43" w:rsidP="00805B5B">
            <w:pPr>
              <w:rPr>
                <w:rFonts w:ascii="Arial" w:hAnsi="Arial" w:cs="Arial"/>
                <w:lang w:val="en-GB"/>
              </w:rPr>
            </w:pPr>
            <w:r>
              <w:rPr>
                <w:lang w:val="en-GB"/>
              </w:rPr>
              <w:t xml:space="preserve">  </w:t>
            </w:r>
            <w:r w:rsidRPr="00E35052">
              <w:rPr>
                <w:rFonts w:ascii="Arial" w:hAnsi="Arial" w:cs="Arial"/>
                <w:lang w:val="en-GB"/>
              </w:rPr>
              <w:t xml:space="preserve">Human resource activities within organisations are significant as these provide firms with the scope of hiring staff within workplace for the operations that helps their respective businesses to respond to customer needs. Human resourcing within organisations </w:t>
            </w:r>
            <w:r w:rsidR="007068B4" w:rsidRPr="00E35052">
              <w:rPr>
                <w:rFonts w:ascii="Arial" w:hAnsi="Arial" w:cs="Arial"/>
                <w:lang w:val="en-GB"/>
              </w:rPr>
              <w:t>includes</w:t>
            </w:r>
            <w:r w:rsidRPr="00E35052">
              <w:rPr>
                <w:rFonts w:ascii="Arial" w:hAnsi="Arial" w:cs="Arial"/>
                <w:lang w:val="en-GB"/>
              </w:rPr>
              <w:t xml:space="preserve"> various processes such as planning for resourcing strategy, recruitment, selection, training, </w:t>
            </w:r>
            <w:proofErr w:type="gramStart"/>
            <w:r w:rsidRPr="00E35052">
              <w:rPr>
                <w:rFonts w:ascii="Arial" w:hAnsi="Arial" w:cs="Arial"/>
                <w:lang w:val="en-GB"/>
              </w:rPr>
              <w:t>proposing</w:t>
            </w:r>
            <w:proofErr w:type="gramEnd"/>
            <w:r w:rsidRPr="00E35052">
              <w:rPr>
                <w:rFonts w:ascii="Arial" w:hAnsi="Arial" w:cs="Arial"/>
                <w:lang w:val="en-GB"/>
              </w:rPr>
              <w:t xml:space="preserve"> and implementing HR rights, development, employee performance management, and so on. The presentation is based on identifying how an organisation such as Sainsbury outlines its organisational objectives in association with resource planning, recruitment, and selection of employees at workplace. It further evaluates how far the planning, recruitment, and selection processes within the chosen organisation had evolved with time.</w:t>
            </w:r>
          </w:p>
        </w:tc>
      </w:tr>
    </w:tbl>
    <w:p w14:paraId="5CECAEE2" w14:textId="77777777" w:rsidR="00AB1A43" w:rsidRDefault="00AB1A43" w:rsidP="00AB1A43">
      <w:pPr>
        <w:jc w:val="center"/>
        <w:rPr>
          <w:lang w:val="en-GB"/>
        </w:rPr>
      </w:pPr>
    </w:p>
    <w:p w14:paraId="7EFE0AEF" w14:textId="77777777" w:rsidR="00AB1A43" w:rsidRDefault="00AB1A43" w:rsidP="00AB1A43">
      <w:pPr>
        <w:pStyle w:val="Heading1"/>
        <w:rPr>
          <w:lang w:val="en-GB"/>
        </w:rPr>
      </w:pPr>
      <w:r>
        <w:rPr>
          <w:lang w:val="en-GB"/>
        </w:rPr>
        <w:lastRenderedPageBreak/>
        <w:t xml:space="preserve">Slide 4 - Company Overview </w:t>
      </w:r>
    </w:p>
    <w:p w14:paraId="72F6762C" w14:textId="77777777" w:rsidR="00AB1A43" w:rsidRDefault="00AB1A43" w:rsidP="00AB1A43">
      <w:pPr>
        <w:jc w:val="center"/>
        <w:rPr>
          <w:lang w:val="en-GB"/>
        </w:rPr>
      </w:pPr>
      <w:r>
        <w:rPr>
          <w:noProof/>
          <w:lang w:eastAsia="en-US"/>
        </w:rPr>
        <w:drawing>
          <wp:inline distT="0" distB="0" distL="0" distR="0" wp14:anchorId="7FDE6906" wp14:editId="126FFD00">
            <wp:extent cx="5943600" cy="4457700"/>
            <wp:effectExtent l="0" t="0" r="0" b="0"/>
            <wp:docPr id="4" name="Picture 4"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190A47BA" w14:textId="77777777" w:rsidTr="00805B5B">
        <w:tc>
          <w:tcPr>
            <w:tcW w:w="9576" w:type="dxa"/>
          </w:tcPr>
          <w:p w14:paraId="74205FDB" w14:textId="1A58272C" w:rsidR="00AB1A43" w:rsidRPr="00F3465B" w:rsidRDefault="00AB1A43" w:rsidP="00805B5B">
            <w:r>
              <w:rPr>
                <w:b/>
                <w:i/>
                <w:lang w:val="en-GB"/>
              </w:rPr>
              <w:t xml:space="preserve"> </w:t>
            </w:r>
            <w:r>
              <w:rPr>
                <w:lang w:val="en-GB"/>
              </w:rPr>
              <w:t xml:space="preserve">Sainsbury falls among the top food supermarket retailers within the UK that had been driving its business since 1869 through their passion for food, which had led them to operate across more than 600 supermarket chains, and more than 800 convenience stores </w:t>
            </w:r>
            <w:proofErr w:type="gramStart"/>
            <w:r>
              <w:rPr>
                <w:lang w:val="en-GB"/>
              </w:rPr>
              <w:t>all across</w:t>
            </w:r>
            <w:proofErr w:type="gramEnd"/>
            <w:r>
              <w:rPr>
                <w:lang w:val="en-GB"/>
              </w:rPr>
              <w:t xml:space="preserve"> the globe. Some of the major brands of the company are known as Argos, Habitat, Tu Nectar, and Sainsbury Bank (</w:t>
            </w:r>
            <w:r w:rsidRPr="00FE7254">
              <w:t>About.sainsburys.co.uk</w:t>
            </w:r>
            <w:r>
              <w:t>, 2021</w:t>
            </w:r>
            <w:r>
              <w:rPr>
                <w:lang w:val="en-GB"/>
              </w:rPr>
              <w:t xml:space="preserve">). John James Sainsbury had founded the business that is currently being supervised under Simon Roberts, Martin Scicluna, and Lord Sainsbury who are the CEO, Chairperson, and Life President of the business respectively. </w:t>
            </w:r>
          </w:p>
        </w:tc>
      </w:tr>
    </w:tbl>
    <w:p w14:paraId="3A6E6517" w14:textId="77777777" w:rsidR="00AB1A43" w:rsidRDefault="00AB1A43" w:rsidP="00AB1A43">
      <w:pPr>
        <w:rPr>
          <w:lang w:val="en-GB"/>
        </w:rPr>
      </w:pPr>
    </w:p>
    <w:p w14:paraId="3828F7E0" w14:textId="77777777" w:rsidR="00AB1A43" w:rsidRDefault="00AB1A43" w:rsidP="00AB1A43">
      <w:pPr>
        <w:rPr>
          <w:lang w:val="en-GB"/>
        </w:rPr>
      </w:pPr>
      <w:r>
        <w:rPr>
          <w:noProof/>
          <w:lang w:val="en-GB"/>
        </w:rPr>
        <w:lastRenderedPageBreak/>
        <w:drawing>
          <wp:inline distT="0" distB="0" distL="0" distR="0" wp14:anchorId="6D49992D" wp14:editId="3B864BAF">
            <wp:extent cx="5943600" cy="4060127"/>
            <wp:effectExtent l="0" t="0" r="0" b="0"/>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060127"/>
                    </a:xfrm>
                    <a:prstGeom prst="rect">
                      <a:avLst/>
                    </a:prstGeom>
                    <a:noFill/>
                    <a:ln>
                      <a:noFill/>
                    </a:ln>
                  </pic:spPr>
                </pic:pic>
              </a:graphicData>
            </a:graphic>
          </wp:inline>
        </w:drawing>
      </w:r>
    </w:p>
    <w:p w14:paraId="16BA2205" w14:textId="77777777" w:rsidR="00AB1A43" w:rsidRDefault="00AB1A43" w:rsidP="00AB1A43">
      <w:pPr>
        <w:rPr>
          <w:lang w:val="en-GB"/>
        </w:rPr>
      </w:pPr>
    </w:p>
    <w:p w14:paraId="7DB7E4E4" w14:textId="77777777" w:rsidR="00AB1A43" w:rsidRDefault="00AB1A43" w:rsidP="00AB1A43">
      <w:pPr>
        <w:rPr>
          <w:lang w:val="en-GB"/>
        </w:rPr>
      </w:pPr>
      <w:r w:rsidRPr="000B7B1D">
        <w:rPr>
          <w:noProof/>
          <w:lang w:val="en-GB"/>
        </w:rPr>
        <mc:AlternateContent>
          <mc:Choice Requires="wps">
            <w:drawing>
              <wp:anchor distT="45720" distB="45720" distL="114300" distR="114300" simplePos="0" relativeHeight="251659264" behindDoc="0" locked="0" layoutInCell="1" allowOverlap="1" wp14:anchorId="2A1247A0" wp14:editId="0A9125E0">
                <wp:simplePos x="0" y="0"/>
                <wp:positionH relativeFrom="margin">
                  <wp:align>center</wp:align>
                </wp:positionH>
                <wp:positionV relativeFrom="paragraph">
                  <wp:posOffset>9525</wp:posOffset>
                </wp:positionV>
                <wp:extent cx="4791075" cy="2190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91075" cy="2190750"/>
                        </a:xfrm>
                        <a:prstGeom prst="rect">
                          <a:avLst/>
                        </a:prstGeom>
                        <a:solidFill>
                          <a:srgbClr val="FFFFFF"/>
                        </a:solidFill>
                        <a:ln w="9525">
                          <a:solidFill>
                            <a:srgbClr val="000000"/>
                          </a:solidFill>
                          <a:miter lim="800000"/>
                          <a:headEnd/>
                          <a:tailEnd/>
                        </a:ln>
                      </wps:spPr>
                      <wps:txbx>
                        <w:txbxContent>
                          <w:p w14:paraId="56DEECA0" w14:textId="5318D5BF" w:rsidR="00AB1A43" w:rsidRPr="00E35052" w:rsidRDefault="00E35052" w:rsidP="00AB1A43">
                            <w:pPr>
                              <w:rPr>
                                <w:rFonts w:ascii="Arial" w:hAnsi="Arial" w:cs="Arial"/>
                              </w:rPr>
                            </w:pPr>
                            <w:r>
                              <w:rPr>
                                <w:rFonts w:ascii="Arial" w:hAnsi="Arial" w:cs="Arial"/>
                              </w:rPr>
                              <w:t xml:space="preserve">     </w:t>
                            </w:r>
                            <w:r w:rsidR="00AB1A43" w:rsidRPr="00E35052">
                              <w:rPr>
                                <w:rFonts w:ascii="Arial" w:hAnsi="Arial" w:cs="Arial"/>
                              </w:rPr>
                              <w:t xml:space="preserve">In 1974, the business established its first forecourt at its Croydon </w:t>
                            </w:r>
                            <w:r w:rsidR="007068B4" w:rsidRPr="00E35052">
                              <w:rPr>
                                <w:rFonts w:ascii="Arial" w:hAnsi="Arial" w:cs="Arial"/>
                              </w:rPr>
                              <w:t>Sava Centre</w:t>
                            </w:r>
                            <w:r w:rsidR="00AB1A43" w:rsidRPr="00E35052">
                              <w:rPr>
                                <w:rFonts w:ascii="Arial" w:hAnsi="Arial" w:cs="Arial"/>
                              </w:rPr>
                              <w:t xml:space="preserve"> hypermarket; the forecourts were originally provided by and branded as Jet stations. [133] Sainsbury's, on the other hand, began operating its own forecourts and sourcing its own gasoline in 1980. BP became the gasoline provider in 2004 and, when practical, operated its forecourts in supermarkets. This agreement expired in 2009, and Sainsbury's regained control of all forecourts and gasoline suppliers.</w:t>
                            </w:r>
                          </w:p>
                          <w:p w14:paraId="4128979B" w14:textId="77777777" w:rsidR="00AB1A43" w:rsidRPr="000B7B1D" w:rsidRDefault="00AB1A43" w:rsidP="00AB1A43"/>
                          <w:p w14:paraId="4D4CFB36" w14:textId="77777777" w:rsidR="00AB1A43" w:rsidRPr="000B7B1D" w:rsidRDefault="00AB1A43" w:rsidP="00AB1A43"/>
                          <w:p w14:paraId="1D4E21A8" w14:textId="77777777" w:rsidR="00AB1A43" w:rsidRDefault="00AB1A43" w:rsidP="00AB1A43">
                            <w:r w:rsidRPr="000B7B1D">
                              <w:t xml:space="preserve"> Sainsbury's also sells gift cards, gift vouchers, and food tokens with credit or value that may be used at any Sainsbury's store via the Sainsbury's Gift Cards and Sainsbury's Business Direct transactional websites. Both items are ineligible for the purchase of certain goods or services. The Present Card website offers the card as a great gift because of the wide variety of items and stores where it may be used. MBL Solutions Ltd's Business Direct website touts the cards as perfect for rewarding and encouraging staff</w:t>
                            </w:r>
                          </w:p>
                          <w:p w14:paraId="596DF81B" w14:textId="77777777" w:rsidR="00AB1A43" w:rsidRDefault="00AB1A43" w:rsidP="00AB1A43"/>
                          <w:p w14:paraId="6AD407FC" w14:textId="77777777" w:rsidR="00AB1A43" w:rsidRDefault="00AB1A43" w:rsidP="00AB1A4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1247A0" id="_x0000_t202" coordsize="21600,21600" o:spt="202" path="m,l,21600r21600,l21600,xe">
                <v:stroke joinstyle="miter"/>
                <v:path gradientshapeok="t" o:connecttype="rect"/>
              </v:shapetype>
              <v:shape id="Text Box 2" o:spid="_x0000_s1026" type="#_x0000_t202" style="position:absolute;left:0;text-align:left;margin-left:0;margin-top:.75pt;width:377.25pt;height:172.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">
                <v:textbox>
                  <w:txbxContent>
                    <w:p w14:paraId="56DEECA0" w14:textId="5318D5BF" w:rsidR="00AB1A43" w:rsidRPr="00E35052" w:rsidRDefault="00E35052" w:rsidP="00AB1A43">
                      <w:pPr>
                        <w:rPr>
                          <w:rFonts w:ascii="Arial" w:hAnsi="Arial" w:cs="Arial"/>
                        </w:rPr>
                      </w:pPr>
                      <w:r>
                        <w:rPr>
                          <w:rFonts w:ascii="Arial" w:hAnsi="Arial" w:cs="Arial"/>
                        </w:rPr>
                        <w:t xml:space="preserve">     </w:t>
                      </w:r>
                      <w:r w:rsidR="00AB1A43" w:rsidRPr="00E35052">
                        <w:rPr>
                          <w:rFonts w:ascii="Arial" w:hAnsi="Arial" w:cs="Arial"/>
                        </w:rPr>
                        <w:t xml:space="preserve">In 1974, the business established its first forecourt at its Croydon </w:t>
                      </w:r>
                      <w:r w:rsidR="007068B4" w:rsidRPr="00E35052">
                        <w:rPr>
                          <w:rFonts w:ascii="Arial" w:hAnsi="Arial" w:cs="Arial"/>
                        </w:rPr>
                        <w:t>Sava Centre</w:t>
                      </w:r>
                      <w:r w:rsidR="00AB1A43" w:rsidRPr="00E35052">
                        <w:rPr>
                          <w:rFonts w:ascii="Arial" w:hAnsi="Arial" w:cs="Arial"/>
                        </w:rPr>
                        <w:t xml:space="preserve"> hypermarket; the forecourts were originally provided by and branded as Jet stations. [133] Sainsbury's, on the other hand, began operating its own forecourts and sourcing its own gasoline in 1980. BP became the gasoline provider in 2004 and, when practical, operated its forecourts in supermarkets. This agreement expired in 2009, and Sainsbury's regained control of all forecourts and gasoline suppliers.</w:t>
                      </w:r>
                    </w:p>
                    <w:p w14:paraId="4128979B" w14:textId="77777777" w:rsidR="00AB1A43" w:rsidRPr="000B7B1D" w:rsidRDefault="00AB1A43" w:rsidP="00AB1A43"/>
                    <w:p w14:paraId="4D4CFB36" w14:textId="77777777" w:rsidR="00AB1A43" w:rsidRPr="000B7B1D" w:rsidRDefault="00AB1A43" w:rsidP="00AB1A43"/>
                    <w:p w14:paraId="1D4E21A8" w14:textId="77777777" w:rsidR="00AB1A43" w:rsidRDefault="00AB1A43" w:rsidP="00AB1A43">
                      <w:r w:rsidRPr="000B7B1D">
                        <w:t xml:space="preserve"> Sainsbury's also sells gift cards, gift vouchers, and food tokens with credit or value that may be used at any Sainsbury's store via the Sainsbury's Gift Cards and Sainsbury's Business Direct transactional websites. Both items are ineligible for the purchase of certain goods or services. The Present Card website offers the card as a great gift because of the wide variety of items and stores where it may be used. MBL Solutions </w:t>
                      </w:r>
                      <w:proofErr w:type="spellStart"/>
                      <w:r w:rsidRPr="000B7B1D">
                        <w:t>Ltd's</w:t>
                      </w:r>
                      <w:proofErr w:type="spellEnd"/>
                      <w:r w:rsidRPr="000B7B1D">
                        <w:t xml:space="preserve"> Business Direct website touts the cards as perfect for rewarding and encouraging staff</w:t>
                      </w:r>
                    </w:p>
                    <w:p w14:paraId="596DF81B" w14:textId="77777777" w:rsidR="00AB1A43" w:rsidRDefault="00AB1A43" w:rsidP="00AB1A43"/>
                    <w:p w14:paraId="6AD407FC" w14:textId="77777777" w:rsidR="00AB1A43" w:rsidRDefault="00AB1A43" w:rsidP="00AB1A43"/>
                  </w:txbxContent>
                </v:textbox>
                <w10:wrap type="square" anchorx="margin"/>
              </v:shape>
            </w:pict>
          </mc:Fallback>
        </mc:AlternateContent>
      </w:r>
    </w:p>
    <w:p w14:paraId="12D4FF2F" w14:textId="77777777" w:rsidR="00AB1A43" w:rsidRPr="005F6382" w:rsidRDefault="00AB1A43" w:rsidP="00AB1A43">
      <w:pPr>
        <w:rPr>
          <w:lang w:val="en-GB"/>
        </w:rPr>
      </w:pPr>
    </w:p>
    <w:p w14:paraId="104E6766" w14:textId="77777777" w:rsidR="00AB1A43" w:rsidRDefault="00AB1A43" w:rsidP="00AB1A43">
      <w:pPr>
        <w:pStyle w:val="Heading1"/>
        <w:rPr>
          <w:lang w:val="en-GB"/>
        </w:rPr>
      </w:pPr>
    </w:p>
    <w:p w14:paraId="2AE165CF" w14:textId="77777777" w:rsidR="00AB1A43" w:rsidRDefault="00AB1A43" w:rsidP="00AB1A43">
      <w:pPr>
        <w:pStyle w:val="Heading1"/>
        <w:rPr>
          <w:lang w:val="en-GB"/>
        </w:rPr>
      </w:pPr>
    </w:p>
    <w:p w14:paraId="240B810E" w14:textId="77777777" w:rsidR="00AB1A43" w:rsidRDefault="00AB1A43" w:rsidP="00AB1A43">
      <w:pPr>
        <w:pStyle w:val="Heading1"/>
        <w:rPr>
          <w:lang w:val="en-GB"/>
        </w:rPr>
      </w:pPr>
      <w:r w:rsidRPr="005F6382">
        <w:rPr>
          <w:lang w:val="en-GB"/>
        </w:rPr>
        <w:t xml:space="preserve">Slide </w:t>
      </w:r>
      <w:r>
        <w:rPr>
          <w:lang w:val="en-GB"/>
        </w:rPr>
        <w:t>5</w:t>
      </w:r>
      <w:r w:rsidRPr="005F6382">
        <w:rPr>
          <w:lang w:val="en-GB"/>
        </w:rPr>
        <w:t xml:space="preserve"> – </w:t>
      </w:r>
      <w:r>
        <w:rPr>
          <w:lang w:val="en-GB"/>
        </w:rPr>
        <w:t>Organis</w:t>
      </w:r>
      <w:r w:rsidRPr="005F6382">
        <w:rPr>
          <w:lang w:val="en-GB"/>
        </w:rPr>
        <w:t xml:space="preserve">ational </w:t>
      </w:r>
      <w:r>
        <w:rPr>
          <w:lang w:val="en-GB"/>
        </w:rPr>
        <w:t xml:space="preserve">objectives to resource planning </w:t>
      </w:r>
    </w:p>
    <w:p w14:paraId="6862BB2B" w14:textId="77777777" w:rsidR="00AB1A43" w:rsidRDefault="00AB1A43" w:rsidP="00AB1A43">
      <w:pPr>
        <w:jc w:val="center"/>
        <w:rPr>
          <w:lang w:val="en-GB"/>
        </w:rPr>
      </w:pPr>
      <w:r>
        <w:rPr>
          <w:noProof/>
          <w:lang w:eastAsia="en-US"/>
        </w:rPr>
        <w:drawing>
          <wp:inline distT="0" distB="0" distL="0" distR="0" wp14:anchorId="6C89F3D8" wp14:editId="035C8A7A">
            <wp:extent cx="5943600" cy="4457700"/>
            <wp:effectExtent l="0" t="0" r="0"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2F8E333E" w14:textId="77777777" w:rsidTr="00805B5B">
        <w:tc>
          <w:tcPr>
            <w:tcW w:w="9576" w:type="dxa"/>
          </w:tcPr>
          <w:p w14:paraId="5722EB6E" w14:textId="64DB4DE8" w:rsidR="00E35052" w:rsidRPr="00E35052" w:rsidRDefault="00E35052" w:rsidP="00805B5B">
            <w:pPr>
              <w:rPr>
                <w:rFonts w:ascii="Arial" w:hAnsi="Arial" w:cs="Arial"/>
                <w:lang w:val="en-GB"/>
              </w:rPr>
            </w:pPr>
            <w:r>
              <w:rPr>
                <w:b/>
                <w:i/>
                <w:lang w:val="en-GB"/>
              </w:rPr>
              <w:t xml:space="preserve">    </w:t>
            </w:r>
            <w:r w:rsidR="00AB1A43" w:rsidRPr="00E35052">
              <w:rPr>
                <w:rFonts w:ascii="Arial" w:hAnsi="Arial" w:cs="Arial"/>
                <w:lang w:val="en-GB"/>
              </w:rPr>
              <w:t xml:space="preserve">Human resource management is an organisational function that also requires planning as the initial stage of function implementation, </w:t>
            </w:r>
            <w:proofErr w:type="gramStart"/>
            <w:r w:rsidR="00AB1A43" w:rsidRPr="00E35052">
              <w:rPr>
                <w:rFonts w:ascii="Arial" w:hAnsi="Arial" w:cs="Arial"/>
                <w:lang w:val="en-GB"/>
              </w:rPr>
              <w:t>similar to</w:t>
            </w:r>
            <w:proofErr w:type="gramEnd"/>
            <w:r w:rsidR="00AB1A43" w:rsidRPr="00E35052">
              <w:rPr>
                <w:rFonts w:ascii="Arial" w:hAnsi="Arial" w:cs="Arial"/>
                <w:lang w:val="en-GB"/>
              </w:rPr>
              <w:t xml:space="preserve"> that of other functions such as marketing, production, supply chain, and others. According to the one of the objectives of the Sainsbury, the organisation considers that they operate within the business of looking after their biggest asset, which is “our people” (</w:t>
            </w:r>
            <w:r w:rsidR="00AB1A43" w:rsidRPr="00E35052">
              <w:rPr>
                <w:rFonts w:ascii="Arial" w:hAnsi="Arial" w:cs="Arial"/>
              </w:rPr>
              <w:t>Sainsbury's Careers, 2021</w:t>
            </w:r>
            <w:r w:rsidR="00AB1A43" w:rsidRPr="00E35052">
              <w:rPr>
                <w:rFonts w:ascii="Arial" w:hAnsi="Arial" w:cs="Arial"/>
                <w:lang w:val="en-GB"/>
              </w:rPr>
              <w:t xml:space="preserve">). From the statement, </w:t>
            </w:r>
            <w:proofErr w:type="gramStart"/>
            <w:r w:rsidR="00AB1A43" w:rsidRPr="00E35052">
              <w:rPr>
                <w:rFonts w:ascii="Arial" w:hAnsi="Arial" w:cs="Arial"/>
                <w:lang w:val="en-GB"/>
              </w:rPr>
              <w:t>it can be seen that the</w:t>
            </w:r>
            <w:proofErr w:type="gramEnd"/>
            <w:r w:rsidR="00AB1A43" w:rsidRPr="00E35052">
              <w:rPr>
                <w:rFonts w:ascii="Arial" w:hAnsi="Arial" w:cs="Arial"/>
                <w:lang w:val="en-GB"/>
              </w:rPr>
              <w:t xml:space="preserve"> company values human resources the most compared to other monetary and non-monetary resources that are included within its business operations. The resource planning process oversees how far the objective mentioned above is integrated within the business so that the company </w:t>
            </w:r>
            <w:proofErr w:type="gramStart"/>
            <w:r w:rsidR="00AB1A43" w:rsidRPr="00E35052">
              <w:rPr>
                <w:rFonts w:ascii="Arial" w:hAnsi="Arial" w:cs="Arial"/>
                <w:lang w:val="en-GB"/>
              </w:rPr>
              <w:t>as a whole is</w:t>
            </w:r>
            <w:proofErr w:type="gramEnd"/>
            <w:r w:rsidR="00AB1A43" w:rsidRPr="00E35052">
              <w:rPr>
                <w:rFonts w:ascii="Arial" w:hAnsi="Arial" w:cs="Arial"/>
                <w:lang w:val="en-GB"/>
              </w:rPr>
              <w:t xml:space="preserve"> able to take care of its employees and teams properly. Thus, with the help of strategies to meet the objective mentioned, the company initiates human resource actions such as recruitment, selection, training, performance management and so on. </w:t>
            </w:r>
          </w:p>
          <w:p w14:paraId="5718BC9C" w14:textId="77777777" w:rsidR="00E35052" w:rsidRPr="00E35052" w:rsidRDefault="00E35052" w:rsidP="00805B5B">
            <w:pPr>
              <w:rPr>
                <w:rFonts w:ascii="Arial" w:hAnsi="Arial" w:cs="Arial"/>
                <w:lang w:val="en-GB"/>
              </w:rPr>
            </w:pPr>
          </w:p>
          <w:p w14:paraId="44EE754A" w14:textId="77777777" w:rsidR="00E35052" w:rsidRDefault="00E35052" w:rsidP="00805B5B">
            <w:pPr>
              <w:rPr>
                <w:lang w:val="en-GB"/>
              </w:rPr>
            </w:pPr>
          </w:p>
          <w:p w14:paraId="79C778D6" w14:textId="77777777" w:rsidR="00E35052" w:rsidRDefault="00E35052" w:rsidP="00805B5B">
            <w:pPr>
              <w:rPr>
                <w:lang w:val="en-GB"/>
              </w:rPr>
            </w:pPr>
          </w:p>
          <w:p w14:paraId="157C2CF5" w14:textId="77777777" w:rsidR="00E35052" w:rsidRDefault="00E35052" w:rsidP="00805B5B">
            <w:pPr>
              <w:rPr>
                <w:lang w:val="en-GB"/>
              </w:rPr>
            </w:pPr>
          </w:p>
          <w:p w14:paraId="2EB34C98" w14:textId="2B48CB8B" w:rsidR="00AB1A43" w:rsidRPr="00E35052" w:rsidRDefault="00E35052" w:rsidP="00805B5B">
            <w:pPr>
              <w:rPr>
                <w:rFonts w:ascii="Arial" w:hAnsi="Arial" w:cs="Arial"/>
              </w:rPr>
            </w:pPr>
            <w:r>
              <w:rPr>
                <w:rFonts w:ascii="Arial" w:hAnsi="Arial" w:cs="Arial"/>
                <w:lang w:val="en-GB"/>
              </w:rPr>
              <w:lastRenderedPageBreak/>
              <w:t xml:space="preserve">     </w:t>
            </w:r>
            <w:r w:rsidR="00AB1A43" w:rsidRPr="00E35052">
              <w:rPr>
                <w:rFonts w:ascii="Arial" w:hAnsi="Arial" w:cs="Arial"/>
                <w:lang w:val="en-GB"/>
              </w:rPr>
              <w:t>Resource planning allows the company to pay a pivotal role in overall organisational planning, as the process allows integration of right number and right kind of talents in different departments of the company (</w:t>
            </w:r>
            <w:r w:rsidR="00AB1A43" w:rsidRPr="00E35052">
              <w:rPr>
                <w:rFonts w:ascii="Arial" w:hAnsi="Arial" w:cs="Arial"/>
              </w:rPr>
              <w:t>al Habibi, 2019</w:t>
            </w:r>
            <w:r w:rsidR="00AB1A43" w:rsidRPr="00E35052">
              <w:rPr>
                <w:rFonts w:ascii="Arial" w:hAnsi="Arial" w:cs="Arial"/>
                <w:lang w:val="en-GB"/>
              </w:rPr>
              <w:t xml:space="preserve">). Hence, it can be said that resource-planning process helps Sainsbury to decide how valuable employees can be on boarded within the company’s premises </w:t>
            </w:r>
            <w:proofErr w:type="gramStart"/>
            <w:r w:rsidR="00AB1A43" w:rsidRPr="00E35052">
              <w:rPr>
                <w:rFonts w:ascii="Arial" w:hAnsi="Arial" w:cs="Arial"/>
                <w:lang w:val="en-GB"/>
              </w:rPr>
              <w:t>in order to</w:t>
            </w:r>
            <w:proofErr w:type="gramEnd"/>
            <w:r w:rsidR="00AB1A43" w:rsidRPr="00E35052">
              <w:rPr>
                <w:rFonts w:ascii="Arial" w:hAnsi="Arial" w:cs="Arial"/>
                <w:lang w:val="en-GB"/>
              </w:rPr>
              <w:t xml:space="preserve"> contribute towards other business objectives.</w:t>
            </w:r>
          </w:p>
        </w:tc>
      </w:tr>
    </w:tbl>
    <w:p w14:paraId="7D50AB0F" w14:textId="77777777" w:rsidR="00AB1A43" w:rsidRPr="00FE7254" w:rsidRDefault="00AB1A43" w:rsidP="00AB1A43">
      <w:pPr>
        <w:rPr>
          <w:lang w:val="en-GB"/>
        </w:rPr>
      </w:pPr>
    </w:p>
    <w:p w14:paraId="1ABF60FA" w14:textId="77777777" w:rsidR="00AB1A43" w:rsidRDefault="00AB1A43" w:rsidP="00AB1A43">
      <w:pPr>
        <w:spacing w:after="200" w:line="276" w:lineRule="auto"/>
        <w:jc w:val="left"/>
        <w:rPr>
          <w:b/>
          <w:color w:val="0E101A"/>
          <w:kern w:val="36"/>
          <w:szCs w:val="48"/>
          <w:lang w:val="en-GB"/>
        </w:rPr>
      </w:pPr>
      <w:r>
        <w:rPr>
          <w:lang w:val="en-GB"/>
        </w:rPr>
        <w:br w:type="page"/>
      </w:r>
    </w:p>
    <w:p w14:paraId="3AF81A7B" w14:textId="77777777" w:rsidR="00AB1A43" w:rsidRDefault="00AB1A43" w:rsidP="00AB1A43">
      <w:pPr>
        <w:pStyle w:val="Heading1"/>
        <w:rPr>
          <w:lang w:val="en-GB"/>
        </w:rPr>
      </w:pPr>
      <w:r>
        <w:rPr>
          <w:lang w:val="en-GB"/>
        </w:rPr>
        <w:lastRenderedPageBreak/>
        <w:t xml:space="preserve">Slide 6 – Evolution of HR planning process in Sainsbury </w:t>
      </w:r>
    </w:p>
    <w:p w14:paraId="5B1CBB58" w14:textId="77777777" w:rsidR="00AB1A43" w:rsidRDefault="00AB1A43" w:rsidP="00AB1A43">
      <w:pPr>
        <w:jc w:val="center"/>
        <w:rPr>
          <w:lang w:val="en-GB"/>
        </w:rPr>
      </w:pPr>
      <w:r>
        <w:rPr>
          <w:noProof/>
          <w:lang w:eastAsia="en-US"/>
        </w:rPr>
        <w:drawing>
          <wp:inline distT="0" distB="0" distL="0" distR="0" wp14:anchorId="1039181B" wp14:editId="795E769B">
            <wp:extent cx="5943600" cy="44577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1A187AE2" w14:textId="77777777" w:rsidTr="00805B5B">
        <w:tc>
          <w:tcPr>
            <w:tcW w:w="9576" w:type="dxa"/>
          </w:tcPr>
          <w:p w14:paraId="29963596" w14:textId="77777777" w:rsidR="00545B49" w:rsidRDefault="00E35052" w:rsidP="00805B5B">
            <w:pPr>
              <w:rPr>
                <w:rFonts w:ascii="Arial" w:hAnsi="Arial" w:cs="Arial"/>
                <w:lang w:val="en-GB"/>
              </w:rPr>
            </w:pPr>
            <w:r w:rsidRPr="00545B49">
              <w:rPr>
                <w:rFonts w:ascii="Arial" w:hAnsi="Arial" w:cs="Arial"/>
                <w:b/>
                <w:i/>
                <w:lang w:val="en-GB"/>
              </w:rPr>
              <w:t xml:space="preserve">   </w:t>
            </w:r>
            <w:r w:rsidR="00545B49" w:rsidRPr="00545B49">
              <w:rPr>
                <w:rFonts w:ascii="Arial" w:hAnsi="Arial" w:cs="Arial"/>
                <w:b/>
                <w:i/>
                <w:lang w:val="en-GB"/>
              </w:rPr>
              <w:t xml:space="preserve">    </w:t>
            </w:r>
            <w:r w:rsidR="00AB1A43" w:rsidRPr="00545B49">
              <w:rPr>
                <w:rFonts w:ascii="Arial" w:hAnsi="Arial" w:cs="Arial"/>
                <w:lang w:val="en-GB"/>
              </w:rPr>
              <w:t xml:space="preserve">HR planning process within Sainsbury is evolving with time and is </w:t>
            </w:r>
            <w:proofErr w:type="gramStart"/>
            <w:r w:rsidR="00AB1A43" w:rsidRPr="00545B49">
              <w:rPr>
                <w:rFonts w:ascii="Arial" w:hAnsi="Arial" w:cs="Arial"/>
                <w:lang w:val="en-GB"/>
              </w:rPr>
              <w:t>similar to</w:t>
            </w:r>
            <w:proofErr w:type="gramEnd"/>
            <w:r w:rsidR="00AB1A43" w:rsidRPr="00545B49">
              <w:rPr>
                <w:rFonts w:ascii="Arial" w:hAnsi="Arial" w:cs="Arial"/>
                <w:lang w:val="en-GB"/>
              </w:rPr>
              <w:t xml:space="preserve"> the concept of “workforce planning”, which is being readily adopted within innovative organisations all across the globe. The current workforce planning process replaces the traditional planning implications of HR planning operation, as workforce planning allows organisation to analyse the current state and performance across workplace and prepare the business for future staffing needs. The company is adopting measures within its resource planning process that would allow it is the entire HR department to become </w:t>
            </w:r>
            <w:proofErr w:type="gramStart"/>
            <w:r w:rsidR="00AB1A43" w:rsidRPr="00545B49">
              <w:rPr>
                <w:rFonts w:ascii="Arial" w:hAnsi="Arial" w:cs="Arial"/>
                <w:lang w:val="en-GB"/>
              </w:rPr>
              <w:t>agile, and</w:t>
            </w:r>
            <w:proofErr w:type="gramEnd"/>
            <w:r w:rsidR="00AB1A43" w:rsidRPr="00545B49">
              <w:rPr>
                <w:rFonts w:ascii="Arial" w:hAnsi="Arial" w:cs="Arial"/>
                <w:lang w:val="en-GB"/>
              </w:rPr>
              <w:t xml:space="preserve"> achieve faster decision-making through innovative means of collaboration (</w:t>
            </w:r>
            <w:r w:rsidR="00AB1A43" w:rsidRPr="00545B49">
              <w:rPr>
                <w:rFonts w:ascii="Arial" w:hAnsi="Arial" w:cs="Arial"/>
              </w:rPr>
              <w:t>Aluko and Knight, 2017</w:t>
            </w:r>
            <w:r w:rsidR="00AB1A43" w:rsidRPr="00545B49">
              <w:rPr>
                <w:rFonts w:ascii="Arial" w:hAnsi="Arial" w:cs="Arial"/>
                <w:lang w:val="en-GB"/>
              </w:rPr>
              <w:t xml:space="preserve">). Resource planning is expected to become strategic by nature so that HR function as a whole contributes </w:t>
            </w:r>
            <w:proofErr w:type="gramStart"/>
            <w:r w:rsidR="00AB1A43" w:rsidRPr="00545B49">
              <w:rPr>
                <w:rFonts w:ascii="Arial" w:hAnsi="Arial" w:cs="Arial"/>
                <w:lang w:val="en-GB"/>
              </w:rPr>
              <w:t>in</w:t>
            </w:r>
            <w:proofErr w:type="gramEnd"/>
            <w:r w:rsidR="00AB1A43" w:rsidRPr="00545B49">
              <w:rPr>
                <w:rFonts w:ascii="Arial" w:hAnsi="Arial" w:cs="Arial"/>
                <w:lang w:val="en-GB"/>
              </w:rPr>
              <w:t xml:space="preserve"> assistance that is required to guide the business through future disruptions. Sainsbury is adopting measures </w:t>
            </w:r>
            <w:proofErr w:type="gramStart"/>
            <w:r w:rsidR="00AB1A43" w:rsidRPr="00545B49">
              <w:rPr>
                <w:rFonts w:ascii="Arial" w:hAnsi="Arial" w:cs="Arial"/>
                <w:lang w:val="en-GB"/>
              </w:rPr>
              <w:t>similar to</w:t>
            </w:r>
            <w:proofErr w:type="gramEnd"/>
            <w:r w:rsidR="00AB1A43" w:rsidRPr="00545B49">
              <w:rPr>
                <w:rFonts w:ascii="Arial" w:hAnsi="Arial" w:cs="Arial"/>
                <w:lang w:val="en-GB"/>
              </w:rPr>
              <w:t xml:space="preserve"> that of HR centre of excellence (COEs) within its planning operation in order to boost knowledge development for HR experts so that best practices can be planned in accordance to current as well as future gaps in the company (</w:t>
            </w:r>
            <w:r w:rsidR="00AB1A43" w:rsidRPr="00545B49">
              <w:rPr>
                <w:rFonts w:ascii="Arial" w:hAnsi="Arial" w:cs="Arial"/>
              </w:rPr>
              <w:t>Sainsbury's Careers, 2021</w:t>
            </w:r>
            <w:r w:rsidR="00AB1A43" w:rsidRPr="00545B49">
              <w:rPr>
                <w:rFonts w:ascii="Arial" w:hAnsi="Arial" w:cs="Arial"/>
                <w:lang w:val="en-GB"/>
              </w:rPr>
              <w:t>).</w:t>
            </w:r>
          </w:p>
          <w:p w14:paraId="4758EA86" w14:textId="77777777" w:rsidR="00545B49" w:rsidRDefault="00545B49" w:rsidP="00805B5B">
            <w:pPr>
              <w:rPr>
                <w:rFonts w:ascii="Arial" w:hAnsi="Arial" w:cs="Arial"/>
                <w:lang w:val="en-GB"/>
              </w:rPr>
            </w:pPr>
          </w:p>
          <w:p w14:paraId="18D4C8CE" w14:textId="77777777" w:rsidR="00545B49" w:rsidRDefault="00545B49" w:rsidP="00805B5B">
            <w:pPr>
              <w:rPr>
                <w:rFonts w:ascii="Arial" w:hAnsi="Arial" w:cs="Arial"/>
                <w:lang w:val="en-GB"/>
              </w:rPr>
            </w:pPr>
          </w:p>
          <w:p w14:paraId="41CA6FCB" w14:textId="77777777" w:rsidR="00545B49" w:rsidRDefault="00545B49" w:rsidP="00805B5B">
            <w:pPr>
              <w:rPr>
                <w:rFonts w:ascii="Arial" w:hAnsi="Arial" w:cs="Arial"/>
                <w:lang w:val="en-GB"/>
              </w:rPr>
            </w:pPr>
          </w:p>
          <w:p w14:paraId="784C16ED" w14:textId="36284421" w:rsidR="00AB1A43" w:rsidRPr="00545B49" w:rsidRDefault="00AB1A43" w:rsidP="00805B5B">
            <w:pPr>
              <w:rPr>
                <w:rFonts w:ascii="Arial" w:hAnsi="Arial" w:cs="Arial"/>
                <w:lang w:val="en-GB"/>
              </w:rPr>
            </w:pPr>
            <w:r w:rsidRPr="00545B49">
              <w:rPr>
                <w:rFonts w:ascii="Arial" w:hAnsi="Arial" w:cs="Arial"/>
                <w:lang w:val="en-GB"/>
              </w:rPr>
              <w:lastRenderedPageBreak/>
              <w:t xml:space="preserve"> The leadership that is required to manage the interests of human resources is being separated from the overall business leadership by developing HR business partners that would work independently as HR leadership. The concept of involving HR business partners within the company shall allow HR professionals to maintain a bridge between HR leadership and business leadership.</w:t>
            </w:r>
          </w:p>
        </w:tc>
      </w:tr>
    </w:tbl>
    <w:p w14:paraId="382F0273" w14:textId="77777777" w:rsidR="00AB1A43" w:rsidRPr="00FE7254" w:rsidRDefault="00AB1A43" w:rsidP="00AB1A43">
      <w:pPr>
        <w:rPr>
          <w:lang w:val="en-GB"/>
        </w:rPr>
      </w:pPr>
    </w:p>
    <w:p w14:paraId="7E7DC127" w14:textId="77777777" w:rsidR="00AB1A43" w:rsidRDefault="00AB1A43" w:rsidP="00AB1A43">
      <w:pPr>
        <w:spacing w:after="200" w:line="276" w:lineRule="auto"/>
        <w:jc w:val="left"/>
        <w:rPr>
          <w:b/>
          <w:color w:val="0E101A"/>
          <w:kern w:val="36"/>
          <w:szCs w:val="48"/>
          <w:lang w:val="en-GB"/>
        </w:rPr>
      </w:pPr>
      <w:r>
        <w:rPr>
          <w:lang w:val="en-GB"/>
        </w:rPr>
        <w:br w:type="page"/>
      </w:r>
    </w:p>
    <w:p w14:paraId="3967EB08" w14:textId="77777777" w:rsidR="00AB1A43" w:rsidRDefault="00AB1A43" w:rsidP="00AB1A43">
      <w:pPr>
        <w:pStyle w:val="Heading1"/>
      </w:pPr>
      <w:r>
        <w:rPr>
          <w:lang w:val="en-GB"/>
        </w:rPr>
        <w:lastRenderedPageBreak/>
        <w:t>Slide 7 - Organis</w:t>
      </w:r>
      <w:r w:rsidRPr="005F6382">
        <w:rPr>
          <w:lang w:val="en-GB"/>
        </w:rPr>
        <w:t xml:space="preserve">ational </w:t>
      </w:r>
      <w:r>
        <w:rPr>
          <w:lang w:val="en-GB"/>
        </w:rPr>
        <w:t xml:space="preserve">objectives to </w:t>
      </w:r>
      <w:r>
        <w:t xml:space="preserve">recruitment </w:t>
      </w:r>
    </w:p>
    <w:p w14:paraId="62B0611B" w14:textId="77777777" w:rsidR="00AB1A43" w:rsidRDefault="00AB1A43" w:rsidP="00AB1A43">
      <w:pPr>
        <w:jc w:val="center"/>
        <w:rPr>
          <w:lang w:val="en-GB"/>
        </w:rPr>
      </w:pPr>
      <w:r>
        <w:rPr>
          <w:noProof/>
          <w:lang w:eastAsia="en-US"/>
        </w:rPr>
        <w:drawing>
          <wp:inline distT="0" distB="0" distL="0" distR="0" wp14:anchorId="37F91E5B" wp14:editId="6B0E613F">
            <wp:extent cx="5943600" cy="44577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05576C5E" w14:textId="77777777" w:rsidTr="00805B5B">
        <w:tc>
          <w:tcPr>
            <w:tcW w:w="9576" w:type="dxa"/>
          </w:tcPr>
          <w:p w14:paraId="238A226D" w14:textId="01761C05" w:rsidR="00AB1A43" w:rsidRPr="00545B49" w:rsidRDefault="007068B4" w:rsidP="00805B5B">
            <w:pPr>
              <w:rPr>
                <w:rFonts w:ascii="Arial" w:hAnsi="Arial" w:cs="Arial"/>
              </w:rPr>
            </w:pPr>
            <w:r>
              <w:rPr>
                <w:rFonts w:ascii="Arial" w:hAnsi="Arial" w:cs="Arial"/>
                <w:lang w:val="en-GB"/>
              </w:rPr>
              <w:t xml:space="preserve">     </w:t>
            </w:r>
            <w:r w:rsidR="00AB1A43" w:rsidRPr="00545B49">
              <w:rPr>
                <w:rFonts w:ascii="Arial" w:hAnsi="Arial" w:cs="Arial"/>
                <w:lang w:val="en-GB"/>
              </w:rPr>
              <w:t xml:space="preserve">HR recruiters within Sainsbury follow the HR planning objective that had been stated previously. Recruitment process within the firm are responsible in </w:t>
            </w:r>
            <w:proofErr w:type="gramStart"/>
            <w:r w:rsidR="00AB1A43" w:rsidRPr="00545B49">
              <w:rPr>
                <w:rFonts w:ascii="Arial" w:hAnsi="Arial" w:cs="Arial"/>
                <w:lang w:val="en-GB"/>
              </w:rPr>
              <w:t>bringing  people</w:t>
            </w:r>
            <w:proofErr w:type="gramEnd"/>
            <w:r w:rsidR="00AB1A43" w:rsidRPr="00545B49">
              <w:rPr>
                <w:rFonts w:ascii="Arial" w:hAnsi="Arial" w:cs="Arial"/>
                <w:lang w:val="en-GB"/>
              </w:rPr>
              <w:t xml:space="preserve"> at workplace that have qualities such as being sparky, funny, graft and grit  (</w:t>
            </w:r>
            <w:r w:rsidR="00AB1A43" w:rsidRPr="00545B49">
              <w:rPr>
                <w:rFonts w:ascii="Arial" w:hAnsi="Arial" w:cs="Arial"/>
              </w:rPr>
              <w:t>Sainsbury's Careers, 2021</w:t>
            </w:r>
            <w:r w:rsidR="00AB1A43" w:rsidRPr="00545B49">
              <w:rPr>
                <w:rFonts w:ascii="Arial" w:hAnsi="Arial" w:cs="Arial"/>
                <w:lang w:val="en-GB"/>
              </w:rPr>
              <w:t>). The recruitment aspect of HR process within the business is carried out through the centre of excellence teams within the Reward and Recruitment department (</w:t>
            </w:r>
            <w:r w:rsidR="00AB1A43" w:rsidRPr="00545B49">
              <w:rPr>
                <w:rFonts w:ascii="Arial" w:hAnsi="Arial" w:cs="Arial"/>
              </w:rPr>
              <w:t>Sainsbury's Careers, 2021</w:t>
            </w:r>
            <w:r w:rsidR="00AB1A43" w:rsidRPr="00545B49">
              <w:rPr>
                <w:rFonts w:ascii="Arial" w:hAnsi="Arial" w:cs="Arial"/>
                <w:lang w:val="en-GB"/>
              </w:rPr>
              <w:t>). Alongside the objective mentioned above, recruitment is backed with other objectives such as talent pool creation, attracting and engaging top talents, quality improvement in hiring process, and others (</w:t>
            </w:r>
            <w:r w:rsidR="00AB1A43" w:rsidRPr="00545B49">
              <w:rPr>
                <w:rFonts w:ascii="Arial" w:hAnsi="Arial" w:cs="Arial"/>
              </w:rPr>
              <w:t>Jones and Comfort, 2021</w:t>
            </w:r>
            <w:r w:rsidR="00AB1A43" w:rsidRPr="00545B49">
              <w:rPr>
                <w:rFonts w:ascii="Arial" w:hAnsi="Arial" w:cs="Arial"/>
                <w:lang w:val="en-GB"/>
              </w:rPr>
              <w:t>). During pandemic period, extra considerations were projected to how well employees are recruited within the remote team, so that team performance and workforce integrity amidst covid-19 do not pose threats on company’s productivity. Each of the objectives of recruitment mentioned above the COE teams and recruitment department ensures that innovative approaches are undertaken so that new and productive ideas based on external environment can assist in elimination of challenges while operating in accordance with the objectives. Vacancies are advertised across the company’s website based on current requirement of professionals within specific departments. Online recruitment and hiring process is preferred within the company so that the business is served with a benefit of recruitment talented employees from a large talent pool.</w:t>
            </w:r>
          </w:p>
        </w:tc>
      </w:tr>
    </w:tbl>
    <w:p w14:paraId="05E5118B" w14:textId="77777777" w:rsidR="00AB1A43" w:rsidRDefault="00AB1A43" w:rsidP="00AB1A43">
      <w:pPr>
        <w:rPr>
          <w:lang w:val="en-GB"/>
        </w:rPr>
      </w:pPr>
    </w:p>
    <w:p w14:paraId="3FDEA83C" w14:textId="77777777" w:rsidR="00AB1A43" w:rsidRDefault="00AB1A43" w:rsidP="00AB1A43">
      <w:pPr>
        <w:rPr>
          <w:lang w:val="en-GB"/>
        </w:rPr>
      </w:pPr>
      <w:r w:rsidRPr="000B7B1D">
        <w:rPr>
          <w:noProof/>
          <w:lang w:val="en-GB"/>
        </w:rPr>
        <mc:AlternateContent>
          <mc:Choice Requires="wps">
            <w:drawing>
              <wp:anchor distT="45720" distB="45720" distL="114300" distR="114300" simplePos="0" relativeHeight="251660288" behindDoc="0" locked="0" layoutInCell="1" allowOverlap="1" wp14:anchorId="21B5A613" wp14:editId="50B0E7DD">
                <wp:simplePos x="0" y="0"/>
                <wp:positionH relativeFrom="column">
                  <wp:posOffset>266700</wp:posOffset>
                </wp:positionH>
                <wp:positionV relativeFrom="paragraph">
                  <wp:posOffset>5067300</wp:posOffset>
                </wp:positionV>
                <wp:extent cx="5657850" cy="1404620"/>
                <wp:effectExtent l="0" t="0" r="19050" b="1016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57850" cy="1404620"/>
                        </a:xfrm>
                        <a:prstGeom prst="rect">
                          <a:avLst/>
                        </a:prstGeom>
                        <a:solidFill>
                          <a:srgbClr val="FFFFFF"/>
                        </a:solidFill>
                        <a:ln w="9525">
                          <a:solidFill>
                            <a:srgbClr val="000000"/>
                          </a:solidFill>
                          <a:miter lim="800000"/>
                          <a:headEnd/>
                          <a:tailEnd/>
                        </a:ln>
                      </wps:spPr>
                      <wps:txbx>
                        <w:txbxContent>
                          <w:p w14:paraId="27595720" w14:textId="41F95FD2" w:rsidR="00AB1A43" w:rsidRPr="00FB196F" w:rsidRDefault="00FB196F" w:rsidP="00AB1A43">
                            <w:pPr>
                              <w:rPr>
                                <w:rFonts w:ascii="Arial" w:hAnsi="Arial" w:cs="Arial"/>
                              </w:rPr>
                            </w:pPr>
                            <w:r>
                              <w:rPr>
                                <w:rFonts w:ascii="Arial" w:hAnsi="Arial" w:cs="Arial"/>
                              </w:rPr>
                              <w:t xml:space="preserve">      </w:t>
                            </w:r>
                            <w:r w:rsidR="00AB1A43" w:rsidRPr="00FB196F">
                              <w:rPr>
                                <w:rFonts w:ascii="Arial" w:hAnsi="Arial" w:cs="Arial"/>
                              </w:rPr>
                              <w:t xml:space="preserve">Sainsbury's was scolded in May 2017 for removing the Fairtrade badge from tea, which was criticized by groups such as Oxfam. According to Oxfam, it's unclear how Sainsbury's own standards would be greater than Marque's. This shift, according to the MD of Divine Chocolate, an ethical trade firm owned in part by tens of thousands of Ghanaian cocoa farmers, is tilting the balance back in favor of retailers. Customers questioned the necessity to wrap coconuts with plastic film in January 2018, prompting CEO Mike Coupe to announce that he will look into the </w:t>
                            </w:r>
                            <w:r w:rsidR="00AB1A43" w:rsidRPr="00FB196F">
                              <w:rPr>
                                <w:rFonts w:ascii="Arial" w:hAnsi="Arial" w:cs="Arial"/>
                              </w:rPr>
                              <w:t>matter.In a 2006 investigation, the British anti-poverty organisation War on Want criticized the working conditions of Kenyan cut flower suppliers to Sainsbury's.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B5A613" id="_x0000_s1027" type="#_x0000_t202" style="position:absolute;left:0;text-align:left;margin-left:21pt;margin-top:399pt;width:445.5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">
                <v:textbox style="mso-fit-shape-to-text:t">
                  <w:txbxContent>
                    <w:p w14:paraId="27595720" w14:textId="41F95FD2" w:rsidR="00AB1A43" w:rsidRPr="00FB196F" w:rsidRDefault="00FB196F" w:rsidP="00AB1A43">
                      <w:pPr>
                        <w:rPr>
                          <w:rFonts w:ascii="Arial" w:hAnsi="Arial" w:cs="Arial"/>
                        </w:rPr>
                      </w:pPr>
                      <w:r>
                        <w:rPr>
                          <w:rFonts w:ascii="Arial" w:hAnsi="Arial" w:cs="Arial"/>
                        </w:rPr>
                        <w:t xml:space="preserve">      </w:t>
                      </w:r>
                      <w:r w:rsidR="00AB1A43" w:rsidRPr="00FB196F">
                        <w:rPr>
                          <w:rFonts w:ascii="Arial" w:hAnsi="Arial" w:cs="Arial"/>
                        </w:rPr>
                        <w:t xml:space="preserve">Sainsbury's was scolded in May 2017 for removing the Fairtrade badge from tea, which was criticized by groups such as Oxfam. According to Oxfam, it's unclear how Sainsbury's own standards would be greater than Marque's. This shift, according to the MD of Divine Chocolate, an ethical trade firm owned in part by tens of thousands of Ghanaian cocoa farmers, is tilting the balance back in favor of retailers. Customers questioned the necessity to wrap coconuts with plastic film in January 2018, prompting CEO Mike Coupe to announce that he will look into the </w:t>
                      </w:r>
                      <w:proofErr w:type="spellStart"/>
                      <w:proofErr w:type="gramStart"/>
                      <w:r w:rsidR="00AB1A43" w:rsidRPr="00FB196F">
                        <w:rPr>
                          <w:rFonts w:ascii="Arial" w:hAnsi="Arial" w:cs="Arial"/>
                        </w:rPr>
                        <w:t>matter.In</w:t>
                      </w:r>
                      <w:proofErr w:type="spellEnd"/>
                      <w:proofErr w:type="gramEnd"/>
                      <w:r w:rsidR="00AB1A43" w:rsidRPr="00FB196F">
                        <w:rPr>
                          <w:rFonts w:ascii="Arial" w:hAnsi="Arial" w:cs="Arial"/>
                        </w:rPr>
                        <w:t xml:space="preserve"> a 2006 investigation, the British anti-poverty </w:t>
                      </w:r>
                      <w:proofErr w:type="spellStart"/>
                      <w:r w:rsidR="00AB1A43" w:rsidRPr="00FB196F">
                        <w:rPr>
                          <w:rFonts w:ascii="Arial" w:hAnsi="Arial" w:cs="Arial"/>
                        </w:rPr>
                        <w:t>organisation</w:t>
                      </w:r>
                      <w:proofErr w:type="spellEnd"/>
                      <w:r w:rsidR="00AB1A43" w:rsidRPr="00FB196F">
                        <w:rPr>
                          <w:rFonts w:ascii="Arial" w:hAnsi="Arial" w:cs="Arial"/>
                        </w:rPr>
                        <w:t xml:space="preserve"> War on Want criticized the working conditions of Kenyan cut flower suppliers to Sainsbury's.</w:t>
                      </w:r>
                    </w:p>
                  </w:txbxContent>
                </v:textbox>
                <w10:wrap type="square"/>
              </v:shape>
            </w:pict>
          </mc:Fallback>
        </mc:AlternateContent>
      </w:r>
      <w:r>
        <w:rPr>
          <w:noProof/>
          <w:lang w:val="en-GB"/>
        </w:rPr>
        <w:drawing>
          <wp:inline distT="0" distB="0" distL="0" distR="0" wp14:anchorId="2DBBF5A2" wp14:editId="1ECB145B">
            <wp:extent cx="5972175" cy="4479131"/>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80273" cy="4485205"/>
                    </a:xfrm>
                    <a:prstGeom prst="rect">
                      <a:avLst/>
                    </a:prstGeom>
                    <a:noFill/>
                    <a:ln>
                      <a:noFill/>
                    </a:ln>
                  </pic:spPr>
                </pic:pic>
              </a:graphicData>
            </a:graphic>
          </wp:inline>
        </w:drawing>
      </w:r>
    </w:p>
    <w:p w14:paraId="5BE8DC1D" w14:textId="77777777" w:rsidR="00AB1A43" w:rsidRPr="00FE7254" w:rsidRDefault="00AB1A43" w:rsidP="00AB1A43">
      <w:pPr>
        <w:rPr>
          <w:lang w:val="en-GB"/>
        </w:rPr>
      </w:pPr>
    </w:p>
    <w:p w14:paraId="0F5127F8" w14:textId="77777777" w:rsidR="00AB1A43" w:rsidRDefault="00AB1A43" w:rsidP="00AB1A43">
      <w:pPr>
        <w:pStyle w:val="Heading1"/>
      </w:pPr>
      <w:r>
        <w:rPr>
          <w:noProof/>
        </w:rPr>
        <w:lastRenderedPageBreak/>
        <w:drawing>
          <wp:inline distT="0" distB="0" distL="0" distR="0" wp14:anchorId="6FD8ABFD" wp14:editId="664B0D4E">
            <wp:extent cx="6153150" cy="4639024"/>
            <wp:effectExtent l="0" t="0" r="0" b="952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58700" cy="4643208"/>
                    </a:xfrm>
                    <a:prstGeom prst="rect">
                      <a:avLst/>
                    </a:prstGeom>
                    <a:noFill/>
                    <a:ln>
                      <a:noFill/>
                    </a:ln>
                  </pic:spPr>
                </pic:pic>
              </a:graphicData>
            </a:graphic>
          </wp:inline>
        </w:drawing>
      </w:r>
    </w:p>
    <w:p w14:paraId="377709FE" w14:textId="77777777" w:rsidR="00AB1A43" w:rsidRDefault="00AB1A43" w:rsidP="00AB1A43">
      <w:r>
        <w:rPr>
          <w:noProof/>
        </w:rPr>
        <w:lastRenderedPageBreak/>
        <mc:AlternateContent>
          <mc:Choice Requires="wps">
            <w:drawing>
              <wp:anchor distT="45720" distB="45720" distL="114300" distR="114300" simplePos="0" relativeHeight="251661312" behindDoc="0" locked="0" layoutInCell="1" allowOverlap="1" wp14:anchorId="684A680A" wp14:editId="09862765">
                <wp:simplePos x="0" y="0"/>
                <wp:positionH relativeFrom="column">
                  <wp:posOffset>104775</wp:posOffset>
                </wp:positionH>
                <wp:positionV relativeFrom="paragraph">
                  <wp:posOffset>531495</wp:posOffset>
                </wp:positionV>
                <wp:extent cx="5715000" cy="1404620"/>
                <wp:effectExtent l="0" t="0" r="19050" b="1079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4CE84624" w14:textId="127E4E44" w:rsidR="00AB1A43" w:rsidRPr="00FB196F" w:rsidRDefault="00FB196F" w:rsidP="00AB1A43">
                            <w:pPr>
                              <w:rPr>
                                <w:rFonts w:ascii="Arial" w:hAnsi="Arial" w:cs="Arial"/>
                              </w:rPr>
                            </w:pPr>
                            <w:r>
                              <w:rPr>
                                <w:rFonts w:ascii="Arial" w:hAnsi="Arial" w:cs="Arial"/>
                              </w:rPr>
                              <w:t xml:space="preserve">      </w:t>
                            </w:r>
                            <w:r w:rsidR="00AB1A43" w:rsidRPr="00FB196F">
                              <w:rPr>
                                <w:rFonts w:ascii="Arial" w:hAnsi="Arial" w:cs="Arial"/>
                              </w:rPr>
                              <w:t xml:space="preserve">Sainsbury's agreed to acquire 24 stores from The Co-operative Company in March 2009, 22 of which were Somerfield stores that the group was compelled to sell as part of its acquisition of Somerfield. In June 2009, The Co-operative Group sold another nine stores to us. Sainsbury's market share is low in West Wales, the North of England, and Scotland, thus these were focused there. Sainsbury's secured a multimillion-pound contract to be the principal sponsor of the 2012 Paralympic Games with the London </w:t>
                            </w:r>
                            <w:r w:rsidR="00AB1A43" w:rsidRPr="00FB196F">
                              <w:rPr>
                                <w:rFonts w:ascii="Arial" w:hAnsi="Arial" w:cs="Arial"/>
                              </w:rPr>
                              <w:t>Organising Committee of the Olympic and Paralympic Games (LOCOG) in May 2010. Sainsbury's offered paralympic products and participated in high-profile events like the torch relay as part of the agreement. It was one of just two sponsors that were able to take use of the Games' restricted branding opportunities. The Olympics were not included in the promotional rights. Following the Paralympic Games, the firm announced that it will continue to support the British Paralympic Association until Rio 2016.Sainsbury's opened their thousandth self-service store in Irvine, Scotland, on November 30, 2011, marking the first milestone in its Vision for 2020. Sainsbury's boosted their worker discount to 20% for the first four days of December to commemorate the occasion. [101] Sainsbury's finalized the acquisition of Lloyds Banking Group's 50 percent stake in Sainsbury's Bank in January 2014. of the National Grid. Arcus FM's facilities management contract with Sainsbury's was renewed for another 10 years in July 2016. Arcus was awarded the contract in 2009, and it was renewed in 2011.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4A680A" id="_x0000_s1028" type="#_x0000_t202" style="position:absolute;left:0;text-align:left;margin-left:8.25pt;margin-top:41.85pt;width:450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">
                <v:textbox style="mso-fit-shape-to-text:t">
                  <w:txbxContent>
                    <w:p w14:paraId="4CE84624" w14:textId="127E4E44" w:rsidR="00AB1A43" w:rsidRPr="00FB196F" w:rsidRDefault="00FB196F" w:rsidP="00AB1A43">
                      <w:pPr>
                        <w:rPr>
                          <w:rFonts w:ascii="Arial" w:hAnsi="Arial" w:cs="Arial"/>
                        </w:rPr>
                      </w:pPr>
                      <w:r>
                        <w:rPr>
                          <w:rFonts w:ascii="Arial" w:hAnsi="Arial" w:cs="Arial"/>
                        </w:rPr>
                        <w:t xml:space="preserve">      </w:t>
                      </w:r>
                      <w:r w:rsidR="00AB1A43" w:rsidRPr="00FB196F">
                        <w:rPr>
                          <w:rFonts w:ascii="Arial" w:hAnsi="Arial" w:cs="Arial"/>
                        </w:rPr>
                        <w:t xml:space="preserve">Sainsbury's agreed to acquire 24 stores from The Co-operative Company in March 2009, 22 of which were Somerfield stores that the group was compelled to sell as part of its acquisition of Somerfield. In June 2009, The Co-operative Group sold another nine stores to us. Sainsbury's market share is low in West Wales, the North of England, and Scotland, thus these were focused there. Sainsbury's secured a multimillion-pound contract to be the principal sponsor of the 2012 Paralympic Games with the London </w:t>
                      </w:r>
                      <w:proofErr w:type="spellStart"/>
                      <w:r w:rsidR="00AB1A43" w:rsidRPr="00FB196F">
                        <w:rPr>
                          <w:rFonts w:ascii="Arial" w:hAnsi="Arial" w:cs="Arial"/>
                        </w:rPr>
                        <w:t>Organising</w:t>
                      </w:r>
                      <w:proofErr w:type="spellEnd"/>
                      <w:r w:rsidR="00AB1A43" w:rsidRPr="00FB196F">
                        <w:rPr>
                          <w:rFonts w:ascii="Arial" w:hAnsi="Arial" w:cs="Arial"/>
                        </w:rPr>
                        <w:t xml:space="preserve"> Committee of the Olympic and Paralympic Games (LOCOG) in May 2010. Sainsbury's offered paralympic products and participated in high-profile events like the torch relay as part of the agreement. It was one of just two sponsors that were able to take use of the Games' restricted branding opportunities. The Olympics were not included in the promotional rights. Following the Paralympic Games, the firm announced that it will continue to support the British Paralympic Association until Rio 2016.Sainsbury's opened their thousandth self-service store in Irvine, Scotland, on November 30, 2011, marking the first milestone in its Vision for 2020. Sainsbury's boosted their worker discount to 20% for the first four days of December to commemorate the occasion. [101] Sainsbury's finalized the acquisition of Lloyds Banking Group's 50 percent stake in Sainsbury's Bank in January 2014. of the National Grid. Arcus FM's facilities management contract with Sainsbury's was renewed for another 10 years in July 2016. Arcus was awarded the contract in 2009, and it was renewed in 2011.</w:t>
                      </w:r>
                    </w:p>
                  </w:txbxContent>
                </v:textbox>
                <w10:wrap type="square"/>
              </v:shape>
            </w:pict>
          </mc:Fallback>
        </mc:AlternateContent>
      </w:r>
    </w:p>
    <w:p w14:paraId="6CC73840" w14:textId="77777777" w:rsidR="00AB1A43" w:rsidRDefault="00AB1A43" w:rsidP="00AB1A43">
      <w:r>
        <w:rPr>
          <w:noProof/>
        </w:rPr>
        <w:lastRenderedPageBreak/>
        <w:drawing>
          <wp:inline distT="0" distB="0" distL="0" distR="0" wp14:anchorId="7AA20669" wp14:editId="34DCD73E">
            <wp:extent cx="5648325" cy="4329883"/>
            <wp:effectExtent l="0" t="0" r="0" b="0"/>
            <wp:docPr id="19"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 let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55538" cy="4335413"/>
                    </a:xfrm>
                    <a:prstGeom prst="rect">
                      <a:avLst/>
                    </a:prstGeom>
                    <a:noFill/>
                    <a:ln>
                      <a:noFill/>
                    </a:ln>
                  </pic:spPr>
                </pic:pic>
              </a:graphicData>
            </a:graphic>
          </wp:inline>
        </w:drawing>
      </w:r>
    </w:p>
    <w:p w14:paraId="31C5ED6E" w14:textId="77777777" w:rsidR="00AB1A43" w:rsidRPr="005F52CA" w:rsidRDefault="00AB1A43" w:rsidP="00AB1A43"/>
    <w:p w14:paraId="11326A4F" w14:textId="77777777" w:rsidR="00AB1A43" w:rsidRDefault="00AB1A43" w:rsidP="00AB1A43">
      <w:pPr>
        <w:pStyle w:val="Heading1"/>
        <w:rPr>
          <w:lang w:val="en-GB"/>
        </w:rPr>
      </w:pPr>
      <w:r>
        <w:rPr>
          <w:noProof/>
        </w:rPr>
        <mc:AlternateContent>
          <mc:Choice Requires="wps">
            <w:drawing>
              <wp:anchor distT="45720" distB="45720" distL="114300" distR="114300" simplePos="0" relativeHeight="251662336" behindDoc="0" locked="0" layoutInCell="1" allowOverlap="1" wp14:anchorId="173A2AFC" wp14:editId="2D8FC7A3">
                <wp:simplePos x="0" y="0"/>
                <wp:positionH relativeFrom="column">
                  <wp:posOffset>0</wp:posOffset>
                </wp:positionH>
                <wp:positionV relativeFrom="paragraph">
                  <wp:posOffset>320675</wp:posOffset>
                </wp:positionV>
                <wp:extent cx="5038725" cy="2762250"/>
                <wp:effectExtent l="0" t="0" r="28575"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8725" cy="2762250"/>
                        </a:xfrm>
                        <a:prstGeom prst="rect">
                          <a:avLst/>
                        </a:prstGeom>
                        <a:solidFill>
                          <a:srgbClr val="FFFFFF"/>
                        </a:solidFill>
                        <a:ln w="9525">
                          <a:solidFill>
                            <a:srgbClr val="000000"/>
                          </a:solidFill>
                          <a:miter lim="800000"/>
                          <a:headEnd/>
                          <a:tailEnd/>
                        </a:ln>
                      </wps:spPr>
                      <wps:txbx>
                        <w:txbxContent>
                          <w:p w14:paraId="410B42C6" w14:textId="65A0E14F" w:rsidR="00AB1A43" w:rsidRPr="005F52CA" w:rsidRDefault="002E668A" w:rsidP="00AB1A43">
                            <w:pPr>
                              <w:rPr>
                                <w:sz w:val="20"/>
                                <w:szCs w:val="20"/>
                              </w:rPr>
                            </w:pPr>
                            <w:r>
                              <w:rPr>
                                <w:rFonts w:ascii="Arial" w:hAnsi="Arial" w:cs="Arial"/>
                              </w:rPr>
                              <w:t xml:space="preserve">     </w:t>
                            </w:r>
                            <w:r w:rsidR="00AB1A43" w:rsidRPr="00FB196F">
                              <w:rPr>
                                <w:rFonts w:ascii="Arial" w:hAnsi="Arial" w:cs="Arial"/>
                              </w:rPr>
                              <w:t xml:space="preserve">In March 2009, Sainsbury's agreed to acquire 24 shops from The Co-operative Organization, including 22 Somerfield stores that the group had to sell </w:t>
                            </w:r>
                            <w:r w:rsidR="00AB1A43" w:rsidRPr="00FB196F">
                              <w:rPr>
                                <w:rFonts w:ascii="Arial" w:hAnsi="Arial" w:cs="Arial"/>
                              </w:rPr>
                              <w:t xml:space="preserve">in order to buy Somerfield.  In June 2009, The Co-operative Group bought nine more stores. In West Wales, the North of England and Scotland, Sainsbury's has a low market </w:t>
                            </w:r>
                            <w:r w:rsidR="00AB1A43" w:rsidRPr="00FB196F">
                              <w:rPr>
                                <w:rFonts w:ascii="Arial" w:hAnsi="Arial" w:cs="Arial"/>
                              </w:rPr>
                              <w:t>share.In May 2010, Sainsbury's announced a multi-million pound sponsorship contract with the London Organising Committee of the Olympic and Paralympic Games (LOCOG). Sainsbury's offered Paralympic products and took part in high-profile activities like the torch relay. It was one of just two sponsors authorized to use the Games' restricted branding. The rights did not include the Olympics. After the Paralympics, the firm agreed to support the BPA through Rio 2016. Sainsbury's opened its thousandth self-service store in Irvine, Scotland, on November 30, 2011. For the first four days of December, Sainsbury's boosted its worker discount to 20%.  Sainsbury's finalized the acquisition of Lloyds Banking Group's 50% stake in Sainsbury's Bank in January 2014. In July 2014, the firm started generating energy from food waste by converting it to biomethane gas. The organization was</w:t>
                            </w:r>
                            <w:r w:rsidR="00AB1A43" w:rsidRPr="005F52CA">
                              <w:rPr>
                                <w:sz w:val="20"/>
                                <w:szCs w:val="20"/>
                              </w:rPr>
                              <w:t xml:space="preserve"> the first retailer to self-disconnect from the grid.  Arcus FM's ten-year facilities management contract with Sainsbury's was renewed in July 2016. Arcus was awarded the contract in 2009 and it was renewed in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3A2AFC" id="_x0000_s1029" type="#_x0000_t202" style="position:absolute;left:0;text-align:left;margin-left:0;margin-top:25.25pt;width:396.75pt;height:21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">
                <v:textbox>
                  <w:txbxContent>
                    <w:p w14:paraId="410B42C6" w14:textId="65A0E14F" w:rsidR="00AB1A43" w:rsidRPr="005F52CA" w:rsidRDefault="002E668A" w:rsidP="00AB1A43">
                      <w:pPr>
                        <w:rPr>
                          <w:sz w:val="20"/>
                          <w:szCs w:val="20"/>
                        </w:rPr>
                      </w:pPr>
                      <w:r>
                        <w:rPr>
                          <w:rFonts w:ascii="Arial" w:hAnsi="Arial" w:cs="Arial"/>
                        </w:rPr>
                        <w:t xml:space="preserve">     </w:t>
                      </w:r>
                      <w:r w:rsidR="00AB1A43" w:rsidRPr="00FB196F">
                        <w:rPr>
                          <w:rFonts w:ascii="Arial" w:hAnsi="Arial" w:cs="Arial"/>
                        </w:rPr>
                        <w:t xml:space="preserve">In March 2009, Sainsbury's agreed to acquire 24 shops from The Co-operative Organization, including 22 Somerfield stores that the group had to sell </w:t>
                      </w:r>
                      <w:proofErr w:type="gramStart"/>
                      <w:r w:rsidR="00AB1A43" w:rsidRPr="00FB196F">
                        <w:rPr>
                          <w:rFonts w:ascii="Arial" w:hAnsi="Arial" w:cs="Arial"/>
                        </w:rPr>
                        <w:t>in order to</w:t>
                      </w:r>
                      <w:proofErr w:type="gramEnd"/>
                      <w:r w:rsidR="00AB1A43" w:rsidRPr="00FB196F">
                        <w:rPr>
                          <w:rFonts w:ascii="Arial" w:hAnsi="Arial" w:cs="Arial"/>
                        </w:rPr>
                        <w:t xml:space="preserve"> buy Somerfield.  In June 2009, The Co-operative Group bought nine more stores. In West Wales, the North of England and Scotland, Sainsbury's has a low market </w:t>
                      </w:r>
                      <w:proofErr w:type="spellStart"/>
                      <w:proofErr w:type="gramStart"/>
                      <w:r w:rsidR="00AB1A43" w:rsidRPr="00FB196F">
                        <w:rPr>
                          <w:rFonts w:ascii="Arial" w:hAnsi="Arial" w:cs="Arial"/>
                        </w:rPr>
                        <w:t>share.In</w:t>
                      </w:r>
                      <w:proofErr w:type="spellEnd"/>
                      <w:proofErr w:type="gramEnd"/>
                      <w:r w:rsidR="00AB1A43" w:rsidRPr="00FB196F">
                        <w:rPr>
                          <w:rFonts w:ascii="Arial" w:hAnsi="Arial" w:cs="Arial"/>
                        </w:rPr>
                        <w:t xml:space="preserve"> May 2010, Sainsbury's announced a multi-million pound sponsorship contract with the London </w:t>
                      </w:r>
                      <w:proofErr w:type="spellStart"/>
                      <w:r w:rsidR="00AB1A43" w:rsidRPr="00FB196F">
                        <w:rPr>
                          <w:rFonts w:ascii="Arial" w:hAnsi="Arial" w:cs="Arial"/>
                        </w:rPr>
                        <w:t>Organising</w:t>
                      </w:r>
                      <w:proofErr w:type="spellEnd"/>
                      <w:r w:rsidR="00AB1A43" w:rsidRPr="00FB196F">
                        <w:rPr>
                          <w:rFonts w:ascii="Arial" w:hAnsi="Arial" w:cs="Arial"/>
                        </w:rPr>
                        <w:t xml:space="preserve"> Committee of the Olympic and Paralympic Games (LOCOG). Sainsbury's offered Paralympic products and took part in high-profile activities like the torch relay. It was one of just two sponsors authorized to use the Games' restricted branding. The rights did not include the Olympics. After the Paralympics, the firm agreed to support the BPA through Rio 2016. Sainsbury's opened its thousandth self-service store in Irvine, Scotland, on November 30, 2011. For the first four days of December, Sainsbury's boosted its worker discount to 20%.  Sainsbury's finalized the acquisition of Lloyds Banking Group's 50% stake in Sainsbury's Bank in January 2014. In July 2014, the firm started generating energy from food waste by converting it to biomethane gas. The organization was</w:t>
                      </w:r>
                      <w:r w:rsidR="00AB1A43" w:rsidRPr="005F52CA">
                        <w:rPr>
                          <w:sz w:val="20"/>
                          <w:szCs w:val="20"/>
                        </w:rPr>
                        <w:t xml:space="preserve"> the first retailer to self-disconnect from the grid.  Arcus FM's ten-year facilities management contract with Sainsbury's was renewed in July 2016. Arcus was awarded the contract in 2009 and it was renewed in 2011.</w:t>
                      </w:r>
                    </w:p>
                  </w:txbxContent>
                </v:textbox>
                <w10:wrap type="square"/>
              </v:shape>
            </w:pict>
          </mc:Fallback>
        </mc:AlternateContent>
      </w:r>
      <w:r>
        <w:rPr>
          <w:lang w:val="en-GB"/>
        </w:rPr>
        <w:t xml:space="preserve"> </w:t>
      </w:r>
    </w:p>
    <w:p w14:paraId="562507E7" w14:textId="77777777" w:rsidR="00AB1A43" w:rsidRDefault="00AB1A43" w:rsidP="00AB1A43">
      <w:pPr>
        <w:jc w:val="center"/>
      </w:pPr>
    </w:p>
    <w:p w14:paraId="65AD1364" w14:textId="77777777" w:rsidR="00AB1A43" w:rsidRDefault="00AB1A43" w:rsidP="00AB1A43">
      <w:pPr>
        <w:jc w:val="center"/>
      </w:pPr>
    </w:p>
    <w:p w14:paraId="3BCDC170" w14:textId="77777777" w:rsidR="00AB1A43" w:rsidRDefault="00AB1A43" w:rsidP="00AB1A43">
      <w:pPr>
        <w:jc w:val="center"/>
      </w:pPr>
    </w:p>
    <w:p w14:paraId="5F82C4EB" w14:textId="77777777" w:rsidR="00AB1A43" w:rsidRDefault="00AB1A43" w:rsidP="00AB1A43">
      <w:pPr>
        <w:jc w:val="center"/>
      </w:pPr>
    </w:p>
    <w:p w14:paraId="36C96667" w14:textId="77777777" w:rsidR="00AB1A43" w:rsidRDefault="00AB1A43" w:rsidP="00AB1A43">
      <w:pPr>
        <w:jc w:val="center"/>
      </w:pPr>
    </w:p>
    <w:p w14:paraId="676A60FF" w14:textId="77777777" w:rsidR="00AB1A43" w:rsidRDefault="00AB1A43" w:rsidP="00AB1A43">
      <w:pPr>
        <w:jc w:val="center"/>
      </w:pPr>
    </w:p>
    <w:p w14:paraId="7717FFD5" w14:textId="77777777" w:rsidR="00AB1A43" w:rsidRDefault="00AB1A43" w:rsidP="00AB1A43">
      <w:pPr>
        <w:jc w:val="center"/>
      </w:pPr>
    </w:p>
    <w:p w14:paraId="6EBE8F7A" w14:textId="77777777" w:rsidR="00AB1A43" w:rsidRDefault="00AB1A43" w:rsidP="00AB1A43">
      <w:pPr>
        <w:jc w:val="center"/>
      </w:pPr>
    </w:p>
    <w:p w14:paraId="1F933A53" w14:textId="77777777" w:rsidR="00AB1A43" w:rsidRDefault="00AB1A43" w:rsidP="00AB1A43">
      <w:pPr>
        <w:jc w:val="center"/>
      </w:pPr>
    </w:p>
    <w:p w14:paraId="6E31577E" w14:textId="77777777" w:rsidR="00AB1A43" w:rsidRDefault="00AB1A43" w:rsidP="00AB1A43">
      <w:pPr>
        <w:jc w:val="center"/>
      </w:pPr>
    </w:p>
    <w:p w14:paraId="75F678B4" w14:textId="77777777" w:rsidR="00AB1A43" w:rsidRDefault="00AB1A43" w:rsidP="00AB1A43">
      <w:pPr>
        <w:jc w:val="center"/>
      </w:pPr>
    </w:p>
    <w:p w14:paraId="0B817C04" w14:textId="77777777" w:rsidR="00AB1A43" w:rsidRDefault="00AB1A43" w:rsidP="00AB1A43">
      <w:pPr>
        <w:jc w:val="left"/>
        <w:rPr>
          <w:lang w:val="en-GB"/>
        </w:rPr>
      </w:pPr>
      <w:r w:rsidRPr="005F52CA">
        <w:rPr>
          <w:b/>
          <w:bCs/>
        </w:rPr>
        <w:lastRenderedPageBreak/>
        <w:t xml:space="preserve">Slide 8 - </w:t>
      </w:r>
      <w:r w:rsidRPr="005F52CA">
        <w:rPr>
          <w:b/>
          <w:bCs/>
          <w:lang w:val="en-GB"/>
        </w:rPr>
        <w:t xml:space="preserve">Evolution of HR </w:t>
      </w:r>
      <w:r w:rsidRPr="005F52CA">
        <w:rPr>
          <w:b/>
          <w:bCs/>
        </w:rPr>
        <w:t>recruitment</w:t>
      </w:r>
      <w:r w:rsidRPr="005F52CA">
        <w:rPr>
          <w:b/>
          <w:bCs/>
          <w:lang w:val="en-GB"/>
        </w:rPr>
        <w:t xml:space="preserve"> process in Sainsbury</w:t>
      </w:r>
      <w:r>
        <w:rPr>
          <w:noProof/>
          <w:lang w:eastAsia="en-US"/>
        </w:rPr>
        <w:t xml:space="preserve"> </w:t>
      </w:r>
      <w:r>
        <w:rPr>
          <w:noProof/>
          <w:lang w:eastAsia="en-US"/>
        </w:rPr>
        <w:drawing>
          <wp:inline distT="0" distB="0" distL="0" distR="0" wp14:anchorId="7FEA73A1" wp14:editId="6062E943">
            <wp:extent cx="5943600" cy="4457700"/>
            <wp:effectExtent l="0" t="0" r="0" b="0"/>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1040D495" w14:textId="77777777" w:rsidTr="00FB196F">
        <w:trPr>
          <w:trHeight w:val="4180"/>
        </w:trPr>
        <w:tc>
          <w:tcPr>
            <w:tcW w:w="9576" w:type="dxa"/>
          </w:tcPr>
          <w:p w14:paraId="351DA94E" w14:textId="77777777" w:rsidR="00FB196F" w:rsidRDefault="00FB196F" w:rsidP="00805B5B">
            <w:pPr>
              <w:rPr>
                <w:rFonts w:ascii="Arial" w:hAnsi="Arial" w:cs="Arial"/>
                <w:lang w:val="en-GB"/>
              </w:rPr>
            </w:pPr>
            <w:r>
              <w:rPr>
                <w:rFonts w:ascii="Arial" w:hAnsi="Arial" w:cs="Arial"/>
                <w:lang w:val="en-GB"/>
              </w:rPr>
              <w:t xml:space="preserve">     </w:t>
            </w:r>
            <w:r w:rsidR="00AB1A43" w:rsidRPr="00FB196F">
              <w:rPr>
                <w:rFonts w:ascii="Arial" w:hAnsi="Arial" w:cs="Arial"/>
                <w:lang w:val="en-GB"/>
              </w:rPr>
              <w:t>The current recruitment department within Sainsbury has evolved in such a way that the business itself is backed with employee workforce that feels valued, engaged, and motivated so that the rejoice of truly able to shine is being converted into act of better organisational productivity and business profitability (</w:t>
            </w:r>
            <w:r w:rsidR="00AB1A43" w:rsidRPr="00FB196F">
              <w:rPr>
                <w:rFonts w:ascii="Arial" w:hAnsi="Arial" w:cs="Arial"/>
              </w:rPr>
              <w:t>Jones and Comfort, 2021</w:t>
            </w:r>
            <w:r w:rsidR="00AB1A43" w:rsidRPr="00FB196F">
              <w:rPr>
                <w:rFonts w:ascii="Arial" w:hAnsi="Arial" w:cs="Arial"/>
                <w:lang w:val="en-GB"/>
              </w:rPr>
              <w:t>). The current scope of recruitment strategy that is being employed within the workplace of the company is associated with equipping specialist people that would allow the business in achieving its objectives among customers in international markets.</w:t>
            </w:r>
          </w:p>
          <w:p w14:paraId="017F6B37" w14:textId="53DE63A8" w:rsidR="00AB1A43" w:rsidRPr="00FB196F" w:rsidRDefault="00FB196F" w:rsidP="00805B5B">
            <w:pPr>
              <w:rPr>
                <w:rFonts w:ascii="Arial" w:hAnsi="Arial" w:cs="Arial"/>
                <w:lang w:val="en-GB"/>
              </w:rPr>
            </w:pPr>
            <w:r>
              <w:rPr>
                <w:rFonts w:ascii="Arial" w:hAnsi="Arial" w:cs="Arial"/>
                <w:lang w:val="en-GB"/>
              </w:rPr>
              <w:t xml:space="preserve">     </w:t>
            </w:r>
            <w:r w:rsidR="00AB1A43" w:rsidRPr="00FB196F">
              <w:rPr>
                <w:rFonts w:ascii="Arial" w:hAnsi="Arial" w:cs="Arial"/>
                <w:lang w:val="en-GB"/>
              </w:rPr>
              <w:t xml:space="preserve"> Consistency and adoption of best practices have always </w:t>
            </w:r>
            <w:proofErr w:type="gramStart"/>
            <w:r w:rsidR="00AB1A43" w:rsidRPr="00FB196F">
              <w:rPr>
                <w:rFonts w:ascii="Arial" w:hAnsi="Arial" w:cs="Arial"/>
                <w:lang w:val="en-GB"/>
              </w:rPr>
              <w:t>being</w:t>
            </w:r>
            <w:proofErr w:type="gramEnd"/>
            <w:r w:rsidR="00AB1A43" w:rsidRPr="00FB196F">
              <w:rPr>
                <w:rFonts w:ascii="Arial" w:hAnsi="Arial" w:cs="Arial"/>
                <w:lang w:val="en-GB"/>
              </w:rPr>
              <w:t xml:space="preserve"> the primal aspect of people operating within the Reward and Recruitment department of the company (</w:t>
            </w:r>
            <w:r w:rsidR="00AB1A43" w:rsidRPr="00FB196F">
              <w:rPr>
                <w:rFonts w:ascii="Arial" w:hAnsi="Arial" w:cs="Arial"/>
              </w:rPr>
              <w:t>Sainsbury's Careers, 2021</w:t>
            </w:r>
            <w:r w:rsidR="00AB1A43" w:rsidRPr="00FB196F">
              <w:rPr>
                <w:rFonts w:ascii="Arial" w:hAnsi="Arial" w:cs="Arial"/>
                <w:lang w:val="en-GB"/>
              </w:rPr>
              <w:t>). The recruitment roles that have evolved within the business include professionals to work across different areas of strategy teams, external and internal advertisements of open roles, support to on-boarding, tracking, and offer management.</w:t>
            </w:r>
          </w:p>
        </w:tc>
      </w:tr>
    </w:tbl>
    <w:p w14:paraId="22280311" w14:textId="77777777" w:rsidR="00AB1A43" w:rsidRPr="00FE7254" w:rsidRDefault="00AB1A43" w:rsidP="00AB1A43">
      <w:pPr>
        <w:rPr>
          <w:lang w:val="en-GB"/>
        </w:rPr>
      </w:pPr>
    </w:p>
    <w:p w14:paraId="740A6539" w14:textId="77777777" w:rsidR="00AB1A43" w:rsidRDefault="00AB1A43" w:rsidP="00AB1A43">
      <w:pPr>
        <w:pStyle w:val="Heading1"/>
      </w:pPr>
      <w:r>
        <w:rPr>
          <w:lang w:val="en-GB"/>
        </w:rPr>
        <w:lastRenderedPageBreak/>
        <w:t>Slide 9 - Organis</w:t>
      </w:r>
      <w:r w:rsidRPr="005F6382">
        <w:rPr>
          <w:lang w:val="en-GB"/>
        </w:rPr>
        <w:t xml:space="preserve">ational </w:t>
      </w:r>
      <w:r>
        <w:rPr>
          <w:lang w:val="en-GB"/>
        </w:rPr>
        <w:t xml:space="preserve">objectives to </w:t>
      </w:r>
      <w:r>
        <w:t xml:space="preserve">selection </w:t>
      </w:r>
    </w:p>
    <w:p w14:paraId="4DDA2D2F" w14:textId="77777777" w:rsidR="00AB1A43" w:rsidRDefault="00AB1A43" w:rsidP="00AB1A43">
      <w:pPr>
        <w:jc w:val="center"/>
        <w:rPr>
          <w:lang w:val="en-GB"/>
        </w:rPr>
      </w:pPr>
      <w:r>
        <w:rPr>
          <w:noProof/>
          <w:lang w:eastAsia="en-US"/>
        </w:rPr>
        <w:drawing>
          <wp:inline distT="0" distB="0" distL="0" distR="0" wp14:anchorId="4D9BA042" wp14:editId="665FD38C">
            <wp:extent cx="5943600" cy="4457700"/>
            <wp:effectExtent l="0" t="0" r="0"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049F7E26" w14:textId="77777777" w:rsidTr="00805B5B">
        <w:tc>
          <w:tcPr>
            <w:tcW w:w="9576" w:type="dxa"/>
          </w:tcPr>
          <w:p w14:paraId="460454D7" w14:textId="345AC84D" w:rsidR="00AB1A43" w:rsidRPr="00FB196F" w:rsidRDefault="00FB196F" w:rsidP="00805B5B">
            <w:pPr>
              <w:rPr>
                <w:rFonts w:ascii="Arial" w:hAnsi="Arial" w:cs="Arial"/>
                <w:lang w:val="en-GB"/>
              </w:rPr>
            </w:pPr>
            <w:r w:rsidRPr="00FB196F">
              <w:rPr>
                <w:rFonts w:ascii="Arial" w:hAnsi="Arial" w:cs="Arial"/>
                <w:b/>
                <w:i/>
                <w:lang w:val="en-GB"/>
              </w:rPr>
              <w:t xml:space="preserve">     </w:t>
            </w:r>
            <w:r w:rsidR="00AB1A43" w:rsidRPr="00FB196F">
              <w:rPr>
                <w:rFonts w:ascii="Arial" w:hAnsi="Arial" w:cs="Arial"/>
                <w:lang w:val="en-GB"/>
              </w:rPr>
              <w:t>Selection process is the very next procedure after recruitment of employees within an organisation. It allows HR professionals to equip ways with which candidates considered from talent pools or any other source of recruitment can be evaluated and on boarded within the company. Selection process within the company starts through online assessments within which candidates applied for the job are found to go through verbal or numerical reasoning tests followed by completion of personality questionnaire or sometime conducting a situational judgement test (</w:t>
            </w:r>
            <w:r w:rsidR="00AB1A43" w:rsidRPr="00FB196F">
              <w:rPr>
                <w:rFonts w:ascii="Arial" w:hAnsi="Arial" w:cs="Arial"/>
              </w:rPr>
              <w:t>Sainsbury's Careers, 2021</w:t>
            </w:r>
            <w:r w:rsidR="00AB1A43" w:rsidRPr="00FB196F">
              <w:rPr>
                <w:rFonts w:ascii="Arial" w:hAnsi="Arial" w:cs="Arial"/>
                <w:lang w:val="en-GB"/>
              </w:rPr>
              <w:t xml:space="preserve">). Online </w:t>
            </w:r>
            <w:proofErr w:type="gramStart"/>
            <w:r w:rsidR="00AB1A43" w:rsidRPr="00FB196F">
              <w:rPr>
                <w:rFonts w:ascii="Arial" w:hAnsi="Arial" w:cs="Arial"/>
                <w:lang w:val="en-GB"/>
              </w:rPr>
              <w:t>assessment</w:t>
            </w:r>
            <w:proofErr w:type="gramEnd"/>
            <w:r w:rsidR="00AB1A43" w:rsidRPr="00FB196F">
              <w:rPr>
                <w:rFonts w:ascii="Arial" w:hAnsi="Arial" w:cs="Arial"/>
                <w:lang w:val="en-GB"/>
              </w:rPr>
              <w:t xml:space="preserve"> were undertaken way before pandemic period within the company thus, there were least level of hindrances for the staff operating within selection committee while selecting candidates for teams working remotely.</w:t>
            </w:r>
          </w:p>
          <w:p w14:paraId="2F37A41B" w14:textId="2153B116" w:rsidR="00AB1A43" w:rsidRPr="000120D9" w:rsidRDefault="002F35C3" w:rsidP="00805B5B">
            <w:r>
              <w:rPr>
                <w:rFonts w:ascii="Arial" w:hAnsi="Arial" w:cs="Arial"/>
                <w:lang w:val="en-GB"/>
              </w:rPr>
              <w:t xml:space="preserve">      </w:t>
            </w:r>
            <w:r w:rsidR="00AB1A43" w:rsidRPr="00FB196F">
              <w:rPr>
                <w:rFonts w:ascii="Arial" w:hAnsi="Arial" w:cs="Arial"/>
                <w:lang w:val="en-GB"/>
              </w:rPr>
              <w:t>The assessments that are planned while selecting an employee for a specified job role depends upon how performance of the candidate is required to be measured and evaluated. After successfully completing the online assessments, candidates are asked to wait for a response from HR professionals of Sainsbury that is often considered to be conveyed via email. When candidates are made aware that they had successfully passed the tests via mails, HR professionals schedules interview sessions online or offline depending upon the roles for which they had applied (</w:t>
            </w:r>
            <w:r w:rsidR="00AB1A43" w:rsidRPr="00FB196F">
              <w:rPr>
                <w:rFonts w:ascii="Arial" w:hAnsi="Arial" w:cs="Arial"/>
              </w:rPr>
              <w:t>Aluko and Knight, 2017</w:t>
            </w:r>
            <w:r w:rsidR="00AB1A43" w:rsidRPr="00FB196F">
              <w:rPr>
                <w:rFonts w:ascii="Arial" w:hAnsi="Arial" w:cs="Arial"/>
                <w:lang w:val="en-GB"/>
              </w:rPr>
              <w:t xml:space="preserve">). During the interview sessions, face-to-face interactions with candidates allow the HR professionals to make decisions regarding the choice of skills that the business is </w:t>
            </w:r>
            <w:r w:rsidR="00AB1A43" w:rsidRPr="002F35C3">
              <w:rPr>
                <w:rFonts w:ascii="Arial" w:hAnsi="Arial" w:cs="Arial"/>
                <w:lang w:val="en-GB"/>
              </w:rPr>
              <w:lastRenderedPageBreak/>
              <w:t>expecting from them. After the interview session and responding the candidates that they had successfully passed, HR professionals arranges final assessment with which candidates are expected to participate either technical interview session or other modes of technical assessments (</w:t>
            </w:r>
            <w:r w:rsidR="00AB1A43" w:rsidRPr="002F35C3">
              <w:rPr>
                <w:rFonts w:ascii="Arial" w:hAnsi="Arial" w:cs="Arial"/>
              </w:rPr>
              <w:t>Sainsbury's Careers, 2021</w:t>
            </w:r>
            <w:r w:rsidR="00AB1A43" w:rsidRPr="002F35C3">
              <w:rPr>
                <w:rFonts w:ascii="Arial" w:hAnsi="Arial" w:cs="Arial"/>
                <w:lang w:val="en-GB"/>
              </w:rPr>
              <w:t>). Finally, based on resultants of selection processes mentioned above, successful candidates are expected to hear from the recruitment team regarding their employment contract in the company, salary details, job location, and so on.</w:t>
            </w:r>
          </w:p>
        </w:tc>
      </w:tr>
    </w:tbl>
    <w:p w14:paraId="75B71F37" w14:textId="77777777" w:rsidR="00AB1A43" w:rsidRPr="00FE7254" w:rsidRDefault="00AB1A43" w:rsidP="00AB1A43">
      <w:pPr>
        <w:rPr>
          <w:lang w:val="en-GB"/>
        </w:rPr>
      </w:pPr>
    </w:p>
    <w:p w14:paraId="0D356FA7" w14:textId="77777777" w:rsidR="00AB1A43" w:rsidRDefault="00AB1A43" w:rsidP="00AB1A43">
      <w:pPr>
        <w:spacing w:after="200" w:line="276" w:lineRule="auto"/>
        <w:jc w:val="left"/>
        <w:rPr>
          <w:b/>
          <w:color w:val="0E101A"/>
          <w:kern w:val="36"/>
          <w:szCs w:val="48"/>
        </w:rPr>
      </w:pPr>
      <w:r>
        <w:br w:type="page"/>
      </w:r>
      <w:r>
        <w:rPr>
          <w:noProof/>
        </w:rPr>
        <w:lastRenderedPageBreak/>
        <w:drawing>
          <wp:inline distT="0" distB="0" distL="0" distR="0" wp14:anchorId="05439E52" wp14:editId="0E1D57F4">
            <wp:extent cx="6162675" cy="4707826"/>
            <wp:effectExtent l="0" t="0" r="0" b="0"/>
            <wp:docPr id="21" name="Picture 21"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 waterfall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69438" cy="4712993"/>
                    </a:xfrm>
                    <a:prstGeom prst="rect">
                      <a:avLst/>
                    </a:prstGeom>
                    <a:noFill/>
                    <a:ln>
                      <a:noFill/>
                    </a:ln>
                  </pic:spPr>
                </pic:pic>
              </a:graphicData>
            </a:graphic>
          </wp:inline>
        </w:drawing>
      </w:r>
      <w:r>
        <w:rPr>
          <w:noProof/>
        </w:rPr>
        <w:lastRenderedPageBreak/>
        <w:drawing>
          <wp:inline distT="0" distB="0" distL="0" distR="0" wp14:anchorId="16C3ECE8" wp14:editId="75643BC5">
            <wp:extent cx="5783064" cy="4314825"/>
            <wp:effectExtent l="0" t="0" r="8255" b="0"/>
            <wp:docPr id="22" name="Picture 2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line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86982" cy="4317748"/>
                    </a:xfrm>
                    <a:prstGeom prst="rect">
                      <a:avLst/>
                    </a:prstGeom>
                    <a:noFill/>
                    <a:ln>
                      <a:noFill/>
                    </a:ln>
                  </pic:spPr>
                </pic:pic>
              </a:graphicData>
            </a:graphic>
          </wp:inline>
        </w:drawing>
      </w:r>
    </w:p>
    <w:p w14:paraId="56091815" w14:textId="77777777" w:rsidR="00AB1A43" w:rsidRDefault="00AB1A43" w:rsidP="00AB1A43">
      <w:pPr>
        <w:pStyle w:val="Heading1"/>
        <w:rPr>
          <w:lang w:val="en-GB"/>
        </w:rPr>
      </w:pPr>
      <w:r>
        <w:lastRenderedPageBreak/>
        <w:t xml:space="preserve">Slide 10 - </w:t>
      </w:r>
      <w:r>
        <w:rPr>
          <w:lang w:val="en-GB"/>
        </w:rPr>
        <w:t xml:space="preserve">Evolution of HR </w:t>
      </w:r>
      <w:r>
        <w:t>selection</w:t>
      </w:r>
      <w:r>
        <w:rPr>
          <w:lang w:val="en-GB"/>
        </w:rPr>
        <w:t xml:space="preserve"> process in Sainsbury </w:t>
      </w:r>
    </w:p>
    <w:p w14:paraId="35EDC33C" w14:textId="77777777" w:rsidR="00AB1A43" w:rsidRDefault="00AB1A43" w:rsidP="00AB1A43">
      <w:pPr>
        <w:jc w:val="center"/>
        <w:rPr>
          <w:lang w:val="en-GB"/>
        </w:rPr>
      </w:pPr>
      <w:r>
        <w:rPr>
          <w:noProof/>
          <w:lang w:eastAsia="en-US"/>
        </w:rPr>
        <w:drawing>
          <wp:inline distT="0" distB="0" distL="0" distR="0" wp14:anchorId="2155FD50" wp14:editId="7AE3AC91">
            <wp:extent cx="5943600" cy="4457700"/>
            <wp:effectExtent l="0" t="0" r="0" b="0"/>
            <wp:docPr id="11" name="Picture 11" descr="Time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imeline&#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09A422EE" w14:textId="77777777" w:rsidTr="00805B5B">
        <w:tc>
          <w:tcPr>
            <w:tcW w:w="9576" w:type="dxa"/>
          </w:tcPr>
          <w:p w14:paraId="7D6793F5" w14:textId="7452C495" w:rsidR="00AB1A43" w:rsidRPr="002F35C3" w:rsidRDefault="002F35C3" w:rsidP="00805B5B">
            <w:pPr>
              <w:rPr>
                <w:rFonts w:ascii="Arial" w:hAnsi="Arial" w:cs="Arial"/>
              </w:rPr>
            </w:pPr>
            <w:r>
              <w:rPr>
                <w:rFonts w:ascii="Arial" w:hAnsi="Arial" w:cs="Arial"/>
                <w:lang w:val="en-GB"/>
              </w:rPr>
              <w:t xml:space="preserve">      </w:t>
            </w:r>
            <w:r w:rsidR="00AB1A43" w:rsidRPr="002F35C3">
              <w:rPr>
                <w:rFonts w:ascii="Arial" w:hAnsi="Arial" w:cs="Arial"/>
                <w:lang w:val="en-GB"/>
              </w:rPr>
              <w:t xml:space="preserve">The selection process like the recruitment operation within Sainsbury had evolved with time. Engaging blogs regarding tips for cracking interviews at Sainsbury are displayed within the company’s websites so that it becomes easier for deserving aspirants to become a part of the company. The HR professionals </w:t>
            </w:r>
            <w:proofErr w:type="gramStart"/>
            <w:r w:rsidR="00AB1A43" w:rsidRPr="002F35C3">
              <w:rPr>
                <w:rFonts w:ascii="Arial" w:hAnsi="Arial" w:cs="Arial"/>
                <w:lang w:val="en-GB"/>
              </w:rPr>
              <w:t>in order to</w:t>
            </w:r>
            <w:proofErr w:type="gramEnd"/>
            <w:r w:rsidR="00AB1A43" w:rsidRPr="002F35C3">
              <w:rPr>
                <w:rFonts w:ascii="Arial" w:hAnsi="Arial" w:cs="Arial"/>
                <w:lang w:val="en-GB"/>
              </w:rPr>
              <w:t xml:space="preserve"> exercise effective selection processes treats every </w:t>
            </w:r>
            <w:r w:rsidRPr="002F35C3">
              <w:rPr>
                <w:rFonts w:ascii="Arial" w:hAnsi="Arial" w:cs="Arial"/>
                <w:lang w:val="en-GB"/>
              </w:rPr>
              <w:t>candidate</w:t>
            </w:r>
            <w:r w:rsidR="00AB1A43" w:rsidRPr="002F35C3">
              <w:rPr>
                <w:rFonts w:ascii="Arial" w:hAnsi="Arial" w:cs="Arial"/>
                <w:lang w:val="en-GB"/>
              </w:rPr>
              <w:t xml:space="preserve"> with least level of bias and prejudice and appoints them for positions that are best matching for them based upon their qualification, skill, competence, and personality descriptions (</w:t>
            </w:r>
            <w:r w:rsidR="00AB1A43" w:rsidRPr="002F35C3">
              <w:rPr>
                <w:rFonts w:ascii="Arial" w:hAnsi="Arial" w:cs="Arial"/>
              </w:rPr>
              <w:t>Sainsbury's Careers, 2021</w:t>
            </w:r>
            <w:r w:rsidR="00AB1A43" w:rsidRPr="002F35C3">
              <w:rPr>
                <w:rFonts w:ascii="Arial" w:hAnsi="Arial" w:cs="Arial"/>
                <w:lang w:val="en-GB"/>
              </w:rPr>
              <w:t>). Thus, such kind of innovative and people-oriented approaches considered in selection process of the company is allowing the business to identify and equip best talents from the market, which has the potential to boost productivity and profitability.</w:t>
            </w:r>
          </w:p>
        </w:tc>
      </w:tr>
    </w:tbl>
    <w:p w14:paraId="78DCC0ED" w14:textId="77777777" w:rsidR="00AB1A43" w:rsidRPr="00FE7254" w:rsidRDefault="00AB1A43" w:rsidP="00AB1A43">
      <w:pPr>
        <w:rPr>
          <w:lang w:val="en-GB"/>
        </w:rPr>
      </w:pPr>
    </w:p>
    <w:p w14:paraId="47E23457" w14:textId="77777777" w:rsidR="00AB1A43" w:rsidRDefault="00AB1A43" w:rsidP="00AB1A43">
      <w:pPr>
        <w:spacing w:after="200" w:line="276" w:lineRule="auto"/>
        <w:jc w:val="left"/>
        <w:rPr>
          <w:b/>
          <w:color w:val="0E101A"/>
          <w:kern w:val="36"/>
          <w:szCs w:val="48"/>
          <w:lang w:val="en-GB"/>
        </w:rPr>
      </w:pPr>
      <w:r>
        <w:rPr>
          <w:lang w:val="en-GB"/>
        </w:rPr>
        <w:br w:type="page"/>
      </w:r>
    </w:p>
    <w:p w14:paraId="4BFECB57" w14:textId="77777777" w:rsidR="00AB1A43" w:rsidRDefault="00AB1A43" w:rsidP="00AB1A43">
      <w:pPr>
        <w:pStyle w:val="Heading1"/>
        <w:rPr>
          <w:lang w:val="en-GB"/>
        </w:rPr>
      </w:pPr>
      <w:r>
        <w:rPr>
          <w:lang w:val="en-GB"/>
        </w:rPr>
        <w:lastRenderedPageBreak/>
        <w:t>Slide 11 – Conclusion</w:t>
      </w:r>
    </w:p>
    <w:p w14:paraId="08CBAB5D" w14:textId="77777777" w:rsidR="00AB1A43" w:rsidRDefault="00AB1A43" w:rsidP="00AB1A43">
      <w:pPr>
        <w:jc w:val="center"/>
        <w:rPr>
          <w:lang w:val="en-GB"/>
        </w:rPr>
      </w:pPr>
      <w:r>
        <w:rPr>
          <w:noProof/>
          <w:lang w:eastAsia="en-US"/>
        </w:rPr>
        <w:drawing>
          <wp:inline distT="0" distB="0" distL="0" distR="0" wp14:anchorId="0B6033F6" wp14:editId="04B60C75">
            <wp:extent cx="5943600" cy="4457700"/>
            <wp:effectExtent l="0" t="0" r="0" b="0"/>
            <wp:docPr id="10" name="Picture 10"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imeline&#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446E7B5F" w14:textId="77777777" w:rsidTr="00805B5B">
        <w:tc>
          <w:tcPr>
            <w:tcW w:w="9576" w:type="dxa"/>
          </w:tcPr>
          <w:p w14:paraId="0879D1B3" w14:textId="6DC8996F" w:rsidR="00AB1A43" w:rsidRPr="002F35C3" w:rsidRDefault="002F35C3" w:rsidP="00805B5B">
            <w:pPr>
              <w:rPr>
                <w:rFonts w:ascii="Arial" w:hAnsi="Arial" w:cs="Arial"/>
              </w:rPr>
            </w:pPr>
            <w:r w:rsidRPr="002F35C3">
              <w:rPr>
                <w:rFonts w:ascii="Arial" w:hAnsi="Arial" w:cs="Arial"/>
                <w:b/>
                <w:i/>
                <w:lang w:val="en-GB"/>
              </w:rPr>
              <w:t xml:space="preserve">    </w:t>
            </w:r>
            <w:r w:rsidR="00AB1A43" w:rsidRPr="002F35C3">
              <w:rPr>
                <w:rFonts w:ascii="Arial" w:hAnsi="Arial" w:cs="Arial"/>
                <w:lang w:val="en-GB"/>
              </w:rPr>
              <w:t>From the aspects depicted above, it can be concluded that resourcing activities employed within the premises of Sainsbury are vital organisational objectives that aim to improve business with time. Resourcing the workplace with innovative talents through effective planning recruitment, and selection allows the business to work with experts and operate in accordance with expected organisational productivity. Thus, the business objective that is associated with effective identification of talents for streamlined operations and management of their interests within workplace is outlined within the selection process of Sainsbury.</w:t>
            </w:r>
            <w:r w:rsidR="00AB1A43" w:rsidRPr="002F35C3">
              <w:rPr>
                <w:rFonts w:ascii="Arial" w:hAnsi="Arial" w:cs="Arial"/>
              </w:rPr>
              <w:t xml:space="preserve"> </w:t>
            </w:r>
            <w:r w:rsidR="00AB1A43" w:rsidRPr="002F35C3">
              <w:rPr>
                <w:rFonts w:ascii="Arial" w:hAnsi="Arial" w:cs="Arial"/>
                <w:lang w:val="en-GB"/>
              </w:rPr>
              <w:t xml:space="preserve">The core aim of selection committee within Sainsbury is associated with providing candidates many opportunities to shine after they had applied for any specific job roles, which was advertised in company’s website. </w:t>
            </w:r>
          </w:p>
        </w:tc>
      </w:tr>
    </w:tbl>
    <w:p w14:paraId="5D7FBFF4" w14:textId="77777777" w:rsidR="00AB1A43" w:rsidRPr="00FE7254" w:rsidRDefault="00AB1A43" w:rsidP="00AB1A43">
      <w:pPr>
        <w:rPr>
          <w:lang w:val="en-GB"/>
        </w:rPr>
      </w:pPr>
    </w:p>
    <w:p w14:paraId="08F3E8AF" w14:textId="77777777" w:rsidR="00AB1A43" w:rsidRDefault="00AB1A43" w:rsidP="00AB1A43">
      <w:pPr>
        <w:pStyle w:val="Heading1"/>
        <w:rPr>
          <w:lang w:val="en-GB"/>
        </w:rPr>
      </w:pPr>
      <w:r>
        <w:rPr>
          <w:lang w:val="en-GB"/>
        </w:rPr>
        <w:lastRenderedPageBreak/>
        <w:t>Slide 12 – References</w:t>
      </w:r>
    </w:p>
    <w:p w14:paraId="10322A6A" w14:textId="77777777" w:rsidR="00AB1A43" w:rsidRDefault="00AB1A43" w:rsidP="00AB1A43">
      <w:pPr>
        <w:jc w:val="center"/>
        <w:rPr>
          <w:lang w:val="en-GB"/>
        </w:rPr>
      </w:pPr>
      <w:r>
        <w:rPr>
          <w:noProof/>
          <w:lang w:eastAsia="en-US"/>
        </w:rPr>
        <w:drawing>
          <wp:inline distT="0" distB="0" distL="0" distR="0" wp14:anchorId="57089ECC" wp14:editId="00C0DE17">
            <wp:extent cx="5943600" cy="4457700"/>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tbl>
      <w:tblPr>
        <w:tblStyle w:val="TableGrid"/>
        <w:tblW w:w="0" w:type="auto"/>
        <w:tblLook w:val="04A0" w:firstRow="1" w:lastRow="0" w:firstColumn="1" w:lastColumn="0" w:noHBand="0" w:noVBand="1"/>
      </w:tblPr>
      <w:tblGrid>
        <w:gridCol w:w="9350"/>
      </w:tblGrid>
      <w:tr w:rsidR="00AB1A43" w14:paraId="13DBEFFA" w14:textId="77777777" w:rsidTr="00805B5B">
        <w:tc>
          <w:tcPr>
            <w:tcW w:w="9576" w:type="dxa"/>
          </w:tcPr>
          <w:p w14:paraId="490F109B" w14:textId="77777777" w:rsidR="00AB1A43" w:rsidRDefault="00AB1A43" w:rsidP="00805B5B">
            <w:r w:rsidRPr="00FE7254">
              <w:t>About.sainsburys.co.uk. 2021. </w:t>
            </w:r>
            <w:r w:rsidRPr="00FE7254">
              <w:rPr>
                <w:i/>
                <w:iCs/>
              </w:rPr>
              <w:t>About us</w:t>
            </w:r>
            <w:r w:rsidRPr="00FE7254">
              <w:t>. [online] Available at: &lt;https://www.about.sainsburys.co.uk/about-us&gt; [Accessed 30 November 2021].</w:t>
            </w:r>
          </w:p>
          <w:p w14:paraId="61FCF022" w14:textId="77777777" w:rsidR="00AB1A43" w:rsidRDefault="00AB1A43" w:rsidP="00805B5B">
            <w:r w:rsidRPr="00536C56">
              <w:t>al Habibi, B., 2019. </w:t>
            </w:r>
            <w:r w:rsidRPr="00536C56">
              <w:rPr>
                <w:i/>
                <w:iCs/>
              </w:rPr>
              <w:t>HR practices of Marks &amp; Spencer, Selfridges, Primark, and Sainsbury’s</w:t>
            </w:r>
            <w:r w:rsidRPr="00536C56">
              <w:t> (Doctoral dissertation, University of Science &amp; Technology).</w:t>
            </w:r>
          </w:p>
          <w:p w14:paraId="3F9542C9" w14:textId="77777777" w:rsidR="00AB1A43" w:rsidRDefault="00AB1A43" w:rsidP="00805B5B">
            <w:r w:rsidRPr="00536C56">
              <w:t>Aluko, O. and Knight, H., 2017. From corner store to superstore: a historical analysis of Sainsbury’s co-evolution. </w:t>
            </w:r>
            <w:r w:rsidRPr="00536C56">
              <w:rPr>
                <w:i/>
                <w:iCs/>
              </w:rPr>
              <w:t>Journal of Management History</w:t>
            </w:r>
            <w:r w:rsidRPr="00536C56">
              <w:t>.</w:t>
            </w:r>
          </w:p>
          <w:p w14:paraId="5C2FEB37" w14:textId="77777777" w:rsidR="00AB1A43" w:rsidRPr="00CA31E8" w:rsidRDefault="00AB1A43" w:rsidP="00805B5B">
            <w:r w:rsidRPr="00536C56">
              <w:t>Jones, P. and Comfort, D., 2021. Leading Retailers in the UK and Modern Slavery Statements. </w:t>
            </w:r>
            <w:r w:rsidRPr="00536C56">
              <w:rPr>
                <w:i/>
                <w:iCs/>
              </w:rPr>
              <w:t>International Journal of Sales, Retailing and Marketing</w:t>
            </w:r>
            <w:r w:rsidRPr="00536C56">
              <w:t>, </w:t>
            </w:r>
            <w:r w:rsidRPr="00536C56">
              <w:rPr>
                <w:i/>
                <w:iCs/>
              </w:rPr>
              <w:t>10</w:t>
            </w:r>
            <w:r w:rsidRPr="00536C56">
              <w:t>(2), pp.18-26.</w:t>
            </w:r>
          </w:p>
          <w:p w14:paraId="355F80C9" w14:textId="77777777" w:rsidR="00AB1A43" w:rsidRDefault="00AB1A43" w:rsidP="00805B5B">
            <w:r w:rsidRPr="00B44151">
              <w:t>Sainsbury's Careers. 2021. </w:t>
            </w:r>
            <w:r w:rsidRPr="00B44151">
              <w:rPr>
                <w:i/>
                <w:iCs/>
              </w:rPr>
              <w:t>Assessment Process</w:t>
            </w:r>
            <w:r w:rsidRPr="00B44151">
              <w:t>. [online] Available at: &lt;https://sainsburys.jobs/working-for-us/assessment-process/&gt; [Accessed 30 November 2021].</w:t>
            </w:r>
          </w:p>
          <w:p w14:paraId="2BDC76C3" w14:textId="77777777" w:rsidR="00AB1A43" w:rsidRPr="005F6382" w:rsidRDefault="00AB1A43" w:rsidP="00805B5B">
            <w:pPr>
              <w:rPr>
                <w:lang w:val="en-GB"/>
              </w:rPr>
            </w:pPr>
            <w:r w:rsidRPr="00B44151">
              <w:t>Sainsbury's Careers. 2021. </w:t>
            </w:r>
            <w:r w:rsidRPr="00B44151">
              <w:rPr>
                <w:i/>
                <w:iCs/>
              </w:rPr>
              <w:t>Benefits</w:t>
            </w:r>
            <w:r w:rsidRPr="00B44151">
              <w:t>. [online] Available at: &lt;https://sainsburys.jobs/working-for-us/benefits/&gt; [Accessed 30 November 2021].</w:t>
            </w:r>
          </w:p>
          <w:p w14:paraId="43C4E537" w14:textId="77777777" w:rsidR="00AB1A43" w:rsidRDefault="00AB1A43" w:rsidP="00805B5B">
            <w:r w:rsidRPr="008E3CB2">
              <w:t>Sainsbury's Careers. 2021. </w:t>
            </w:r>
            <w:r w:rsidRPr="008E3CB2">
              <w:rPr>
                <w:i/>
                <w:iCs/>
              </w:rPr>
              <w:t>HR</w:t>
            </w:r>
            <w:r w:rsidRPr="008E3CB2">
              <w:t>. [online] Available at: &lt;https://sainsburys.jobs/roles/corporate-functions/hr/&gt; [Accessed 30 November 2021].</w:t>
            </w:r>
          </w:p>
          <w:p w14:paraId="739A48AB" w14:textId="77777777" w:rsidR="00AB1A43" w:rsidRDefault="00AB1A43" w:rsidP="00805B5B">
            <w:r w:rsidRPr="00B44151">
              <w:t>Sainsbury's Careers. 2021. </w:t>
            </w:r>
            <w:r w:rsidRPr="00B44151">
              <w:rPr>
                <w:i/>
                <w:iCs/>
              </w:rPr>
              <w:t>Interview Tips</w:t>
            </w:r>
            <w:r w:rsidRPr="00B44151">
              <w:t>. [online] Available at: &lt;https://sainsburys.jobs/working-for-us/interview-tips/&gt; [Accessed 30 November 2021].</w:t>
            </w:r>
          </w:p>
          <w:p w14:paraId="00E2B239" w14:textId="77777777" w:rsidR="00AB1A43" w:rsidRPr="00CA31E8" w:rsidRDefault="00AB1A43" w:rsidP="00805B5B">
            <w:r w:rsidRPr="00B44151">
              <w:t>Sainsbury's Careers. 2021. </w:t>
            </w:r>
            <w:r w:rsidRPr="00B44151">
              <w:rPr>
                <w:i/>
                <w:iCs/>
              </w:rPr>
              <w:t>Search &amp; Apply</w:t>
            </w:r>
            <w:r w:rsidRPr="00B44151">
              <w:t>. [online] Available at: &lt;https://sainsburys.jobs/search-apply/recruiter-6-month-ftc--551842/&gt; [Accessed 30 November 2021].</w:t>
            </w:r>
          </w:p>
        </w:tc>
      </w:tr>
    </w:tbl>
    <w:p w14:paraId="7792174B" w14:textId="77777777" w:rsidR="00AB1A43" w:rsidRDefault="00AB1A43" w:rsidP="00AB1A43">
      <w:pPr>
        <w:jc w:val="center"/>
        <w:rPr>
          <w:lang w:val="en-GB"/>
        </w:rPr>
      </w:pPr>
      <w:r>
        <w:rPr>
          <w:noProof/>
          <w:lang w:eastAsia="en-US"/>
        </w:rPr>
        <w:lastRenderedPageBreak/>
        <w:drawing>
          <wp:inline distT="0" distB="0" distL="0" distR="0" wp14:anchorId="0214D401" wp14:editId="7415CDF4">
            <wp:extent cx="5943600" cy="4457700"/>
            <wp:effectExtent l="0" t="0" r="0" b="0"/>
            <wp:docPr id="13" name="Picture 13"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book&#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69C82498" w14:textId="77777777" w:rsidR="007D464B" w:rsidRDefault="007D464B"/>
    <w:sectPr w:rsidR="007D464B">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0D584" w14:textId="77777777" w:rsidR="00F95F32" w:rsidRDefault="00F95F32">
      <w:pPr>
        <w:spacing w:line="240" w:lineRule="auto"/>
      </w:pPr>
      <w:r>
        <w:separator/>
      </w:r>
    </w:p>
  </w:endnote>
  <w:endnote w:type="continuationSeparator" w:id="0">
    <w:p w14:paraId="4A69A25B" w14:textId="77777777" w:rsidR="00F95F32" w:rsidRDefault="00F95F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9342877"/>
      <w:docPartObj>
        <w:docPartGallery w:val="Page Numbers (Bottom of Page)"/>
        <w:docPartUnique/>
      </w:docPartObj>
    </w:sdtPr>
    <w:sdtEndPr>
      <w:rPr>
        <w:noProof/>
      </w:rPr>
    </w:sdtEndPr>
    <w:sdtContent>
      <w:p w14:paraId="038AF9B3" w14:textId="77777777" w:rsidR="00BA6AFD" w:rsidRDefault="002E668A">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599EA20" w14:textId="77777777" w:rsidR="00BA6AFD" w:rsidRDefault="00F95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2EDBB" w14:textId="77777777" w:rsidR="00F95F32" w:rsidRDefault="00F95F32">
      <w:pPr>
        <w:spacing w:line="240" w:lineRule="auto"/>
      </w:pPr>
      <w:r>
        <w:separator/>
      </w:r>
    </w:p>
  </w:footnote>
  <w:footnote w:type="continuationSeparator" w:id="0">
    <w:p w14:paraId="6808B6C3" w14:textId="77777777" w:rsidR="00F95F32" w:rsidRDefault="00F95F3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FD9"/>
    <w:rsid w:val="002E668A"/>
    <w:rsid w:val="002F35C3"/>
    <w:rsid w:val="00306FD9"/>
    <w:rsid w:val="004061A5"/>
    <w:rsid w:val="00545B49"/>
    <w:rsid w:val="007068B4"/>
    <w:rsid w:val="007D464B"/>
    <w:rsid w:val="00A00719"/>
    <w:rsid w:val="00AB1A43"/>
    <w:rsid w:val="00DC288F"/>
    <w:rsid w:val="00E35052"/>
    <w:rsid w:val="00E64607"/>
    <w:rsid w:val="00F95F32"/>
    <w:rsid w:val="00FB1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63E28"/>
  <w15:chartTrackingRefBased/>
  <w15:docId w15:val="{1A912D6B-5FA7-469A-A049-866A53566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1A43"/>
    <w:pPr>
      <w:jc w:val="both"/>
    </w:pPr>
    <w:rPr>
      <w:rFonts w:ascii="Times New Roman" w:eastAsia="Calibri" w:hAnsi="Times New Roman" w:cs="Calibri"/>
      <w:color w:val="000000" w:themeColor="text1"/>
      <w:sz w:val="24"/>
      <w:szCs w:val="24"/>
      <w:lang w:val="en-US" w:eastAsia="en-GB"/>
    </w:rPr>
  </w:style>
  <w:style w:type="paragraph" w:styleId="Heading1">
    <w:name w:val="heading 1"/>
    <w:basedOn w:val="Normal"/>
    <w:next w:val="Normal"/>
    <w:link w:val="Heading1Char"/>
    <w:autoRedefine/>
    <w:uiPriority w:val="9"/>
    <w:qFormat/>
    <w:rsid w:val="00AB1A43"/>
    <w:pPr>
      <w:keepNext/>
      <w:keepLines/>
      <w:outlineLvl w:val="0"/>
    </w:pPr>
    <w:rPr>
      <w:b/>
      <w:color w:val="0E101A"/>
      <w:kern w:val="36"/>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A43"/>
    <w:rPr>
      <w:rFonts w:ascii="Times New Roman" w:eastAsia="Calibri" w:hAnsi="Times New Roman" w:cs="Calibri"/>
      <w:b/>
      <w:color w:val="0E101A"/>
      <w:kern w:val="36"/>
      <w:sz w:val="24"/>
      <w:szCs w:val="48"/>
      <w:lang w:val="en-US" w:eastAsia="en-GB"/>
    </w:rPr>
  </w:style>
  <w:style w:type="paragraph" w:styleId="Title">
    <w:name w:val="Title"/>
    <w:basedOn w:val="Normal"/>
    <w:next w:val="Normal"/>
    <w:link w:val="TitleChar"/>
    <w:autoRedefine/>
    <w:uiPriority w:val="10"/>
    <w:qFormat/>
    <w:rsid w:val="00AB1A43"/>
    <w:pPr>
      <w:pBdr>
        <w:bottom w:val="single" w:sz="8" w:space="4" w:color="4472C4" w:themeColor="accent1"/>
      </w:pBdr>
      <w:spacing w:after="300"/>
      <w:contextualSpacing/>
      <w:jc w:val="center"/>
    </w:pPr>
    <w:rPr>
      <w:rFonts w:eastAsia="Times New Roman" w:cs="Times New Roman"/>
      <w:b/>
      <w:bCs/>
      <w:color w:val="222222"/>
      <w:spacing w:val="5"/>
      <w:kern w:val="28"/>
      <w:sz w:val="36"/>
    </w:rPr>
  </w:style>
  <w:style w:type="character" w:customStyle="1" w:styleId="TitleChar">
    <w:name w:val="Title Char"/>
    <w:basedOn w:val="DefaultParagraphFont"/>
    <w:link w:val="Title"/>
    <w:uiPriority w:val="10"/>
    <w:rsid w:val="00AB1A43"/>
    <w:rPr>
      <w:rFonts w:ascii="Times New Roman" w:eastAsia="Times New Roman" w:hAnsi="Times New Roman" w:cs="Times New Roman"/>
      <w:b/>
      <w:bCs/>
      <w:color w:val="222222"/>
      <w:spacing w:val="5"/>
      <w:kern w:val="28"/>
      <w:sz w:val="36"/>
      <w:szCs w:val="24"/>
      <w:lang w:val="en-US" w:eastAsia="en-GB"/>
    </w:rPr>
  </w:style>
  <w:style w:type="paragraph" w:styleId="Footer">
    <w:name w:val="footer"/>
    <w:basedOn w:val="Normal"/>
    <w:link w:val="FooterChar"/>
    <w:uiPriority w:val="99"/>
    <w:unhideWhenUsed/>
    <w:rsid w:val="00AB1A43"/>
    <w:pPr>
      <w:tabs>
        <w:tab w:val="center" w:pos="4680"/>
        <w:tab w:val="right" w:pos="9360"/>
      </w:tabs>
      <w:spacing w:line="240" w:lineRule="auto"/>
    </w:pPr>
  </w:style>
  <w:style w:type="character" w:customStyle="1" w:styleId="FooterChar">
    <w:name w:val="Footer Char"/>
    <w:basedOn w:val="DefaultParagraphFont"/>
    <w:link w:val="Footer"/>
    <w:uiPriority w:val="99"/>
    <w:rsid w:val="00AB1A43"/>
    <w:rPr>
      <w:rFonts w:ascii="Times New Roman" w:eastAsia="Calibri" w:hAnsi="Times New Roman" w:cs="Calibri"/>
      <w:color w:val="000000" w:themeColor="text1"/>
      <w:sz w:val="24"/>
      <w:szCs w:val="24"/>
      <w:lang w:val="en-US" w:eastAsia="en-GB"/>
    </w:rPr>
  </w:style>
  <w:style w:type="table" w:styleId="TableGrid">
    <w:name w:val="Table Grid"/>
    <w:basedOn w:val="TableNormal"/>
    <w:uiPriority w:val="59"/>
    <w:rsid w:val="00AB1A43"/>
    <w:pPr>
      <w:spacing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6.JPG"/><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G"/><Relationship Id="rId24" Type="http://schemas.openxmlformats.org/officeDocument/2006/relationships/image" Target="media/image19.JP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JP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png"/><Relationship Id="rId22" Type="http://schemas.openxmlformats.org/officeDocument/2006/relationships/image" Target="media/image17.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Pages>
  <Words>1930</Words>
  <Characters>11005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dragos;DRAGOS BUCATARU</dc:creator>
  <cp:keywords/>
  <dc:description/>
  <cp:lastModifiedBy>ioana bucataru</cp:lastModifiedBy>
  <cp:revision>8</cp:revision>
  <dcterms:created xsi:type="dcterms:W3CDTF">2021-12-16T20:26:00Z</dcterms:created>
  <dcterms:modified xsi:type="dcterms:W3CDTF">2021-12-16T22:02:00Z</dcterms:modified>
</cp:coreProperties>
</file>