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F5CF71" w14:textId="6E561ED4" w:rsidR="008D48A6" w:rsidRPr="00327ED0" w:rsidRDefault="00D94CA4" w:rsidP="008D48A6">
      <w:pPr>
        <w:jc w:val="center"/>
        <w:rPr>
          <w:b/>
          <w:bCs/>
          <w:sz w:val="40"/>
          <w:szCs w:val="40"/>
          <w:lang w:val="en"/>
        </w:rPr>
      </w:pPr>
      <w:bookmarkStart w:id="0" w:name="_heading=h.gjdgxs" w:colFirst="0" w:colLast="0"/>
      <w:bookmarkEnd w:id="0"/>
      <w:r w:rsidRPr="00327ED0">
        <w:rPr>
          <w:b/>
          <w:bCs/>
          <w:sz w:val="40"/>
          <w:szCs w:val="40"/>
          <w:lang w:val="en"/>
        </w:rPr>
        <w:t xml:space="preserve">         University of Wales Trinity Saint David</w:t>
      </w:r>
      <w:r w:rsidR="008D48A6" w:rsidRPr="00327ED0">
        <w:rPr>
          <w:b/>
          <w:bCs/>
          <w:sz w:val="40"/>
          <w:szCs w:val="40"/>
          <w:lang w:val="en"/>
        </w:rPr>
        <w:t xml:space="preserve">      London Campus</w:t>
      </w:r>
    </w:p>
    <w:p w14:paraId="1A4227FE" w14:textId="603A1D7F" w:rsidR="00D94CA4" w:rsidRPr="00327ED0" w:rsidRDefault="00D94CA4" w:rsidP="008D48A6">
      <w:pPr>
        <w:jc w:val="center"/>
        <w:rPr>
          <w:b/>
          <w:bCs/>
          <w:sz w:val="40"/>
          <w:szCs w:val="40"/>
          <w:lang w:val="en"/>
        </w:rPr>
      </w:pPr>
      <w:r w:rsidRPr="00327ED0">
        <w:rPr>
          <w:b/>
          <w:bCs/>
          <w:sz w:val="40"/>
          <w:szCs w:val="40"/>
          <w:lang w:val="en"/>
        </w:rPr>
        <w:t xml:space="preserve">      </w:t>
      </w:r>
    </w:p>
    <w:p w14:paraId="7704F80A" w14:textId="77777777" w:rsidR="00D94CA4" w:rsidRPr="00327ED0" w:rsidRDefault="00D94CA4" w:rsidP="00D94CA4">
      <w:pPr>
        <w:jc w:val="center"/>
        <w:rPr>
          <w:b/>
          <w:bCs/>
          <w:sz w:val="40"/>
          <w:szCs w:val="40"/>
          <w:lang w:val="en"/>
        </w:rPr>
      </w:pPr>
    </w:p>
    <w:p w14:paraId="14AC7D63" w14:textId="77777777" w:rsidR="00D94CA4" w:rsidRPr="00327ED0" w:rsidRDefault="00D94CA4" w:rsidP="00D94CA4">
      <w:pPr>
        <w:jc w:val="center"/>
        <w:rPr>
          <w:b/>
          <w:bCs/>
          <w:sz w:val="40"/>
          <w:szCs w:val="40"/>
          <w:lang w:val="en"/>
        </w:rPr>
      </w:pPr>
      <w:r w:rsidRPr="00327ED0">
        <w:rPr>
          <w:b/>
          <w:bCs/>
          <w:sz w:val="40"/>
          <w:szCs w:val="40"/>
          <w:lang w:val="en"/>
        </w:rPr>
        <w:t xml:space="preserve">            </w:t>
      </w:r>
    </w:p>
    <w:p w14:paraId="38530C37" w14:textId="77777777" w:rsidR="00D94CA4" w:rsidRPr="00327ED0" w:rsidRDefault="00D94CA4" w:rsidP="00D94CA4">
      <w:pPr>
        <w:jc w:val="center"/>
        <w:rPr>
          <w:b/>
          <w:bCs/>
          <w:sz w:val="40"/>
          <w:szCs w:val="40"/>
          <w:lang w:val="en"/>
        </w:rPr>
      </w:pPr>
      <w:r w:rsidRPr="00327ED0">
        <w:rPr>
          <w:b/>
          <w:bCs/>
          <w:noProof/>
          <w:sz w:val="40"/>
          <w:szCs w:val="40"/>
          <w:lang w:val="en"/>
        </w:rPr>
        <w:drawing>
          <wp:inline distT="0" distB="0" distL="0" distR="0" wp14:anchorId="2F694B6F" wp14:editId="757FBA6A">
            <wp:extent cx="2758698" cy="2295998"/>
            <wp:effectExtent l="0" t="0" r="3810" b="9525"/>
            <wp:docPr id="1930646230" name="Picture 193064623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78161" cy="2312196"/>
                    </a:xfrm>
                    <a:prstGeom prst="rect">
                      <a:avLst/>
                    </a:prstGeom>
                    <a:noFill/>
                    <a:ln>
                      <a:noFill/>
                    </a:ln>
                  </pic:spPr>
                </pic:pic>
              </a:graphicData>
            </a:graphic>
          </wp:inline>
        </w:drawing>
      </w:r>
    </w:p>
    <w:p w14:paraId="65087E3C" w14:textId="3649414D" w:rsidR="00D94CA4" w:rsidRDefault="00D94CA4" w:rsidP="00D94CA4">
      <w:pPr>
        <w:jc w:val="center"/>
        <w:rPr>
          <w:b/>
          <w:bCs/>
          <w:sz w:val="40"/>
          <w:szCs w:val="40"/>
          <w:lang w:val="en"/>
        </w:rPr>
      </w:pPr>
      <w:r w:rsidRPr="00327ED0">
        <w:rPr>
          <w:b/>
          <w:bCs/>
          <w:sz w:val="40"/>
          <w:szCs w:val="40"/>
          <w:lang w:val="en"/>
        </w:rPr>
        <w:t xml:space="preserve">Assignment </w:t>
      </w:r>
      <w:r w:rsidR="008D48A6">
        <w:rPr>
          <w:b/>
          <w:bCs/>
          <w:sz w:val="40"/>
          <w:szCs w:val="40"/>
          <w:lang w:val="en"/>
        </w:rPr>
        <w:t>1</w:t>
      </w:r>
    </w:p>
    <w:p w14:paraId="55809083" w14:textId="2D1D0DF7" w:rsidR="00C50764" w:rsidRPr="00D94CA4" w:rsidRDefault="00D94CA4" w:rsidP="00D94CA4">
      <w:pPr>
        <w:jc w:val="center"/>
        <w:rPr>
          <w:b/>
          <w:bCs/>
          <w:sz w:val="40"/>
          <w:szCs w:val="40"/>
          <w:lang w:val="en"/>
        </w:rPr>
      </w:pPr>
      <w:proofErr w:type="spellStart"/>
      <w:r w:rsidRPr="00327ED0">
        <w:rPr>
          <w:b/>
          <w:bCs/>
          <w:sz w:val="40"/>
          <w:szCs w:val="40"/>
          <w:lang w:val="en"/>
        </w:rPr>
        <w:t>Programme</w:t>
      </w:r>
      <w:proofErr w:type="spellEnd"/>
      <w:r w:rsidRPr="00327ED0">
        <w:rPr>
          <w:b/>
          <w:bCs/>
          <w:sz w:val="40"/>
          <w:szCs w:val="40"/>
          <w:lang w:val="en"/>
        </w:rPr>
        <w:t xml:space="preserve">: </w:t>
      </w:r>
      <w:r w:rsidRPr="00327ED0">
        <w:rPr>
          <w:sz w:val="40"/>
          <w:szCs w:val="40"/>
          <w:lang w:val="en"/>
        </w:rPr>
        <w:t>BA Business Managemen</w:t>
      </w:r>
      <w:r>
        <w:rPr>
          <w:sz w:val="40"/>
          <w:szCs w:val="40"/>
          <w:lang w:val="en"/>
        </w:rPr>
        <w:t>t</w:t>
      </w:r>
      <w:r w:rsidRPr="00327ED0">
        <w:rPr>
          <w:b/>
          <w:bCs/>
          <w:sz w:val="40"/>
          <w:szCs w:val="40"/>
          <w:lang w:val="en"/>
        </w:rPr>
        <w:br/>
        <w:t xml:space="preserve">Module: </w:t>
      </w:r>
      <w:r>
        <w:rPr>
          <w:sz w:val="40"/>
          <w:szCs w:val="40"/>
          <w:lang w:val="en"/>
        </w:rPr>
        <w:t xml:space="preserve">Strategic Management </w:t>
      </w:r>
      <w:r w:rsidR="00ED79DD">
        <w:rPr>
          <w:sz w:val="40"/>
          <w:szCs w:val="40"/>
          <w:lang w:val="en"/>
        </w:rPr>
        <w:t>and Sustainability</w:t>
      </w:r>
      <w:r w:rsidRPr="00327ED0">
        <w:rPr>
          <w:b/>
          <w:bCs/>
          <w:sz w:val="40"/>
          <w:szCs w:val="40"/>
          <w:lang w:val="en"/>
        </w:rPr>
        <w:br/>
        <w:t xml:space="preserve">Module Code: </w:t>
      </w:r>
      <w:r w:rsidRPr="00327ED0">
        <w:rPr>
          <w:sz w:val="40"/>
          <w:szCs w:val="40"/>
          <w:lang w:val="en"/>
        </w:rPr>
        <w:t>LCBB</w:t>
      </w:r>
      <w:r w:rsidR="00ED79DD">
        <w:rPr>
          <w:sz w:val="40"/>
          <w:szCs w:val="40"/>
          <w:lang w:val="en"/>
        </w:rPr>
        <w:t>6004</w:t>
      </w:r>
      <w:r w:rsidRPr="00327ED0">
        <w:rPr>
          <w:b/>
          <w:bCs/>
          <w:sz w:val="40"/>
          <w:szCs w:val="40"/>
          <w:lang w:val="en"/>
        </w:rPr>
        <w:br/>
        <w:t xml:space="preserve">Lecture: </w:t>
      </w:r>
      <w:r w:rsidR="00ED79DD">
        <w:rPr>
          <w:sz w:val="40"/>
          <w:szCs w:val="40"/>
          <w:lang w:val="en"/>
        </w:rPr>
        <w:t>Mr. R</w:t>
      </w:r>
      <w:r w:rsidR="008D48A6">
        <w:rPr>
          <w:sz w:val="40"/>
          <w:szCs w:val="40"/>
          <w:lang w:val="en"/>
        </w:rPr>
        <w:t>iaz Bhatti</w:t>
      </w:r>
      <w:r w:rsidRPr="00327ED0">
        <w:rPr>
          <w:b/>
          <w:bCs/>
          <w:sz w:val="40"/>
          <w:szCs w:val="40"/>
          <w:lang w:val="en"/>
        </w:rPr>
        <w:br/>
        <w:t xml:space="preserve">Student: </w:t>
      </w:r>
      <w:proofErr w:type="spellStart"/>
      <w:r w:rsidRPr="00327ED0">
        <w:rPr>
          <w:sz w:val="40"/>
          <w:szCs w:val="40"/>
          <w:lang w:val="en"/>
        </w:rPr>
        <w:t>Basiul</w:t>
      </w:r>
      <w:proofErr w:type="spellEnd"/>
      <w:r w:rsidRPr="00327ED0">
        <w:rPr>
          <w:sz w:val="40"/>
          <w:szCs w:val="40"/>
          <w:lang w:val="en"/>
        </w:rPr>
        <w:t xml:space="preserve"> Vlada ( 2028043 )</w:t>
      </w:r>
    </w:p>
    <w:p w14:paraId="4034E2E2" w14:textId="77777777" w:rsidR="00C50764" w:rsidRDefault="00C50764">
      <w:pPr>
        <w:pStyle w:val="Title"/>
      </w:pPr>
      <w:bookmarkStart w:id="1" w:name="_heading=h.30j0zll" w:colFirst="0" w:colLast="0"/>
      <w:bookmarkEnd w:id="1"/>
    </w:p>
    <w:p w14:paraId="47F0C427" w14:textId="77777777" w:rsidR="00C50764" w:rsidRDefault="00C50764">
      <w:pPr>
        <w:pStyle w:val="Title"/>
      </w:pPr>
      <w:bookmarkStart w:id="2" w:name="_heading=h.1fob9te" w:colFirst="0" w:colLast="0"/>
      <w:bookmarkEnd w:id="2"/>
    </w:p>
    <w:p w14:paraId="7AA1F404" w14:textId="77777777" w:rsidR="00C50764" w:rsidRDefault="00C50764">
      <w:pPr>
        <w:pStyle w:val="Title"/>
      </w:pPr>
      <w:bookmarkStart w:id="3" w:name="_heading=h.3znysh7" w:colFirst="0" w:colLast="0"/>
      <w:bookmarkEnd w:id="3"/>
    </w:p>
    <w:p w14:paraId="321B3437" w14:textId="77777777" w:rsidR="00C50764" w:rsidRDefault="00C50764">
      <w:pPr>
        <w:pStyle w:val="Title"/>
      </w:pPr>
      <w:bookmarkStart w:id="4" w:name="_heading=h.2et92p0" w:colFirst="0" w:colLast="0"/>
      <w:bookmarkEnd w:id="4"/>
    </w:p>
    <w:p w14:paraId="58AEF812" w14:textId="77777777" w:rsidR="00C50764" w:rsidRDefault="00C50764">
      <w:pPr>
        <w:pStyle w:val="Title"/>
      </w:pPr>
      <w:bookmarkStart w:id="5" w:name="_heading=h.tyjcwt" w:colFirst="0" w:colLast="0"/>
      <w:bookmarkEnd w:id="5"/>
    </w:p>
    <w:p w14:paraId="4B6FBF6D" w14:textId="77777777" w:rsidR="00C50764" w:rsidRDefault="00C50764">
      <w:pPr>
        <w:pStyle w:val="Title"/>
      </w:pPr>
      <w:bookmarkStart w:id="6" w:name="_heading=h.3dy6vkm" w:colFirst="0" w:colLast="0"/>
      <w:bookmarkEnd w:id="6"/>
    </w:p>
    <w:p w14:paraId="07828C91" w14:textId="335B084E" w:rsidR="00C50764" w:rsidRDefault="00C50764">
      <w:pPr>
        <w:pStyle w:val="Title"/>
      </w:pPr>
    </w:p>
    <w:p w14:paraId="365752B2" w14:textId="77777777" w:rsidR="00C50764" w:rsidRDefault="0091455E">
      <w:pPr>
        <w:jc w:val="center"/>
        <w:rPr>
          <w:b/>
          <w:sz w:val="28"/>
          <w:szCs w:val="28"/>
        </w:rPr>
      </w:pPr>
      <w:r>
        <w:rPr>
          <w:b/>
          <w:sz w:val="28"/>
          <w:szCs w:val="28"/>
        </w:rPr>
        <w:t>Table of Contents</w:t>
      </w:r>
    </w:p>
    <w:sdt>
      <w:sdtPr>
        <w:rPr>
          <w:szCs w:val="24"/>
        </w:rPr>
        <w:id w:val="-215895882"/>
        <w:docPartObj>
          <w:docPartGallery w:val="Table of Contents"/>
          <w:docPartUnique/>
        </w:docPartObj>
      </w:sdtPr>
      <w:sdtEndPr/>
      <w:sdtContent>
        <w:p w14:paraId="6D8649AA" w14:textId="5AB27902" w:rsidR="0091455E" w:rsidRDefault="0091455E">
          <w:pPr>
            <w:pStyle w:val="TOC1"/>
            <w:tabs>
              <w:tab w:val="right" w:leader="dot" w:pos="9019"/>
            </w:tabs>
            <w:rPr>
              <w:noProof/>
            </w:rPr>
          </w:pPr>
          <w:r>
            <w:fldChar w:fldCharType="begin"/>
          </w:r>
          <w:r>
            <w:instrText xml:space="preserve"> TOC \h \u \z \t "Heading 1,1,Heading 2,2,Heading 3,3,Heading 4,4,Heading 5,5,Heading 6,6,"</w:instrText>
          </w:r>
          <w:r>
            <w:fldChar w:fldCharType="separate"/>
          </w:r>
          <w:hyperlink w:anchor="_Toc150465112" w:history="1">
            <w:r w:rsidRPr="00F80039">
              <w:rPr>
                <w:rStyle w:val="Hyperlink"/>
                <w:noProof/>
              </w:rPr>
              <w:t>Introduction</w:t>
            </w:r>
            <w:r>
              <w:rPr>
                <w:noProof/>
                <w:webHidden/>
              </w:rPr>
              <w:tab/>
            </w:r>
            <w:r>
              <w:rPr>
                <w:noProof/>
                <w:webHidden/>
              </w:rPr>
              <w:fldChar w:fldCharType="begin"/>
            </w:r>
            <w:r>
              <w:rPr>
                <w:noProof/>
                <w:webHidden/>
              </w:rPr>
              <w:instrText xml:space="preserve"> PAGEREF _Toc150465112 \h </w:instrText>
            </w:r>
            <w:r>
              <w:rPr>
                <w:noProof/>
                <w:webHidden/>
              </w:rPr>
            </w:r>
            <w:r>
              <w:rPr>
                <w:noProof/>
                <w:webHidden/>
              </w:rPr>
              <w:fldChar w:fldCharType="separate"/>
            </w:r>
            <w:r>
              <w:rPr>
                <w:noProof/>
                <w:webHidden/>
              </w:rPr>
              <w:t>3</w:t>
            </w:r>
            <w:r>
              <w:rPr>
                <w:noProof/>
                <w:webHidden/>
              </w:rPr>
              <w:fldChar w:fldCharType="end"/>
            </w:r>
          </w:hyperlink>
        </w:p>
        <w:p w14:paraId="53C50268" w14:textId="5406EA41" w:rsidR="0091455E" w:rsidRDefault="008D48A6">
          <w:pPr>
            <w:pStyle w:val="TOC1"/>
            <w:tabs>
              <w:tab w:val="right" w:leader="dot" w:pos="9019"/>
            </w:tabs>
            <w:rPr>
              <w:noProof/>
            </w:rPr>
          </w:pPr>
          <w:hyperlink w:anchor="_Toc150465113" w:history="1">
            <w:r w:rsidR="0091455E" w:rsidRPr="00F80039">
              <w:rPr>
                <w:rStyle w:val="Hyperlink"/>
                <w:noProof/>
              </w:rPr>
              <w:t>Company Background and Overview</w:t>
            </w:r>
            <w:r w:rsidR="0091455E">
              <w:rPr>
                <w:noProof/>
                <w:webHidden/>
              </w:rPr>
              <w:tab/>
            </w:r>
            <w:r w:rsidR="0091455E">
              <w:rPr>
                <w:noProof/>
                <w:webHidden/>
              </w:rPr>
              <w:fldChar w:fldCharType="begin"/>
            </w:r>
            <w:r w:rsidR="0091455E">
              <w:rPr>
                <w:noProof/>
                <w:webHidden/>
              </w:rPr>
              <w:instrText xml:space="preserve"> PAGEREF _Toc150465113 \h </w:instrText>
            </w:r>
            <w:r w:rsidR="0091455E">
              <w:rPr>
                <w:noProof/>
                <w:webHidden/>
              </w:rPr>
            </w:r>
            <w:r w:rsidR="0091455E">
              <w:rPr>
                <w:noProof/>
                <w:webHidden/>
              </w:rPr>
              <w:fldChar w:fldCharType="separate"/>
            </w:r>
            <w:r w:rsidR="0091455E">
              <w:rPr>
                <w:noProof/>
                <w:webHidden/>
              </w:rPr>
              <w:t>3</w:t>
            </w:r>
            <w:r w:rsidR="0091455E">
              <w:rPr>
                <w:noProof/>
                <w:webHidden/>
              </w:rPr>
              <w:fldChar w:fldCharType="end"/>
            </w:r>
          </w:hyperlink>
        </w:p>
        <w:p w14:paraId="47FA2F2A" w14:textId="23D21E0A" w:rsidR="0091455E" w:rsidRDefault="008D48A6">
          <w:pPr>
            <w:pStyle w:val="TOC1"/>
            <w:tabs>
              <w:tab w:val="right" w:leader="dot" w:pos="9019"/>
            </w:tabs>
            <w:rPr>
              <w:noProof/>
            </w:rPr>
          </w:pPr>
          <w:hyperlink w:anchor="_Toc150465114" w:history="1">
            <w:r w:rsidR="0091455E" w:rsidRPr="00F80039">
              <w:rPr>
                <w:rStyle w:val="Hyperlink"/>
                <w:noProof/>
              </w:rPr>
              <w:t>Key Business and Corporate Strategies</w:t>
            </w:r>
            <w:r w:rsidR="0091455E">
              <w:rPr>
                <w:noProof/>
                <w:webHidden/>
              </w:rPr>
              <w:tab/>
            </w:r>
            <w:r w:rsidR="0091455E">
              <w:rPr>
                <w:noProof/>
                <w:webHidden/>
              </w:rPr>
              <w:fldChar w:fldCharType="begin"/>
            </w:r>
            <w:r w:rsidR="0091455E">
              <w:rPr>
                <w:noProof/>
                <w:webHidden/>
              </w:rPr>
              <w:instrText xml:space="preserve"> PAGEREF _Toc150465114 \h </w:instrText>
            </w:r>
            <w:r w:rsidR="0091455E">
              <w:rPr>
                <w:noProof/>
                <w:webHidden/>
              </w:rPr>
            </w:r>
            <w:r w:rsidR="0091455E">
              <w:rPr>
                <w:noProof/>
                <w:webHidden/>
              </w:rPr>
              <w:fldChar w:fldCharType="separate"/>
            </w:r>
            <w:r w:rsidR="0091455E">
              <w:rPr>
                <w:noProof/>
                <w:webHidden/>
              </w:rPr>
              <w:t>4</w:t>
            </w:r>
            <w:r w:rsidR="0091455E">
              <w:rPr>
                <w:noProof/>
                <w:webHidden/>
              </w:rPr>
              <w:fldChar w:fldCharType="end"/>
            </w:r>
          </w:hyperlink>
        </w:p>
        <w:p w14:paraId="63F040DD" w14:textId="7D717501" w:rsidR="0091455E" w:rsidRDefault="008D48A6">
          <w:pPr>
            <w:pStyle w:val="TOC2"/>
            <w:tabs>
              <w:tab w:val="right" w:leader="dot" w:pos="9019"/>
            </w:tabs>
            <w:rPr>
              <w:noProof/>
            </w:rPr>
          </w:pPr>
          <w:hyperlink w:anchor="_Toc150465115" w:history="1">
            <w:r w:rsidR="0091455E" w:rsidRPr="00F80039">
              <w:rPr>
                <w:rStyle w:val="Hyperlink"/>
                <w:noProof/>
              </w:rPr>
              <w:t>Business and Corporate Strategies:</w:t>
            </w:r>
            <w:r w:rsidR="0091455E">
              <w:rPr>
                <w:noProof/>
                <w:webHidden/>
              </w:rPr>
              <w:tab/>
            </w:r>
            <w:r w:rsidR="0091455E">
              <w:rPr>
                <w:noProof/>
                <w:webHidden/>
              </w:rPr>
              <w:fldChar w:fldCharType="begin"/>
            </w:r>
            <w:r w:rsidR="0091455E">
              <w:rPr>
                <w:noProof/>
                <w:webHidden/>
              </w:rPr>
              <w:instrText xml:space="preserve"> PAGEREF _Toc150465115 \h </w:instrText>
            </w:r>
            <w:r w:rsidR="0091455E">
              <w:rPr>
                <w:noProof/>
                <w:webHidden/>
              </w:rPr>
            </w:r>
            <w:r w:rsidR="0091455E">
              <w:rPr>
                <w:noProof/>
                <w:webHidden/>
              </w:rPr>
              <w:fldChar w:fldCharType="separate"/>
            </w:r>
            <w:r w:rsidR="0091455E">
              <w:rPr>
                <w:noProof/>
                <w:webHidden/>
              </w:rPr>
              <w:t>4</w:t>
            </w:r>
            <w:r w:rsidR="0091455E">
              <w:rPr>
                <w:noProof/>
                <w:webHidden/>
              </w:rPr>
              <w:fldChar w:fldCharType="end"/>
            </w:r>
          </w:hyperlink>
        </w:p>
        <w:p w14:paraId="12F539A0" w14:textId="3F1093F7" w:rsidR="0091455E" w:rsidRDefault="008D48A6">
          <w:pPr>
            <w:pStyle w:val="TOC1"/>
            <w:tabs>
              <w:tab w:val="right" w:leader="dot" w:pos="9019"/>
            </w:tabs>
            <w:rPr>
              <w:noProof/>
            </w:rPr>
          </w:pPr>
          <w:hyperlink w:anchor="_Toc150465116" w:history="1">
            <w:r w:rsidR="0091455E" w:rsidRPr="00F80039">
              <w:rPr>
                <w:rStyle w:val="Hyperlink"/>
                <w:noProof/>
              </w:rPr>
              <w:t>Resources and Capabilities</w:t>
            </w:r>
            <w:r w:rsidR="0091455E">
              <w:rPr>
                <w:noProof/>
                <w:webHidden/>
              </w:rPr>
              <w:tab/>
            </w:r>
            <w:r w:rsidR="0091455E">
              <w:rPr>
                <w:noProof/>
                <w:webHidden/>
              </w:rPr>
              <w:fldChar w:fldCharType="begin"/>
            </w:r>
            <w:r w:rsidR="0091455E">
              <w:rPr>
                <w:noProof/>
                <w:webHidden/>
              </w:rPr>
              <w:instrText xml:space="preserve"> PAGEREF _Toc150465116 \h </w:instrText>
            </w:r>
            <w:r w:rsidR="0091455E">
              <w:rPr>
                <w:noProof/>
                <w:webHidden/>
              </w:rPr>
            </w:r>
            <w:r w:rsidR="0091455E">
              <w:rPr>
                <w:noProof/>
                <w:webHidden/>
              </w:rPr>
              <w:fldChar w:fldCharType="separate"/>
            </w:r>
            <w:r w:rsidR="0091455E">
              <w:rPr>
                <w:noProof/>
                <w:webHidden/>
              </w:rPr>
              <w:t>5</w:t>
            </w:r>
            <w:r w:rsidR="0091455E">
              <w:rPr>
                <w:noProof/>
                <w:webHidden/>
              </w:rPr>
              <w:fldChar w:fldCharType="end"/>
            </w:r>
          </w:hyperlink>
        </w:p>
        <w:p w14:paraId="64B072B5" w14:textId="63A63841" w:rsidR="0091455E" w:rsidRDefault="008D48A6">
          <w:pPr>
            <w:pStyle w:val="TOC1"/>
            <w:tabs>
              <w:tab w:val="right" w:leader="dot" w:pos="9019"/>
            </w:tabs>
            <w:rPr>
              <w:noProof/>
            </w:rPr>
          </w:pPr>
          <w:hyperlink w:anchor="_Toc150465117" w:history="1">
            <w:r w:rsidR="0091455E" w:rsidRPr="00F80039">
              <w:rPr>
                <w:rStyle w:val="Hyperlink"/>
                <w:noProof/>
              </w:rPr>
              <w:t>Strategy in Action</w:t>
            </w:r>
            <w:r w:rsidR="0091455E">
              <w:rPr>
                <w:noProof/>
                <w:webHidden/>
              </w:rPr>
              <w:tab/>
            </w:r>
            <w:r w:rsidR="0091455E">
              <w:rPr>
                <w:noProof/>
                <w:webHidden/>
              </w:rPr>
              <w:fldChar w:fldCharType="begin"/>
            </w:r>
            <w:r w:rsidR="0091455E">
              <w:rPr>
                <w:noProof/>
                <w:webHidden/>
              </w:rPr>
              <w:instrText xml:space="preserve"> PAGEREF _Toc150465117 \h </w:instrText>
            </w:r>
            <w:r w:rsidR="0091455E">
              <w:rPr>
                <w:noProof/>
                <w:webHidden/>
              </w:rPr>
            </w:r>
            <w:r w:rsidR="0091455E">
              <w:rPr>
                <w:noProof/>
                <w:webHidden/>
              </w:rPr>
              <w:fldChar w:fldCharType="separate"/>
            </w:r>
            <w:r w:rsidR="0091455E">
              <w:rPr>
                <w:noProof/>
                <w:webHidden/>
              </w:rPr>
              <w:t>6</w:t>
            </w:r>
            <w:r w:rsidR="0091455E">
              <w:rPr>
                <w:noProof/>
                <w:webHidden/>
              </w:rPr>
              <w:fldChar w:fldCharType="end"/>
            </w:r>
          </w:hyperlink>
        </w:p>
        <w:p w14:paraId="602D83CF" w14:textId="2E9F09A8" w:rsidR="0091455E" w:rsidRDefault="008D48A6">
          <w:pPr>
            <w:pStyle w:val="TOC1"/>
            <w:tabs>
              <w:tab w:val="right" w:leader="dot" w:pos="9019"/>
            </w:tabs>
            <w:rPr>
              <w:noProof/>
            </w:rPr>
          </w:pPr>
          <w:hyperlink w:anchor="_Toc150465118" w:history="1">
            <w:r w:rsidR="0091455E" w:rsidRPr="00F80039">
              <w:rPr>
                <w:rStyle w:val="Hyperlink"/>
                <w:noProof/>
              </w:rPr>
              <w:t>Sustainability and Environmental Considerations</w:t>
            </w:r>
            <w:r w:rsidR="0091455E">
              <w:rPr>
                <w:noProof/>
                <w:webHidden/>
              </w:rPr>
              <w:tab/>
            </w:r>
            <w:r w:rsidR="0091455E">
              <w:rPr>
                <w:noProof/>
                <w:webHidden/>
              </w:rPr>
              <w:fldChar w:fldCharType="begin"/>
            </w:r>
            <w:r w:rsidR="0091455E">
              <w:rPr>
                <w:noProof/>
                <w:webHidden/>
              </w:rPr>
              <w:instrText xml:space="preserve"> PAGEREF _Toc150465118 \h </w:instrText>
            </w:r>
            <w:r w:rsidR="0091455E">
              <w:rPr>
                <w:noProof/>
                <w:webHidden/>
              </w:rPr>
            </w:r>
            <w:r w:rsidR="0091455E">
              <w:rPr>
                <w:noProof/>
                <w:webHidden/>
              </w:rPr>
              <w:fldChar w:fldCharType="separate"/>
            </w:r>
            <w:r w:rsidR="0091455E">
              <w:rPr>
                <w:noProof/>
                <w:webHidden/>
              </w:rPr>
              <w:t>7</w:t>
            </w:r>
            <w:r w:rsidR="0091455E">
              <w:rPr>
                <w:noProof/>
                <w:webHidden/>
              </w:rPr>
              <w:fldChar w:fldCharType="end"/>
            </w:r>
          </w:hyperlink>
        </w:p>
        <w:p w14:paraId="4D269848" w14:textId="6907E712" w:rsidR="0091455E" w:rsidRDefault="008D48A6">
          <w:pPr>
            <w:pStyle w:val="TOC1"/>
            <w:tabs>
              <w:tab w:val="right" w:leader="dot" w:pos="9019"/>
            </w:tabs>
            <w:rPr>
              <w:noProof/>
            </w:rPr>
          </w:pPr>
          <w:hyperlink w:anchor="_Toc150465119" w:history="1">
            <w:r w:rsidR="0091455E" w:rsidRPr="00F80039">
              <w:rPr>
                <w:rStyle w:val="Hyperlink"/>
                <w:noProof/>
              </w:rPr>
              <w:t>Future Strategic Direction</w:t>
            </w:r>
            <w:r w:rsidR="0091455E">
              <w:rPr>
                <w:noProof/>
                <w:webHidden/>
              </w:rPr>
              <w:tab/>
            </w:r>
            <w:r w:rsidR="0091455E">
              <w:rPr>
                <w:noProof/>
                <w:webHidden/>
              </w:rPr>
              <w:fldChar w:fldCharType="begin"/>
            </w:r>
            <w:r w:rsidR="0091455E">
              <w:rPr>
                <w:noProof/>
                <w:webHidden/>
              </w:rPr>
              <w:instrText xml:space="preserve"> PAGEREF _Toc150465119 \h </w:instrText>
            </w:r>
            <w:r w:rsidR="0091455E">
              <w:rPr>
                <w:noProof/>
                <w:webHidden/>
              </w:rPr>
            </w:r>
            <w:r w:rsidR="0091455E">
              <w:rPr>
                <w:noProof/>
                <w:webHidden/>
              </w:rPr>
              <w:fldChar w:fldCharType="separate"/>
            </w:r>
            <w:r w:rsidR="0091455E">
              <w:rPr>
                <w:noProof/>
                <w:webHidden/>
              </w:rPr>
              <w:t>8</w:t>
            </w:r>
            <w:r w:rsidR="0091455E">
              <w:rPr>
                <w:noProof/>
                <w:webHidden/>
              </w:rPr>
              <w:fldChar w:fldCharType="end"/>
            </w:r>
          </w:hyperlink>
        </w:p>
        <w:p w14:paraId="5CACD434" w14:textId="69FC3F09" w:rsidR="0091455E" w:rsidRDefault="008D48A6">
          <w:pPr>
            <w:pStyle w:val="TOC1"/>
            <w:tabs>
              <w:tab w:val="right" w:leader="dot" w:pos="9019"/>
            </w:tabs>
            <w:rPr>
              <w:noProof/>
            </w:rPr>
          </w:pPr>
          <w:hyperlink w:anchor="_Toc150465120" w:history="1">
            <w:r w:rsidR="0091455E" w:rsidRPr="00F80039">
              <w:rPr>
                <w:rStyle w:val="Hyperlink"/>
                <w:noProof/>
              </w:rPr>
              <w:t>Conclusion</w:t>
            </w:r>
            <w:r w:rsidR="0091455E">
              <w:rPr>
                <w:noProof/>
                <w:webHidden/>
              </w:rPr>
              <w:tab/>
            </w:r>
            <w:r w:rsidR="0091455E">
              <w:rPr>
                <w:noProof/>
                <w:webHidden/>
              </w:rPr>
              <w:fldChar w:fldCharType="begin"/>
            </w:r>
            <w:r w:rsidR="0091455E">
              <w:rPr>
                <w:noProof/>
                <w:webHidden/>
              </w:rPr>
              <w:instrText xml:space="preserve"> PAGEREF _Toc150465120 \h </w:instrText>
            </w:r>
            <w:r w:rsidR="0091455E">
              <w:rPr>
                <w:noProof/>
                <w:webHidden/>
              </w:rPr>
            </w:r>
            <w:r w:rsidR="0091455E">
              <w:rPr>
                <w:noProof/>
                <w:webHidden/>
              </w:rPr>
              <w:fldChar w:fldCharType="separate"/>
            </w:r>
            <w:r w:rsidR="0091455E">
              <w:rPr>
                <w:noProof/>
                <w:webHidden/>
              </w:rPr>
              <w:t>9</w:t>
            </w:r>
            <w:r w:rsidR="0091455E">
              <w:rPr>
                <w:noProof/>
                <w:webHidden/>
              </w:rPr>
              <w:fldChar w:fldCharType="end"/>
            </w:r>
          </w:hyperlink>
        </w:p>
        <w:p w14:paraId="6D55A4C2" w14:textId="4CFED0E5" w:rsidR="0091455E" w:rsidRDefault="008D48A6">
          <w:pPr>
            <w:pStyle w:val="TOC1"/>
            <w:tabs>
              <w:tab w:val="right" w:leader="dot" w:pos="9019"/>
            </w:tabs>
            <w:rPr>
              <w:noProof/>
            </w:rPr>
          </w:pPr>
          <w:hyperlink w:anchor="_Toc150465121" w:history="1">
            <w:r w:rsidR="0091455E" w:rsidRPr="00F80039">
              <w:rPr>
                <w:rStyle w:val="Hyperlink"/>
                <w:noProof/>
              </w:rPr>
              <w:t>Reference</w:t>
            </w:r>
            <w:r w:rsidR="0091455E">
              <w:rPr>
                <w:noProof/>
                <w:webHidden/>
              </w:rPr>
              <w:tab/>
            </w:r>
            <w:r w:rsidR="0091455E">
              <w:rPr>
                <w:noProof/>
                <w:webHidden/>
              </w:rPr>
              <w:fldChar w:fldCharType="begin"/>
            </w:r>
            <w:r w:rsidR="0091455E">
              <w:rPr>
                <w:noProof/>
                <w:webHidden/>
              </w:rPr>
              <w:instrText xml:space="preserve"> PAGEREF _Toc150465121 \h </w:instrText>
            </w:r>
            <w:r w:rsidR="0091455E">
              <w:rPr>
                <w:noProof/>
                <w:webHidden/>
              </w:rPr>
            </w:r>
            <w:r w:rsidR="0091455E">
              <w:rPr>
                <w:noProof/>
                <w:webHidden/>
              </w:rPr>
              <w:fldChar w:fldCharType="separate"/>
            </w:r>
            <w:r w:rsidR="0091455E">
              <w:rPr>
                <w:noProof/>
                <w:webHidden/>
              </w:rPr>
              <w:t>10</w:t>
            </w:r>
            <w:r w:rsidR="0091455E">
              <w:rPr>
                <w:noProof/>
                <w:webHidden/>
              </w:rPr>
              <w:fldChar w:fldCharType="end"/>
            </w:r>
          </w:hyperlink>
        </w:p>
        <w:p w14:paraId="099E8677" w14:textId="4FE3B76B" w:rsidR="0091455E" w:rsidRDefault="008D48A6">
          <w:pPr>
            <w:pStyle w:val="TOC1"/>
            <w:tabs>
              <w:tab w:val="right" w:leader="dot" w:pos="9019"/>
            </w:tabs>
            <w:rPr>
              <w:noProof/>
            </w:rPr>
          </w:pPr>
          <w:hyperlink w:anchor="_Toc150465122" w:history="1">
            <w:r w:rsidR="0091455E" w:rsidRPr="00F80039">
              <w:rPr>
                <w:rStyle w:val="Hyperlink"/>
                <w:noProof/>
              </w:rPr>
              <w:t>Appendix</w:t>
            </w:r>
            <w:r w:rsidR="0091455E">
              <w:rPr>
                <w:noProof/>
                <w:webHidden/>
              </w:rPr>
              <w:tab/>
            </w:r>
            <w:r w:rsidR="0091455E">
              <w:rPr>
                <w:noProof/>
                <w:webHidden/>
              </w:rPr>
              <w:fldChar w:fldCharType="begin"/>
            </w:r>
            <w:r w:rsidR="0091455E">
              <w:rPr>
                <w:noProof/>
                <w:webHidden/>
              </w:rPr>
              <w:instrText xml:space="preserve"> PAGEREF _Toc150465122 \h </w:instrText>
            </w:r>
            <w:r w:rsidR="0091455E">
              <w:rPr>
                <w:noProof/>
                <w:webHidden/>
              </w:rPr>
            </w:r>
            <w:r w:rsidR="0091455E">
              <w:rPr>
                <w:noProof/>
                <w:webHidden/>
              </w:rPr>
              <w:fldChar w:fldCharType="separate"/>
            </w:r>
            <w:r w:rsidR="0091455E">
              <w:rPr>
                <w:noProof/>
                <w:webHidden/>
              </w:rPr>
              <w:t>12</w:t>
            </w:r>
            <w:r w:rsidR="0091455E">
              <w:rPr>
                <w:noProof/>
                <w:webHidden/>
              </w:rPr>
              <w:fldChar w:fldCharType="end"/>
            </w:r>
          </w:hyperlink>
        </w:p>
        <w:p w14:paraId="21992A92" w14:textId="123C1BAD" w:rsidR="0091455E" w:rsidRDefault="008D48A6">
          <w:pPr>
            <w:pStyle w:val="TOC2"/>
            <w:tabs>
              <w:tab w:val="right" w:leader="dot" w:pos="9019"/>
            </w:tabs>
            <w:rPr>
              <w:noProof/>
            </w:rPr>
          </w:pPr>
          <w:hyperlink w:anchor="_Toc150465123" w:history="1">
            <w:r w:rsidR="0091455E" w:rsidRPr="00F80039">
              <w:rPr>
                <w:rStyle w:val="Hyperlink"/>
                <w:noProof/>
              </w:rPr>
              <w:t>SWOT Analysis:</w:t>
            </w:r>
            <w:r w:rsidR="0091455E">
              <w:rPr>
                <w:noProof/>
                <w:webHidden/>
              </w:rPr>
              <w:tab/>
            </w:r>
            <w:r w:rsidR="0091455E">
              <w:rPr>
                <w:noProof/>
                <w:webHidden/>
              </w:rPr>
              <w:fldChar w:fldCharType="begin"/>
            </w:r>
            <w:r w:rsidR="0091455E">
              <w:rPr>
                <w:noProof/>
                <w:webHidden/>
              </w:rPr>
              <w:instrText xml:space="preserve"> PAGEREF _Toc150465123 \h </w:instrText>
            </w:r>
            <w:r w:rsidR="0091455E">
              <w:rPr>
                <w:noProof/>
                <w:webHidden/>
              </w:rPr>
            </w:r>
            <w:r w:rsidR="0091455E">
              <w:rPr>
                <w:noProof/>
                <w:webHidden/>
              </w:rPr>
              <w:fldChar w:fldCharType="separate"/>
            </w:r>
            <w:r w:rsidR="0091455E">
              <w:rPr>
                <w:noProof/>
                <w:webHidden/>
              </w:rPr>
              <w:t>12</w:t>
            </w:r>
            <w:r w:rsidR="0091455E">
              <w:rPr>
                <w:noProof/>
                <w:webHidden/>
              </w:rPr>
              <w:fldChar w:fldCharType="end"/>
            </w:r>
          </w:hyperlink>
        </w:p>
        <w:p w14:paraId="0C02E461" w14:textId="569093B4" w:rsidR="0091455E" w:rsidRDefault="008D48A6">
          <w:pPr>
            <w:pStyle w:val="TOC2"/>
            <w:tabs>
              <w:tab w:val="right" w:leader="dot" w:pos="9019"/>
            </w:tabs>
            <w:rPr>
              <w:noProof/>
            </w:rPr>
          </w:pPr>
          <w:hyperlink w:anchor="_Toc150465124" w:history="1">
            <w:r w:rsidR="0091455E" w:rsidRPr="00F80039">
              <w:rPr>
                <w:rStyle w:val="Hyperlink"/>
                <w:noProof/>
              </w:rPr>
              <w:t>PESTEL Analysis:</w:t>
            </w:r>
            <w:r w:rsidR="0091455E">
              <w:rPr>
                <w:noProof/>
                <w:webHidden/>
              </w:rPr>
              <w:tab/>
            </w:r>
            <w:r w:rsidR="0091455E">
              <w:rPr>
                <w:noProof/>
                <w:webHidden/>
              </w:rPr>
              <w:fldChar w:fldCharType="begin"/>
            </w:r>
            <w:r w:rsidR="0091455E">
              <w:rPr>
                <w:noProof/>
                <w:webHidden/>
              </w:rPr>
              <w:instrText xml:space="preserve"> PAGEREF _Toc150465124 \h </w:instrText>
            </w:r>
            <w:r w:rsidR="0091455E">
              <w:rPr>
                <w:noProof/>
                <w:webHidden/>
              </w:rPr>
            </w:r>
            <w:r w:rsidR="0091455E">
              <w:rPr>
                <w:noProof/>
                <w:webHidden/>
              </w:rPr>
              <w:fldChar w:fldCharType="separate"/>
            </w:r>
            <w:r w:rsidR="0091455E">
              <w:rPr>
                <w:noProof/>
                <w:webHidden/>
              </w:rPr>
              <w:t>12</w:t>
            </w:r>
            <w:r w:rsidR="0091455E">
              <w:rPr>
                <w:noProof/>
                <w:webHidden/>
              </w:rPr>
              <w:fldChar w:fldCharType="end"/>
            </w:r>
          </w:hyperlink>
        </w:p>
        <w:p w14:paraId="66001FB3" w14:textId="5509BF10" w:rsidR="0091455E" w:rsidRDefault="008D48A6">
          <w:pPr>
            <w:pStyle w:val="TOC2"/>
            <w:tabs>
              <w:tab w:val="right" w:leader="dot" w:pos="9019"/>
            </w:tabs>
            <w:rPr>
              <w:noProof/>
            </w:rPr>
          </w:pPr>
          <w:hyperlink w:anchor="_Toc150465125" w:history="1">
            <w:r w:rsidR="0091455E" w:rsidRPr="00F80039">
              <w:rPr>
                <w:rStyle w:val="Hyperlink"/>
                <w:noProof/>
              </w:rPr>
              <w:t>Porter's Five Forces:</w:t>
            </w:r>
            <w:r w:rsidR="0091455E">
              <w:rPr>
                <w:noProof/>
                <w:webHidden/>
              </w:rPr>
              <w:tab/>
            </w:r>
            <w:r w:rsidR="0091455E">
              <w:rPr>
                <w:noProof/>
                <w:webHidden/>
              </w:rPr>
              <w:fldChar w:fldCharType="begin"/>
            </w:r>
            <w:r w:rsidR="0091455E">
              <w:rPr>
                <w:noProof/>
                <w:webHidden/>
              </w:rPr>
              <w:instrText xml:space="preserve"> PAGEREF _Toc150465125 \h </w:instrText>
            </w:r>
            <w:r w:rsidR="0091455E">
              <w:rPr>
                <w:noProof/>
                <w:webHidden/>
              </w:rPr>
            </w:r>
            <w:r w:rsidR="0091455E">
              <w:rPr>
                <w:noProof/>
                <w:webHidden/>
              </w:rPr>
              <w:fldChar w:fldCharType="separate"/>
            </w:r>
            <w:r w:rsidR="0091455E">
              <w:rPr>
                <w:noProof/>
                <w:webHidden/>
              </w:rPr>
              <w:t>13</w:t>
            </w:r>
            <w:r w:rsidR="0091455E">
              <w:rPr>
                <w:noProof/>
                <w:webHidden/>
              </w:rPr>
              <w:fldChar w:fldCharType="end"/>
            </w:r>
          </w:hyperlink>
        </w:p>
        <w:p w14:paraId="3E6A3A99" w14:textId="2DCCF44A" w:rsidR="00C50764" w:rsidRDefault="0091455E">
          <w:pPr>
            <w:widowControl w:val="0"/>
            <w:tabs>
              <w:tab w:val="right" w:leader="dot" w:pos="12000"/>
            </w:tabs>
            <w:spacing w:before="60"/>
            <w:ind w:left="360"/>
            <w:rPr>
              <w:color w:val="000000"/>
            </w:rPr>
          </w:pPr>
          <w:r>
            <w:fldChar w:fldCharType="end"/>
          </w:r>
        </w:p>
      </w:sdtContent>
    </w:sdt>
    <w:p w14:paraId="0C56E62A" w14:textId="77777777" w:rsidR="00C50764" w:rsidRDefault="0091455E">
      <w:pPr>
        <w:jc w:val="center"/>
      </w:pPr>
      <w:r>
        <w:br w:type="page"/>
      </w:r>
    </w:p>
    <w:p w14:paraId="7CC87FEB" w14:textId="77777777" w:rsidR="00C50764" w:rsidRDefault="0091455E">
      <w:pPr>
        <w:pStyle w:val="Heading1"/>
      </w:pPr>
      <w:bookmarkStart w:id="7" w:name="_Toc150465112"/>
      <w:r>
        <w:lastRenderedPageBreak/>
        <w:t>Introduction</w:t>
      </w:r>
      <w:bookmarkEnd w:id="7"/>
      <w:r>
        <w:t xml:space="preserve"> </w:t>
      </w:r>
    </w:p>
    <w:p w14:paraId="32E05016" w14:textId="77777777" w:rsidR="00C50764" w:rsidRDefault="0091455E">
      <w:r>
        <w:t>This study examines HSBC Holding PLC, a well-known British Plc traded on the London Stock Exchange. Focusing on business and corporate strategies, resource and capability alignment, sustainability, and future strategic orientations, this analysis seeks to assess the company's strategic decisions and execution. HSBC is an interesting company to study because of its long and storied past, worldwide presence, and green initiatives. This paper analyses the bank's strategic choices and how they have been put into practice, highlighting how the bank has gained an edge in the global banking industry. HSBC's strategies for growth and diversification, as well as its emphasis on customers and environmentally responsible business practices, will be assessed. The bank's digital development and compliance with regulations are also under scrutiny. By delving into these features, they intend to show how HSBC has positioned itself strategically and how it may benefit from sustainability. This study analyses HSBC's strategic decisions and their outcomes to help the bank and its stakeholders be more accountable and successful in the marketplace.</w:t>
      </w:r>
    </w:p>
    <w:p w14:paraId="626D1D41" w14:textId="77777777" w:rsidR="00C50764" w:rsidRDefault="0091455E">
      <w:pPr>
        <w:pStyle w:val="Heading1"/>
      </w:pPr>
      <w:bookmarkStart w:id="8" w:name="_Toc150465113"/>
      <w:r>
        <w:t>Company Background and Overview</w:t>
      </w:r>
      <w:bookmarkEnd w:id="8"/>
    </w:p>
    <w:p w14:paraId="0F082879" w14:textId="77777777" w:rsidR="00C50764" w:rsidRDefault="0091455E">
      <w:r>
        <w:t>HSBC Holding PLC, or simply HSBC, is one of the world's biggest and most prominent multinational banks and a well-known British Plc. From its humble beginnings in British Hong Kong in 1865 as the Hong Kong and Shanghai Banking Corporation to its worldwide expansion, mergers, and constant evolution, the bank has a rich and eventful history. HSBC originally set out to serve the needs of Asian businesspeople (HSBC, 2023) but has since expanded its services worldwide. It took some time and hard work, but the firm is now a major participant in the banking industry, offering more services in more locations. One of several mergers and acquisitions throughout its history, for instance, the purchase of Midland Bank in 1992 expanded the bank's presence in the UK and European markets (HSBCAR, 2022). Over 60 countries and territories now have HSBC branches. Asia, the Middle East, Europe, and the Americas are all regions where the bank is well represented. It provides banking, investing, and other monetary services to both people and businesses. When it comes to worldwide banking and commerce, few names are as well-known as HSBC's. HSBC has set digital transformation, sustainability, and ethical banking practices as key priorities (</w:t>
      </w:r>
      <w:proofErr w:type="spellStart"/>
      <w:r>
        <w:t>Öğütçü</w:t>
      </w:r>
      <w:proofErr w:type="spellEnd"/>
      <w:r>
        <w:t xml:space="preserve"> Ulaş, 2023) in order to remain competitive in the global financial services market. Its attempts to lessen its impact on the environment and advance green financial solutions are indicative of its dedication to sustainable finance and ethical business practices. HSBC continues to play an important role in the international banking sector, meeting the needs of millions of individuals </w:t>
      </w:r>
      <w:r>
        <w:lastRenderedPageBreak/>
        <w:t>and organisations throughout the globe. The bank's continual evolution and strategic choices are vital to its growth and success in an ever-changing financial environment (HSBC, 2023).</w:t>
      </w:r>
    </w:p>
    <w:p w14:paraId="470565F9" w14:textId="77777777" w:rsidR="00C50764" w:rsidRDefault="0091455E">
      <w:pPr>
        <w:jc w:val="center"/>
      </w:pPr>
      <w:r>
        <w:rPr>
          <w:noProof/>
        </w:rPr>
        <w:drawing>
          <wp:inline distT="114300" distB="114300" distL="114300" distR="114300" wp14:anchorId="4B0D44C3" wp14:editId="5713BBAA">
            <wp:extent cx="3773636" cy="1974577"/>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773636" cy="1974577"/>
                    </a:xfrm>
                    <a:prstGeom prst="rect">
                      <a:avLst/>
                    </a:prstGeom>
                    <a:ln/>
                  </pic:spPr>
                </pic:pic>
              </a:graphicData>
            </a:graphic>
          </wp:inline>
        </w:drawing>
      </w:r>
    </w:p>
    <w:p w14:paraId="3525EE41" w14:textId="77777777" w:rsidR="00C50764" w:rsidRDefault="0091455E">
      <w:pPr>
        <w:jc w:val="center"/>
        <w:rPr>
          <w:b/>
        </w:rPr>
      </w:pPr>
      <w:r>
        <w:rPr>
          <w:b/>
        </w:rPr>
        <w:t>Figure: HSBC Logo</w:t>
      </w:r>
    </w:p>
    <w:p w14:paraId="0B320391" w14:textId="77777777" w:rsidR="00C50764" w:rsidRDefault="0091455E">
      <w:pPr>
        <w:jc w:val="center"/>
        <w:rPr>
          <w:b/>
        </w:rPr>
      </w:pPr>
      <w:r>
        <w:rPr>
          <w:b/>
        </w:rPr>
        <w:t>(Source: )</w:t>
      </w:r>
    </w:p>
    <w:p w14:paraId="18BF7DE3" w14:textId="77777777" w:rsidR="00C50764" w:rsidRDefault="0091455E">
      <w:pPr>
        <w:pStyle w:val="Heading1"/>
      </w:pPr>
      <w:bookmarkStart w:id="9" w:name="_Toc150465114"/>
      <w:r>
        <w:t>Key Business and Corporate Strategies</w:t>
      </w:r>
      <w:bookmarkEnd w:id="9"/>
    </w:p>
    <w:p w14:paraId="054D2763" w14:textId="77777777" w:rsidR="00C50764" w:rsidRDefault="0091455E">
      <w:r>
        <w:t>HSBC Holding PLC's performance in the international banking industry is based on a number of fundamental business and corporate strategies. Various strategic frameworks can be used to better comprehend these strategies and how they mesh with the operational setting.</w:t>
      </w:r>
    </w:p>
    <w:p w14:paraId="7BECC419" w14:textId="77777777" w:rsidR="00C50764" w:rsidRDefault="0091455E">
      <w:pPr>
        <w:pStyle w:val="Heading2"/>
      </w:pPr>
      <w:bookmarkStart w:id="10" w:name="_Toc150465115"/>
      <w:r>
        <w:t>Business and Corporate Strategies:</w:t>
      </w:r>
      <w:bookmarkEnd w:id="10"/>
    </w:p>
    <w:p w14:paraId="452BE9B2" w14:textId="77777777" w:rsidR="00C50764" w:rsidRDefault="0091455E">
      <w:pPr>
        <w:rPr>
          <w:b/>
        </w:rPr>
      </w:pPr>
      <w:r>
        <w:rPr>
          <w:b/>
        </w:rPr>
        <w:t>a. Expansion and Diversification:</w:t>
      </w:r>
    </w:p>
    <w:p w14:paraId="40B119D2" w14:textId="77777777" w:rsidR="00C50764" w:rsidRDefault="0091455E">
      <w:r>
        <w:t xml:space="preserve">Globalisation and product diversification are essential to HSBC's corporate strategy. The bank has always prioritised expanding its footprint across the globe, particularly in Asia, the Middle East, and Europe (Triolo </w:t>
      </w:r>
      <w:r>
        <w:rPr>
          <w:i/>
        </w:rPr>
        <w:t>et al</w:t>
      </w:r>
      <w:r>
        <w:t>., 2020). Its business plan is to expand into new areas like wealth management and international banking and financial services. This method has allowed HSBC to minimise risks connected with regional economic swings.</w:t>
      </w:r>
    </w:p>
    <w:p w14:paraId="6538640E" w14:textId="77777777" w:rsidR="00C50764" w:rsidRDefault="0091455E">
      <w:pPr>
        <w:rPr>
          <w:b/>
        </w:rPr>
      </w:pPr>
      <w:r>
        <w:rPr>
          <w:b/>
        </w:rPr>
        <w:t>b. Customer-Centric Approach:</w:t>
      </w:r>
    </w:p>
    <w:p w14:paraId="3F6353F6" w14:textId="77777777" w:rsidR="00C50764" w:rsidRDefault="0091455E">
      <w:r>
        <w:t>As part of its customer-centric strategy, HSBC caters its offerings to different types of customers based on their specific requirements (HSBC, 2023). This approach includes retail banking, corporate banking, and wealth management to give clients a full range of financial options (</w:t>
      </w:r>
      <w:proofErr w:type="spellStart"/>
      <w:r>
        <w:t>Wewege</w:t>
      </w:r>
      <w:proofErr w:type="spellEnd"/>
      <w:r>
        <w:t xml:space="preserve">, Lee and </w:t>
      </w:r>
      <w:proofErr w:type="spellStart"/>
      <w:r>
        <w:t>Thomsett</w:t>
      </w:r>
      <w:proofErr w:type="spellEnd"/>
      <w:r>
        <w:t>, 2020).</w:t>
      </w:r>
    </w:p>
    <w:p w14:paraId="6098ED44" w14:textId="77777777" w:rsidR="00C50764" w:rsidRDefault="0091455E">
      <w:pPr>
        <w:rPr>
          <w:b/>
        </w:rPr>
      </w:pPr>
      <w:r>
        <w:rPr>
          <w:b/>
        </w:rPr>
        <w:t>c. Sustainability and Responsible Banking:</w:t>
      </w:r>
    </w:p>
    <w:p w14:paraId="65D32EEE" w14:textId="77777777" w:rsidR="00C50764" w:rsidRDefault="0091455E">
      <w:pPr>
        <w:rPr>
          <w:b/>
        </w:rPr>
      </w:pPr>
      <w:r>
        <w:t>HSBC has taken the initiative to incorporate sustainability into the company's overall strategy. The bank's mission is to promote sustainable financing and reduce its carbon footprint in accordance with environmental and social responsibility (HSBC, 2023). This dedication to ethical banking is in step with shifting regulatory priorities and customer priorities.</w:t>
      </w:r>
    </w:p>
    <w:p w14:paraId="71BC4982" w14:textId="77777777" w:rsidR="00C50764" w:rsidRDefault="0091455E">
      <w:pPr>
        <w:pStyle w:val="Heading1"/>
      </w:pPr>
      <w:bookmarkStart w:id="11" w:name="_Toc150465116"/>
      <w:r>
        <w:lastRenderedPageBreak/>
        <w:t>Resources and Capabilities</w:t>
      </w:r>
      <w:bookmarkEnd w:id="11"/>
    </w:p>
    <w:p w14:paraId="5F5CF364" w14:textId="77777777" w:rsidR="00C50764" w:rsidRDefault="0091455E">
      <w:r>
        <w:t>HSBC Holding PLC has an abundance of strengths that serve as a foundation for its success in putting its business and corporate goals into action.</w:t>
      </w:r>
    </w:p>
    <w:p w14:paraId="0BF22437" w14:textId="77777777" w:rsidR="00C50764" w:rsidRDefault="0091455E">
      <w:pPr>
        <w:rPr>
          <w:b/>
        </w:rPr>
      </w:pPr>
      <w:r>
        <w:rPr>
          <w:b/>
        </w:rPr>
        <w:t>1. Global Network:</w:t>
      </w:r>
    </w:p>
    <w:p w14:paraId="63640022" w14:textId="77777777" w:rsidR="00C50764" w:rsidRDefault="0091455E">
      <w:r>
        <w:t>With offices in more than 60 countries and territories, HSBC has a truly global reach (HSBC, 2023). Because of this network, the bank can enter new areas and cater to a larger clientele. Since this permits HSBC to engage in cross-border transactions and facilitate international trade, it is consistent with the company's expansion and diversification strategy (</w:t>
      </w:r>
      <w:proofErr w:type="spellStart"/>
      <w:r>
        <w:t>Kapmeier</w:t>
      </w:r>
      <w:proofErr w:type="spellEnd"/>
      <w:r>
        <w:t xml:space="preserve"> </w:t>
      </w:r>
      <w:r>
        <w:rPr>
          <w:i/>
        </w:rPr>
        <w:t>et al</w:t>
      </w:r>
      <w:r>
        <w:t>.,  2021).</w:t>
      </w:r>
    </w:p>
    <w:p w14:paraId="0E66145C" w14:textId="77777777" w:rsidR="00C50764" w:rsidRDefault="0091455E">
      <w:pPr>
        <w:rPr>
          <w:b/>
        </w:rPr>
      </w:pPr>
      <w:r>
        <w:rPr>
          <w:b/>
        </w:rPr>
        <w:t>2. Brand and Reputation:</w:t>
      </w:r>
    </w:p>
    <w:p w14:paraId="7D27D87F" w14:textId="77777777" w:rsidR="00C50764" w:rsidRDefault="0091455E">
      <w:r>
        <w:t>HSBC is in a unique position due to its long history and worldwide reputation as a trustworthy and reliable financial organisation (</w:t>
      </w:r>
      <w:proofErr w:type="spellStart"/>
      <w:r>
        <w:t>Kapmeier</w:t>
      </w:r>
      <w:proofErr w:type="spellEnd"/>
      <w:r>
        <w:t xml:space="preserve"> </w:t>
      </w:r>
      <w:r>
        <w:rPr>
          <w:i/>
        </w:rPr>
        <w:t>et al</w:t>
      </w:r>
      <w:r>
        <w:t>.,  2021). This strong brand image coincides with its customer-centric approach and sustainability objectives, as customers are more likely to trust and interact with a respectable institution.</w:t>
      </w:r>
    </w:p>
    <w:p w14:paraId="7CA9807C" w14:textId="77777777" w:rsidR="00C50764" w:rsidRDefault="0091455E">
      <w:pPr>
        <w:rPr>
          <w:b/>
        </w:rPr>
      </w:pPr>
      <w:r>
        <w:rPr>
          <w:b/>
        </w:rPr>
        <w:t>3. Expertise and Talent:</w:t>
      </w:r>
    </w:p>
    <w:p w14:paraId="0DB31B19" w14:textId="77777777" w:rsidR="00C50764" w:rsidRDefault="0091455E">
      <w:r>
        <w:t>The bank's staff and management team represent a great resource. The people who work at HSBC have extensive industry knowledge, financial acumen, and market flexibility. Its focus on the consumer and the pressing need for technological advancement in digital banking both find expression in this.</w:t>
      </w:r>
    </w:p>
    <w:p w14:paraId="2B233FE9" w14:textId="77777777" w:rsidR="00C50764" w:rsidRDefault="0091455E">
      <w:pPr>
        <w:rPr>
          <w:b/>
        </w:rPr>
      </w:pPr>
      <w:r>
        <w:rPr>
          <w:b/>
        </w:rPr>
        <w:t>4. Technological Infrastructure:</w:t>
      </w:r>
    </w:p>
    <w:p w14:paraId="02579F78" w14:textId="77777777" w:rsidR="00C50764" w:rsidRDefault="0091455E">
      <w:r>
        <w:t>HSBC has put a lot of money into its IT infrastructure, so it can provide cutting-edge online banking services. The bank's objective to improve its digital banking services, as well as its dedication to the satisfaction of its customers, are both well served by this resource (</w:t>
      </w:r>
      <w:proofErr w:type="spellStart"/>
      <w:r>
        <w:t>Kapmeier</w:t>
      </w:r>
      <w:proofErr w:type="spellEnd"/>
      <w:r>
        <w:t xml:space="preserve"> </w:t>
      </w:r>
      <w:r>
        <w:rPr>
          <w:i/>
        </w:rPr>
        <w:t>et al</w:t>
      </w:r>
      <w:r>
        <w:t>.,  2021).</w:t>
      </w:r>
    </w:p>
    <w:p w14:paraId="768D7F8E" w14:textId="77777777" w:rsidR="00C50764" w:rsidRDefault="0091455E">
      <w:pPr>
        <w:rPr>
          <w:b/>
        </w:rPr>
      </w:pPr>
      <w:r>
        <w:rPr>
          <w:b/>
        </w:rPr>
        <w:t>5. Financial Resources:</w:t>
      </w:r>
    </w:p>
    <w:p w14:paraId="2D6356F0" w14:textId="77777777" w:rsidR="00C50764" w:rsidRDefault="0091455E">
      <w:r>
        <w:t>The vast financial resources available to HSBC as a worldwide bank are crucial to the success of its plans and growth initiatives.</w:t>
      </w:r>
    </w:p>
    <w:p w14:paraId="570AF267" w14:textId="77777777" w:rsidR="00C50764" w:rsidRDefault="0091455E">
      <w:r>
        <w:rPr>
          <w:b/>
        </w:rPr>
        <w:t xml:space="preserve">Alignment with Business and Corporate Strategies: </w:t>
      </w:r>
      <w:r>
        <w:t>The alignment of these resources and competencies with HSBC's strategy is clear. By easing communication and commerce on a worldwide scale, its network helps the company grow and diversify. Customers are more likely to trust a well-established bank, which contributes to the success of the bank's customer-centric strategy (</w:t>
      </w:r>
      <w:proofErr w:type="spellStart"/>
      <w:r>
        <w:t>Kapmeier</w:t>
      </w:r>
      <w:proofErr w:type="spellEnd"/>
      <w:r>
        <w:t xml:space="preserve"> </w:t>
      </w:r>
      <w:r>
        <w:rPr>
          <w:i/>
        </w:rPr>
        <w:t>et al</w:t>
      </w:r>
      <w:r>
        <w:t xml:space="preserve">.,  2021). The bank's talent and knowledge allow it to pioneer in digital banking and create cutting-edge services for its clientele. The financial backing is essential for </w:t>
      </w:r>
      <w:r>
        <w:lastRenderedPageBreak/>
        <w:t>putting all of their plans into action, and the technology infrastructure is vital for improving customers' digital banking experiences.</w:t>
      </w:r>
    </w:p>
    <w:p w14:paraId="5A02429E" w14:textId="77777777" w:rsidR="00C50764" w:rsidRDefault="0091455E">
      <w:pPr>
        <w:pStyle w:val="Heading1"/>
      </w:pPr>
      <w:bookmarkStart w:id="12" w:name="_Toc150465117"/>
      <w:r>
        <w:t>Strategy in Action</w:t>
      </w:r>
      <w:bookmarkEnd w:id="12"/>
    </w:p>
    <w:p w14:paraId="23C28223" w14:textId="77777777" w:rsidR="00C50764" w:rsidRDefault="0091455E">
      <w:r>
        <w:t>The global banking market is highly competitive, yet HSBC has maintained a considerable competitive advantage thanks to the effective implementation of its chosen business and corporate strategy. The effectiveness of the implemented strategies is assessed as follows:</w:t>
      </w:r>
    </w:p>
    <w:p w14:paraId="78075147" w14:textId="77777777" w:rsidR="00C50764" w:rsidRDefault="0091455E">
      <w:pPr>
        <w:rPr>
          <w:b/>
        </w:rPr>
      </w:pPr>
      <w:r>
        <w:rPr>
          <w:b/>
        </w:rPr>
        <w:t>1. Expansion and Diversification:</w:t>
      </w:r>
    </w:p>
    <w:p w14:paraId="4BC60575" w14:textId="77777777" w:rsidR="00C50764" w:rsidRDefault="0091455E">
      <w:r>
        <w:t>HSBC's efforts to expand internationally and broaden its product offerings have paid off. The bank is able to reach millions of customers in different countries because of its large international network (Barber, 2021). This has provided a competitive edge over rivals with a more regional focus, as HSBC can harness its worldwide reach to grab opportunities in emerging markets while diversifying risks associated with regional economic changes.</w:t>
      </w:r>
    </w:p>
    <w:p w14:paraId="06CC2C4E" w14:textId="77777777" w:rsidR="00C50764" w:rsidRDefault="0091455E">
      <w:pPr>
        <w:rPr>
          <w:b/>
        </w:rPr>
      </w:pPr>
      <w:r>
        <w:rPr>
          <w:b/>
        </w:rPr>
        <w:t>2. Customer-Centric Approach:</w:t>
      </w:r>
    </w:p>
    <w:p w14:paraId="61CC54CC" w14:textId="77777777" w:rsidR="00C50764" w:rsidRDefault="0091455E">
      <w:r>
        <w:t>The success of HSBC can be attributed in large part to the bank's efforts to retain and grow its customer base through the provision of specialised services for its various clientele. The bank improves client happiness and loyalty by tailoring products and services to the specific requirements of each individual and business. This tactic helps the bank stand out from the competition by building a clientele that recognises and appreciates the value of the bank's products and services (Barber, 2021).</w:t>
      </w:r>
    </w:p>
    <w:p w14:paraId="76DDF33E" w14:textId="77777777" w:rsidR="00C50764" w:rsidRDefault="0091455E">
      <w:pPr>
        <w:rPr>
          <w:b/>
        </w:rPr>
      </w:pPr>
      <w:r>
        <w:rPr>
          <w:b/>
        </w:rPr>
        <w:t>3. Sustainability and Responsible Banking:</w:t>
      </w:r>
    </w:p>
    <w:p w14:paraId="3BC98942" w14:textId="77777777" w:rsidR="00C50764" w:rsidRDefault="0091455E">
      <w:r>
        <w:t>HSBC's commitment to sustainability and responsible banking coincides with the rising market need for ethical and ecologically acceptable financial practices (HSBC, 2023). Customers who place a premium on environmental responsibility are attracted to the bank because of its commitment to lowering its carbon footprint and promoting sustainable finance.</w:t>
      </w:r>
    </w:p>
    <w:p w14:paraId="3DA38D02" w14:textId="77777777" w:rsidR="00C50764" w:rsidRDefault="0091455E">
      <w:pPr>
        <w:rPr>
          <w:b/>
        </w:rPr>
      </w:pPr>
      <w:r>
        <w:rPr>
          <w:b/>
        </w:rPr>
        <w:t>4. Digital Transformation:</w:t>
      </w:r>
    </w:p>
    <w:p w14:paraId="46654C02" w14:textId="77777777" w:rsidR="00C50764" w:rsidRDefault="0091455E">
      <w:r>
        <w:t>The bank's strategy has relied heavily on investments in technology and digital transformation. HSBC has made strides to improve its digital banking services, giving its clients more options for how they can bank online (Barber, 2021). This has made it more competitive by allowing it to stay up with fintech challengers and provide customers with the kind of streamlined banking services they have come to demand.</w:t>
      </w:r>
    </w:p>
    <w:p w14:paraId="3721D11A" w14:textId="77777777" w:rsidR="00C50764" w:rsidRDefault="0091455E">
      <w:pPr>
        <w:rPr>
          <w:b/>
        </w:rPr>
      </w:pPr>
      <w:r>
        <w:rPr>
          <w:b/>
        </w:rPr>
        <w:t>5. Financial Strength:</w:t>
      </w:r>
    </w:p>
    <w:p w14:paraId="275FAD43" w14:textId="77777777" w:rsidR="00C50764" w:rsidRDefault="0091455E">
      <w:r>
        <w:t xml:space="preserve">The financial strength and stability of HSBC are crucial to the successful implementation of the bank's strategies. The bank's robust balance sheet and availability of cash enable it to invest </w:t>
      </w:r>
      <w:r>
        <w:lastRenderedPageBreak/>
        <w:t>in its company, support expansion attempts, and weather economic downturns. Its financial stability is a key differentiator in the market.</w:t>
      </w:r>
    </w:p>
    <w:p w14:paraId="1C869C83" w14:textId="77777777" w:rsidR="00C50764" w:rsidRDefault="0091455E">
      <w:pPr>
        <w:pStyle w:val="Heading1"/>
      </w:pPr>
      <w:bookmarkStart w:id="13" w:name="_Toc150465118"/>
      <w:r>
        <w:t>Sustainability and Environmental Considerations</w:t>
      </w:r>
      <w:bookmarkEnd w:id="13"/>
    </w:p>
    <w:p w14:paraId="732F17C4" w14:textId="77777777" w:rsidR="00C50764" w:rsidRDefault="0091455E">
      <w:r>
        <w:t>When it comes to incorporating sustainability and environmental factors into its strategic strategy, HSBC has made great advances. The bank has taken this tack because it values responsible and ethical business practices in light of the changing global scenario (HSBC, 2023).</w:t>
      </w:r>
    </w:p>
    <w:p w14:paraId="70AFB3A9" w14:textId="77777777" w:rsidR="00C50764" w:rsidRDefault="0091455E">
      <w:pPr>
        <w:rPr>
          <w:b/>
        </w:rPr>
      </w:pPr>
      <w:r>
        <w:rPr>
          <w:b/>
        </w:rPr>
        <w:t>1. Sustainable Finance Initiatives:</w:t>
      </w:r>
    </w:p>
    <w:p w14:paraId="1F8C452B" w14:textId="77777777" w:rsidR="00C50764" w:rsidRDefault="0091455E">
      <w:r>
        <w:t>HSBC has been very involved in advocating for green banking practices. The bank provides green and sustainable financial solutions, such as loans for renewable energy projects and sustainable bonds. This is consistent with the company's goal of minimising the negative effects of its financial activities on the environment (</w:t>
      </w:r>
      <w:proofErr w:type="spellStart"/>
      <w:r>
        <w:t>Niyazbekova</w:t>
      </w:r>
      <w:proofErr w:type="spellEnd"/>
      <w:r>
        <w:t xml:space="preserve"> </w:t>
      </w:r>
      <w:r>
        <w:rPr>
          <w:i/>
        </w:rPr>
        <w:t>et al</w:t>
      </w:r>
      <w:r>
        <w:t>., 2021).</w:t>
      </w:r>
    </w:p>
    <w:p w14:paraId="63465650" w14:textId="77777777" w:rsidR="00C50764" w:rsidRDefault="0091455E">
      <w:r>
        <w:rPr>
          <w:b/>
        </w:rPr>
        <w:t>2. Reducing Carbon Footprint:</w:t>
      </w:r>
    </w:p>
    <w:p w14:paraId="1C6A3725" w14:textId="77777777" w:rsidR="00C50764" w:rsidRDefault="0091455E">
      <w:r>
        <w:t>When it comes to lowering its own carbon impact, HSBC has set some lofty goals. As part of this, the company has pledged to eliminate all carbon emissions throughout its operations and supply chain by the year 2030 (</w:t>
      </w:r>
      <w:proofErr w:type="spellStart"/>
      <w:r>
        <w:t>Niyazbekova</w:t>
      </w:r>
      <w:proofErr w:type="spellEnd"/>
      <w:r>
        <w:t xml:space="preserve"> </w:t>
      </w:r>
      <w:r>
        <w:rPr>
          <w:i/>
        </w:rPr>
        <w:t>et al</w:t>
      </w:r>
      <w:r>
        <w:t>., 2021). These actions show the bank's commitment to sustainability by demonstrating its desire to lessen its impact on the environment.</w:t>
      </w:r>
    </w:p>
    <w:p w14:paraId="31D2587D" w14:textId="77777777" w:rsidR="00C50764" w:rsidRDefault="0091455E">
      <w:pPr>
        <w:rPr>
          <w:b/>
        </w:rPr>
      </w:pPr>
      <w:r>
        <w:rPr>
          <w:b/>
        </w:rPr>
        <w:t>3. Responsible Investment:</w:t>
      </w:r>
    </w:p>
    <w:p w14:paraId="6D998947" w14:textId="77777777" w:rsidR="00C50764" w:rsidRDefault="0091455E">
      <w:r>
        <w:t>Responsible investing is becoming an ever-increasing priority for HSBC. The bank prioritises ethical and long-term investment possibilities by using ESG (environmental, social, and governance) criteria. This fits in with its goal of luring morally-minded financiers and encouraging ethical investment options.</w:t>
      </w:r>
    </w:p>
    <w:p w14:paraId="363448C7" w14:textId="77777777" w:rsidR="00C50764" w:rsidRDefault="0091455E">
      <w:r>
        <w:rPr>
          <w:b/>
        </w:rPr>
        <w:t>4. Regulatory Compliance:</w:t>
      </w:r>
    </w:p>
    <w:p w14:paraId="0ED8C7FF" w14:textId="77777777" w:rsidR="00C50764" w:rsidRDefault="0091455E">
      <w:r>
        <w:t>HSBC takes environmental compliance seriously and has been a leader in this area. The bank reduces its exposure to legal and reputational risk by adhering to environmental legislation in each country where it does business. Integral to its ethical business strategy is compliance with sustainability requirements (</w:t>
      </w:r>
      <w:proofErr w:type="spellStart"/>
      <w:r>
        <w:t>Niyazbekova</w:t>
      </w:r>
      <w:proofErr w:type="spellEnd"/>
      <w:r>
        <w:t xml:space="preserve"> </w:t>
      </w:r>
      <w:r>
        <w:rPr>
          <w:i/>
        </w:rPr>
        <w:t>et al</w:t>
      </w:r>
      <w:r>
        <w:t>., 2021).</w:t>
      </w:r>
    </w:p>
    <w:p w14:paraId="2D7D42FA" w14:textId="77777777" w:rsidR="00C50764" w:rsidRDefault="0091455E">
      <w:pPr>
        <w:rPr>
          <w:b/>
        </w:rPr>
      </w:pPr>
      <w:r>
        <w:rPr>
          <w:b/>
        </w:rPr>
        <w:t>5. Community Engagement:</w:t>
      </w:r>
    </w:p>
    <w:p w14:paraId="397F3348" w14:textId="77777777" w:rsidR="00C50764" w:rsidRDefault="0091455E">
      <w:r>
        <w:t>HSBC works with the communities it serves to raise awareness about environmental issues and the importance of sustainability. Through these efforts, the bank can build rapport with clients who value ethical banking.</w:t>
      </w:r>
    </w:p>
    <w:p w14:paraId="5FDF2F6A" w14:textId="77777777" w:rsidR="00C50764" w:rsidRDefault="0091455E">
      <w:r>
        <w:lastRenderedPageBreak/>
        <w:t>By factoring in sustainability and environmental concerns, HSBC has strengthened its competitiveness and established itself as a good corporate citizen. An increasing demographic of customers and investors value companies like HSBC that are dedicated to sustainable finance and ethical operations. By integrating sustainability into its business model, HSBC is better positioned to meet environmental concerns and remain competitive in the long run. This approach helps the bank satisfy the changing demands of customers, regulators, and investors while contributing to global environmental goals.</w:t>
      </w:r>
    </w:p>
    <w:p w14:paraId="102AE2AE" w14:textId="77777777" w:rsidR="00C50764" w:rsidRDefault="0091455E">
      <w:pPr>
        <w:pStyle w:val="Heading1"/>
      </w:pPr>
      <w:bookmarkStart w:id="14" w:name="_Toc150465119"/>
      <w:r>
        <w:t>Future Strategic Direction</w:t>
      </w:r>
      <w:bookmarkEnd w:id="14"/>
      <w:r>
        <w:t xml:space="preserve"> </w:t>
      </w:r>
    </w:p>
    <w:p w14:paraId="5846F9A3" w14:textId="77777777" w:rsidR="00C50764" w:rsidRDefault="0091455E">
      <w:r>
        <w:t>As it plans for the future, HSBC must make a number of critical decisions. These decisions are crucial for the company to keep pace in the global banking business.</w:t>
      </w:r>
    </w:p>
    <w:p w14:paraId="35E3C68B" w14:textId="77777777" w:rsidR="00C50764" w:rsidRDefault="0091455E">
      <w:r>
        <w:rPr>
          <w:b/>
        </w:rPr>
        <w:t xml:space="preserve">1. Embracing Digital Transformation: </w:t>
      </w:r>
      <w:r>
        <w:t>To keep up with client demands for increasingly digitalized and hassle-free banking services, HSBC must maintain a significant investment in digital transformation. There needs to be more work done in the areas of online and mobile banking, AI applications, and data analytics so that individualised financial solutions may be provided to customers (Nahar</w:t>
      </w:r>
      <w:r>
        <w:rPr>
          <w:i/>
        </w:rPr>
        <w:t xml:space="preserve"> et al</w:t>
      </w:r>
      <w:r>
        <w:t>., 2021).</w:t>
      </w:r>
    </w:p>
    <w:p w14:paraId="7E44A4A6" w14:textId="77777777" w:rsidR="00C50764" w:rsidRDefault="0091455E">
      <w:r>
        <w:rPr>
          <w:b/>
        </w:rPr>
        <w:t>2. Expansion in Emerging Markets:</w:t>
      </w:r>
      <w:r>
        <w:t xml:space="preserve"> Given the increasing importance of emerging markets, HSBC should explore extending its presence in places with strong development potential. When a company expands into a country with a robust economy, it gains access to a whole new market.</w:t>
      </w:r>
    </w:p>
    <w:p w14:paraId="2A6D728F" w14:textId="77777777" w:rsidR="00C50764" w:rsidRDefault="0091455E">
      <w:r>
        <w:rPr>
          <w:b/>
        </w:rPr>
        <w:t>3. Sustainable Banking:</w:t>
      </w:r>
      <w:r>
        <w:t xml:space="preserve"> Maintaining a focus on long-term viability is essential. By establishing even loftier environmental goals, HSBC can boost its reputation and competitiveness. Sustainable practises establish the bank as a pioneer in responsible financial practises, which is in line with current market trends (Nahar</w:t>
      </w:r>
      <w:r>
        <w:rPr>
          <w:i/>
        </w:rPr>
        <w:t xml:space="preserve"> et al</w:t>
      </w:r>
      <w:r>
        <w:t>., 2021).</w:t>
      </w:r>
    </w:p>
    <w:p w14:paraId="43D0B456" w14:textId="77777777" w:rsidR="00C50764" w:rsidRDefault="0091455E">
      <w:r>
        <w:rPr>
          <w:b/>
        </w:rPr>
        <w:t xml:space="preserve">4. Regulatory Compliance: </w:t>
      </w:r>
      <w:r>
        <w:t>HSBC needs to make it a top priority to keep its compliance standards high even as financial regulations change. This safeguards the bank's legal and reputational standing in the face of increasingly complicated regulatory environments.</w:t>
      </w:r>
    </w:p>
    <w:p w14:paraId="38A31FA9" w14:textId="77777777" w:rsidR="00C50764" w:rsidRDefault="0091455E">
      <w:r>
        <w:rPr>
          <w:b/>
        </w:rPr>
        <w:t>5. Fintech Collaboration:</w:t>
      </w:r>
      <w:r>
        <w:t xml:space="preserve"> Working with fintech firms can give HSBC the flexibility and creativity it needs to thrive  (Nahar</w:t>
      </w:r>
      <w:r>
        <w:rPr>
          <w:i/>
        </w:rPr>
        <w:t xml:space="preserve"> et al</w:t>
      </w:r>
      <w:r>
        <w:t>., 2021). Partnerships with startups and tech entrepreneurs can drive efficiency and competitiveness in areas like digital payments, blockchain technology, and customer experience.</w:t>
      </w:r>
    </w:p>
    <w:p w14:paraId="650256C2" w14:textId="77777777" w:rsidR="00C50764" w:rsidRDefault="0091455E">
      <w:pPr>
        <w:rPr>
          <w:b/>
        </w:rPr>
      </w:pPr>
      <w:r>
        <w:rPr>
          <w:b/>
        </w:rPr>
        <w:t xml:space="preserve">Recommendations on Sustainability Integration: </w:t>
      </w:r>
    </w:p>
    <w:p w14:paraId="25C72B71" w14:textId="77777777" w:rsidR="00C50764" w:rsidRDefault="0091455E">
      <w:r>
        <w:t>HSBC can take the following steps to further integrate sustainability practises in order to get a competitive edge in the future:</w:t>
      </w:r>
    </w:p>
    <w:p w14:paraId="64DA5528" w14:textId="77777777" w:rsidR="00C50764" w:rsidRDefault="0091455E">
      <w:pPr>
        <w:numPr>
          <w:ilvl w:val="0"/>
          <w:numId w:val="6"/>
        </w:numPr>
      </w:pPr>
      <w:r>
        <w:rPr>
          <w:b/>
        </w:rPr>
        <w:lastRenderedPageBreak/>
        <w:t>Environmental Risk Assessment:</w:t>
      </w:r>
      <w:r>
        <w:t xml:space="preserve"> Determine environmental strengths and weaknesses by conducting in-depth risk assessments. As a result, they can better control risks and create ecologically responsible financial products for our customers.</w:t>
      </w:r>
    </w:p>
    <w:p w14:paraId="2701C7D5" w14:textId="77777777" w:rsidR="00C50764" w:rsidRDefault="0091455E">
      <w:pPr>
        <w:numPr>
          <w:ilvl w:val="0"/>
          <w:numId w:val="6"/>
        </w:numPr>
      </w:pPr>
      <w:r>
        <w:rPr>
          <w:b/>
        </w:rPr>
        <w:t xml:space="preserve">Green Finance Innovation: </w:t>
      </w:r>
      <w:r>
        <w:t>Expand green financing alternatives to cater to the growing demand for sustainable investment options. Loans for renewable energy projects, green bonds, and sustainable mortgages are all examples of this  (Adams, Druckman and Picot, 2020).</w:t>
      </w:r>
    </w:p>
    <w:p w14:paraId="0A5C0A3A" w14:textId="77777777" w:rsidR="00C50764" w:rsidRDefault="0091455E">
      <w:pPr>
        <w:numPr>
          <w:ilvl w:val="0"/>
          <w:numId w:val="6"/>
        </w:numPr>
      </w:pPr>
      <w:r>
        <w:rPr>
          <w:b/>
        </w:rPr>
        <w:t>Engagement and Education:</w:t>
      </w:r>
      <w:r>
        <w:t xml:space="preserve"> Maintain communication with customers and other interested parties to advocate for greener banking practices. Education and awareness efforts can help clients make educated decisions that correspond with sustainability.</w:t>
      </w:r>
    </w:p>
    <w:p w14:paraId="0801105E" w14:textId="77777777" w:rsidR="00C50764" w:rsidRDefault="0091455E">
      <w:pPr>
        <w:numPr>
          <w:ilvl w:val="0"/>
          <w:numId w:val="6"/>
        </w:numPr>
      </w:pPr>
      <w:r>
        <w:rPr>
          <w:b/>
        </w:rPr>
        <w:t>Global Leadership:</w:t>
      </w:r>
      <w:r>
        <w:t xml:space="preserve"> By taking part in industry initiatives, promoting worldwide environmental norms, and working with other institutions to develop sustainability practices, HSBC can establish itself as a global leader in sustainable finance (Adams, Druckman and Picot, 2020).</w:t>
      </w:r>
    </w:p>
    <w:p w14:paraId="2BDD8997" w14:textId="77777777" w:rsidR="00C50764" w:rsidRDefault="0091455E">
      <w:pPr>
        <w:pStyle w:val="Heading1"/>
      </w:pPr>
      <w:bookmarkStart w:id="15" w:name="_Toc150465120"/>
      <w:r>
        <w:t>Conclusion</w:t>
      </w:r>
      <w:bookmarkEnd w:id="15"/>
      <w:r>
        <w:t xml:space="preserve"> </w:t>
      </w:r>
    </w:p>
    <w:p w14:paraId="6CF43C78" w14:textId="77777777" w:rsidR="00C50764" w:rsidRDefault="0091455E">
      <w:r>
        <w:t>Conclusion: HSBC Holding PLC has successfully implemented its strategy choices, making it a global banking powerhouse. HSBC's expansion, diversification, and client emphasis have led to its global presence and customer loyalty. The company's sustainable and responsible banking practices meet client expectations and demonstrate its environmental and social responsibilities. To reduce its environmental effect and promote sustainable finance, HSBC shows its inventive spirit and the growing importance of environmental responsibility in finance. HSBC must commit to digital transformation, regulatory compliance, and fintech partnerships to stay competitive in the ever-changing financial sector. Strategically, HSBC should leverage its strengths to expand into emerging markets and solidify its position as a sustainable finance leader. These strategic measures will keep HSBC competitive in the banking market.</w:t>
      </w:r>
    </w:p>
    <w:p w14:paraId="70C0C6E5" w14:textId="77777777" w:rsidR="00C50764" w:rsidRDefault="0091455E">
      <w:pPr>
        <w:pStyle w:val="Heading1"/>
      </w:pPr>
      <w:bookmarkStart w:id="16" w:name="_heading=h.3j2qqm3" w:colFirst="0" w:colLast="0"/>
      <w:bookmarkEnd w:id="16"/>
      <w:r>
        <w:br w:type="page"/>
      </w:r>
    </w:p>
    <w:p w14:paraId="2E9B3069" w14:textId="77777777" w:rsidR="00C50764" w:rsidRDefault="0091455E">
      <w:pPr>
        <w:pStyle w:val="Heading1"/>
      </w:pPr>
      <w:bookmarkStart w:id="17" w:name="_Toc150465121"/>
      <w:r>
        <w:lastRenderedPageBreak/>
        <w:t>Reference</w:t>
      </w:r>
      <w:bookmarkEnd w:id="17"/>
    </w:p>
    <w:p w14:paraId="129CF14E" w14:textId="77777777" w:rsidR="00C50764" w:rsidRDefault="0091455E">
      <w:r>
        <w:t>Adams, C.A., Druckman, P.B. and Picot, R.C., 2020. Sustainable development goals disclosure (SDGD) recommendations. ACCA: London, UK.</w:t>
      </w:r>
    </w:p>
    <w:p w14:paraId="29E209EA" w14:textId="77777777" w:rsidR="00C50764" w:rsidRDefault="0091455E">
      <w:r>
        <w:t>Ahmed, A., 2019. Internship Report on City Bank Limited.</w:t>
      </w:r>
    </w:p>
    <w:p w14:paraId="5FA321E9" w14:textId="77777777" w:rsidR="00C50764" w:rsidRDefault="0091455E">
      <w:r>
        <w:t>Alam, M.W., 2022. Camel rating analysis of Eastern Bank Limited BRAC Bank Limited and Bank Asia Limited.</w:t>
      </w:r>
    </w:p>
    <w:p w14:paraId="1058C190" w14:textId="77777777" w:rsidR="00C50764" w:rsidRDefault="0091455E">
      <w:r>
        <w:t>Barber, A., 2021. HSBC: Learning Without Change?. In UK Banks and the Lessons of the Great Financial Crisis (pp. 237-278). Cham: Springer International Publishing.</w:t>
      </w:r>
    </w:p>
    <w:p w14:paraId="38066397" w14:textId="77777777" w:rsidR="00C50764" w:rsidRDefault="0091455E">
      <w:r>
        <w:t>CIPD, 2023, “</w:t>
      </w:r>
      <w:r>
        <w:rPr>
          <w:i/>
        </w:rPr>
        <w:t>SWOT analysis</w:t>
      </w:r>
      <w:r>
        <w:t xml:space="preserve">”, Available at </w:t>
      </w:r>
      <w:hyperlink r:id="rId8">
        <w:r>
          <w:rPr>
            <w:color w:val="1155CC"/>
            <w:u w:val="single"/>
          </w:rPr>
          <w:t>https://www.cipd.org/en/knowledge/factsheets/swot-analysis-factsheet/</w:t>
        </w:r>
      </w:hyperlink>
      <w:r>
        <w:t xml:space="preserve"> [Accessed on 2nd November 2023]</w:t>
      </w:r>
    </w:p>
    <w:p w14:paraId="68276D1F" w14:textId="77777777" w:rsidR="00C50764" w:rsidRDefault="0091455E">
      <w:r>
        <w:t>Eisenberg, P., 2019. Financial Analysis of Primark Stores Ltd. with regard to a Stock Exchange Floatation (IPO). International Journal of Management, 7(1), pp.91-112.</w:t>
      </w:r>
    </w:p>
    <w:p w14:paraId="4B923339" w14:textId="77777777" w:rsidR="00C50764" w:rsidRDefault="0091455E">
      <w:r>
        <w:t>HBR, 2019, “</w:t>
      </w:r>
      <w:r>
        <w:rPr>
          <w:i/>
        </w:rPr>
        <w:t>The Five Competitive Forces That Shape Strategy</w:t>
      </w:r>
      <w:r>
        <w:t xml:space="preserve">”, Available at </w:t>
      </w:r>
      <w:hyperlink r:id="rId9">
        <w:r>
          <w:rPr>
            <w:color w:val="1155CC"/>
            <w:u w:val="single"/>
          </w:rPr>
          <w:t>https://hbr.org/2008/01/the-five-competitive-forces-that-shape-strategy</w:t>
        </w:r>
      </w:hyperlink>
      <w:r>
        <w:t xml:space="preserve"> [Accessed on 2nd November 2023]</w:t>
      </w:r>
    </w:p>
    <w:p w14:paraId="42C4004D" w14:textId="77777777" w:rsidR="00C50764" w:rsidRDefault="0091455E">
      <w:r>
        <w:t>HSBC, 2023, “</w:t>
      </w:r>
      <w:r>
        <w:rPr>
          <w:i/>
        </w:rPr>
        <w:t>Who we are</w:t>
      </w:r>
      <w:r>
        <w:t xml:space="preserve">”, Available at </w:t>
      </w:r>
      <w:hyperlink r:id="rId10">
        <w:r>
          <w:rPr>
            <w:color w:val="1155CC"/>
            <w:u w:val="single"/>
          </w:rPr>
          <w:t>https://www.hsbc.com/who-we-are</w:t>
        </w:r>
      </w:hyperlink>
      <w:r>
        <w:t xml:space="preserve"> [Accessed on 2nd November 2023]</w:t>
      </w:r>
    </w:p>
    <w:p w14:paraId="744C67B5" w14:textId="77777777" w:rsidR="00C50764" w:rsidRDefault="0091455E">
      <w:r>
        <w:t>HSBCAR, 2023, “</w:t>
      </w:r>
      <w:r>
        <w:rPr>
          <w:i/>
        </w:rPr>
        <w:t>Annual Report</w:t>
      </w:r>
      <w:r>
        <w:t xml:space="preserve">”, Available at </w:t>
      </w:r>
      <w:hyperlink r:id="rId11">
        <w:r>
          <w:rPr>
            <w:color w:val="1155CC"/>
            <w:u w:val="single"/>
          </w:rPr>
          <w:t>https://www.hsbc.com/investors/results-and-announcements/annual-report</w:t>
        </w:r>
      </w:hyperlink>
      <w:r>
        <w:t xml:space="preserve"> [Accessed on 2nd November 2023]</w:t>
      </w:r>
    </w:p>
    <w:p w14:paraId="32336D83" w14:textId="77777777" w:rsidR="00C50764" w:rsidRDefault="0091455E">
      <w:r>
        <w:t xml:space="preserve">Nahar, S., </w:t>
      </w:r>
      <w:proofErr w:type="spellStart"/>
      <w:r>
        <w:t>Meero</w:t>
      </w:r>
      <w:proofErr w:type="spellEnd"/>
      <w:r>
        <w:t>, A., Rahman, A.A.A., Hasan, K.R., Islam, K.A., Zayed, N.M. and Faisal-E-Alam, M., 2021. Analysis of the marketing strategy and competitive advantage of the banking industry in Bangladesh: an entrepreneurial case study of HSBC bank. Academy of Entrepreneurship Journal, 27(4), pp.1-7.</w:t>
      </w:r>
    </w:p>
    <w:p w14:paraId="79FCFDA6" w14:textId="77777777" w:rsidR="00C50764" w:rsidRDefault="0091455E">
      <w:r>
        <w:t>NBI, 2020, “</w:t>
      </w:r>
      <w:r>
        <w:rPr>
          <w:i/>
        </w:rPr>
        <w:t>Strategic planning for business growth</w:t>
      </w:r>
      <w:r>
        <w:t xml:space="preserve">”, Available at </w:t>
      </w:r>
      <w:hyperlink r:id="rId12">
        <w:r>
          <w:rPr>
            <w:color w:val="1155CC"/>
            <w:u w:val="single"/>
          </w:rPr>
          <w:t>https://www.nibusinessinfo.co.uk/content/pestle-analysis-example</w:t>
        </w:r>
      </w:hyperlink>
      <w:r>
        <w:t xml:space="preserve"> [Accessed on 2nd November 2023]</w:t>
      </w:r>
    </w:p>
    <w:p w14:paraId="799BB8F2" w14:textId="77777777" w:rsidR="00C50764" w:rsidRDefault="0091455E">
      <w:proofErr w:type="spellStart"/>
      <w:r>
        <w:t>Niyazbekova</w:t>
      </w:r>
      <w:proofErr w:type="spellEnd"/>
      <w:r>
        <w:t xml:space="preserve">, S., </w:t>
      </w:r>
      <w:proofErr w:type="spellStart"/>
      <w:r>
        <w:t>Jazykbayeva</w:t>
      </w:r>
      <w:proofErr w:type="spellEnd"/>
      <w:r>
        <w:t xml:space="preserve">, B., </w:t>
      </w:r>
      <w:proofErr w:type="spellStart"/>
      <w:r>
        <w:t>Mottaeva</w:t>
      </w:r>
      <w:proofErr w:type="spellEnd"/>
      <w:r>
        <w:t xml:space="preserve">, A., </w:t>
      </w:r>
      <w:proofErr w:type="spellStart"/>
      <w:r>
        <w:t>Beloussova</w:t>
      </w:r>
      <w:proofErr w:type="spellEnd"/>
      <w:r>
        <w:t xml:space="preserve">, E., </w:t>
      </w:r>
      <w:proofErr w:type="spellStart"/>
      <w:r>
        <w:t>Suleimenova</w:t>
      </w:r>
      <w:proofErr w:type="spellEnd"/>
      <w:r>
        <w:t>, B. and Zueva, A., 2021. The Growth of “Green” finance at the global level in the context of sustainable economic development. In E3S Web of Conferences (Vol. 244, p. 10058). EDP Sciences.</w:t>
      </w:r>
    </w:p>
    <w:p w14:paraId="66130EA1" w14:textId="77777777" w:rsidR="00C50764" w:rsidRDefault="0091455E">
      <w:proofErr w:type="spellStart"/>
      <w:r>
        <w:t>Öğütçü</w:t>
      </w:r>
      <w:proofErr w:type="spellEnd"/>
      <w:r>
        <w:t xml:space="preserve"> Ulaş, G., 2023. ANALYSIS OF THE ECOLOGICAL INNOVATION POTENTIAL OF THE FINANCE SECTOR IN THE DIGITAL TRANSFORMATION PROCESS AND A POLICY PROPOSAL: A MIXED METHOD STUDY.</w:t>
      </w:r>
    </w:p>
    <w:p w14:paraId="042513EE" w14:textId="77777777" w:rsidR="00C50764" w:rsidRDefault="0091455E">
      <w:r>
        <w:lastRenderedPageBreak/>
        <w:t>Triolo, P., Allison, K., Brown, C. and Broderick, K., 2020. The digital silk road: expanding China’s digital footprint. Eurasia Group, 8.</w:t>
      </w:r>
    </w:p>
    <w:p w14:paraId="1D7A31FB" w14:textId="77777777" w:rsidR="00C50764" w:rsidRDefault="0091455E">
      <w:proofErr w:type="spellStart"/>
      <w:r>
        <w:t>Wewege</w:t>
      </w:r>
      <w:proofErr w:type="spellEnd"/>
      <w:r>
        <w:t xml:space="preserve">, L., Lee, J. and </w:t>
      </w:r>
      <w:proofErr w:type="spellStart"/>
      <w:r>
        <w:t>Thomsett</w:t>
      </w:r>
      <w:proofErr w:type="spellEnd"/>
      <w:r>
        <w:t>, M.C., 2020. Disruptions and digital banking trends. Journal of Applied Finance and Banking, 10(6), pp.15-56.</w:t>
      </w:r>
    </w:p>
    <w:p w14:paraId="73DC3D93" w14:textId="77777777" w:rsidR="00C50764" w:rsidRDefault="0091455E">
      <w:r>
        <w:br w:type="page"/>
      </w:r>
    </w:p>
    <w:p w14:paraId="633336F9" w14:textId="77777777" w:rsidR="00C50764" w:rsidRDefault="0091455E">
      <w:pPr>
        <w:pStyle w:val="Heading1"/>
      </w:pPr>
      <w:bookmarkStart w:id="18" w:name="_Toc150465122"/>
      <w:r>
        <w:lastRenderedPageBreak/>
        <w:t>Appendix</w:t>
      </w:r>
      <w:bookmarkEnd w:id="18"/>
    </w:p>
    <w:p w14:paraId="3ED0D0FD" w14:textId="77777777" w:rsidR="00C50764" w:rsidRDefault="0091455E">
      <w:pPr>
        <w:pStyle w:val="Heading2"/>
      </w:pPr>
      <w:bookmarkStart w:id="19" w:name="_Toc150465123"/>
      <w:r>
        <w:t>SWOT Analysis:</w:t>
      </w:r>
      <w:bookmarkEnd w:id="19"/>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C50764" w14:paraId="51F4DCAE" w14:textId="77777777">
        <w:tc>
          <w:tcPr>
            <w:tcW w:w="4514" w:type="dxa"/>
            <w:shd w:val="clear" w:color="auto" w:fill="auto"/>
            <w:tcMar>
              <w:top w:w="100" w:type="dxa"/>
              <w:left w:w="100" w:type="dxa"/>
              <w:bottom w:w="100" w:type="dxa"/>
              <w:right w:w="100" w:type="dxa"/>
            </w:tcMar>
          </w:tcPr>
          <w:p w14:paraId="6BEE4E47" w14:textId="77777777" w:rsidR="00C50764" w:rsidRDefault="0091455E">
            <w:pPr>
              <w:widowControl w:val="0"/>
              <w:jc w:val="center"/>
              <w:rPr>
                <w:b/>
              </w:rPr>
            </w:pPr>
            <w:r>
              <w:rPr>
                <w:b/>
              </w:rPr>
              <w:t>Strengths</w:t>
            </w:r>
          </w:p>
        </w:tc>
        <w:tc>
          <w:tcPr>
            <w:tcW w:w="4515" w:type="dxa"/>
            <w:shd w:val="clear" w:color="auto" w:fill="auto"/>
            <w:tcMar>
              <w:top w:w="100" w:type="dxa"/>
              <w:left w:w="100" w:type="dxa"/>
              <w:bottom w:w="100" w:type="dxa"/>
              <w:right w:w="100" w:type="dxa"/>
            </w:tcMar>
          </w:tcPr>
          <w:p w14:paraId="303DE7DD" w14:textId="77777777" w:rsidR="00C50764" w:rsidRDefault="0091455E">
            <w:pPr>
              <w:widowControl w:val="0"/>
              <w:jc w:val="center"/>
              <w:rPr>
                <w:b/>
              </w:rPr>
            </w:pPr>
            <w:r>
              <w:rPr>
                <w:b/>
              </w:rPr>
              <w:t>Weaknesses</w:t>
            </w:r>
          </w:p>
        </w:tc>
      </w:tr>
      <w:tr w:rsidR="00C50764" w14:paraId="4BEEA916" w14:textId="77777777">
        <w:tc>
          <w:tcPr>
            <w:tcW w:w="4514" w:type="dxa"/>
            <w:shd w:val="clear" w:color="auto" w:fill="auto"/>
            <w:tcMar>
              <w:top w:w="100" w:type="dxa"/>
              <w:left w:w="100" w:type="dxa"/>
              <w:bottom w:w="100" w:type="dxa"/>
              <w:right w:w="100" w:type="dxa"/>
            </w:tcMar>
          </w:tcPr>
          <w:p w14:paraId="39C2DF6B" w14:textId="77777777" w:rsidR="00C50764" w:rsidRDefault="0091455E">
            <w:pPr>
              <w:widowControl w:val="0"/>
              <w:numPr>
                <w:ilvl w:val="0"/>
                <w:numId w:val="1"/>
              </w:numPr>
            </w:pPr>
            <w:r>
              <w:t xml:space="preserve">HSBC leverages its global network </w:t>
            </w:r>
          </w:p>
          <w:p w14:paraId="0401EE68" w14:textId="77777777" w:rsidR="00C50764" w:rsidRDefault="0091455E">
            <w:pPr>
              <w:widowControl w:val="0"/>
              <w:numPr>
                <w:ilvl w:val="0"/>
                <w:numId w:val="1"/>
              </w:numPr>
            </w:pPr>
            <w:r>
              <w:t>Brand recognition</w:t>
            </w:r>
          </w:p>
          <w:p w14:paraId="5923B9C9" w14:textId="77777777" w:rsidR="00C50764" w:rsidRDefault="0091455E">
            <w:pPr>
              <w:widowControl w:val="0"/>
              <w:numPr>
                <w:ilvl w:val="0"/>
                <w:numId w:val="1"/>
              </w:numPr>
            </w:pPr>
            <w:r>
              <w:t>Diversified service offerings to remain competitive (Ahmed,  2019).</w:t>
            </w:r>
          </w:p>
        </w:tc>
        <w:tc>
          <w:tcPr>
            <w:tcW w:w="4515" w:type="dxa"/>
            <w:shd w:val="clear" w:color="auto" w:fill="auto"/>
            <w:tcMar>
              <w:top w:w="100" w:type="dxa"/>
              <w:left w:w="100" w:type="dxa"/>
              <w:bottom w:w="100" w:type="dxa"/>
              <w:right w:w="100" w:type="dxa"/>
            </w:tcMar>
          </w:tcPr>
          <w:p w14:paraId="4A9B4217" w14:textId="77777777" w:rsidR="00C50764" w:rsidRDefault="0091455E">
            <w:pPr>
              <w:widowControl w:val="0"/>
              <w:numPr>
                <w:ilvl w:val="0"/>
                <w:numId w:val="3"/>
              </w:numPr>
            </w:pPr>
            <w:r>
              <w:t>The bank has faced regulatory challenges (HSBC, 2023)</w:t>
            </w:r>
          </w:p>
          <w:p w14:paraId="41433FAD" w14:textId="77777777" w:rsidR="00C50764" w:rsidRDefault="0091455E">
            <w:pPr>
              <w:widowControl w:val="0"/>
              <w:numPr>
                <w:ilvl w:val="0"/>
                <w:numId w:val="3"/>
              </w:numPr>
            </w:pPr>
            <w:r>
              <w:t>Controversies in the past, impacted its reputation.</w:t>
            </w:r>
          </w:p>
        </w:tc>
      </w:tr>
      <w:tr w:rsidR="00C50764" w14:paraId="48158A6A" w14:textId="77777777">
        <w:tc>
          <w:tcPr>
            <w:tcW w:w="4514" w:type="dxa"/>
            <w:shd w:val="clear" w:color="auto" w:fill="auto"/>
            <w:tcMar>
              <w:top w:w="100" w:type="dxa"/>
              <w:left w:w="100" w:type="dxa"/>
              <w:bottom w:w="100" w:type="dxa"/>
              <w:right w:w="100" w:type="dxa"/>
            </w:tcMar>
          </w:tcPr>
          <w:p w14:paraId="1DD997A5" w14:textId="77777777" w:rsidR="00C50764" w:rsidRDefault="0091455E">
            <w:pPr>
              <w:widowControl w:val="0"/>
              <w:jc w:val="center"/>
              <w:rPr>
                <w:b/>
              </w:rPr>
            </w:pPr>
            <w:r>
              <w:rPr>
                <w:b/>
              </w:rPr>
              <w:t>Opportunities</w:t>
            </w:r>
          </w:p>
        </w:tc>
        <w:tc>
          <w:tcPr>
            <w:tcW w:w="4515" w:type="dxa"/>
            <w:shd w:val="clear" w:color="auto" w:fill="auto"/>
            <w:tcMar>
              <w:top w:w="100" w:type="dxa"/>
              <w:left w:w="100" w:type="dxa"/>
              <w:bottom w:w="100" w:type="dxa"/>
              <w:right w:w="100" w:type="dxa"/>
            </w:tcMar>
          </w:tcPr>
          <w:p w14:paraId="3F9B68F0" w14:textId="77777777" w:rsidR="00C50764" w:rsidRDefault="0091455E">
            <w:pPr>
              <w:widowControl w:val="0"/>
              <w:jc w:val="center"/>
              <w:rPr>
                <w:b/>
              </w:rPr>
            </w:pPr>
            <w:r>
              <w:rPr>
                <w:b/>
              </w:rPr>
              <w:t>Threats</w:t>
            </w:r>
          </w:p>
        </w:tc>
      </w:tr>
      <w:tr w:rsidR="00C50764" w14:paraId="70BFDAB6" w14:textId="77777777">
        <w:tc>
          <w:tcPr>
            <w:tcW w:w="4514" w:type="dxa"/>
            <w:shd w:val="clear" w:color="auto" w:fill="auto"/>
            <w:tcMar>
              <w:top w:w="100" w:type="dxa"/>
              <w:left w:w="100" w:type="dxa"/>
              <w:bottom w:w="100" w:type="dxa"/>
              <w:right w:w="100" w:type="dxa"/>
            </w:tcMar>
          </w:tcPr>
          <w:p w14:paraId="7D6BEC6E" w14:textId="77777777" w:rsidR="00C50764" w:rsidRDefault="0091455E">
            <w:pPr>
              <w:widowControl w:val="0"/>
              <w:numPr>
                <w:ilvl w:val="0"/>
                <w:numId w:val="4"/>
              </w:numPr>
            </w:pPr>
            <w:r>
              <w:t xml:space="preserve">HSBC identifies opportunities in emerging markets </w:t>
            </w:r>
          </w:p>
          <w:p w14:paraId="305A35B1" w14:textId="77777777" w:rsidR="00C50764" w:rsidRDefault="0091455E">
            <w:pPr>
              <w:widowControl w:val="0"/>
              <w:numPr>
                <w:ilvl w:val="0"/>
                <w:numId w:val="4"/>
              </w:numPr>
            </w:pPr>
            <w:r>
              <w:t>Digital banking (HSBC, 2023)</w:t>
            </w:r>
          </w:p>
          <w:p w14:paraId="0FCA995A" w14:textId="77777777" w:rsidR="00C50764" w:rsidRDefault="0091455E">
            <w:pPr>
              <w:widowControl w:val="0"/>
              <w:numPr>
                <w:ilvl w:val="0"/>
                <w:numId w:val="4"/>
              </w:numPr>
            </w:pPr>
            <w:r>
              <w:t>Sustainable finance</w:t>
            </w:r>
          </w:p>
        </w:tc>
        <w:tc>
          <w:tcPr>
            <w:tcW w:w="4515" w:type="dxa"/>
            <w:shd w:val="clear" w:color="auto" w:fill="auto"/>
            <w:tcMar>
              <w:top w:w="100" w:type="dxa"/>
              <w:left w:w="100" w:type="dxa"/>
              <w:bottom w:w="100" w:type="dxa"/>
              <w:right w:w="100" w:type="dxa"/>
            </w:tcMar>
          </w:tcPr>
          <w:p w14:paraId="6A69C133" w14:textId="77777777" w:rsidR="00C50764" w:rsidRDefault="0091455E">
            <w:pPr>
              <w:widowControl w:val="0"/>
              <w:numPr>
                <w:ilvl w:val="0"/>
                <w:numId w:val="5"/>
              </w:numPr>
            </w:pPr>
            <w:r>
              <w:t xml:space="preserve">Regulatory changes </w:t>
            </w:r>
          </w:p>
          <w:p w14:paraId="7625A182" w14:textId="77777777" w:rsidR="00C50764" w:rsidRDefault="0091455E">
            <w:pPr>
              <w:widowControl w:val="0"/>
              <w:numPr>
                <w:ilvl w:val="0"/>
                <w:numId w:val="5"/>
              </w:numPr>
            </w:pPr>
            <w:r>
              <w:t xml:space="preserve">Economic downturns </w:t>
            </w:r>
          </w:p>
          <w:p w14:paraId="1CB1EC38" w14:textId="77777777" w:rsidR="00C50764" w:rsidRDefault="0091455E">
            <w:pPr>
              <w:widowControl w:val="0"/>
              <w:numPr>
                <w:ilvl w:val="0"/>
                <w:numId w:val="5"/>
              </w:numPr>
            </w:pPr>
            <w:r>
              <w:t>Competition from fintech disruptors is an ongoing threat (Ahmed,  2019).</w:t>
            </w:r>
          </w:p>
        </w:tc>
      </w:tr>
    </w:tbl>
    <w:p w14:paraId="0B366511" w14:textId="77777777" w:rsidR="00C50764" w:rsidRDefault="0091455E">
      <w:pPr>
        <w:jc w:val="center"/>
      </w:pPr>
      <w:r>
        <w:rPr>
          <w:noProof/>
        </w:rPr>
        <w:drawing>
          <wp:inline distT="114300" distB="114300" distL="114300" distR="114300" wp14:anchorId="2B1345E5" wp14:editId="1D6D3391">
            <wp:extent cx="2967000" cy="296700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2967000" cy="2967000"/>
                    </a:xfrm>
                    <a:prstGeom prst="rect">
                      <a:avLst/>
                    </a:prstGeom>
                    <a:ln/>
                  </pic:spPr>
                </pic:pic>
              </a:graphicData>
            </a:graphic>
          </wp:inline>
        </w:drawing>
      </w:r>
    </w:p>
    <w:p w14:paraId="40CFF4D9" w14:textId="77777777" w:rsidR="00C50764" w:rsidRDefault="0091455E">
      <w:pPr>
        <w:jc w:val="center"/>
        <w:rPr>
          <w:b/>
        </w:rPr>
      </w:pPr>
      <w:r>
        <w:rPr>
          <w:b/>
        </w:rPr>
        <w:t>Figure: SWOT Analysis</w:t>
      </w:r>
    </w:p>
    <w:p w14:paraId="04F1011A" w14:textId="77777777" w:rsidR="00C50764" w:rsidRDefault="0091455E">
      <w:pPr>
        <w:jc w:val="center"/>
      </w:pPr>
      <w:r>
        <w:rPr>
          <w:b/>
        </w:rPr>
        <w:t>(Source: CIPD, 2023)</w:t>
      </w:r>
    </w:p>
    <w:p w14:paraId="2CC3F4E0" w14:textId="77777777" w:rsidR="00C50764" w:rsidRDefault="0091455E">
      <w:pPr>
        <w:pStyle w:val="Heading2"/>
      </w:pPr>
      <w:bookmarkStart w:id="20" w:name="_Toc150465124"/>
      <w:r>
        <w:t>PESTEL Analysis:</w:t>
      </w:r>
      <w:bookmarkEnd w:id="20"/>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40"/>
        <w:gridCol w:w="6960"/>
      </w:tblGrid>
      <w:tr w:rsidR="00C50764" w14:paraId="61790672" w14:textId="77777777">
        <w:tc>
          <w:tcPr>
            <w:tcW w:w="2040" w:type="dxa"/>
            <w:shd w:val="clear" w:color="auto" w:fill="auto"/>
            <w:tcMar>
              <w:top w:w="100" w:type="dxa"/>
              <w:left w:w="100" w:type="dxa"/>
              <w:bottom w:w="100" w:type="dxa"/>
              <w:right w:w="100" w:type="dxa"/>
            </w:tcMar>
          </w:tcPr>
          <w:p w14:paraId="7495F237" w14:textId="77777777" w:rsidR="00C50764" w:rsidRDefault="0091455E">
            <w:pPr>
              <w:widowControl w:val="0"/>
              <w:jc w:val="center"/>
              <w:rPr>
                <w:b/>
              </w:rPr>
            </w:pPr>
            <w:r>
              <w:rPr>
                <w:b/>
              </w:rPr>
              <w:t>Factors</w:t>
            </w:r>
          </w:p>
        </w:tc>
        <w:tc>
          <w:tcPr>
            <w:tcW w:w="6960" w:type="dxa"/>
            <w:shd w:val="clear" w:color="auto" w:fill="auto"/>
            <w:tcMar>
              <w:top w:w="100" w:type="dxa"/>
              <w:left w:w="100" w:type="dxa"/>
              <w:bottom w:w="100" w:type="dxa"/>
              <w:right w:w="100" w:type="dxa"/>
            </w:tcMar>
          </w:tcPr>
          <w:p w14:paraId="377A14B4" w14:textId="77777777" w:rsidR="00C50764" w:rsidRDefault="0091455E">
            <w:pPr>
              <w:widowControl w:val="0"/>
              <w:jc w:val="center"/>
              <w:rPr>
                <w:b/>
              </w:rPr>
            </w:pPr>
            <w:r>
              <w:rPr>
                <w:b/>
              </w:rPr>
              <w:t>Description</w:t>
            </w:r>
          </w:p>
        </w:tc>
      </w:tr>
      <w:tr w:rsidR="00C50764" w14:paraId="5E8B9A68" w14:textId="77777777">
        <w:tc>
          <w:tcPr>
            <w:tcW w:w="2040" w:type="dxa"/>
            <w:shd w:val="clear" w:color="auto" w:fill="auto"/>
            <w:tcMar>
              <w:top w:w="100" w:type="dxa"/>
              <w:left w:w="100" w:type="dxa"/>
              <w:bottom w:w="100" w:type="dxa"/>
              <w:right w:w="100" w:type="dxa"/>
            </w:tcMar>
          </w:tcPr>
          <w:p w14:paraId="7AF92112" w14:textId="77777777" w:rsidR="00C50764" w:rsidRDefault="0091455E">
            <w:pPr>
              <w:widowControl w:val="0"/>
              <w:rPr>
                <w:b/>
              </w:rPr>
            </w:pPr>
            <w:r>
              <w:rPr>
                <w:b/>
              </w:rPr>
              <w:t xml:space="preserve">Political: </w:t>
            </w:r>
          </w:p>
        </w:tc>
        <w:tc>
          <w:tcPr>
            <w:tcW w:w="6960" w:type="dxa"/>
            <w:shd w:val="clear" w:color="auto" w:fill="auto"/>
            <w:tcMar>
              <w:top w:w="100" w:type="dxa"/>
              <w:left w:w="100" w:type="dxa"/>
              <w:bottom w:w="100" w:type="dxa"/>
              <w:right w:w="100" w:type="dxa"/>
            </w:tcMar>
          </w:tcPr>
          <w:p w14:paraId="4276B1B1" w14:textId="77777777" w:rsidR="00C50764" w:rsidRDefault="0091455E">
            <w:pPr>
              <w:widowControl w:val="0"/>
            </w:pPr>
            <w:r>
              <w:t>HSBC operates in various political environments, necessitating compliance with different regulations.</w:t>
            </w:r>
          </w:p>
        </w:tc>
      </w:tr>
      <w:tr w:rsidR="00C50764" w14:paraId="7A516A9C" w14:textId="77777777">
        <w:tc>
          <w:tcPr>
            <w:tcW w:w="2040" w:type="dxa"/>
            <w:shd w:val="clear" w:color="auto" w:fill="auto"/>
            <w:tcMar>
              <w:top w:w="100" w:type="dxa"/>
              <w:left w:w="100" w:type="dxa"/>
              <w:bottom w:w="100" w:type="dxa"/>
              <w:right w:w="100" w:type="dxa"/>
            </w:tcMar>
          </w:tcPr>
          <w:p w14:paraId="2CAF7015" w14:textId="77777777" w:rsidR="00C50764" w:rsidRDefault="0091455E">
            <w:pPr>
              <w:widowControl w:val="0"/>
              <w:rPr>
                <w:b/>
              </w:rPr>
            </w:pPr>
            <w:r>
              <w:rPr>
                <w:b/>
              </w:rPr>
              <w:lastRenderedPageBreak/>
              <w:t>Economic</w:t>
            </w:r>
          </w:p>
        </w:tc>
        <w:tc>
          <w:tcPr>
            <w:tcW w:w="6960" w:type="dxa"/>
            <w:shd w:val="clear" w:color="auto" w:fill="auto"/>
            <w:tcMar>
              <w:top w:w="100" w:type="dxa"/>
              <w:left w:w="100" w:type="dxa"/>
              <w:bottom w:w="100" w:type="dxa"/>
              <w:right w:w="100" w:type="dxa"/>
            </w:tcMar>
          </w:tcPr>
          <w:p w14:paraId="616BA979" w14:textId="77777777" w:rsidR="00C50764" w:rsidRDefault="0091455E">
            <w:pPr>
              <w:widowControl w:val="0"/>
            </w:pPr>
            <w:r>
              <w:t>The bank faces economic fluctuations in the regions it operates, affecting its profitability (Eisenberg, 2019).</w:t>
            </w:r>
          </w:p>
        </w:tc>
      </w:tr>
      <w:tr w:rsidR="00C50764" w14:paraId="55976A04" w14:textId="77777777">
        <w:tc>
          <w:tcPr>
            <w:tcW w:w="2040" w:type="dxa"/>
            <w:shd w:val="clear" w:color="auto" w:fill="auto"/>
            <w:tcMar>
              <w:top w:w="100" w:type="dxa"/>
              <w:left w:w="100" w:type="dxa"/>
              <w:bottom w:w="100" w:type="dxa"/>
              <w:right w:w="100" w:type="dxa"/>
            </w:tcMar>
          </w:tcPr>
          <w:p w14:paraId="2073D2D7" w14:textId="77777777" w:rsidR="00C50764" w:rsidRDefault="0091455E">
            <w:pPr>
              <w:widowControl w:val="0"/>
              <w:rPr>
                <w:b/>
              </w:rPr>
            </w:pPr>
            <w:r>
              <w:rPr>
                <w:b/>
              </w:rPr>
              <w:t>Sociocultural</w:t>
            </w:r>
          </w:p>
        </w:tc>
        <w:tc>
          <w:tcPr>
            <w:tcW w:w="6960" w:type="dxa"/>
            <w:shd w:val="clear" w:color="auto" w:fill="auto"/>
            <w:tcMar>
              <w:top w:w="100" w:type="dxa"/>
              <w:left w:w="100" w:type="dxa"/>
              <w:bottom w:w="100" w:type="dxa"/>
              <w:right w:w="100" w:type="dxa"/>
            </w:tcMar>
          </w:tcPr>
          <w:p w14:paraId="166C58CD" w14:textId="77777777" w:rsidR="00C50764" w:rsidRDefault="0091455E">
            <w:pPr>
              <w:widowControl w:val="0"/>
            </w:pPr>
            <w:r>
              <w:t>Shifting consumer preferences and expectations drive the need for sustainability and ethical practices (HSBC, 2023).</w:t>
            </w:r>
          </w:p>
        </w:tc>
      </w:tr>
      <w:tr w:rsidR="00C50764" w14:paraId="18A667C6" w14:textId="77777777">
        <w:tc>
          <w:tcPr>
            <w:tcW w:w="2040" w:type="dxa"/>
            <w:shd w:val="clear" w:color="auto" w:fill="auto"/>
            <w:tcMar>
              <w:top w:w="100" w:type="dxa"/>
              <w:left w:w="100" w:type="dxa"/>
              <w:bottom w:w="100" w:type="dxa"/>
              <w:right w:w="100" w:type="dxa"/>
            </w:tcMar>
          </w:tcPr>
          <w:p w14:paraId="2CCB087A" w14:textId="77777777" w:rsidR="00C50764" w:rsidRDefault="0091455E">
            <w:pPr>
              <w:widowControl w:val="0"/>
              <w:rPr>
                <w:b/>
              </w:rPr>
            </w:pPr>
            <w:r>
              <w:rPr>
                <w:b/>
              </w:rPr>
              <w:t>Technological</w:t>
            </w:r>
          </w:p>
        </w:tc>
        <w:tc>
          <w:tcPr>
            <w:tcW w:w="6960" w:type="dxa"/>
            <w:shd w:val="clear" w:color="auto" w:fill="auto"/>
            <w:tcMar>
              <w:top w:w="100" w:type="dxa"/>
              <w:left w:w="100" w:type="dxa"/>
              <w:bottom w:w="100" w:type="dxa"/>
              <w:right w:w="100" w:type="dxa"/>
            </w:tcMar>
          </w:tcPr>
          <w:p w14:paraId="0410EED1" w14:textId="77777777" w:rsidR="00C50764" w:rsidRDefault="0091455E">
            <w:pPr>
              <w:widowControl w:val="0"/>
            </w:pPr>
            <w:r>
              <w:t>Digital transformation is a key focus for HSBC, enhancing customer experience and efficiency.</w:t>
            </w:r>
          </w:p>
        </w:tc>
      </w:tr>
      <w:tr w:rsidR="00C50764" w14:paraId="0BA1077E" w14:textId="77777777">
        <w:tc>
          <w:tcPr>
            <w:tcW w:w="2040" w:type="dxa"/>
            <w:shd w:val="clear" w:color="auto" w:fill="auto"/>
            <w:tcMar>
              <w:top w:w="100" w:type="dxa"/>
              <w:left w:w="100" w:type="dxa"/>
              <w:bottom w:w="100" w:type="dxa"/>
              <w:right w:w="100" w:type="dxa"/>
            </w:tcMar>
          </w:tcPr>
          <w:p w14:paraId="42E7D1F9" w14:textId="77777777" w:rsidR="00C50764" w:rsidRDefault="0091455E">
            <w:pPr>
              <w:widowControl w:val="0"/>
              <w:rPr>
                <w:b/>
              </w:rPr>
            </w:pPr>
            <w:r>
              <w:rPr>
                <w:b/>
              </w:rPr>
              <w:t>Environmental</w:t>
            </w:r>
          </w:p>
        </w:tc>
        <w:tc>
          <w:tcPr>
            <w:tcW w:w="6960" w:type="dxa"/>
            <w:shd w:val="clear" w:color="auto" w:fill="auto"/>
            <w:tcMar>
              <w:top w:w="100" w:type="dxa"/>
              <w:left w:w="100" w:type="dxa"/>
              <w:bottom w:w="100" w:type="dxa"/>
              <w:right w:w="100" w:type="dxa"/>
            </w:tcMar>
          </w:tcPr>
          <w:p w14:paraId="526F1C64" w14:textId="77777777" w:rsidR="00C50764" w:rsidRDefault="0091455E">
            <w:pPr>
              <w:widowControl w:val="0"/>
            </w:pPr>
            <w:r>
              <w:t>HSBC is committed to reducing its environmental impact and promoting sustainable finance  (Eisenberg, 2019).</w:t>
            </w:r>
          </w:p>
        </w:tc>
      </w:tr>
      <w:tr w:rsidR="00C50764" w14:paraId="119F1CD7" w14:textId="77777777">
        <w:tc>
          <w:tcPr>
            <w:tcW w:w="2040" w:type="dxa"/>
            <w:shd w:val="clear" w:color="auto" w:fill="auto"/>
            <w:tcMar>
              <w:top w:w="100" w:type="dxa"/>
              <w:left w:w="100" w:type="dxa"/>
              <w:bottom w:w="100" w:type="dxa"/>
              <w:right w:w="100" w:type="dxa"/>
            </w:tcMar>
          </w:tcPr>
          <w:p w14:paraId="3BA9141D" w14:textId="77777777" w:rsidR="00C50764" w:rsidRDefault="0091455E">
            <w:pPr>
              <w:widowControl w:val="0"/>
              <w:rPr>
                <w:b/>
              </w:rPr>
            </w:pPr>
            <w:r>
              <w:rPr>
                <w:b/>
              </w:rPr>
              <w:t>Legal</w:t>
            </w:r>
          </w:p>
        </w:tc>
        <w:tc>
          <w:tcPr>
            <w:tcW w:w="6960" w:type="dxa"/>
            <w:shd w:val="clear" w:color="auto" w:fill="auto"/>
            <w:tcMar>
              <w:top w:w="100" w:type="dxa"/>
              <w:left w:w="100" w:type="dxa"/>
              <w:bottom w:w="100" w:type="dxa"/>
              <w:right w:w="100" w:type="dxa"/>
            </w:tcMar>
          </w:tcPr>
          <w:p w14:paraId="60755DDF" w14:textId="77777777" w:rsidR="00C50764" w:rsidRDefault="0091455E">
            <w:pPr>
              <w:widowControl w:val="0"/>
            </w:pPr>
            <w:r>
              <w:t>The bank must adhere to evolving financial and environmental regulations.</w:t>
            </w:r>
          </w:p>
        </w:tc>
      </w:tr>
    </w:tbl>
    <w:p w14:paraId="20221C01" w14:textId="77777777" w:rsidR="00C50764" w:rsidRDefault="0091455E">
      <w:pPr>
        <w:jc w:val="center"/>
      </w:pPr>
      <w:r>
        <w:rPr>
          <w:noProof/>
        </w:rPr>
        <w:drawing>
          <wp:inline distT="114300" distB="114300" distL="114300" distR="114300" wp14:anchorId="015FFF32" wp14:editId="5ACDD982">
            <wp:extent cx="4093991" cy="258603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4093991" cy="2586038"/>
                    </a:xfrm>
                    <a:prstGeom prst="rect">
                      <a:avLst/>
                    </a:prstGeom>
                    <a:ln/>
                  </pic:spPr>
                </pic:pic>
              </a:graphicData>
            </a:graphic>
          </wp:inline>
        </w:drawing>
      </w:r>
    </w:p>
    <w:p w14:paraId="5799192B" w14:textId="77777777" w:rsidR="00C50764" w:rsidRDefault="0091455E">
      <w:pPr>
        <w:jc w:val="center"/>
        <w:rPr>
          <w:b/>
        </w:rPr>
      </w:pPr>
      <w:r>
        <w:rPr>
          <w:b/>
        </w:rPr>
        <w:t>Figure: PESTLE Analysis</w:t>
      </w:r>
    </w:p>
    <w:p w14:paraId="2767796A" w14:textId="77777777" w:rsidR="00C50764" w:rsidRDefault="0091455E">
      <w:pPr>
        <w:jc w:val="center"/>
      </w:pPr>
      <w:r>
        <w:rPr>
          <w:b/>
        </w:rPr>
        <w:t>(Source: NBI, 2020)</w:t>
      </w:r>
    </w:p>
    <w:p w14:paraId="47A99579" w14:textId="77777777" w:rsidR="00C50764" w:rsidRDefault="0091455E">
      <w:pPr>
        <w:pStyle w:val="Heading2"/>
      </w:pPr>
      <w:bookmarkStart w:id="21" w:name="_Toc150465125"/>
      <w:r>
        <w:t>Porter's Five Forces:</w:t>
      </w:r>
      <w:bookmarkEnd w:id="21"/>
    </w:p>
    <w:p w14:paraId="4FD8251D" w14:textId="77777777" w:rsidR="00C50764" w:rsidRDefault="0091455E">
      <w:pPr>
        <w:numPr>
          <w:ilvl w:val="0"/>
          <w:numId w:val="2"/>
        </w:numPr>
      </w:pPr>
      <w:r>
        <w:rPr>
          <w:b/>
        </w:rPr>
        <w:t>Threat of New Entrants:</w:t>
      </w:r>
      <w:r>
        <w:t xml:space="preserve"> Regulation, economies of scale, and preexisting connections all contribute to a very high barrier to entry.</w:t>
      </w:r>
    </w:p>
    <w:p w14:paraId="3214A16D" w14:textId="77777777" w:rsidR="00C50764" w:rsidRDefault="0091455E">
      <w:pPr>
        <w:numPr>
          <w:ilvl w:val="0"/>
          <w:numId w:val="2"/>
        </w:numPr>
      </w:pPr>
      <w:r>
        <w:rPr>
          <w:b/>
        </w:rPr>
        <w:t>Bargaining Power of Suppliers:</w:t>
      </w:r>
      <w:r>
        <w:t xml:space="preserve"> The bank relies on a number of vendors for essential services and infrastructure, thus the risk is moderate (HSBC, 2023).</w:t>
      </w:r>
    </w:p>
    <w:p w14:paraId="5C81AEE8" w14:textId="77777777" w:rsidR="00C50764" w:rsidRDefault="0091455E">
      <w:pPr>
        <w:numPr>
          <w:ilvl w:val="0"/>
          <w:numId w:val="2"/>
        </w:numPr>
      </w:pPr>
      <w:r>
        <w:rPr>
          <w:b/>
        </w:rPr>
        <w:t xml:space="preserve">Bargaining Power of Buyers: </w:t>
      </w:r>
      <w:r>
        <w:t>Moderate, because customers can pick from a few different banks (Alam, 2022).</w:t>
      </w:r>
    </w:p>
    <w:p w14:paraId="761FF217" w14:textId="77777777" w:rsidR="00C50764" w:rsidRDefault="0091455E">
      <w:pPr>
        <w:numPr>
          <w:ilvl w:val="0"/>
          <w:numId w:val="2"/>
        </w:numPr>
      </w:pPr>
      <w:r>
        <w:rPr>
          <w:b/>
        </w:rPr>
        <w:t xml:space="preserve">Threat of Substitutes: </w:t>
      </w:r>
      <w:r>
        <w:t>Competition from fintech firms and non-bank financial services is moderate.</w:t>
      </w:r>
    </w:p>
    <w:p w14:paraId="42974734" w14:textId="77777777" w:rsidR="00C50764" w:rsidRDefault="0091455E">
      <w:pPr>
        <w:numPr>
          <w:ilvl w:val="0"/>
          <w:numId w:val="2"/>
        </w:numPr>
      </w:pPr>
      <w:r>
        <w:rPr>
          <w:b/>
        </w:rPr>
        <w:lastRenderedPageBreak/>
        <w:t xml:space="preserve">Competitive Rivalry: </w:t>
      </w:r>
      <w:r>
        <w:t>There is a lot of rivalry amongst international banks.</w:t>
      </w:r>
    </w:p>
    <w:p w14:paraId="409370A1" w14:textId="77777777" w:rsidR="00C50764" w:rsidRDefault="0091455E">
      <w:pPr>
        <w:jc w:val="center"/>
      </w:pPr>
      <w:r>
        <w:rPr>
          <w:noProof/>
        </w:rPr>
        <w:drawing>
          <wp:inline distT="114300" distB="114300" distL="114300" distR="114300" wp14:anchorId="261E40D9" wp14:editId="71AA83FE">
            <wp:extent cx="2538413" cy="2538413"/>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2538413" cy="2538413"/>
                    </a:xfrm>
                    <a:prstGeom prst="rect">
                      <a:avLst/>
                    </a:prstGeom>
                    <a:ln/>
                  </pic:spPr>
                </pic:pic>
              </a:graphicData>
            </a:graphic>
          </wp:inline>
        </w:drawing>
      </w:r>
    </w:p>
    <w:p w14:paraId="7354A90D" w14:textId="77777777" w:rsidR="00C50764" w:rsidRDefault="0091455E">
      <w:pPr>
        <w:jc w:val="center"/>
        <w:rPr>
          <w:b/>
        </w:rPr>
      </w:pPr>
      <w:r>
        <w:rPr>
          <w:b/>
        </w:rPr>
        <w:t>Figure: Porter's Five Forces</w:t>
      </w:r>
    </w:p>
    <w:p w14:paraId="11E64C64" w14:textId="77777777" w:rsidR="00C50764" w:rsidRDefault="0091455E">
      <w:pPr>
        <w:jc w:val="center"/>
      </w:pPr>
      <w:r>
        <w:rPr>
          <w:b/>
        </w:rPr>
        <w:t>(Source: HBR, 2019)</w:t>
      </w:r>
    </w:p>
    <w:sectPr w:rsidR="00C50764" w:rsidSect="0091455E">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B094F"/>
    <w:multiLevelType w:val="multilevel"/>
    <w:tmpl w:val="797CE6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E13A9D"/>
    <w:multiLevelType w:val="multilevel"/>
    <w:tmpl w:val="AE404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3A1424"/>
    <w:multiLevelType w:val="multilevel"/>
    <w:tmpl w:val="DF42A2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0C5D4F"/>
    <w:multiLevelType w:val="multilevel"/>
    <w:tmpl w:val="D12033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BEF59D0"/>
    <w:multiLevelType w:val="multilevel"/>
    <w:tmpl w:val="A65A77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9959E1"/>
    <w:multiLevelType w:val="multilevel"/>
    <w:tmpl w:val="94703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61241066">
    <w:abstractNumId w:val="1"/>
  </w:num>
  <w:num w:numId="2" w16cid:durableId="1749114133">
    <w:abstractNumId w:val="5"/>
  </w:num>
  <w:num w:numId="3" w16cid:durableId="1314918376">
    <w:abstractNumId w:val="4"/>
  </w:num>
  <w:num w:numId="4" w16cid:durableId="197621098">
    <w:abstractNumId w:val="2"/>
  </w:num>
  <w:num w:numId="5" w16cid:durableId="1168063177">
    <w:abstractNumId w:val="3"/>
  </w:num>
  <w:num w:numId="6" w16cid:durableId="781725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0764"/>
    <w:rsid w:val="008D48A6"/>
    <w:rsid w:val="0091455E"/>
    <w:rsid w:val="00C50764"/>
    <w:rsid w:val="00D94CA4"/>
    <w:rsid w:val="00ED79D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8DCFE"/>
  <w15:docId w15:val="{8868DE29-67F9-4FC7-B775-D81E60E59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91455E"/>
    <w:pPr>
      <w:spacing w:after="100"/>
    </w:pPr>
    <w:rPr>
      <w:szCs w:val="30"/>
    </w:rPr>
  </w:style>
  <w:style w:type="paragraph" w:styleId="TOC2">
    <w:name w:val="toc 2"/>
    <w:basedOn w:val="Normal"/>
    <w:next w:val="Normal"/>
    <w:autoRedefine/>
    <w:uiPriority w:val="39"/>
    <w:unhideWhenUsed/>
    <w:rsid w:val="0091455E"/>
    <w:pPr>
      <w:spacing w:after="100"/>
      <w:ind w:left="240"/>
    </w:pPr>
    <w:rPr>
      <w:szCs w:val="30"/>
    </w:rPr>
  </w:style>
  <w:style w:type="character" w:styleId="Hyperlink">
    <w:name w:val="Hyperlink"/>
    <w:basedOn w:val="DefaultParagraphFont"/>
    <w:uiPriority w:val="99"/>
    <w:unhideWhenUsed/>
    <w:rsid w:val="009145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ipd.org/en/knowledge/factsheets/swot-analysis-factsheet/" TargetMode="External"/><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nibusinessinfo.co.uk/content/pestle-analysis-exampl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hsbc.com/investors/results-and-announcements/annual-report"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hsbc.com/who-we-are" TargetMode="External"/><Relationship Id="rId4" Type="http://schemas.openxmlformats.org/officeDocument/2006/relationships/settings" Target="settings.xml"/><Relationship Id="rId9" Type="http://schemas.openxmlformats.org/officeDocument/2006/relationships/hyperlink" Target="https://hbr.org/2008/01/the-five-competitive-forces-that-shape-strategy"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LP1xotP0v/OdEf8V9zoHDyRa8Eg==">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3359</Words>
  <Characters>19148</Characters>
  <Application>Microsoft Office Word</Application>
  <DocSecurity>0</DocSecurity>
  <Lines>159</Lines>
  <Paragraphs>44</Paragraphs>
  <ScaleCrop>false</ScaleCrop>
  <Company/>
  <LinksUpToDate>false</LinksUpToDate>
  <CharactersWithSpaces>22463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basiulvlada@gmail.com</cp:lastModifiedBy>
  <cp:revision>5</cp:revision>
  <dcterms:created xsi:type="dcterms:W3CDTF">2023-11-04T10:49:00Z</dcterms:created>
  <dcterms:modified xsi:type="dcterms:W3CDTF">2023-12-19T18:12:00Z</dcterms:modified>
</cp:coreProperties>
</file>