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B63F33" w14:textId="747328F1" w:rsidR="00415420" w:rsidRDefault="00C2651B">
      <w:pPr>
        <w:rPr>
          <w:i/>
          <w:iCs/>
          <w:sz w:val="20"/>
          <w:szCs w:val="20"/>
        </w:rPr>
      </w:pPr>
      <w:r>
        <w:rPr>
          <w:i/>
          <w:iCs/>
          <w:sz w:val="20"/>
          <w:szCs w:val="20"/>
        </w:rPr>
        <w:t xml:space="preserve">In what ways does Petrarch’s </w:t>
      </w:r>
      <w:r>
        <w:rPr>
          <w:sz w:val="20"/>
          <w:szCs w:val="20"/>
        </w:rPr>
        <w:t xml:space="preserve">Ascent of Mount Ventoux </w:t>
      </w:r>
      <w:r w:rsidR="002D5B86">
        <w:rPr>
          <w:i/>
          <w:iCs/>
          <w:sz w:val="20"/>
          <w:szCs w:val="20"/>
        </w:rPr>
        <w:t>relate to the</w:t>
      </w:r>
      <w:r>
        <w:rPr>
          <w:i/>
          <w:iCs/>
          <w:sz w:val="20"/>
          <w:szCs w:val="20"/>
        </w:rPr>
        <w:t xml:space="preserve"> principles of Renaissance Humanism?</w:t>
      </w:r>
    </w:p>
    <w:p w14:paraId="1EF4B336" w14:textId="1EBDAE5C" w:rsidR="001F3471" w:rsidRDefault="001F3471" w:rsidP="00C2651B">
      <w:pPr>
        <w:pStyle w:val="NoSpacing"/>
      </w:pPr>
      <w:r>
        <w:t xml:space="preserve">The first thing to note is, of course, the nature of Petrarch’s account of his </w:t>
      </w:r>
      <w:r>
        <w:rPr>
          <w:i/>
          <w:iCs/>
        </w:rPr>
        <w:t>Ascent of Mount Ventoux</w:t>
      </w:r>
      <w:r>
        <w:t xml:space="preserve">, that it is a letter written to his close friend Dionigi da Borgo San </w:t>
      </w:r>
      <w:proofErr w:type="spellStart"/>
      <w:r>
        <w:t>Sepolcro</w:t>
      </w:r>
      <w:proofErr w:type="spellEnd"/>
      <w:r>
        <w:t xml:space="preserve">, an Augustinian monk. Of Petrarch’s </w:t>
      </w:r>
      <w:r>
        <w:rPr>
          <w:i/>
          <w:iCs/>
        </w:rPr>
        <w:t>Familiar Letters</w:t>
      </w:r>
      <w:r>
        <w:t>, it is deemed one of the most known. Petrarch himself is also recognised to be passionate about, if not Saint Augustine himself, the Saint’s conversion – he “[sought throughout his life to realise this experience for himself while making it significant in the Christian humanist context</w:t>
      </w:r>
      <w:r w:rsidR="00FC186C">
        <w:t>]” (</w:t>
      </w:r>
      <w:r>
        <w:t xml:space="preserve">translated from </w:t>
      </w:r>
      <w:r w:rsidR="00FC186C">
        <w:t>French) ₁</w:t>
      </w:r>
      <w:r>
        <w:t>.</w:t>
      </w:r>
      <w:r w:rsidR="002D5B86">
        <w:t xml:space="preserve"> This aspiration of Petrarch’s furthers the notion that the most esteemed aspect of Saint Augustine is to forever be his conversion, or, “false impression of that most notable event in a notable life, [was] the conversion of Saint Augustine”</w:t>
      </w:r>
      <w:r w:rsidR="00FC186C">
        <w:t xml:space="preserve"> </w:t>
      </w:r>
      <w:r w:rsidR="002D5B86">
        <w:t>₂, but while it may be a skewed narrative for those looking to Saint Augustine, for the renaissance humanist, it truly is the most remarkable aspect of his life, as evident by the “[desire for [a] transcendent experience which is implicitly part of philosophical thought of humanists in general]”</w:t>
      </w:r>
      <w:r w:rsidR="00FC186C">
        <w:t xml:space="preserve"> </w:t>
      </w:r>
      <w:r w:rsidR="002D5B86">
        <w:t>(translated from French)</w:t>
      </w:r>
      <w:r w:rsidR="00FC186C">
        <w:t xml:space="preserve"> </w:t>
      </w:r>
      <w:r w:rsidR="002D5B86">
        <w:t>₁.</w:t>
      </w:r>
    </w:p>
    <w:p w14:paraId="57802F51" w14:textId="77777777" w:rsidR="001F3471" w:rsidRDefault="001F3471" w:rsidP="00C2651B">
      <w:pPr>
        <w:pStyle w:val="NoSpacing"/>
      </w:pPr>
    </w:p>
    <w:p w14:paraId="2D1E4461" w14:textId="34C0AF7E" w:rsidR="00FC186C" w:rsidRDefault="00FC186C" w:rsidP="00C2651B">
      <w:pPr>
        <w:pStyle w:val="NoSpacing"/>
      </w:pPr>
      <w:r>
        <w:t xml:space="preserve">Looking at the context from which this work from Petrarch was born is naturally a part of understanding it to a greater depth than otherwise – humanists, when reading the classical works they so revere, took in the texts as a whole and in the context from which they had sprung from to the best of their abilities, if they were able they would read said texts in their original forms or languages, doing their best to restore them to their pure forms. Petrarch himself lamented in his wanting to learn the language of those ancient Greek scholars, so that he too may read their works as they had been written, or as close to as they were written from the restoration efforts heralded by the Renaissance </w:t>
      </w:r>
      <w:proofErr w:type="gramStart"/>
      <w:r>
        <w:t>humanists, but</w:t>
      </w:r>
      <w:proofErr w:type="gramEnd"/>
      <w:r>
        <w:t xml:space="preserve"> fell short of his goal. It is only natural to follow on and read those Renaissance humanists’ own works in the same </w:t>
      </w:r>
      <w:proofErr w:type="gramStart"/>
      <w:r>
        <w:t>manner in which</w:t>
      </w:r>
      <w:proofErr w:type="gramEnd"/>
      <w:r>
        <w:t xml:space="preserve"> they </w:t>
      </w:r>
      <w:r w:rsidR="00CF2092">
        <w:t>preferred ₃. Intertextuality is such a thing that ought to be practically assumed with regards to Renaissance humanists, Petrarch included, whether it be to their own works, the scholars of ages past or their fellow humanists of the time, further reading unveils more to their own works than read alone. This of course makes great sense, as the likely to be reading is indeed their fellow humanists, who have likely all read the texts to which they are referencing. In this case the most notable example is</w:t>
      </w:r>
      <w:r w:rsidR="002C5ECF">
        <w:t>,</w:t>
      </w:r>
      <w:r w:rsidR="00CF2092">
        <w:t xml:space="preserve"> of course, Saint Augustine’s </w:t>
      </w:r>
      <w:r w:rsidR="00CF2092">
        <w:rPr>
          <w:i/>
          <w:iCs/>
        </w:rPr>
        <w:t>Confessions</w:t>
      </w:r>
      <w:r w:rsidR="002C5ECF">
        <w:rPr>
          <w:i/>
          <w:iCs/>
        </w:rPr>
        <w:t xml:space="preserve">, </w:t>
      </w:r>
      <w:r w:rsidR="002C5ECF">
        <w:t xml:space="preserve">something Petrarch is not in the least bit subtle about. </w:t>
      </w:r>
      <w:r w:rsidR="00F85CB5">
        <w:t xml:space="preserve">The other intertextual reference of significance would be the “ideologically opposed passage from Livy’s </w:t>
      </w:r>
      <w:r w:rsidR="00F85CB5">
        <w:rPr>
          <w:i/>
          <w:iCs/>
        </w:rPr>
        <w:t>Ab Urbe Condita</w:t>
      </w:r>
      <w:r w:rsidR="00F85CB5">
        <w:t>” ₄.</w:t>
      </w:r>
    </w:p>
    <w:p w14:paraId="5514C364" w14:textId="77777777" w:rsidR="00D330C9" w:rsidRDefault="00D330C9" w:rsidP="00C2651B">
      <w:pPr>
        <w:pStyle w:val="NoSpacing"/>
      </w:pPr>
    </w:p>
    <w:p w14:paraId="36BEDF32" w14:textId="61BCB14C" w:rsidR="00D330C9" w:rsidRPr="00D330C9" w:rsidRDefault="00D330C9" w:rsidP="00C2651B">
      <w:pPr>
        <w:pStyle w:val="NoSpacing"/>
      </w:pPr>
      <w:r>
        <w:t xml:space="preserve">It is worth acknowledging that, by sheer nature of Petrarch being the one to write it, </w:t>
      </w:r>
      <w:r>
        <w:rPr>
          <w:i/>
          <w:iCs/>
        </w:rPr>
        <w:t>The Ascent of Mount Ventoux</w:t>
      </w:r>
      <w:r>
        <w:t xml:space="preserve"> will habitually align with such principles as we have learnt to associate with Renaissance humanists due to the significance of Petrarch as a figure in the movement, like Wilhelm Wundt if considered to be the father of modern psychology, Petrarch is considered to be the father of Renaissance humanism. </w:t>
      </w:r>
      <w:r w:rsidR="004F6349">
        <w:t>Indeed,</w:t>
      </w:r>
      <w:r>
        <w:t xml:space="preserve"> there are no indications of humanists displaying any roots or considerations towards any kind of Christianity prior to Petrarch, something deeply entangled with what we know to be Renaissance humanism</w:t>
      </w:r>
      <w:r w:rsidR="004F6349">
        <w:t xml:space="preserve"> ⁵.</w:t>
      </w:r>
    </w:p>
    <w:p w14:paraId="64B8E3C3" w14:textId="77777777" w:rsidR="00FC186C" w:rsidRDefault="00FC186C" w:rsidP="00C2651B">
      <w:pPr>
        <w:pStyle w:val="NoSpacing"/>
      </w:pPr>
    </w:p>
    <w:p w14:paraId="69406FB8" w14:textId="6FEA24EC" w:rsidR="004F6349" w:rsidRPr="001E2877" w:rsidRDefault="001771C0" w:rsidP="00C2651B">
      <w:pPr>
        <w:pStyle w:val="NoSpacing"/>
      </w:pPr>
      <w:r>
        <w:t>Petrarch remarks that his reason for deciding to climb Mount Ventoux is not, in fact, for what most would initially assume to be for a spiritual journey as well as a physical one, not for solace or revelation, but “solely from the desire to see [the mountain’s] conspicuous height”. This itself has led many to denote him as the “first recorded Alpinist”, a will to do something simply from the initial appeal of its aesthetic nature. However, the letter does change its tone and become more inwardly contemplative ⁶.</w:t>
      </w:r>
      <w:r w:rsidR="001E2877">
        <w:t xml:space="preserve"> Petrarch also claims that inspiration to climb the mountain struck from a re-reading of Livy’s </w:t>
      </w:r>
      <w:r w:rsidR="001E2877">
        <w:rPr>
          <w:i/>
          <w:iCs/>
        </w:rPr>
        <w:t>History of Rome</w:t>
      </w:r>
      <w:r w:rsidR="001E2877">
        <w:t xml:space="preserve">. Like many humanists of the time, Petrarch longed for any connection to the classical works and the times and placed where they had originated from and thrived within ⁷. </w:t>
      </w:r>
    </w:p>
    <w:p w14:paraId="022B8E70" w14:textId="77777777" w:rsidR="004F6349" w:rsidRDefault="004F6349" w:rsidP="00C2651B">
      <w:pPr>
        <w:pStyle w:val="NoSpacing"/>
      </w:pPr>
    </w:p>
    <w:p w14:paraId="10DA0953" w14:textId="76A57027" w:rsidR="001F3471" w:rsidRDefault="001F3471" w:rsidP="00C2651B">
      <w:pPr>
        <w:pStyle w:val="NoSpacing"/>
      </w:pPr>
      <w:r>
        <w:lastRenderedPageBreak/>
        <w:t xml:space="preserve">₁ Beecher, D. (2004) ‘Petrarch’s “Conversion” on Mount Ventoux and the Patterns of Religious Experience’ </w:t>
      </w:r>
      <w:r w:rsidRPr="001F3471">
        <w:rPr>
          <w:i/>
          <w:iCs/>
        </w:rPr>
        <w:t xml:space="preserve">Renaissance and Reformation / Renaissance et </w:t>
      </w:r>
      <w:proofErr w:type="spellStart"/>
      <w:r w:rsidRPr="001F3471">
        <w:rPr>
          <w:i/>
          <w:iCs/>
        </w:rPr>
        <w:t>Réforme</w:t>
      </w:r>
      <w:proofErr w:type="spellEnd"/>
      <w:r>
        <w:t>, vol. 28 (No.</w:t>
      </w:r>
      <w:r w:rsidR="00CF2092">
        <w:t xml:space="preserve"> </w:t>
      </w:r>
      <w:r>
        <w:t>3), pp.</w:t>
      </w:r>
      <w:r w:rsidR="00CF2092">
        <w:t xml:space="preserve"> </w:t>
      </w:r>
      <w:r>
        <w:t>55-75</w:t>
      </w:r>
    </w:p>
    <w:p w14:paraId="4F4F4DEB" w14:textId="7DE6CBAE" w:rsidR="002D5B86" w:rsidRDefault="002D5B86" w:rsidP="00C2651B">
      <w:pPr>
        <w:pStyle w:val="NoSpacing"/>
      </w:pPr>
      <w:r>
        <w:t xml:space="preserve">₂ McCabe, J. (1902) ‘The Conversion of St. Augustine’ </w:t>
      </w:r>
      <w:r>
        <w:rPr>
          <w:i/>
          <w:iCs/>
        </w:rPr>
        <w:t>International Journal of Ethics</w:t>
      </w:r>
      <w:r>
        <w:t>, vol.12 (No.</w:t>
      </w:r>
      <w:r w:rsidR="00CF2092">
        <w:t xml:space="preserve"> </w:t>
      </w:r>
      <w:r>
        <w:t>4), pp. 450-459</w:t>
      </w:r>
    </w:p>
    <w:p w14:paraId="400B5B90" w14:textId="5A2D4682" w:rsidR="00CF2092" w:rsidRDefault="00CF2092" w:rsidP="00C2651B">
      <w:pPr>
        <w:pStyle w:val="NoSpacing"/>
      </w:pPr>
      <w:r>
        <w:t>₃ Gray. R.</w:t>
      </w:r>
      <w:r w:rsidR="001E2877">
        <w:t xml:space="preserve"> </w:t>
      </w:r>
      <w:r>
        <w:t xml:space="preserve">H. (1963) ‘Renaissance Humanism: The Pursuit of Eloquence’ </w:t>
      </w:r>
      <w:r>
        <w:rPr>
          <w:i/>
          <w:iCs/>
        </w:rPr>
        <w:t>Journal of the History of Ideas</w:t>
      </w:r>
      <w:r>
        <w:t>, vol. 24 (No. 4), pp. 497-514</w:t>
      </w:r>
    </w:p>
    <w:p w14:paraId="664BECD7" w14:textId="476FA0D1" w:rsidR="00F85CB5" w:rsidRDefault="00F85CB5" w:rsidP="00C2651B">
      <w:pPr>
        <w:pStyle w:val="NoSpacing"/>
      </w:pPr>
      <w:r>
        <w:t xml:space="preserve">₄ </w:t>
      </w:r>
      <w:r>
        <w:t>A</w:t>
      </w:r>
      <w:r>
        <w:t>scoli</w:t>
      </w:r>
      <w:r>
        <w:t>, A. R. (2011)</w:t>
      </w:r>
      <w:r>
        <w:t>,</w:t>
      </w:r>
      <w:r>
        <w:t xml:space="preserve"> </w:t>
      </w:r>
      <w:r>
        <w:t xml:space="preserve">‘Chapter 1: </w:t>
      </w:r>
      <w:r>
        <w:t>Petrarch’s Middle Age: Memory, Imagination, History, and the “Ascent of Mount Ventoux.</w:t>
      </w:r>
      <w:r>
        <w:t>’</w:t>
      </w:r>
      <w:r>
        <w:t xml:space="preserve">  </w:t>
      </w:r>
      <w:r>
        <w:rPr>
          <w:i/>
          <w:iCs/>
        </w:rPr>
        <w:t>A Local Habitation and a Name: Imagining Histories in the Italian Renaissance</w:t>
      </w:r>
      <w:r>
        <w:rPr>
          <w:i/>
          <w:iCs/>
        </w:rPr>
        <w:t>,</w:t>
      </w:r>
      <w:r>
        <w:t xml:space="preserve"> Fordham University Press</w:t>
      </w:r>
      <w:r>
        <w:t xml:space="preserve">, </w:t>
      </w:r>
      <w:r>
        <w:t xml:space="preserve">pp. 21–58 </w:t>
      </w:r>
    </w:p>
    <w:p w14:paraId="53E20FBF" w14:textId="48FDEE4D" w:rsidR="004F6349" w:rsidRPr="004F6349" w:rsidRDefault="004F6349" w:rsidP="004F6349">
      <w:pPr>
        <w:pStyle w:val="NoSpacing"/>
      </w:pPr>
      <w:r>
        <w:t xml:space="preserve">⁵ </w:t>
      </w:r>
      <w:r w:rsidRPr="004F6349">
        <w:t xml:space="preserve">Witt, R. (2018). </w:t>
      </w:r>
      <w:r>
        <w:t>‘</w:t>
      </w:r>
      <w:r w:rsidRPr="004F6349">
        <w:t>Petrarch, Creator of the Christian Humanist.</w:t>
      </w:r>
      <w:r>
        <w:t>’</w:t>
      </w:r>
      <w:r w:rsidRPr="004F6349">
        <w:t xml:space="preserve"> In I. Candido (Ed.), </w:t>
      </w:r>
      <w:r w:rsidRPr="004F6349">
        <w:rPr>
          <w:i/>
          <w:iCs/>
        </w:rPr>
        <w:t>Petrarch and Boccaccio: The Unity of Knowledge in the Pre-modern World</w:t>
      </w:r>
      <w:r>
        <w:rPr>
          <w:i/>
          <w:iCs/>
        </w:rPr>
        <w:t>,</w:t>
      </w:r>
      <w:r w:rsidRPr="004F6349">
        <w:t xml:space="preserve"> De Gruyter</w:t>
      </w:r>
      <w:r>
        <w:t>,</w:t>
      </w:r>
      <w:r w:rsidRPr="004F6349">
        <w:t xml:space="preserve"> 1st ed., pp. 65–77 </w:t>
      </w:r>
    </w:p>
    <w:p w14:paraId="1317B9CF" w14:textId="24DD7BDF" w:rsidR="004F6349" w:rsidRDefault="001771C0" w:rsidP="00C2651B">
      <w:pPr>
        <w:pStyle w:val="NoSpacing"/>
      </w:pPr>
      <w:r>
        <w:t xml:space="preserve">⁶ Asher, L. (1993) ‘Petrarch at the Peak of Fame’ </w:t>
      </w:r>
      <w:r>
        <w:rPr>
          <w:i/>
          <w:iCs/>
        </w:rPr>
        <w:t>PMLA</w:t>
      </w:r>
      <w:r>
        <w:t>, vol. 108 (No. 5), pp. 1050-1063</w:t>
      </w:r>
    </w:p>
    <w:p w14:paraId="7F8FA7E6" w14:textId="48925094" w:rsidR="001E2877" w:rsidRPr="001E2877" w:rsidRDefault="001E2877" w:rsidP="00C2651B">
      <w:pPr>
        <w:pStyle w:val="NoSpacing"/>
      </w:pPr>
      <w:r>
        <w:t xml:space="preserve">⁷ Clarke, M. T. (2015), ‘Machiavelli and the Imagined Rome of Renaissance Humanism’ </w:t>
      </w:r>
      <w:r>
        <w:rPr>
          <w:i/>
          <w:iCs/>
        </w:rPr>
        <w:t>History of Political Thought</w:t>
      </w:r>
      <w:r>
        <w:t>, vol. 36 (No. 3), pp. 452-470</w:t>
      </w:r>
    </w:p>
    <w:sectPr w:rsidR="001E2877" w:rsidRPr="001E28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51B"/>
    <w:rsid w:val="00130AD1"/>
    <w:rsid w:val="001771C0"/>
    <w:rsid w:val="001D401B"/>
    <w:rsid w:val="001E2877"/>
    <w:rsid w:val="001F3471"/>
    <w:rsid w:val="00210C93"/>
    <w:rsid w:val="002C5ECF"/>
    <w:rsid w:val="002D5B86"/>
    <w:rsid w:val="00415420"/>
    <w:rsid w:val="004F6349"/>
    <w:rsid w:val="007071BF"/>
    <w:rsid w:val="009B5937"/>
    <w:rsid w:val="00B416B0"/>
    <w:rsid w:val="00C2651B"/>
    <w:rsid w:val="00CF2092"/>
    <w:rsid w:val="00D330C9"/>
    <w:rsid w:val="00F85CB5"/>
    <w:rsid w:val="00FC18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825D4"/>
  <w15:chartTrackingRefBased/>
  <w15:docId w15:val="{1CB2E4AA-F082-4ED4-8195-9ED9C1EC9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65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65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65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65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65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65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65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65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65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65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65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65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65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65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65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65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65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651B"/>
    <w:rPr>
      <w:rFonts w:eastAsiaTheme="majorEastAsia" w:cstheme="majorBidi"/>
      <w:color w:val="272727" w:themeColor="text1" w:themeTint="D8"/>
    </w:rPr>
  </w:style>
  <w:style w:type="paragraph" w:styleId="Title">
    <w:name w:val="Title"/>
    <w:basedOn w:val="Normal"/>
    <w:next w:val="Normal"/>
    <w:link w:val="TitleChar"/>
    <w:uiPriority w:val="10"/>
    <w:qFormat/>
    <w:rsid w:val="00C265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65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65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65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651B"/>
    <w:pPr>
      <w:spacing w:before="160"/>
      <w:jc w:val="center"/>
    </w:pPr>
    <w:rPr>
      <w:i/>
      <w:iCs/>
      <w:color w:val="404040" w:themeColor="text1" w:themeTint="BF"/>
    </w:rPr>
  </w:style>
  <w:style w:type="character" w:customStyle="1" w:styleId="QuoteChar">
    <w:name w:val="Quote Char"/>
    <w:basedOn w:val="DefaultParagraphFont"/>
    <w:link w:val="Quote"/>
    <w:uiPriority w:val="29"/>
    <w:rsid w:val="00C2651B"/>
    <w:rPr>
      <w:i/>
      <w:iCs/>
      <w:color w:val="404040" w:themeColor="text1" w:themeTint="BF"/>
    </w:rPr>
  </w:style>
  <w:style w:type="paragraph" w:styleId="ListParagraph">
    <w:name w:val="List Paragraph"/>
    <w:basedOn w:val="Normal"/>
    <w:uiPriority w:val="34"/>
    <w:qFormat/>
    <w:rsid w:val="00C2651B"/>
    <w:pPr>
      <w:ind w:left="720"/>
      <w:contextualSpacing/>
    </w:pPr>
  </w:style>
  <w:style w:type="character" w:styleId="IntenseEmphasis">
    <w:name w:val="Intense Emphasis"/>
    <w:basedOn w:val="DefaultParagraphFont"/>
    <w:uiPriority w:val="21"/>
    <w:qFormat/>
    <w:rsid w:val="00C2651B"/>
    <w:rPr>
      <w:i/>
      <w:iCs/>
      <w:color w:val="0F4761" w:themeColor="accent1" w:themeShade="BF"/>
    </w:rPr>
  </w:style>
  <w:style w:type="paragraph" w:styleId="IntenseQuote">
    <w:name w:val="Intense Quote"/>
    <w:basedOn w:val="Normal"/>
    <w:next w:val="Normal"/>
    <w:link w:val="IntenseQuoteChar"/>
    <w:uiPriority w:val="30"/>
    <w:qFormat/>
    <w:rsid w:val="00C265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651B"/>
    <w:rPr>
      <w:i/>
      <w:iCs/>
      <w:color w:val="0F4761" w:themeColor="accent1" w:themeShade="BF"/>
    </w:rPr>
  </w:style>
  <w:style w:type="character" w:styleId="IntenseReference">
    <w:name w:val="Intense Reference"/>
    <w:basedOn w:val="DefaultParagraphFont"/>
    <w:uiPriority w:val="32"/>
    <w:qFormat/>
    <w:rsid w:val="00C2651B"/>
    <w:rPr>
      <w:b/>
      <w:bCs/>
      <w:smallCaps/>
      <w:color w:val="0F4761" w:themeColor="accent1" w:themeShade="BF"/>
      <w:spacing w:val="5"/>
    </w:rPr>
  </w:style>
  <w:style w:type="paragraph" w:styleId="NoSpacing">
    <w:name w:val="No Spacing"/>
    <w:uiPriority w:val="1"/>
    <w:qFormat/>
    <w:rsid w:val="00C2651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514654">
      <w:bodyDiv w:val="1"/>
      <w:marLeft w:val="0"/>
      <w:marRight w:val="0"/>
      <w:marTop w:val="0"/>
      <w:marBottom w:val="0"/>
      <w:divBdr>
        <w:top w:val="none" w:sz="0" w:space="0" w:color="auto"/>
        <w:left w:val="none" w:sz="0" w:space="0" w:color="auto"/>
        <w:bottom w:val="none" w:sz="0" w:space="0" w:color="auto"/>
        <w:right w:val="none" w:sz="0" w:space="0" w:color="auto"/>
      </w:divBdr>
      <w:divsChild>
        <w:div w:id="861741926">
          <w:marLeft w:val="0"/>
          <w:marRight w:val="0"/>
          <w:marTop w:val="0"/>
          <w:marBottom w:val="0"/>
          <w:divBdr>
            <w:top w:val="none" w:sz="0" w:space="0" w:color="auto"/>
            <w:left w:val="none" w:sz="0" w:space="0" w:color="auto"/>
            <w:bottom w:val="none" w:sz="0" w:space="0" w:color="auto"/>
            <w:right w:val="none" w:sz="0" w:space="0" w:color="auto"/>
          </w:divBdr>
          <w:divsChild>
            <w:div w:id="111070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587380">
      <w:bodyDiv w:val="1"/>
      <w:marLeft w:val="0"/>
      <w:marRight w:val="0"/>
      <w:marTop w:val="0"/>
      <w:marBottom w:val="0"/>
      <w:divBdr>
        <w:top w:val="none" w:sz="0" w:space="0" w:color="auto"/>
        <w:left w:val="none" w:sz="0" w:space="0" w:color="auto"/>
        <w:bottom w:val="none" w:sz="0" w:space="0" w:color="auto"/>
        <w:right w:val="none" w:sz="0" w:space="0" w:color="auto"/>
      </w:divBdr>
      <w:divsChild>
        <w:div w:id="30041072">
          <w:marLeft w:val="0"/>
          <w:marRight w:val="0"/>
          <w:marTop w:val="0"/>
          <w:marBottom w:val="0"/>
          <w:divBdr>
            <w:top w:val="none" w:sz="0" w:space="0" w:color="auto"/>
            <w:left w:val="none" w:sz="0" w:space="0" w:color="auto"/>
            <w:bottom w:val="none" w:sz="0" w:space="0" w:color="auto"/>
            <w:right w:val="none" w:sz="0" w:space="0" w:color="auto"/>
          </w:divBdr>
          <w:divsChild>
            <w:div w:id="480267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943</TotalTime>
  <Pages>2</Pages>
  <Words>796</Words>
  <Characters>4542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Sirius Bowen</dc:creator>
  <cp:keywords/>
  <dc:description/>
  <cp:lastModifiedBy>Sirius Bowen</cp:lastModifiedBy>
  <cp:revision>1</cp:revision>
  <dcterms:created xsi:type="dcterms:W3CDTF">2024-02-11T08:19:00Z</dcterms:created>
  <dcterms:modified xsi:type="dcterms:W3CDTF">2024-02-12T00:03:00Z</dcterms:modified>
</cp:coreProperties>
</file>