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814A3" w:rsidRPr="00D814A3" w:rsidRDefault="00D814A3" w:rsidP="00D814A3">
      <w:pPr>
        <w:rPr>
          <w:rStyle w:val="normaltextrun"/>
          <w:rFonts w:ascii="Arial" w:hAnsi="Arial" w:cs="Arial"/>
          <w:sz w:val="16"/>
          <w:szCs w:val="32"/>
          <w:bdr w:val="none" w:sz="0" w:space="0" w:color="auto" w:frame="1"/>
        </w:rPr>
      </w:pPr>
      <w:r w:rsidRPr="00D814A3">
        <w:rPr>
          <w:rStyle w:val="normaltextrun"/>
          <w:rFonts w:ascii="Arial" w:hAnsi="Arial" w:cs="Arial"/>
          <w:sz w:val="20"/>
          <w:szCs w:val="32"/>
          <w:bdr w:val="none" w:sz="0" w:space="0" w:color="auto" w:frame="1"/>
        </w:rPr>
        <w:t xml:space="preserve">NOTE: </w:t>
      </w:r>
      <w:r>
        <w:rPr>
          <w:rStyle w:val="normaltextrun"/>
          <w:rFonts w:ascii="Arial" w:hAnsi="Arial" w:cs="Arial"/>
          <w:sz w:val="20"/>
          <w:szCs w:val="32"/>
          <w:bdr w:val="none" w:sz="0" w:space="0" w:color="auto" w:frame="1"/>
        </w:rPr>
        <w:t>All bodies of text in this document were written by myself only. Some were edited once collated into the group project collective submission.</w:t>
      </w:r>
    </w:p>
    <w:p w:rsidR="00D814A3" w:rsidRDefault="00D814A3">
      <w:pPr>
        <w:rPr>
          <w:rStyle w:val="normaltextrun"/>
          <w:rFonts w:ascii="Arial" w:hAnsi="Arial" w:cs="Arial"/>
          <w:color w:val="0F4761"/>
          <w:sz w:val="32"/>
          <w:szCs w:val="32"/>
          <w:bdr w:val="none" w:sz="0" w:space="0" w:color="auto" w:frame="1"/>
        </w:rPr>
      </w:pPr>
    </w:p>
    <w:p w:rsidR="00E143E9" w:rsidRDefault="00050FF1">
      <w:pPr>
        <w:rPr>
          <w:lang w:val="en-US"/>
        </w:rPr>
      </w:pPr>
      <w:r>
        <w:rPr>
          <w:rStyle w:val="normaltextrun"/>
          <w:rFonts w:ascii="Arial" w:hAnsi="Arial" w:cs="Arial"/>
          <w:color w:val="0F4761"/>
          <w:sz w:val="32"/>
          <w:szCs w:val="32"/>
          <w:bdr w:val="none" w:sz="0" w:space="0" w:color="auto" w:frame="1"/>
        </w:rPr>
        <w:t>Impedance Matching</w:t>
      </w:r>
      <w:r w:rsidR="00167592">
        <w:rPr>
          <w:rStyle w:val="normaltextrun"/>
          <w:rFonts w:ascii="Arial" w:hAnsi="Arial" w:cs="Arial"/>
          <w:color w:val="0F4761"/>
          <w:sz w:val="32"/>
          <w:szCs w:val="32"/>
          <w:bdr w:val="none" w:sz="0" w:space="0" w:color="auto" w:frame="1"/>
        </w:rPr>
        <w:t xml:space="preserve"> Background Research</w:t>
      </w:r>
    </w:p>
    <w:p w:rsidR="00B04B4C" w:rsidRDefault="00B04B4C">
      <w:pPr>
        <w:rPr>
          <w:lang w:val="en-US"/>
        </w:rPr>
      </w:pPr>
      <w:r>
        <w:rPr>
          <w:lang w:val="en-US"/>
        </w:rPr>
        <w:t>Background</w:t>
      </w:r>
    </w:p>
    <w:p w:rsidR="00B04B4C" w:rsidRDefault="00B04B4C">
      <w:pPr>
        <w:rPr>
          <w:lang w:val="en-US"/>
        </w:rPr>
      </w:pPr>
      <w:r>
        <w:rPr>
          <w:lang w:val="en-US"/>
        </w:rPr>
        <w:t>A follow-on avenue of investigation for this project is to investigate the variations in amplifiers intended for operation at audio frequencies (typically 20-20,000Hz)</w:t>
      </w:r>
      <w:sdt>
        <w:sdtPr>
          <w:rPr>
            <w:lang w:val="en-US"/>
          </w:rPr>
          <w:id w:val="-799374182"/>
          <w:citation/>
        </w:sdtPr>
        <w:sdtEndPr/>
        <w:sdtContent>
          <w:r>
            <w:rPr>
              <w:lang w:val="en-US"/>
            </w:rPr>
            <w:fldChar w:fldCharType="begin"/>
          </w:r>
          <w:r>
            <w:rPr>
              <w:lang w:val="en-US"/>
            </w:rPr>
            <w:instrText xml:space="preserve"> CITATION Hef07 \l 1033 </w:instrText>
          </w:r>
          <w:r>
            <w:rPr>
              <w:lang w:val="en-US"/>
            </w:rPr>
            <w:fldChar w:fldCharType="separate"/>
          </w:r>
          <w:r w:rsidR="005F76F2">
            <w:rPr>
              <w:noProof/>
              <w:lang w:val="en-US"/>
            </w:rPr>
            <w:t xml:space="preserve"> </w:t>
          </w:r>
          <w:r w:rsidR="005F76F2" w:rsidRPr="005F76F2">
            <w:rPr>
              <w:noProof/>
              <w:lang w:val="en-US"/>
            </w:rPr>
            <w:t>[1]</w:t>
          </w:r>
          <w:r>
            <w:rPr>
              <w:lang w:val="en-US"/>
            </w:rPr>
            <w:fldChar w:fldCharType="end"/>
          </w:r>
        </w:sdtContent>
      </w:sdt>
      <w:r>
        <w:rPr>
          <w:lang w:val="en-US"/>
        </w:rPr>
        <w:t xml:space="preserve"> and those operating in the significantly higher in frequency Radio Frequency (RF) band. Specifically, the IEEE/ITU High Frequency (HF) band was chosen (3-30MHz)</w:t>
      </w:r>
      <w:sdt>
        <w:sdtPr>
          <w:rPr>
            <w:lang w:val="en-US"/>
          </w:rPr>
          <w:id w:val="-847944457"/>
          <w:citation/>
        </w:sdtPr>
        <w:sdtEndPr/>
        <w:sdtContent>
          <w:r>
            <w:rPr>
              <w:lang w:val="en-US"/>
            </w:rPr>
            <w:fldChar w:fldCharType="begin"/>
          </w:r>
          <w:r>
            <w:rPr>
              <w:lang w:val="en-US"/>
            </w:rPr>
            <w:instrText xml:space="preserve"> CITATION Uni15 \l 1033 </w:instrText>
          </w:r>
          <w:r>
            <w:rPr>
              <w:lang w:val="en-US"/>
            </w:rPr>
            <w:fldChar w:fldCharType="separate"/>
          </w:r>
          <w:r w:rsidR="005F76F2">
            <w:rPr>
              <w:noProof/>
              <w:lang w:val="en-US"/>
            </w:rPr>
            <w:t xml:space="preserve"> </w:t>
          </w:r>
          <w:r w:rsidR="005F76F2" w:rsidRPr="005F76F2">
            <w:rPr>
              <w:noProof/>
              <w:lang w:val="en-US"/>
            </w:rPr>
            <w:t>[2]</w:t>
          </w:r>
          <w:r>
            <w:rPr>
              <w:lang w:val="en-US"/>
            </w:rPr>
            <w:fldChar w:fldCharType="end"/>
          </w:r>
        </w:sdtContent>
      </w:sdt>
      <w:r>
        <w:rPr>
          <w:lang w:val="en-US"/>
        </w:rPr>
        <w:t>, at the lowest end of the RF spectrum, in order to minimize the disparity between the new and original operating band and to serve as a use case for the amplifier: mobile radio telecommunication devices operating in the HF band. This investigation is twofold: to explore the performance of the existing audio amplifier design as the frequency band is increased and to investigate some of the basic design changes employed in amplifier circuits intended to work in the RF spectrum from the ground up.</w:t>
      </w:r>
    </w:p>
    <w:p w:rsidR="00B04B4C" w:rsidRDefault="00A10E25">
      <w:pPr>
        <w:rPr>
          <w:lang w:val="en-US"/>
        </w:rPr>
      </w:pPr>
      <w:r>
        <w:rPr>
          <w:lang w:val="en-US"/>
        </w:rPr>
        <w:t xml:space="preserve">One notable </w:t>
      </w:r>
      <w:r w:rsidR="005661FD">
        <w:rPr>
          <w:lang w:val="en-US"/>
        </w:rPr>
        <w:t>design change between the two frequency bands is the prioritisation of impedance matching. In the RF industry, there are a few select impedance values which are adhered to in almost all circuits, transmission lines and test and measurement equipment in order to match the source and load impedances at connections and terminals. A mismatch in impedance at a connection between, for example, an amplifier circuit and a transmission line ca</w:t>
      </w:r>
      <w:r w:rsidR="00B35FA0">
        <w:rPr>
          <w:lang w:val="en-US"/>
        </w:rPr>
        <w:t>n cause the</w:t>
      </w:r>
      <w:r w:rsidR="005661FD">
        <w:rPr>
          <w:lang w:val="en-US"/>
        </w:rPr>
        <w:t xml:space="preserve"> unwanted reflection of energy back towards the amplifier which can have undesired effects (almost certainly reducing gain). These reflections are characterised as scattering (S)-parameters.</w:t>
      </w:r>
    </w:p>
    <w:p w:rsidR="00B35FA0" w:rsidRDefault="00B35FA0">
      <w:pPr>
        <w:rPr>
          <w:lang w:val="en-US"/>
        </w:rPr>
      </w:pPr>
      <w:r>
        <w:rPr>
          <w:lang w:val="en-US"/>
        </w:rPr>
        <w:t>Historically, audio amplifiers employing vacuum tubes have required active input in circuit design to control the output impedance of the amplifier. This is because the vacuum tubes had relatively high input impedances when compared to the load impedance (a speaker) that they were driving</w:t>
      </w:r>
      <w:sdt>
        <w:sdtPr>
          <w:rPr>
            <w:lang w:val="en-US"/>
          </w:rPr>
          <w:id w:val="2074921133"/>
          <w:citation/>
        </w:sdtPr>
        <w:sdtEndPr/>
        <w:sdtContent>
          <w:r w:rsidR="00D27F5E">
            <w:rPr>
              <w:lang w:val="en-US"/>
            </w:rPr>
            <w:fldChar w:fldCharType="begin"/>
          </w:r>
          <w:r w:rsidR="00D27F5E">
            <w:rPr>
              <w:lang w:val="en-US"/>
            </w:rPr>
            <w:instrText xml:space="preserve"> CITATION Val \l 1033 </w:instrText>
          </w:r>
          <w:r w:rsidR="00D27F5E">
            <w:rPr>
              <w:lang w:val="en-US"/>
            </w:rPr>
            <w:fldChar w:fldCharType="separate"/>
          </w:r>
          <w:r w:rsidR="005F76F2">
            <w:rPr>
              <w:noProof/>
              <w:lang w:val="en-US"/>
            </w:rPr>
            <w:t xml:space="preserve"> </w:t>
          </w:r>
          <w:r w:rsidR="005F76F2" w:rsidRPr="005F76F2">
            <w:rPr>
              <w:noProof/>
              <w:lang w:val="en-US"/>
            </w:rPr>
            <w:t>[3]</w:t>
          </w:r>
          <w:r w:rsidR="00D27F5E">
            <w:rPr>
              <w:lang w:val="en-US"/>
            </w:rPr>
            <w:fldChar w:fldCharType="end"/>
          </w:r>
        </w:sdtContent>
      </w:sdt>
      <w:r>
        <w:rPr>
          <w:lang w:val="en-US"/>
        </w:rPr>
        <w:t xml:space="preserve">. However, with the advent of solid-state transistor-based amplifier circuits, the need to impedance match at audio frequencies became less necessary as the </w:t>
      </w:r>
      <w:r w:rsidR="00473E05">
        <w:rPr>
          <w:lang w:val="en-US"/>
        </w:rPr>
        <w:t>focus shifted from maximising power transfer (and thus a need for impedance matching) to maximising voltage transfer</w:t>
      </w:r>
      <w:r>
        <w:rPr>
          <w:lang w:val="en-US"/>
        </w:rPr>
        <w:t xml:space="preserve">. </w:t>
      </w:r>
      <w:r w:rsidR="00473E05">
        <w:rPr>
          <w:lang w:val="en-US"/>
        </w:rPr>
        <w:t>To maximise voltage transfer, the load impedance needs to be several times greater than the source impedance (output impedance of the amplifier)</w:t>
      </w:r>
      <w:sdt>
        <w:sdtPr>
          <w:rPr>
            <w:lang w:val="en-US"/>
          </w:rPr>
          <w:id w:val="-230923833"/>
          <w:citation/>
        </w:sdtPr>
        <w:sdtEndPr/>
        <w:sdtContent>
          <w:r w:rsidR="00473E05">
            <w:rPr>
              <w:lang w:val="en-US"/>
            </w:rPr>
            <w:fldChar w:fldCharType="begin"/>
          </w:r>
          <w:r w:rsidR="00473E05">
            <w:rPr>
              <w:lang w:val="en-US"/>
            </w:rPr>
            <w:instrText xml:space="preserve"> CITATION Boh91 \l 1033 </w:instrText>
          </w:r>
          <w:r w:rsidR="00473E05">
            <w:rPr>
              <w:lang w:val="en-US"/>
            </w:rPr>
            <w:fldChar w:fldCharType="separate"/>
          </w:r>
          <w:r w:rsidR="005F76F2">
            <w:rPr>
              <w:noProof/>
              <w:lang w:val="en-US"/>
            </w:rPr>
            <w:t xml:space="preserve"> </w:t>
          </w:r>
          <w:r w:rsidR="005F76F2" w:rsidRPr="005F76F2">
            <w:rPr>
              <w:noProof/>
              <w:lang w:val="en-US"/>
            </w:rPr>
            <w:t>[4]</w:t>
          </w:r>
          <w:r w:rsidR="00473E05">
            <w:rPr>
              <w:lang w:val="en-US"/>
            </w:rPr>
            <w:fldChar w:fldCharType="end"/>
          </w:r>
        </w:sdtContent>
      </w:sdt>
      <w:r w:rsidR="00473E05">
        <w:rPr>
          <w:lang w:val="en-US"/>
        </w:rPr>
        <w:t xml:space="preserve">. It </w:t>
      </w:r>
      <w:r>
        <w:rPr>
          <w:lang w:val="en-US"/>
        </w:rPr>
        <w:t xml:space="preserve">can </w:t>
      </w:r>
      <w:r w:rsidR="00473E05">
        <w:rPr>
          <w:lang w:val="en-US"/>
        </w:rPr>
        <w:t xml:space="preserve">also </w:t>
      </w:r>
      <w:r>
        <w:rPr>
          <w:lang w:val="en-US"/>
        </w:rPr>
        <w:t>be desirable for the amplifier output impedance to be lower in order to dampen the physical oscillations of the speaker</w:t>
      </w:r>
      <w:sdt>
        <w:sdtPr>
          <w:rPr>
            <w:lang w:val="en-US"/>
          </w:rPr>
          <w:id w:val="-157999882"/>
          <w:citation/>
        </w:sdtPr>
        <w:sdtEndPr/>
        <w:sdtContent>
          <w:r>
            <w:rPr>
              <w:lang w:val="en-US"/>
            </w:rPr>
            <w:fldChar w:fldCharType="begin"/>
          </w:r>
          <w:r>
            <w:rPr>
              <w:lang w:val="en-US"/>
            </w:rPr>
            <w:instrText xml:space="preserve"> CITATION Eas14 \l 1033 </w:instrText>
          </w:r>
          <w:r>
            <w:rPr>
              <w:lang w:val="en-US"/>
            </w:rPr>
            <w:fldChar w:fldCharType="separate"/>
          </w:r>
          <w:r w:rsidR="005F76F2">
            <w:rPr>
              <w:noProof/>
              <w:lang w:val="en-US"/>
            </w:rPr>
            <w:t xml:space="preserve"> </w:t>
          </w:r>
          <w:r w:rsidR="005F76F2" w:rsidRPr="005F76F2">
            <w:rPr>
              <w:noProof/>
              <w:lang w:val="en-US"/>
            </w:rPr>
            <w:t>[5]</w:t>
          </w:r>
          <w:r>
            <w:rPr>
              <w:lang w:val="en-US"/>
            </w:rPr>
            <w:fldChar w:fldCharType="end"/>
          </w:r>
        </w:sdtContent>
      </w:sdt>
      <w:r>
        <w:rPr>
          <w:lang w:val="en-US"/>
        </w:rPr>
        <w:t>.</w:t>
      </w:r>
    </w:p>
    <w:p w:rsidR="00B35FA0" w:rsidRDefault="00473E05">
      <w:pPr>
        <w:rPr>
          <w:lang w:val="en-US"/>
        </w:rPr>
      </w:pPr>
      <w:r>
        <w:rPr>
          <w:lang w:val="en-US"/>
        </w:rPr>
        <w:t>As the frequency increases and the focus shifts to maximising power transfer, impedance matching becomes necessary to reduce unwanted reflections. Therefore,</w:t>
      </w:r>
      <w:r w:rsidR="00B35FA0">
        <w:rPr>
          <w:lang w:val="en-US"/>
        </w:rPr>
        <w:t xml:space="preserve"> a 50Ω characteristic impedance is accepted as a common value for all RF equipment. This value was selected as an ideal compromise between reducing signal attenuation in transmission lines and maximizing power handling</w:t>
      </w:r>
      <w:sdt>
        <w:sdtPr>
          <w:rPr>
            <w:lang w:val="en-US"/>
          </w:rPr>
          <w:id w:val="1848911103"/>
          <w:citation/>
        </w:sdtPr>
        <w:sdtEndPr/>
        <w:sdtContent>
          <w:r w:rsidR="00B35FA0">
            <w:rPr>
              <w:lang w:val="en-US"/>
            </w:rPr>
            <w:fldChar w:fldCharType="begin"/>
          </w:r>
          <w:r w:rsidR="00B35FA0">
            <w:rPr>
              <w:lang w:val="en-US"/>
            </w:rPr>
            <w:instrText xml:space="preserve"> CITATION Bre07 \l 1033 </w:instrText>
          </w:r>
          <w:r w:rsidR="00B35FA0">
            <w:rPr>
              <w:lang w:val="en-US"/>
            </w:rPr>
            <w:fldChar w:fldCharType="separate"/>
          </w:r>
          <w:r w:rsidR="005F76F2">
            <w:rPr>
              <w:noProof/>
              <w:lang w:val="en-US"/>
            </w:rPr>
            <w:t xml:space="preserve"> </w:t>
          </w:r>
          <w:r w:rsidR="005F76F2" w:rsidRPr="005F76F2">
            <w:rPr>
              <w:noProof/>
              <w:lang w:val="en-US"/>
            </w:rPr>
            <w:t>[6]</w:t>
          </w:r>
          <w:r w:rsidR="00B35FA0">
            <w:rPr>
              <w:lang w:val="en-US"/>
            </w:rPr>
            <w:fldChar w:fldCharType="end"/>
          </w:r>
        </w:sdtContent>
      </w:sdt>
      <w:r w:rsidR="00B35FA0">
        <w:rPr>
          <w:lang w:val="en-US"/>
        </w:rPr>
        <w:t>.</w:t>
      </w:r>
    </w:p>
    <w:p w:rsidR="00D27F5E" w:rsidRDefault="00D27F5E">
      <w:pPr>
        <w:rPr>
          <w:lang w:val="en-US"/>
        </w:rPr>
      </w:pPr>
    </w:p>
    <w:p w:rsidR="00D27F5E" w:rsidRDefault="00D27F5E">
      <w:pPr>
        <w:rPr>
          <w:lang w:val="en-US"/>
        </w:rPr>
      </w:pPr>
      <w:r>
        <w:rPr>
          <w:lang w:val="en-US"/>
        </w:rPr>
        <w:t>Methods of impedance matching</w:t>
      </w:r>
      <w:r w:rsidR="00473E05">
        <w:rPr>
          <w:lang w:val="en-US"/>
        </w:rPr>
        <w:t xml:space="preserve"> in RF circuits</w:t>
      </w:r>
    </w:p>
    <w:p w:rsidR="00474580" w:rsidRDefault="00D27F5E" w:rsidP="00D27F5E">
      <w:pPr>
        <w:rPr>
          <w:lang w:val="en-US"/>
        </w:rPr>
      </w:pPr>
      <w:r>
        <w:rPr>
          <w:lang w:val="en-US"/>
        </w:rPr>
        <w:t xml:space="preserve">Impedance is defined as the opposition of electrical current flow in a circuit. It is the combined effect of resistance (opposition of current flow) and reactance (opposition of change in current). Therefore, for an ideal near-DC circuit where there is no reactance component, the output impedance can be controlled using only resistors as the output resistance is equivalent to the output impedance. </w:t>
      </w:r>
      <w:r w:rsidR="00473E05">
        <w:rPr>
          <w:lang w:val="en-US"/>
        </w:rPr>
        <w:t xml:space="preserve">As the frequency increases and a reactance component becomes present, the need for a matching network, consisting of a series of inductors and capacitors to control the reactance component of </w:t>
      </w:r>
      <w:r w:rsidR="00473E05">
        <w:rPr>
          <w:lang w:val="en-US"/>
        </w:rPr>
        <w:lastRenderedPageBreak/>
        <w:t xml:space="preserve">the impedance becomes apparent </w:t>
      </w:r>
      <w:sdt>
        <w:sdtPr>
          <w:rPr>
            <w:lang w:val="en-US"/>
          </w:rPr>
          <w:id w:val="465160534"/>
          <w:citation/>
        </w:sdtPr>
        <w:sdtEndPr/>
        <w:sdtContent>
          <w:r w:rsidR="00473E05">
            <w:rPr>
              <w:lang w:val="en-US"/>
            </w:rPr>
            <w:fldChar w:fldCharType="begin"/>
          </w:r>
          <w:r w:rsidR="00473E05">
            <w:rPr>
              <w:lang w:val="en-US"/>
            </w:rPr>
            <w:instrText xml:space="preserve"> CITATION Bow61 \l 1033 </w:instrText>
          </w:r>
          <w:r w:rsidR="00473E05">
            <w:rPr>
              <w:lang w:val="en-US"/>
            </w:rPr>
            <w:fldChar w:fldCharType="separate"/>
          </w:r>
          <w:r w:rsidR="005F76F2" w:rsidRPr="005F76F2">
            <w:rPr>
              <w:noProof/>
              <w:lang w:val="en-US"/>
            </w:rPr>
            <w:t>[7]</w:t>
          </w:r>
          <w:r w:rsidR="00473E05">
            <w:rPr>
              <w:lang w:val="en-US"/>
            </w:rPr>
            <w:fldChar w:fldCharType="end"/>
          </w:r>
        </w:sdtContent>
      </w:sdt>
      <w:r w:rsidR="00473E05">
        <w:rPr>
          <w:lang w:val="en-US"/>
        </w:rPr>
        <w:t>. These matching networks aim to maximise power transfer by adjusting the output impedance of the amplifier to the complex conjugate of the load impedance (a transmission line, for example). This means achieving equal resistance values and reactance values equal in magnitude but opposite in sign.</w:t>
      </w:r>
      <w:r w:rsidR="00D71B7E">
        <w:rPr>
          <w:lang w:val="en-US"/>
        </w:rPr>
        <w:t xml:space="preserve"> These opposite reactance values will effectively cancel out and reduce the formation of standing waves within the transmission line </w:t>
      </w:r>
      <w:sdt>
        <w:sdtPr>
          <w:rPr>
            <w:lang w:val="en-US"/>
          </w:rPr>
          <w:id w:val="-1183206111"/>
          <w:citation/>
        </w:sdtPr>
        <w:sdtEndPr/>
        <w:sdtContent>
          <w:r w:rsidR="00D71B7E">
            <w:rPr>
              <w:lang w:val="en-US"/>
            </w:rPr>
            <w:fldChar w:fldCharType="begin"/>
          </w:r>
          <w:r w:rsidR="00D71B7E">
            <w:rPr>
              <w:lang w:val="en-US"/>
            </w:rPr>
            <w:instrText xml:space="preserve"> CITATION Bow61 \l 1033 </w:instrText>
          </w:r>
          <w:r w:rsidR="00D71B7E">
            <w:rPr>
              <w:lang w:val="en-US"/>
            </w:rPr>
            <w:fldChar w:fldCharType="separate"/>
          </w:r>
          <w:r w:rsidR="005F76F2" w:rsidRPr="005F76F2">
            <w:rPr>
              <w:noProof/>
              <w:lang w:val="en-US"/>
            </w:rPr>
            <w:t>[7]</w:t>
          </w:r>
          <w:r w:rsidR="00D71B7E">
            <w:rPr>
              <w:lang w:val="en-US"/>
            </w:rPr>
            <w:fldChar w:fldCharType="end"/>
          </w:r>
        </w:sdtContent>
      </w:sdt>
      <w:r w:rsidR="00D71B7E">
        <w:rPr>
          <w:lang w:val="en-US"/>
        </w:rPr>
        <w:t>.</w:t>
      </w:r>
    </w:p>
    <w:p w:rsidR="00474580" w:rsidRDefault="00474580" w:rsidP="00D27F5E">
      <w:pPr>
        <w:rPr>
          <w:lang w:val="en-US"/>
        </w:rPr>
      </w:pPr>
      <w:r>
        <w:rPr>
          <w:lang w:val="en-US"/>
        </w:rPr>
        <w:t>Because the reactance component is frequency dependent, these matching networks can also act as filters, achieving maximum power transfer along a certain frequency range and suppressing amplifier harmonics.</w:t>
      </w:r>
    </w:p>
    <w:p w:rsidR="00D27F5E" w:rsidRDefault="00D27F5E">
      <w:pPr>
        <w:rPr>
          <w:lang w:val="en-US"/>
        </w:rPr>
      </w:pPr>
    </w:p>
    <w:sdt>
      <w:sdtPr>
        <w:rPr>
          <w:rFonts w:asciiTheme="minorHAnsi" w:eastAsiaTheme="minorHAnsi" w:hAnsiTheme="minorHAnsi" w:cstheme="minorBidi"/>
          <w:color w:val="auto"/>
          <w:sz w:val="22"/>
          <w:szCs w:val="22"/>
          <w:lang w:val="en-GB"/>
        </w:rPr>
        <w:id w:val="1896075188"/>
        <w:docPartObj>
          <w:docPartGallery w:val="Bibliographies"/>
          <w:docPartUnique/>
        </w:docPartObj>
      </w:sdtPr>
      <w:sdtEndPr/>
      <w:sdtContent>
        <w:p w:rsidR="00C53F15" w:rsidRDefault="00C53F15">
          <w:pPr>
            <w:pStyle w:val="Heading1"/>
          </w:pPr>
          <w:r>
            <w:t>References</w:t>
          </w:r>
        </w:p>
        <w:sdt>
          <w:sdtPr>
            <w:id w:val="-573587230"/>
            <w:bibliography/>
          </w:sdtPr>
          <w:sdtEndPr/>
          <w:sdtContent>
            <w:p w:rsidR="005F76F2" w:rsidRDefault="00C53F1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5F76F2">
                <w:trPr>
                  <w:divId w:val="1423993701"/>
                  <w:tblCellSpacing w:w="15" w:type="dxa"/>
                </w:trPr>
                <w:tc>
                  <w:tcPr>
                    <w:tcW w:w="50" w:type="pct"/>
                    <w:hideMark/>
                  </w:tcPr>
                  <w:p w:rsidR="005F76F2" w:rsidRDefault="005F76F2">
                    <w:pPr>
                      <w:pStyle w:val="Bibliography"/>
                      <w:rPr>
                        <w:noProof/>
                        <w:sz w:val="24"/>
                        <w:szCs w:val="24"/>
                        <w:lang w:val="en-US"/>
                      </w:rPr>
                    </w:pPr>
                    <w:r>
                      <w:rPr>
                        <w:noProof/>
                        <w:lang w:val="en-US"/>
                      </w:rPr>
                      <w:t xml:space="preserve">[1] </w:t>
                    </w:r>
                  </w:p>
                </w:tc>
                <w:tc>
                  <w:tcPr>
                    <w:tcW w:w="0" w:type="auto"/>
                    <w:hideMark/>
                  </w:tcPr>
                  <w:p w:rsidR="005F76F2" w:rsidRDefault="005F76F2">
                    <w:pPr>
                      <w:pStyle w:val="Bibliography"/>
                      <w:rPr>
                        <w:noProof/>
                        <w:lang w:val="en-US"/>
                      </w:rPr>
                    </w:pPr>
                    <w:r>
                      <w:rPr>
                        <w:noProof/>
                        <w:lang w:val="en-US"/>
                      </w:rPr>
                      <w:t xml:space="preserve">H. E. Heffner and R. S. Heffner, "Hearing Ranges of Laboratory Animals," </w:t>
                    </w:r>
                    <w:r>
                      <w:rPr>
                        <w:i/>
                        <w:iCs/>
                        <w:noProof/>
                        <w:lang w:val="en-US"/>
                      </w:rPr>
                      <w:t xml:space="preserve">Journal of the American Association for Laboratory Animal Science, </w:t>
                    </w:r>
                    <w:r>
                      <w:rPr>
                        <w:noProof/>
                        <w:lang w:val="en-US"/>
                      </w:rPr>
                      <w:t xml:space="preserve">vol. 46, no. 1, pp. 20-22, 2007. </w:t>
                    </w:r>
                  </w:p>
                </w:tc>
              </w:tr>
              <w:tr w:rsidR="005F76F2">
                <w:trPr>
                  <w:divId w:val="1423993701"/>
                  <w:tblCellSpacing w:w="15" w:type="dxa"/>
                </w:trPr>
                <w:tc>
                  <w:tcPr>
                    <w:tcW w:w="50" w:type="pct"/>
                    <w:hideMark/>
                  </w:tcPr>
                  <w:p w:rsidR="005F76F2" w:rsidRDefault="005F76F2">
                    <w:pPr>
                      <w:pStyle w:val="Bibliography"/>
                      <w:rPr>
                        <w:noProof/>
                        <w:lang w:val="en-US"/>
                      </w:rPr>
                    </w:pPr>
                    <w:r>
                      <w:rPr>
                        <w:noProof/>
                        <w:lang w:val="en-US"/>
                      </w:rPr>
                      <w:t xml:space="preserve">[2] </w:t>
                    </w:r>
                  </w:p>
                </w:tc>
                <w:tc>
                  <w:tcPr>
                    <w:tcW w:w="0" w:type="auto"/>
                    <w:hideMark/>
                  </w:tcPr>
                  <w:p w:rsidR="005F76F2" w:rsidRDefault="005F76F2">
                    <w:pPr>
                      <w:pStyle w:val="Bibliography"/>
                      <w:rPr>
                        <w:noProof/>
                        <w:lang w:val="en-US"/>
                      </w:rPr>
                    </w:pPr>
                    <w:r>
                      <w:rPr>
                        <w:noProof/>
                        <w:lang w:val="en-US"/>
                      </w:rPr>
                      <w:t xml:space="preserve">Union, I.T., "Nomenclature of the frequency and wavelength bands used in telecommunications," </w:t>
                    </w:r>
                    <w:r>
                      <w:rPr>
                        <w:i/>
                        <w:iCs/>
                        <w:noProof/>
                        <w:lang w:val="en-US"/>
                      </w:rPr>
                      <w:t xml:space="preserve">Recommendation ITU/RV, </w:t>
                    </w:r>
                    <w:r>
                      <w:rPr>
                        <w:noProof/>
                        <w:lang w:val="en-US"/>
                      </w:rPr>
                      <w:t xml:space="preserve">pp. 431-438, 2015. </w:t>
                    </w:r>
                  </w:p>
                </w:tc>
              </w:tr>
              <w:tr w:rsidR="005F76F2">
                <w:trPr>
                  <w:divId w:val="1423993701"/>
                  <w:tblCellSpacing w:w="15" w:type="dxa"/>
                </w:trPr>
                <w:tc>
                  <w:tcPr>
                    <w:tcW w:w="50" w:type="pct"/>
                    <w:hideMark/>
                  </w:tcPr>
                  <w:p w:rsidR="005F76F2" w:rsidRDefault="005F76F2">
                    <w:pPr>
                      <w:pStyle w:val="Bibliography"/>
                      <w:rPr>
                        <w:noProof/>
                        <w:lang w:val="en-US"/>
                      </w:rPr>
                    </w:pPr>
                    <w:r>
                      <w:rPr>
                        <w:noProof/>
                        <w:lang w:val="en-US"/>
                      </w:rPr>
                      <w:t xml:space="preserve">[3] </w:t>
                    </w:r>
                  </w:p>
                </w:tc>
                <w:tc>
                  <w:tcPr>
                    <w:tcW w:w="0" w:type="auto"/>
                    <w:hideMark/>
                  </w:tcPr>
                  <w:p w:rsidR="005F76F2" w:rsidRDefault="005F76F2">
                    <w:pPr>
                      <w:pStyle w:val="Bibliography"/>
                      <w:rPr>
                        <w:noProof/>
                        <w:lang w:val="en-US"/>
                      </w:rPr>
                    </w:pPr>
                    <w:r>
                      <w:rPr>
                        <w:noProof/>
                        <w:lang w:val="en-US"/>
                      </w:rPr>
                      <w:t>Valve Amplification Company, "VAC Technical Monograph 90-9 - Output Impedance Matching".</w:t>
                    </w:r>
                  </w:p>
                </w:tc>
              </w:tr>
              <w:tr w:rsidR="005F76F2">
                <w:trPr>
                  <w:divId w:val="1423993701"/>
                  <w:tblCellSpacing w:w="15" w:type="dxa"/>
                </w:trPr>
                <w:tc>
                  <w:tcPr>
                    <w:tcW w:w="50" w:type="pct"/>
                    <w:hideMark/>
                  </w:tcPr>
                  <w:p w:rsidR="005F76F2" w:rsidRDefault="005F76F2">
                    <w:pPr>
                      <w:pStyle w:val="Bibliography"/>
                      <w:rPr>
                        <w:noProof/>
                        <w:lang w:val="en-US"/>
                      </w:rPr>
                    </w:pPr>
                    <w:r>
                      <w:rPr>
                        <w:noProof/>
                        <w:lang w:val="en-US"/>
                      </w:rPr>
                      <w:t xml:space="preserve">[4] </w:t>
                    </w:r>
                  </w:p>
                </w:tc>
                <w:tc>
                  <w:tcPr>
                    <w:tcW w:w="0" w:type="auto"/>
                    <w:hideMark/>
                  </w:tcPr>
                  <w:p w:rsidR="005F76F2" w:rsidRDefault="005F76F2">
                    <w:pPr>
                      <w:pStyle w:val="Bibliography"/>
                      <w:rPr>
                        <w:noProof/>
                        <w:lang w:val="en-US"/>
                      </w:rPr>
                    </w:pPr>
                    <w:r>
                      <w:rPr>
                        <w:noProof/>
                        <w:lang w:val="en-US"/>
                      </w:rPr>
                      <w:t>D. Bohn, "Unity Gain and Impedance Matching: Strange Bedfellows," RANE Commercial Audio Products, 1991. [Online]. Available: https://www.ranecommercial.com/legacy/note124.html. [Accessed 30 06 2024].</w:t>
                    </w:r>
                  </w:p>
                </w:tc>
              </w:tr>
              <w:tr w:rsidR="005F76F2">
                <w:trPr>
                  <w:divId w:val="1423993701"/>
                  <w:tblCellSpacing w:w="15" w:type="dxa"/>
                </w:trPr>
                <w:tc>
                  <w:tcPr>
                    <w:tcW w:w="50" w:type="pct"/>
                    <w:hideMark/>
                  </w:tcPr>
                  <w:p w:rsidR="005F76F2" w:rsidRDefault="005F76F2">
                    <w:pPr>
                      <w:pStyle w:val="Bibliography"/>
                      <w:rPr>
                        <w:noProof/>
                        <w:lang w:val="en-US"/>
                      </w:rPr>
                    </w:pPr>
                    <w:r>
                      <w:rPr>
                        <w:noProof/>
                        <w:lang w:val="en-US"/>
                      </w:rPr>
                      <w:t xml:space="preserve">[5] </w:t>
                    </w:r>
                  </w:p>
                </w:tc>
                <w:tc>
                  <w:tcPr>
                    <w:tcW w:w="0" w:type="auto"/>
                    <w:hideMark/>
                  </w:tcPr>
                  <w:p w:rsidR="005F76F2" w:rsidRDefault="005F76F2">
                    <w:pPr>
                      <w:pStyle w:val="Bibliography"/>
                      <w:rPr>
                        <w:noProof/>
                        <w:lang w:val="en-US"/>
                      </w:rPr>
                    </w:pPr>
                    <w:r>
                      <w:rPr>
                        <w:noProof/>
                        <w:lang w:val="en-US"/>
                      </w:rPr>
                      <w:t>Eastern Acoustics Works, "Amplifier damping factor," 14 January 2014. [Online]. Available: https://eaw.com/amplifier-damping-factor-more-is-better-or-is-it/#:~:text=Definition,stop%20the%20cone%20from%20moving.. [Accessed 30 06 2024].</w:t>
                    </w:r>
                  </w:p>
                </w:tc>
              </w:tr>
              <w:tr w:rsidR="005F76F2">
                <w:trPr>
                  <w:divId w:val="1423993701"/>
                  <w:tblCellSpacing w:w="15" w:type="dxa"/>
                </w:trPr>
                <w:tc>
                  <w:tcPr>
                    <w:tcW w:w="50" w:type="pct"/>
                    <w:hideMark/>
                  </w:tcPr>
                  <w:p w:rsidR="005F76F2" w:rsidRDefault="005F76F2">
                    <w:pPr>
                      <w:pStyle w:val="Bibliography"/>
                      <w:rPr>
                        <w:noProof/>
                        <w:lang w:val="en-US"/>
                      </w:rPr>
                    </w:pPr>
                    <w:r>
                      <w:rPr>
                        <w:noProof/>
                        <w:lang w:val="en-US"/>
                      </w:rPr>
                      <w:t xml:space="preserve">[6] </w:t>
                    </w:r>
                  </w:p>
                </w:tc>
                <w:tc>
                  <w:tcPr>
                    <w:tcW w:w="0" w:type="auto"/>
                    <w:hideMark/>
                  </w:tcPr>
                  <w:p w:rsidR="005F76F2" w:rsidRDefault="005F76F2">
                    <w:pPr>
                      <w:pStyle w:val="Bibliography"/>
                      <w:rPr>
                        <w:noProof/>
                        <w:lang w:val="en-US"/>
                      </w:rPr>
                    </w:pPr>
                    <w:r>
                      <w:rPr>
                        <w:noProof/>
                        <w:lang w:val="en-US"/>
                      </w:rPr>
                      <w:t xml:space="preserve">G. Breed, "There's Nothing Magic About 50 Ohms," </w:t>
                    </w:r>
                    <w:r>
                      <w:rPr>
                        <w:i/>
                        <w:iCs/>
                        <w:noProof/>
                        <w:lang w:val="en-US"/>
                      </w:rPr>
                      <w:t xml:space="preserve">High Frequency Electronics, </w:t>
                    </w:r>
                    <w:r>
                      <w:rPr>
                        <w:noProof/>
                        <w:lang w:val="en-US"/>
                      </w:rPr>
                      <w:t xml:space="preserve">June 2007. </w:t>
                    </w:r>
                  </w:p>
                </w:tc>
              </w:tr>
              <w:tr w:rsidR="005F76F2">
                <w:trPr>
                  <w:divId w:val="1423993701"/>
                  <w:tblCellSpacing w:w="15" w:type="dxa"/>
                </w:trPr>
                <w:tc>
                  <w:tcPr>
                    <w:tcW w:w="50" w:type="pct"/>
                    <w:hideMark/>
                  </w:tcPr>
                  <w:p w:rsidR="005F76F2" w:rsidRDefault="005F76F2">
                    <w:pPr>
                      <w:pStyle w:val="Bibliography"/>
                      <w:rPr>
                        <w:noProof/>
                        <w:lang w:val="en-US"/>
                      </w:rPr>
                    </w:pPr>
                    <w:r>
                      <w:rPr>
                        <w:noProof/>
                        <w:lang w:val="en-US"/>
                      </w:rPr>
                      <w:t xml:space="preserve">[7] </w:t>
                    </w:r>
                  </w:p>
                </w:tc>
                <w:tc>
                  <w:tcPr>
                    <w:tcW w:w="0" w:type="auto"/>
                    <w:hideMark/>
                  </w:tcPr>
                  <w:p w:rsidR="005F76F2" w:rsidRDefault="005F76F2">
                    <w:pPr>
                      <w:pStyle w:val="Bibliography"/>
                      <w:rPr>
                        <w:noProof/>
                        <w:lang w:val="en-US"/>
                      </w:rPr>
                    </w:pPr>
                    <w:r>
                      <w:rPr>
                        <w:noProof/>
                        <w:lang w:val="en-US"/>
                      </w:rPr>
                      <w:t xml:space="preserve">D. F. Bowman, "Impedance Matching and Broadbanding," in </w:t>
                    </w:r>
                    <w:r>
                      <w:rPr>
                        <w:i/>
                        <w:iCs/>
                        <w:noProof/>
                        <w:lang w:val="en-US"/>
                      </w:rPr>
                      <w:t>Antenna Engineering Handbook</w:t>
                    </w:r>
                    <w:r>
                      <w:rPr>
                        <w:noProof/>
                        <w:lang w:val="en-US"/>
                      </w:rPr>
                      <w:t>, Philadelphia, I-T-E Circuit Breaker Company, 1961, p. Chapter 31.</w:t>
                    </w:r>
                  </w:p>
                </w:tc>
              </w:tr>
              <w:tr w:rsidR="005F76F2">
                <w:trPr>
                  <w:divId w:val="1423993701"/>
                  <w:tblCellSpacing w:w="15" w:type="dxa"/>
                </w:trPr>
                <w:tc>
                  <w:tcPr>
                    <w:tcW w:w="50" w:type="pct"/>
                    <w:hideMark/>
                  </w:tcPr>
                  <w:p w:rsidR="005F76F2" w:rsidRDefault="005F76F2">
                    <w:pPr>
                      <w:pStyle w:val="Bibliography"/>
                      <w:rPr>
                        <w:noProof/>
                        <w:lang w:val="en-US"/>
                      </w:rPr>
                    </w:pPr>
                    <w:r>
                      <w:rPr>
                        <w:noProof/>
                        <w:lang w:val="en-US"/>
                      </w:rPr>
                      <w:t xml:space="preserve">[8] </w:t>
                    </w:r>
                  </w:p>
                </w:tc>
                <w:tc>
                  <w:tcPr>
                    <w:tcW w:w="0" w:type="auto"/>
                    <w:hideMark/>
                  </w:tcPr>
                  <w:p w:rsidR="005F76F2" w:rsidRDefault="005F76F2">
                    <w:pPr>
                      <w:pStyle w:val="Bibliography"/>
                      <w:rPr>
                        <w:noProof/>
                        <w:lang w:val="en-US"/>
                      </w:rPr>
                    </w:pPr>
                    <w:r>
                      <w:rPr>
                        <w:noProof/>
                        <w:lang w:val="en-US"/>
                      </w:rPr>
                      <w:t>J. B. Hershman, "AUDIO FREQUENCY TRANSFORMER IMPEDANCE," Indiana Academy of Science, Indiana University, 1932.</w:t>
                    </w:r>
                  </w:p>
                </w:tc>
              </w:tr>
            </w:tbl>
            <w:p w:rsidR="005F76F2" w:rsidRDefault="005F76F2">
              <w:pPr>
                <w:divId w:val="1423993701"/>
                <w:rPr>
                  <w:rFonts w:eastAsia="Times New Roman"/>
                  <w:noProof/>
                </w:rPr>
              </w:pPr>
            </w:p>
            <w:p w:rsidR="00C53F15" w:rsidRDefault="00C53F15">
              <w:r>
                <w:rPr>
                  <w:b/>
                  <w:bCs/>
                  <w:noProof/>
                </w:rPr>
                <w:fldChar w:fldCharType="end"/>
              </w:r>
            </w:p>
          </w:sdtContent>
        </w:sdt>
      </w:sdtContent>
    </w:sdt>
    <w:p w:rsidR="00970017" w:rsidRDefault="00970017" w:rsidP="00970017">
      <w:pPr>
        <w:rPr>
          <w:rStyle w:val="normaltextrun"/>
          <w:rFonts w:ascii="Arial" w:hAnsi="Arial" w:cs="Arial"/>
          <w:color w:val="0F4761"/>
          <w:sz w:val="32"/>
          <w:szCs w:val="32"/>
          <w:bdr w:val="none" w:sz="0" w:space="0" w:color="auto" w:frame="1"/>
        </w:rPr>
      </w:pPr>
      <w:r>
        <w:rPr>
          <w:rStyle w:val="normaltextrun"/>
          <w:rFonts w:ascii="Arial" w:hAnsi="Arial" w:cs="Arial"/>
          <w:color w:val="0F4761"/>
          <w:sz w:val="32"/>
          <w:szCs w:val="32"/>
          <w:bdr w:val="none" w:sz="0" w:space="0" w:color="auto" w:frame="1"/>
        </w:rPr>
        <w:t>Impedance matching conclusion</w:t>
      </w:r>
    </w:p>
    <w:p w:rsidR="00970017" w:rsidRDefault="00970017" w:rsidP="00970017">
      <w:pPr>
        <w:rPr>
          <w:rStyle w:val="normaltextrun"/>
          <w:rFonts w:ascii="Arial" w:hAnsi="Arial" w:cs="Arial"/>
          <w:color w:val="0F4761"/>
          <w:sz w:val="32"/>
          <w:szCs w:val="32"/>
          <w:bdr w:val="none" w:sz="0" w:space="0" w:color="auto" w:frame="1"/>
        </w:rPr>
      </w:pPr>
    </w:p>
    <w:p w:rsidR="00970017" w:rsidRPr="00BD029F" w:rsidRDefault="00970017" w:rsidP="00970017">
      <w:pPr>
        <w:rPr>
          <w:rStyle w:val="normaltextrun"/>
          <w:rFonts w:ascii="Times New Roman" w:hAnsi="Times New Roman" w:cs="Times New Roman"/>
          <w:sz w:val="24"/>
          <w:szCs w:val="32"/>
          <w:bdr w:val="none" w:sz="0" w:space="0" w:color="auto" w:frame="1"/>
        </w:rPr>
      </w:pPr>
      <w:r>
        <w:rPr>
          <w:rStyle w:val="normaltextrun"/>
          <w:rFonts w:ascii="Times New Roman" w:hAnsi="Times New Roman" w:cs="Times New Roman"/>
          <w:sz w:val="24"/>
          <w:szCs w:val="32"/>
          <w:bdr w:val="none" w:sz="0" w:space="0" w:color="auto" w:frame="1"/>
        </w:rPr>
        <w:t xml:space="preserve">Due to time constraints with ordering components, it was not possible to construct an additional impedance matching circuit with a number of inductors and capacitors to adjust the reactance component of the amplifier’s output impedance. This is likely reflected in the frequency response plotted in figure 8 which shows a significant decrease in signal gain </w:t>
      </w:r>
      <w:r>
        <w:rPr>
          <w:rStyle w:val="normaltextrun"/>
          <w:rFonts w:ascii="Times New Roman" w:hAnsi="Times New Roman" w:cs="Times New Roman"/>
          <w:sz w:val="24"/>
          <w:szCs w:val="32"/>
          <w:bdr w:val="none" w:sz="0" w:space="0" w:color="auto" w:frame="1"/>
        </w:rPr>
        <w:lastRenderedPageBreak/>
        <w:t>following the harmonic at ~13MHz. It is possible that, had an impedance matching circuit been incorporated, the gain may have been improved in the higher half of the HF band.</w:t>
      </w:r>
    </w:p>
    <w:p w:rsidR="00C53F15" w:rsidRDefault="00C53F15">
      <w:pPr>
        <w:rPr>
          <w:lang w:val="en-US"/>
        </w:rPr>
      </w:pPr>
    </w:p>
    <w:p w:rsidR="00970017" w:rsidRDefault="00970017" w:rsidP="00970017">
      <w:pPr>
        <w:rPr>
          <w:rStyle w:val="normaltextrun"/>
          <w:rFonts w:ascii="Arial" w:hAnsi="Arial" w:cs="Arial"/>
          <w:color w:val="0F4761"/>
          <w:sz w:val="32"/>
          <w:szCs w:val="32"/>
          <w:bdr w:val="none" w:sz="0" w:space="0" w:color="auto" w:frame="1"/>
        </w:rPr>
      </w:pPr>
      <w:r>
        <w:rPr>
          <w:rStyle w:val="normaltextrun"/>
          <w:rFonts w:ascii="Arial" w:hAnsi="Arial" w:cs="Arial"/>
          <w:color w:val="0F4761"/>
          <w:sz w:val="32"/>
          <w:szCs w:val="32"/>
          <w:bdr w:val="none" w:sz="0" w:space="0" w:color="auto" w:frame="1"/>
        </w:rPr>
        <w:t>Conclusion of Review</w:t>
      </w:r>
    </w:p>
    <w:p w:rsidR="00970017" w:rsidRDefault="00970017" w:rsidP="00970017"/>
    <w:p w:rsidR="00970017" w:rsidRDefault="00970017" w:rsidP="00970017">
      <w:r>
        <w:t xml:space="preserve">The background review has identified key information on the chosen operating frequency bands that will be explored and how the amplifier can be expected to perform. It also identifies the governing legislative body on spectrum usage (OFCOM) should Over </w:t>
      </w:r>
      <w:proofErr w:type="gramStart"/>
      <w:r>
        <w:t>The</w:t>
      </w:r>
      <w:proofErr w:type="gramEnd"/>
      <w:r>
        <w:t xml:space="preserve"> Air (OTA) trials be considered. By identifying potential unwanted effects on the output waveform like harmonics and crossover distortion, along with a detailed analysis on the format of a class AB amplifier, it is possible to identify potential defects with the circuit in order to rectify them.</w:t>
      </w:r>
    </w:p>
    <w:p w:rsidR="00970017" w:rsidRDefault="00970017" w:rsidP="00970017"/>
    <w:p w:rsidR="00970017" w:rsidRDefault="00970017" w:rsidP="00970017">
      <w:r>
        <w:t>An investigation into the common amplifier structures enables the justification in testing the class AB amplifier design that was selected over a class A or class B design. By recognising that a class AB is an ideal compromise between the A or B designs, there can be confidence in selecting the ideal amplifier format for the requirements. A detailed understanding on its structure may also help with modifying the design to improve its performance in the higher frequency range.</w:t>
      </w:r>
    </w:p>
    <w:p w:rsidR="00970017" w:rsidRDefault="00970017" w:rsidP="00970017"/>
    <w:p w:rsidR="00970017" w:rsidRDefault="00970017" w:rsidP="00970017">
      <w:r>
        <w:t>By understanding the functions and reasons for impedance matching, it’s possible to identify when impedance matching may be necessary during testing and some of the viable methods that can be used in order to match the output impedance of the amplifier with the load impedance or transmission line impedance when conducting measurements. It was acknowledged that impedance matching is not necessary (and may even be detrimental) when operating at audio frequencies, however should be explored when transitioning to the HF frequency band. It also recognised that a matching circuit comprised of a number of inductors and capacitors is likely the ideal way to match impedances.</w:t>
      </w:r>
    </w:p>
    <w:p w:rsidR="00970017" w:rsidRDefault="00970017">
      <w:pPr>
        <w:rPr>
          <w:lang w:val="en-US"/>
        </w:rPr>
      </w:pPr>
    </w:p>
    <w:p w:rsidR="00D814A3" w:rsidRPr="00D814A3" w:rsidRDefault="00D814A3" w:rsidP="00D814A3">
      <w:pPr>
        <w:pStyle w:val="Heading1"/>
      </w:pPr>
      <w:r w:rsidRPr="00D814A3">
        <w:t>Abstract </w:t>
      </w:r>
    </w:p>
    <w:p w:rsidR="00D814A3" w:rsidRPr="00D814A3" w:rsidRDefault="00D814A3" w:rsidP="00D814A3">
      <w:r w:rsidRPr="00D814A3">
        <w:t>The following report details the suitability of audio amplifier designs to operate in the HF band and details some of the key adaptations that may be required. The objectives of the report were to test and evaluate its performance in the audio range and HF band, and identify necessary modifications to optimise performance in the latter. </w:t>
      </w:r>
    </w:p>
    <w:p w:rsidR="00D814A3" w:rsidRPr="00D814A3" w:rsidRDefault="00D814A3" w:rsidP="00D814A3">
      <w:r w:rsidRPr="00D814A3">
        <w:t>Results indicated that while the amplifier performed well up to 9 MHz, it failed to maintain adequate performance beyond this frequency. Challenges such as parasitic capacitance, feedback loop issues, and component limitations were identified as significant factors affecting the amplifier's ability to operate effectively at higher frequencies. </w:t>
      </w:r>
    </w:p>
    <w:p w:rsidR="00970017" w:rsidRDefault="00970017">
      <w:pPr>
        <w:rPr>
          <w:lang w:val="en-US"/>
        </w:rPr>
      </w:pPr>
    </w:p>
    <w:p w:rsidR="00F71D22" w:rsidRDefault="00F71D22" w:rsidP="00F71D22">
      <w:pPr>
        <w:pStyle w:val="paragraph"/>
        <w:spacing w:before="0" w:beforeAutospacing="0" w:after="0" w:afterAutospacing="0"/>
        <w:textAlignment w:val="baseline"/>
        <w:rPr>
          <w:rFonts w:ascii="Segoe UI" w:hAnsi="Segoe UI" w:cs="Segoe UI"/>
          <w:color w:val="0F4761"/>
          <w:sz w:val="18"/>
          <w:szCs w:val="18"/>
        </w:rPr>
      </w:pPr>
      <w:r>
        <w:rPr>
          <w:rStyle w:val="normaltextrun"/>
          <w:rFonts w:ascii="Arial" w:hAnsi="Arial" w:cs="Arial"/>
          <w:color w:val="0F4761"/>
          <w:sz w:val="40"/>
          <w:szCs w:val="40"/>
        </w:rPr>
        <w:t>Results and analysis</w:t>
      </w:r>
      <w:r>
        <w:rPr>
          <w:rStyle w:val="eop"/>
          <w:rFonts w:ascii="Arial" w:eastAsiaTheme="majorEastAsia" w:hAnsi="Arial" w:cs="Arial"/>
          <w:color w:val="0F4761"/>
          <w:sz w:val="40"/>
          <w:szCs w:val="40"/>
        </w:rPr>
        <w:t> </w:t>
      </w:r>
    </w:p>
    <w:p w:rsidR="00F71D22" w:rsidRDefault="00F71D22" w:rsidP="00F71D22">
      <w:pPr>
        <w:pStyle w:val="paragraph"/>
        <w:spacing w:before="0" w:beforeAutospacing="0" w:after="0" w:afterAutospacing="0"/>
        <w:textAlignment w:val="baseline"/>
        <w:rPr>
          <w:rFonts w:ascii="Segoe UI" w:hAnsi="Segoe UI" w:cs="Segoe UI"/>
          <w:sz w:val="18"/>
          <w:szCs w:val="18"/>
        </w:rPr>
      </w:pPr>
      <w:r>
        <w:rPr>
          <w:rFonts w:asciiTheme="minorHAnsi" w:eastAsiaTheme="minorHAnsi" w:hAnsiTheme="minorHAnsi" w:cstheme="minorBidi"/>
          <w:noProof/>
          <w:sz w:val="22"/>
          <w:szCs w:val="22"/>
          <w:lang w:val="en-US" w:eastAsia="en-US"/>
        </w:rPr>
        <w:lastRenderedPageBreak/>
        <w:drawing>
          <wp:inline distT="0" distB="0" distL="0" distR="0">
            <wp:extent cx="4594860" cy="2766060"/>
            <wp:effectExtent l="0" t="0" r="0" b="0"/>
            <wp:docPr id="1" name="Picture 1" descr="C:\Users\ISA06016464\AppData\Local\Microsoft\Windows\INetCache\Content.MSO\7EA51B7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ISA06016464\AppData\Local\Microsoft\Windows\INetCache\Content.MSO\7EA51B78.t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94860" cy="2766060"/>
                    </a:xfrm>
                    <a:prstGeom prst="rect">
                      <a:avLst/>
                    </a:prstGeom>
                    <a:noFill/>
                    <a:ln>
                      <a:noFill/>
                    </a:ln>
                  </pic:spPr>
                </pic:pic>
              </a:graphicData>
            </a:graphic>
          </wp:inline>
        </w:drawing>
      </w:r>
      <w:r>
        <w:rPr>
          <w:rStyle w:val="eop"/>
          <w:rFonts w:ascii="Arial" w:eastAsiaTheme="majorEastAsia" w:hAnsi="Arial" w:cs="Arial"/>
        </w:rPr>
        <w:t> </w:t>
      </w:r>
    </w:p>
    <w:p w:rsidR="00F71D22" w:rsidRDefault="00F71D22" w:rsidP="00F71D22">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rPr>
        <w:t> </w:t>
      </w:r>
    </w:p>
    <w:p w:rsidR="00F71D22" w:rsidRDefault="00F71D22" w:rsidP="00F71D22">
      <w:pPr>
        <w:pStyle w:val="paragraph"/>
        <w:spacing w:before="0" w:beforeAutospacing="0" w:after="0" w:afterAutospacing="0"/>
        <w:textAlignment w:val="baseline"/>
        <w:rPr>
          <w:rFonts w:ascii="Segoe UI" w:hAnsi="Segoe UI" w:cs="Segoe UI"/>
          <w:i/>
          <w:iCs/>
          <w:color w:val="0E2841"/>
          <w:sz w:val="18"/>
          <w:szCs w:val="18"/>
        </w:rPr>
      </w:pPr>
      <w:r>
        <w:rPr>
          <w:rStyle w:val="normaltextrun"/>
          <w:rFonts w:ascii="Arial" w:hAnsi="Arial" w:cs="Arial"/>
          <w:i/>
          <w:iCs/>
          <w:color w:val="0E2841"/>
          <w:sz w:val="18"/>
          <w:szCs w:val="18"/>
        </w:rPr>
        <w:t xml:space="preserve">Figure </w:t>
      </w:r>
      <w:r>
        <w:rPr>
          <w:rStyle w:val="normaltextrun"/>
          <w:rFonts w:ascii="Arial" w:hAnsi="Arial" w:cs="Arial"/>
          <w:i/>
          <w:iCs/>
          <w:color w:val="0E2841"/>
          <w:sz w:val="18"/>
          <w:szCs w:val="18"/>
          <w:shd w:val="clear" w:color="auto" w:fill="E1E3E6"/>
        </w:rPr>
        <w:t>8</w:t>
      </w:r>
      <w:r>
        <w:rPr>
          <w:rStyle w:val="normaltextrun"/>
          <w:rFonts w:ascii="Arial" w:hAnsi="Arial" w:cs="Arial"/>
          <w:i/>
          <w:iCs/>
          <w:color w:val="0E2841"/>
          <w:sz w:val="18"/>
          <w:szCs w:val="18"/>
        </w:rPr>
        <w:t xml:space="preserve"> - Plot of measured signal out power level Vs Frequency</w:t>
      </w:r>
      <w:r>
        <w:rPr>
          <w:rStyle w:val="eop"/>
          <w:rFonts w:ascii="Arial" w:eastAsiaTheme="majorEastAsia" w:hAnsi="Arial" w:cs="Arial"/>
          <w:i/>
          <w:iCs/>
          <w:color w:val="0E2841"/>
          <w:sz w:val="18"/>
          <w:szCs w:val="18"/>
        </w:rPr>
        <w:t> </w:t>
      </w:r>
    </w:p>
    <w:p w:rsidR="00F71D22" w:rsidRDefault="00F71D22" w:rsidP="00F71D22">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xml:space="preserve">Figure 8 displays the measured power level of the output signal for a constant source signal power of –20dBm (therefore to find the amplifier gain –20dBm must be subtracted from the output signal strength). As shown the amplifier gain is mostly linear in the audio frequency range and beyond. Between 0.01 MHz and 1 MHz, the output fluctuates slightly but remains close to -9 dBm. There are two noticeable deviations from the trend at 2 MHz and 13MHz. This is then followed by steep decline, with the output value reaching as low as -25 dBm by 15 </w:t>
      </w:r>
      <w:proofErr w:type="spellStart"/>
      <w:r>
        <w:rPr>
          <w:rStyle w:val="normaltextrun"/>
          <w:rFonts w:ascii="Arial" w:hAnsi="Arial" w:cs="Arial"/>
        </w:rPr>
        <w:t>MHz.</w:t>
      </w:r>
      <w:proofErr w:type="spellEnd"/>
      <w:r>
        <w:rPr>
          <w:rStyle w:val="eop"/>
          <w:rFonts w:ascii="Arial" w:eastAsiaTheme="majorEastAsia" w:hAnsi="Arial" w:cs="Arial"/>
        </w:rPr>
        <w:t> </w:t>
      </w:r>
    </w:p>
    <w:p w:rsidR="00F71D22" w:rsidRDefault="00F71D22" w:rsidP="00F71D22">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xml:space="preserve">Using 3dB of loss in gain as the </w:t>
      </w:r>
      <w:proofErr w:type="spellStart"/>
      <w:r>
        <w:rPr>
          <w:rStyle w:val="normaltextrun"/>
          <w:rFonts w:ascii="Arial" w:hAnsi="Arial" w:cs="Arial"/>
        </w:rPr>
        <w:t>cutoff</w:t>
      </w:r>
      <w:proofErr w:type="spellEnd"/>
      <w:r>
        <w:rPr>
          <w:rStyle w:val="normaltextrun"/>
          <w:rFonts w:ascii="Arial" w:hAnsi="Arial" w:cs="Arial"/>
        </w:rPr>
        <w:t xml:space="preserve"> point</w:t>
      </w:r>
      <w:r>
        <w:rPr>
          <w:rStyle w:val="contentcontrolboundarysink"/>
          <w:rFonts w:ascii="Arial" w:hAnsi="Arial" w:cs="Arial"/>
        </w:rPr>
        <w:t>​</w:t>
      </w:r>
      <w:r>
        <w:rPr>
          <w:rStyle w:val="normaltextrun"/>
          <w:rFonts w:ascii="Arial" w:hAnsi="Arial" w:cs="Arial"/>
          <w:color w:val="000000"/>
        </w:rPr>
        <w:t xml:space="preserve"> [</w:t>
      </w:r>
      <w:proofErr w:type="gramStart"/>
      <w:r>
        <w:rPr>
          <w:rStyle w:val="normaltextrun"/>
          <w:rFonts w:ascii="Arial" w:hAnsi="Arial" w:cs="Arial"/>
          <w:color w:val="000000"/>
        </w:rPr>
        <w:t>9]</w:t>
      </w:r>
      <w:r>
        <w:rPr>
          <w:rStyle w:val="contentcontrolboundarysink"/>
          <w:rFonts w:ascii="Arial" w:hAnsi="Arial" w:cs="Arial"/>
        </w:rPr>
        <w:t>​</w:t>
      </w:r>
      <w:proofErr w:type="gramEnd"/>
      <w:r>
        <w:rPr>
          <w:rStyle w:val="normaltextrun"/>
          <w:rFonts w:ascii="Arial" w:hAnsi="Arial" w:cs="Arial"/>
        </w:rPr>
        <w:t xml:space="preserve">, the amplifier achieved a full-power bandwidth of 9MHz. Taking the </w:t>
      </w:r>
      <w:proofErr w:type="spellStart"/>
      <w:r>
        <w:rPr>
          <w:rStyle w:val="normaltextrun"/>
          <w:rFonts w:ascii="Arial" w:hAnsi="Arial" w:cs="Arial"/>
        </w:rPr>
        <w:t>midband</w:t>
      </w:r>
      <w:proofErr w:type="spellEnd"/>
      <w:r>
        <w:rPr>
          <w:rStyle w:val="normaltextrun"/>
          <w:rFonts w:ascii="Arial" w:hAnsi="Arial" w:cs="Arial"/>
        </w:rPr>
        <w:t xml:space="preserve"> amplifier gain as 11dBm, this arrives at a Gain Bandwidth Product of 99 </w:t>
      </w:r>
      <w:proofErr w:type="spellStart"/>
      <w:r>
        <w:rPr>
          <w:rStyle w:val="normaltextrun"/>
          <w:rFonts w:ascii="Arial" w:hAnsi="Arial" w:cs="Arial"/>
        </w:rPr>
        <w:t>MHz.</w:t>
      </w:r>
      <w:proofErr w:type="spellEnd"/>
      <w:r>
        <w:rPr>
          <w:rStyle w:val="normaltextrun"/>
          <w:rFonts w:ascii="Arial" w:hAnsi="Arial" w:cs="Arial"/>
        </w:rPr>
        <w:t> </w:t>
      </w:r>
      <w:r>
        <w:rPr>
          <w:rStyle w:val="eop"/>
          <w:rFonts w:ascii="Arial" w:eastAsiaTheme="majorEastAsia" w:hAnsi="Arial" w:cs="Arial"/>
        </w:rPr>
        <w:t> </w:t>
      </w:r>
    </w:p>
    <w:p w:rsidR="00F71D22" w:rsidRDefault="00F71D22" w:rsidP="00F71D22">
      <w:pPr>
        <w:pStyle w:val="paragraph"/>
        <w:spacing w:before="0" w:beforeAutospacing="0" w:after="0" w:afterAutospacing="0"/>
        <w:textAlignment w:val="baseline"/>
        <w:rPr>
          <w:rStyle w:val="eop"/>
          <w:rFonts w:ascii="Arial" w:eastAsiaTheme="majorEastAsia" w:hAnsi="Arial" w:cs="Arial"/>
        </w:rPr>
      </w:pPr>
      <w:r>
        <w:rPr>
          <w:rStyle w:val="normaltextrun"/>
          <w:rFonts w:ascii="Arial" w:hAnsi="Arial" w:cs="Arial"/>
        </w:rPr>
        <w:t xml:space="preserve">The decrease in gain is to be expected as the frequency range exceeds both the original design specifications of the circuit and also the components used to create it.  It is worth noting the specific points where the gain changes significantly, such as the spike at 2 MHz and the peak at 13 </w:t>
      </w:r>
      <w:proofErr w:type="spellStart"/>
      <w:r>
        <w:rPr>
          <w:rStyle w:val="normaltextrun"/>
          <w:rFonts w:ascii="Arial" w:hAnsi="Arial" w:cs="Arial"/>
        </w:rPr>
        <w:t>MHz.</w:t>
      </w:r>
      <w:proofErr w:type="spellEnd"/>
      <w:r>
        <w:rPr>
          <w:rStyle w:val="normaltextrun"/>
          <w:rFonts w:ascii="Arial" w:hAnsi="Arial" w:cs="Arial"/>
        </w:rPr>
        <w:t xml:space="preserve"> The potential causes of these will be discussed in more detail below.</w:t>
      </w:r>
      <w:r>
        <w:rPr>
          <w:rStyle w:val="eop"/>
          <w:rFonts w:ascii="Arial" w:eastAsiaTheme="majorEastAsia" w:hAnsi="Arial" w:cs="Arial"/>
        </w:rPr>
        <w:t> </w:t>
      </w:r>
    </w:p>
    <w:p w:rsidR="00F71D22" w:rsidRDefault="00F71D22" w:rsidP="00F71D22">
      <w:pPr>
        <w:pStyle w:val="paragraph"/>
        <w:spacing w:before="0" w:beforeAutospacing="0" w:after="0" w:afterAutospacing="0"/>
        <w:textAlignment w:val="baseline"/>
        <w:rPr>
          <w:rFonts w:ascii="Segoe UI" w:hAnsi="Segoe UI" w:cs="Segoe UI"/>
          <w:sz w:val="18"/>
          <w:szCs w:val="18"/>
        </w:rPr>
      </w:pPr>
    </w:p>
    <w:p w:rsidR="00F71D22" w:rsidRDefault="00F71D22" w:rsidP="00F71D22">
      <w:pPr>
        <w:pStyle w:val="paragraph"/>
        <w:spacing w:before="0" w:beforeAutospacing="0" w:after="0" w:afterAutospacing="0"/>
        <w:textAlignment w:val="baseline"/>
        <w:rPr>
          <w:rFonts w:ascii="Segoe UI" w:hAnsi="Segoe UI" w:cs="Segoe UI"/>
          <w:color w:val="0F4761"/>
          <w:sz w:val="18"/>
          <w:szCs w:val="18"/>
        </w:rPr>
      </w:pPr>
      <w:r>
        <w:rPr>
          <w:rStyle w:val="normaltextrun"/>
          <w:rFonts w:ascii="Arial" w:hAnsi="Arial" w:cs="Arial"/>
          <w:color w:val="0F4761"/>
          <w:sz w:val="32"/>
          <w:szCs w:val="32"/>
        </w:rPr>
        <w:t>Parasitic Effects</w:t>
      </w:r>
      <w:r>
        <w:rPr>
          <w:rStyle w:val="eop"/>
          <w:rFonts w:ascii="Arial" w:eastAsiaTheme="majorEastAsia" w:hAnsi="Arial" w:cs="Arial"/>
          <w:color w:val="0F4761"/>
        </w:rPr>
        <w:t> </w:t>
      </w:r>
    </w:p>
    <w:p w:rsidR="00F71D22" w:rsidRDefault="00F71D22" w:rsidP="00F71D22">
      <w:pPr>
        <w:pStyle w:val="paragraph"/>
        <w:spacing w:before="0" w:beforeAutospacing="0" w:after="0" w:afterAutospacing="0"/>
        <w:textAlignment w:val="baseline"/>
        <w:rPr>
          <w:rStyle w:val="eop"/>
          <w:rFonts w:ascii="Arial" w:eastAsiaTheme="majorEastAsia" w:hAnsi="Arial" w:cs="Arial"/>
        </w:rPr>
      </w:pPr>
      <w:r>
        <w:rPr>
          <w:rStyle w:val="normaltextrun"/>
          <w:rFonts w:ascii="Arial" w:hAnsi="Arial" w:cs="Arial"/>
        </w:rPr>
        <w:t xml:space="preserve">Parasitic inductances and capacitances within the amplifier circuit can create resonant frequencies, leading to spikes in gain at certain frequencies. Strip boards like </w:t>
      </w:r>
      <w:proofErr w:type="spellStart"/>
      <w:r>
        <w:rPr>
          <w:rStyle w:val="normaltextrun"/>
          <w:rFonts w:ascii="Arial" w:hAnsi="Arial" w:cs="Arial"/>
        </w:rPr>
        <w:t>veroboard</w:t>
      </w:r>
      <w:proofErr w:type="spellEnd"/>
      <w:r>
        <w:rPr>
          <w:rStyle w:val="normaltextrun"/>
          <w:rFonts w:ascii="Arial" w:hAnsi="Arial" w:cs="Arial"/>
        </w:rPr>
        <w:t xml:space="preserve"> can be particularly susceptible to parasitic effects like induced capacitance between the conductive strips and is especially common at higher frequencies </w:t>
      </w:r>
      <w:proofErr w:type="gramStart"/>
      <w:r>
        <w:rPr>
          <w:rStyle w:val="contentcontrolboundarysink"/>
          <w:rFonts w:ascii="Arial" w:hAnsi="Arial" w:cs="Arial"/>
        </w:rPr>
        <w:t>​</w:t>
      </w:r>
      <w:r>
        <w:rPr>
          <w:rStyle w:val="normaltextrun"/>
          <w:rFonts w:ascii="Arial" w:hAnsi="Arial" w:cs="Arial"/>
          <w:color w:val="000000"/>
        </w:rPr>
        <w:t>[</w:t>
      </w:r>
      <w:proofErr w:type="gramEnd"/>
      <w:r>
        <w:rPr>
          <w:rStyle w:val="normaltextrun"/>
          <w:rFonts w:ascii="Arial" w:hAnsi="Arial" w:cs="Arial"/>
          <w:color w:val="000000"/>
        </w:rPr>
        <w:t>17]</w:t>
      </w:r>
      <w:r>
        <w:rPr>
          <w:rStyle w:val="contentcontrolboundarysink"/>
          <w:rFonts w:ascii="Arial" w:hAnsi="Arial" w:cs="Arial"/>
        </w:rPr>
        <w:t>​</w:t>
      </w:r>
      <w:r>
        <w:rPr>
          <w:rStyle w:val="normaltextrun"/>
          <w:rFonts w:ascii="Arial" w:hAnsi="Arial" w:cs="Arial"/>
        </w:rPr>
        <w:t> . Likewise, the layout of the circuit itself can also introduce parasitic effects which alter the frequency response of the amplifier.</w:t>
      </w:r>
      <w:r>
        <w:rPr>
          <w:rStyle w:val="eop"/>
          <w:rFonts w:ascii="Arial" w:eastAsiaTheme="majorEastAsia" w:hAnsi="Arial" w:cs="Arial"/>
        </w:rPr>
        <w:t> </w:t>
      </w:r>
    </w:p>
    <w:p w:rsidR="00F71D22" w:rsidRDefault="00F71D22" w:rsidP="00F71D22">
      <w:pPr>
        <w:pStyle w:val="paragraph"/>
        <w:spacing w:before="0" w:beforeAutospacing="0" w:after="0" w:afterAutospacing="0"/>
        <w:textAlignment w:val="baseline"/>
        <w:rPr>
          <w:rFonts w:ascii="Segoe UI" w:hAnsi="Segoe UI" w:cs="Segoe UI"/>
          <w:sz w:val="18"/>
          <w:szCs w:val="18"/>
        </w:rPr>
      </w:pPr>
    </w:p>
    <w:p w:rsidR="00F71D22" w:rsidRDefault="00F71D22" w:rsidP="00F71D22">
      <w:pPr>
        <w:pStyle w:val="paragraph"/>
        <w:spacing w:before="0" w:beforeAutospacing="0" w:after="0" w:afterAutospacing="0"/>
        <w:textAlignment w:val="baseline"/>
        <w:rPr>
          <w:rFonts w:ascii="Segoe UI" w:hAnsi="Segoe UI" w:cs="Segoe UI"/>
          <w:color w:val="0F4761"/>
          <w:sz w:val="18"/>
          <w:szCs w:val="18"/>
        </w:rPr>
      </w:pPr>
      <w:r>
        <w:rPr>
          <w:rStyle w:val="normaltextrun"/>
          <w:rFonts w:ascii="Arial" w:hAnsi="Arial" w:cs="Arial"/>
          <w:color w:val="0F4761"/>
          <w:sz w:val="32"/>
          <w:szCs w:val="32"/>
        </w:rPr>
        <w:t>Feedback Loop Issues</w:t>
      </w:r>
      <w:r>
        <w:rPr>
          <w:rStyle w:val="eop"/>
          <w:rFonts w:ascii="Arial" w:eastAsiaTheme="majorEastAsia" w:hAnsi="Arial" w:cs="Arial"/>
          <w:color w:val="0F4761"/>
        </w:rPr>
        <w:t> </w:t>
      </w:r>
    </w:p>
    <w:p w:rsidR="00F71D22" w:rsidRDefault="00F71D22" w:rsidP="00F71D22">
      <w:pPr>
        <w:pStyle w:val="paragraph"/>
        <w:spacing w:before="0" w:beforeAutospacing="0" w:after="0" w:afterAutospacing="0"/>
        <w:textAlignment w:val="baseline"/>
        <w:rPr>
          <w:rStyle w:val="eop"/>
          <w:rFonts w:ascii="Arial" w:eastAsiaTheme="majorEastAsia" w:hAnsi="Arial" w:cs="Arial"/>
        </w:rPr>
      </w:pPr>
      <w:r>
        <w:rPr>
          <w:rStyle w:val="normaltextrun"/>
          <w:rFonts w:ascii="Arial" w:hAnsi="Arial" w:cs="Arial"/>
        </w:rPr>
        <w:t>As the design chosen for the amplifier uses negative feedback, the feedback network's frequency response can influence the overall gain. Unintended resonances in the feedback loop can cause spikes in the frequency response.</w:t>
      </w:r>
      <w:r>
        <w:rPr>
          <w:rStyle w:val="eop"/>
          <w:rFonts w:ascii="Arial" w:eastAsiaTheme="majorEastAsia" w:hAnsi="Arial" w:cs="Arial"/>
        </w:rPr>
        <w:t> </w:t>
      </w:r>
    </w:p>
    <w:p w:rsidR="00F71D22" w:rsidRDefault="00F71D22" w:rsidP="00F71D22">
      <w:pPr>
        <w:pStyle w:val="paragraph"/>
        <w:spacing w:before="0" w:beforeAutospacing="0" w:after="0" w:afterAutospacing="0"/>
        <w:textAlignment w:val="baseline"/>
        <w:rPr>
          <w:rFonts w:ascii="Segoe UI" w:hAnsi="Segoe UI" w:cs="Segoe UI"/>
          <w:sz w:val="18"/>
          <w:szCs w:val="18"/>
        </w:rPr>
      </w:pPr>
    </w:p>
    <w:p w:rsidR="00F71D22" w:rsidRDefault="00F71D22" w:rsidP="00F71D22">
      <w:pPr>
        <w:pStyle w:val="paragraph"/>
        <w:spacing w:before="0" w:beforeAutospacing="0" w:after="0" w:afterAutospacing="0"/>
        <w:textAlignment w:val="baseline"/>
        <w:rPr>
          <w:rFonts w:ascii="Segoe UI" w:hAnsi="Segoe UI" w:cs="Segoe UI"/>
          <w:color w:val="0F4761"/>
          <w:sz w:val="18"/>
          <w:szCs w:val="18"/>
        </w:rPr>
      </w:pPr>
      <w:r>
        <w:rPr>
          <w:rStyle w:val="normaltextrun"/>
          <w:rFonts w:ascii="Arial" w:hAnsi="Arial" w:cs="Arial"/>
          <w:color w:val="0F4761"/>
          <w:sz w:val="32"/>
          <w:szCs w:val="32"/>
        </w:rPr>
        <w:t>Other Effects</w:t>
      </w:r>
      <w:r>
        <w:rPr>
          <w:rStyle w:val="eop"/>
          <w:rFonts w:ascii="Arial" w:eastAsiaTheme="majorEastAsia" w:hAnsi="Arial" w:cs="Arial"/>
          <w:color w:val="0F4761"/>
        </w:rPr>
        <w:t> </w:t>
      </w:r>
    </w:p>
    <w:p w:rsidR="00F71D22" w:rsidRDefault="00F71D22" w:rsidP="00F71D22">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xml:space="preserve">Changes in temperature can affect the performance of the transistors and other components in the amplifier, potentially causing variations in gain at different </w:t>
      </w:r>
      <w:r>
        <w:rPr>
          <w:rStyle w:val="normaltextrun"/>
          <w:rFonts w:ascii="Arial" w:hAnsi="Arial" w:cs="Arial"/>
        </w:rPr>
        <w:lastRenderedPageBreak/>
        <w:t>frequencies. Additionally, external factors like electromagnetic interference and power supply instability can introduce unwanted effects which may cause spurious results and frequency spikes as seen in Figure 8.</w:t>
      </w:r>
      <w:r>
        <w:rPr>
          <w:rStyle w:val="eop"/>
          <w:rFonts w:ascii="Arial" w:eastAsiaTheme="majorEastAsia" w:hAnsi="Arial" w:cs="Arial"/>
        </w:rPr>
        <w:t> </w:t>
      </w:r>
    </w:p>
    <w:p w:rsidR="00D814A3" w:rsidRDefault="00D814A3">
      <w:pPr>
        <w:rPr>
          <w:lang w:val="en-US"/>
        </w:rPr>
      </w:pPr>
    </w:p>
    <w:p w:rsidR="00F71D22" w:rsidRDefault="00F71D22" w:rsidP="00F71D22">
      <w:pPr>
        <w:pStyle w:val="paragraph"/>
        <w:spacing w:before="0" w:beforeAutospacing="0" w:after="0" w:afterAutospacing="0"/>
        <w:textAlignment w:val="baseline"/>
        <w:rPr>
          <w:rFonts w:ascii="Segoe UI" w:hAnsi="Segoe UI" w:cs="Segoe UI"/>
          <w:color w:val="0F4761"/>
          <w:sz w:val="18"/>
          <w:szCs w:val="18"/>
        </w:rPr>
      </w:pPr>
      <w:r>
        <w:rPr>
          <w:rStyle w:val="normaltextrun"/>
          <w:rFonts w:ascii="Arial" w:hAnsi="Arial" w:cs="Arial"/>
          <w:color w:val="0F4761"/>
          <w:sz w:val="28"/>
          <w:szCs w:val="28"/>
        </w:rPr>
        <w:t>Summary of Success Criteria</w:t>
      </w:r>
      <w:r>
        <w:rPr>
          <w:rStyle w:val="eop"/>
          <w:rFonts w:ascii="Arial" w:eastAsiaTheme="majorEastAsia" w:hAnsi="Arial" w:cs="Arial"/>
          <w:color w:val="0F4761"/>
          <w:sz w:val="28"/>
          <w:szCs w:val="28"/>
        </w:rPr>
        <w:t> </w:t>
      </w:r>
    </w:p>
    <w:p w:rsidR="00F71D22" w:rsidRDefault="00F71D22" w:rsidP="00F71D22">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Ultimately, the design failed to amplify across the entire 30MHz bandwidth and so would not be suitable for HF communications in its current design. However, the circuit did perform adequately as an amplifier in a reduced frequency range and produced an output waveform which met the success criteria for minimal cross-over distortion and signal noise. It can be concluded, therefore, that the design is a good basis for modification to reach the 30MHz bandwidth that was targeted.</w:t>
      </w:r>
      <w:r>
        <w:rPr>
          <w:rStyle w:val="eop"/>
          <w:rFonts w:ascii="Arial" w:eastAsiaTheme="majorEastAsia" w:hAnsi="Arial" w:cs="Arial"/>
        </w:rPr>
        <w:t> </w:t>
      </w:r>
    </w:p>
    <w:p w:rsidR="00F71D22" w:rsidRDefault="00F71D22">
      <w:pPr>
        <w:rPr>
          <w:lang w:val="en-US"/>
        </w:rPr>
      </w:pPr>
    </w:p>
    <w:p w:rsidR="008E2680" w:rsidRDefault="008E2680" w:rsidP="008E2680">
      <w:pPr>
        <w:pStyle w:val="paragraph"/>
        <w:spacing w:before="0" w:beforeAutospacing="0" w:after="0" w:afterAutospacing="0"/>
        <w:textAlignment w:val="baseline"/>
        <w:rPr>
          <w:rFonts w:ascii="Segoe UI" w:hAnsi="Segoe UI" w:cs="Segoe UI"/>
          <w:color w:val="0F4761"/>
          <w:sz w:val="18"/>
          <w:szCs w:val="18"/>
        </w:rPr>
      </w:pPr>
      <w:r>
        <w:rPr>
          <w:rStyle w:val="normaltextrun"/>
          <w:rFonts w:ascii="Arial" w:hAnsi="Arial" w:cs="Arial"/>
          <w:color w:val="0F4761"/>
          <w:sz w:val="40"/>
          <w:szCs w:val="40"/>
        </w:rPr>
        <w:t>Conclusion and recommendations </w:t>
      </w:r>
      <w:r>
        <w:rPr>
          <w:rStyle w:val="eop"/>
          <w:rFonts w:ascii="Arial" w:eastAsiaTheme="majorEastAsia" w:hAnsi="Arial" w:cs="Arial"/>
          <w:color w:val="0F4761"/>
          <w:sz w:val="40"/>
          <w:szCs w:val="40"/>
        </w:rPr>
        <w:t> </w:t>
      </w:r>
    </w:p>
    <w:p w:rsidR="008E2680" w:rsidRDefault="008E2680" w:rsidP="008E268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The project showed that the effect of operating an amplifier outside of its designed frequency range is clear: there is, at some point a significant reduction in gain once the frequency of the incident signal surpasses the intended operating frequency range of the amplifier circuit. This is likely due to a number of factors, although impedance mismatching is likely to have contributed. The use of two resistors to produce roughly 50Ωs on the output signal for a much lower resistance load likely caused an impedance mismatch, notwithstanding the lack of control of inductance through the use of an LC matching circuit.</w:t>
      </w:r>
      <w:r>
        <w:rPr>
          <w:rStyle w:val="eop"/>
          <w:rFonts w:ascii="Arial" w:eastAsiaTheme="majorEastAsia" w:hAnsi="Arial" w:cs="Arial"/>
        </w:rPr>
        <w:t> </w:t>
      </w:r>
    </w:p>
    <w:p w:rsidR="008E2680" w:rsidRDefault="008E2680" w:rsidP="008E268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xml:space="preserve">Due to time constraints in selecting ordering components, it was not possible to construct an additional impedance matching circuit with a number of inductors and capacitors to adjust the reactance component of the amplifier’s output impedance. This is likely reflected in the frequency response plotted in figure 8 which shows a significant decrease in signal gain following the harmonic at ~13MHz. It is possible that, had an impedance matching circuit been incorporated, the gain may have been improved in the upper half of the HF band. An impedance matching circuit may also have helped in tuning out the harmonics and gain </w:t>
      </w:r>
      <w:proofErr w:type="spellStart"/>
      <w:r>
        <w:rPr>
          <w:rStyle w:val="normaltextrun"/>
          <w:rFonts w:ascii="Arial" w:hAnsi="Arial" w:cs="Arial"/>
        </w:rPr>
        <w:t>anomolies</w:t>
      </w:r>
      <w:proofErr w:type="spellEnd"/>
      <w:r>
        <w:rPr>
          <w:rStyle w:val="normaltextrun"/>
          <w:rFonts w:ascii="Arial" w:hAnsi="Arial" w:cs="Arial"/>
        </w:rPr>
        <w:t xml:space="preserve"> by adjusting the resonant frequency of the circuit.</w:t>
      </w:r>
      <w:r>
        <w:rPr>
          <w:rStyle w:val="eop"/>
          <w:rFonts w:ascii="Arial" w:eastAsiaTheme="majorEastAsia" w:hAnsi="Arial" w:cs="Arial"/>
        </w:rPr>
        <w:t> </w:t>
      </w:r>
    </w:p>
    <w:p w:rsidR="008E2680" w:rsidRDefault="008E2680" w:rsidP="008E268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To develop the amplifier circuit and increase its complexity, schematics of basic operational amplifiers (op amps) could also be referred to and some of the design principles incorporated, such as the selection of transistors which are specifically tailored to higher operating frequencies. Further consideration could be taken into addressing feedback loop issues and resonance within the circuit, potentially through the use of smoothing capacitors and additional components to either move the fundamental frequency or additional external filtering.</w:t>
      </w:r>
      <w:r>
        <w:rPr>
          <w:rStyle w:val="eop"/>
          <w:rFonts w:ascii="Arial" w:eastAsiaTheme="majorEastAsia" w:hAnsi="Arial" w:cs="Arial"/>
        </w:rPr>
        <w:t> </w:t>
      </w:r>
    </w:p>
    <w:p w:rsidR="008E2680" w:rsidRPr="00AE3979" w:rsidRDefault="008E2680">
      <w:pPr>
        <w:rPr>
          <w:lang w:val="en-US"/>
        </w:rPr>
      </w:pPr>
      <w:bookmarkStart w:id="0" w:name="_GoBack"/>
      <w:bookmarkEnd w:id="0"/>
    </w:p>
    <w:sectPr w:rsidR="008E2680" w:rsidRPr="00AE397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16C57" w:rsidRDefault="00C16C57" w:rsidP="008D2CE6">
      <w:pPr>
        <w:spacing w:after="0" w:line="240" w:lineRule="auto"/>
      </w:pPr>
      <w:r>
        <w:separator/>
      </w:r>
    </w:p>
  </w:endnote>
  <w:endnote w:type="continuationSeparator" w:id="0">
    <w:p w:rsidR="00C16C57" w:rsidRDefault="00C16C57" w:rsidP="008D2C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16C57" w:rsidRDefault="00C16C57" w:rsidP="008D2CE6">
      <w:pPr>
        <w:spacing w:after="0" w:line="240" w:lineRule="auto"/>
      </w:pPr>
      <w:r>
        <w:separator/>
      </w:r>
    </w:p>
  </w:footnote>
  <w:footnote w:type="continuationSeparator" w:id="0">
    <w:p w:rsidR="00C16C57" w:rsidRDefault="00C16C57" w:rsidP="008D2CE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3979"/>
    <w:rsid w:val="00050FF1"/>
    <w:rsid w:val="000E4392"/>
    <w:rsid w:val="00137877"/>
    <w:rsid w:val="00167592"/>
    <w:rsid w:val="00170C3C"/>
    <w:rsid w:val="0028082D"/>
    <w:rsid w:val="00361C8D"/>
    <w:rsid w:val="003827D8"/>
    <w:rsid w:val="003A1352"/>
    <w:rsid w:val="00473E05"/>
    <w:rsid w:val="00474580"/>
    <w:rsid w:val="004A60B3"/>
    <w:rsid w:val="004B13AF"/>
    <w:rsid w:val="004C5E8F"/>
    <w:rsid w:val="005279F4"/>
    <w:rsid w:val="005474E3"/>
    <w:rsid w:val="005661FD"/>
    <w:rsid w:val="00570434"/>
    <w:rsid w:val="005D7CC9"/>
    <w:rsid w:val="005E5BD6"/>
    <w:rsid w:val="005F76F2"/>
    <w:rsid w:val="00786547"/>
    <w:rsid w:val="0080291E"/>
    <w:rsid w:val="00857F4E"/>
    <w:rsid w:val="008D2CE6"/>
    <w:rsid w:val="008E2680"/>
    <w:rsid w:val="00970017"/>
    <w:rsid w:val="009B47DB"/>
    <w:rsid w:val="00A10E25"/>
    <w:rsid w:val="00A627BA"/>
    <w:rsid w:val="00AE3979"/>
    <w:rsid w:val="00B04B4C"/>
    <w:rsid w:val="00B35FA0"/>
    <w:rsid w:val="00B614C6"/>
    <w:rsid w:val="00B71630"/>
    <w:rsid w:val="00B90E06"/>
    <w:rsid w:val="00BC7E3B"/>
    <w:rsid w:val="00C16C57"/>
    <w:rsid w:val="00C53F15"/>
    <w:rsid w:val="00C63AAD"/>
    <w:rsid w:val="00D2117D"/>
    <w:rsid w:val="00D27F5E"/>
    <w:rsid w:val="00D71B7E"/>
    <w:rsid w:val="00D814A3"/>
    <w:rsid w:val="00DD46CF"/>
    <w:rsid w:val="00E143E9"/>
    <w:rsid w:val="00E3153A"/>
    <w:rsid w:val="00E32A36"/>
    <w:rsid w:val="00E6776C"/>
    <w:rsid w:val="00E818CA"/>
    <w:rsid w:val="00ED268E"/>
    <w:rsid w:val="00ED51B5"/>
    <w:rsid w:val="00F71D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7F8C26"/>
  <w15:chartTrackingRefBased/>
  <w15:docId w15:val="{E6D780CB-FB0D-464A-8214-87DDA8A953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3F1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E6776C"/>
  </w:style>
  <w:style w:type="paragraph" w:styleId="FootnoteText">
    <w:name w:val="footnote text"/>
    <w:basedOn w:val="Normal"/>
    <w:link w:val="FootnoteTextChar"/>
    <w:uiPriority w:val="99"/>
    <w:semiHidden/>
    <w:unhideWhenUsed/>
    <w:rsid w:val="008D2CE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D2CE6"/>
    <w:rPr>
      <w:sz w:val="20"/>
      <w:szCs w:val="20"/>
    </w:rPr>
  </w:style>
  <w:style w:type="character" w:styleId="FootnoteReference">
    <w:name w:val="footnote reference"/>
    <w:basedOn w:val="DefaultParagraphFont"/>
    <w:uiPriority w:val="99"/>
    <w:semiHidden/>
    <w:unhideWhenUsed/>
    <w:rsid w:val="008D2CE6"/>
    <w:rPr>
      <w:vertAlign w:val="superscript"/>
    </w:rPr>
  </w:style>
  <w:style w:type="character" w:customStyle="1" w:styleId="Heading1Char">
    <w:name w:val="Heading 1 Char"/>
    <w:basedOn w:val="DefaultParagraphFont"/>
    <w:link w:val="Heading1"/>
    <w:uiPriority w:val="9"/>
    <w:rsid w:val="00C53F1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53F15"/>
  </w:style>
  <w:style w:type="paragraph" w:styleId="NoSpacing">
    <w:name w:val="No Spacing"/>
    <w:uiPriority w:val="1"/>
    <w:qFormat/>
    <w:rsid w:val="00D814A3"/>
    <w:pPr>
      <w:spacing w:after="0" w:line="240" w:lineRule="auto"/>
    </w:pPr>
  </w:style>
  <w:style w:type="paragraph" w:customStyle="1" w:styleId="paragraph">
    <w:name w:val="paragraph"/>
    <w:basedOn w:val="Normal"/>
    <w:rsid w:val="00F71D2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F71D22"/>
  </w:style>
  <w:style w:type="character" w:customStyle="1" w:styleId="contentcontrolboundarysink">
    <w:name w:val="contentcontrolboundarysink"/>
    <w:basedOn w:val="DefaultParagraphFont"/>
    <w:rsid w:val="00F71D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602217">
      <w:bodyDiv w:val="1"/>
      <w:marLeft w:val="0"/>
      <w:marRight w:val="0"/>
      <w:marTop w:val="0"/>
      <w:marBottom w:val="0"/>
      <w:divBdr>
        <w:top w:val="none" w:sz="0" w:space="0" w:color="auto"/>
        <w:left w:val="none" w:sz="0" w:space="0" w:color="auto"/>
        <w:bottom w:val="none" w:sz="0" w:space="0" w:color="auto"/>
        <w:right w:val="none" w:sz="0" w:space="0" w:color="auto"/>
      </w:divBdr>
    </w:div>
    <w:div w:id="97064445">
      <w:bodyDiv w:val="1"/>
      <w:marLeft w:val="0"/>
      <w:marRight w:val="0"/>
      <w:marTop w:val="0"/>
      <w:marBottom w:val="0"/>
      <w:divBdr>
        <w:top w:val="none" w:sz="0" w:space="0" w:color="auto"/>
        <w:left w:val="none" w:sz="0" w:space="0" w:color="auto"/>
        <w:bottom w:val="none" w:sz="0" w:space="0" w:color="auto"/>
        <w:right w:val="none" w:sz="0" w:space="0" w:color="auto"/>
      </w:divBdr>
    </w:div>
    <w:div w:id="215698696">
      <w:bodyDiv w:val="1"/>
      <w:marLeft w:val="0"/>
      <w:marRight w:val="0"/>
      <w:marTop w:val="0"/>
      <w:marBottom w:val="0"/>
      <w:divBdr>
        <w:top w:val="none" w:sz="0" w:space="0" w:color="auto"/>
        <w:left w:val="none" w:sz="0" w:space="0" w:color="auto"/>
        <w:bottom w:val="none" w:sz="0" w:space="0" w:color="auto"/>
        <w:right w:val="none" w:sz="0" w:space="0" w:color="auto"/>
      </w:divBdr>
    </w:div>
    <w:div w:id="222833478">
      <w:bodyDiv w:val="1"/>
      <w:marLeft w:val="0"/>
      <w:marRight w:val="0"/>
      <w:marTop w:val="0"/>
      <w:marBottom w:val="0"/>
      <w:divBdr>
        <w:top w:val="none" w:sz="0" w:space="0" w:color="auto"/>
        <w:left w:val="none" w:sz="0" w:space="0" w:color="auto"/>
        <w:bottom w:val="none" w:sz="0" w:space="0" w:color="auto"/>
        <w:right w:val="none" w:sz="0" w:space="0" w:color="auto"/>
      </w:divBdr>
    </w:div>
    <w:div w:id="285623527">
      <w:bodyDiv w:val="1"/>
      <w:marLeft w:val="0"/>
      <w:marRight w:val="0"/>
      <w:marTop w:val="0"/>
      <w:marBottom w:val="0"/>
      <w:divBdr>
        <w:top w:val="none" w:sz="0" w:space="0" w:color="auto"/>
        <w:left w:val="none" w:sz="0" w:space="0" w:color="auto"/>
        <w:bottom w:val="none" w:sz="0" w:space="0" w:color="auto"/>
        <w:right w:val="none" w:sz="0" w:space="0" w:color="auto"/>
      </w:divBdr>
    </w:div>
    <w:div w:id="316111676">
      <w:bodyDiv w:val="1"/>
      <w:marLeft w:val="0"/>
      <w:marRight w:val="0"/>
      <w:marTop w:val="0"/>
      <w:marBottom w:val="0"/>
      <w:divBdr>
        <w:top w:val="none" w:sz="0" w:space="0" w:color="auto"/>
        <w:left w:val="none" w:sz="0" w:space="0" w:color="auto"/>
        <w:bottom w:val="none" w:sz="0" w:space="0" w:color="auto"/>
        <w:right w:val="none" w:sz="0" w:space="0" w:color="auto"/>
      </w:divBdr>
    </w:div>
    <w:div w:id="318465957">
      <w:bodyDiv w:val="1"/>
      <w:marLeft w:val="0"/>
      <w:marRight w:val="0"/>
      <w:marTop w:val="0"/>
      <w:marBottom w:val="0"/>
      <w:divBdr>
        <w:top w:val="none" w:sz="0" w:space="0" w:color="auto"/>
        <w:left w:val="none" w:sz="0" w:space="0" w:color="auto"/>
        <w:bottom w:val="none" w:sz="0" w:space="0" w:color="auto"/>
        <w:right w:val="none" w:sz="0" w:space="0" w:color="auto"/>
      </w:divBdr>
      <w:divsChild>
        <w:div w:id="1415009742">
          <w:marLeft w:val="0"/>
          <w:marRight w:val="0"/>
          <w:marTop w:val="0"/>
          <w:marBottom w:val="0"/>
          <w:divBdr>
            <w:top w:val="none" w:sz="0" w:space="0" w:color="auto"/>
            <w:left w:val="none" w:sz="0" w:space="0" w:color="auto"/>
            <w:bottom w:val="none" w:sz="0" w:space="0" w:color="auto"/>
            <w:right w:val="none" w:sz="0" w:space="0" w:color="auto"/>
          </w:divBdr>
        </w:div>
        <w:div w:id="1817838742">
          <w:marLeft w:val="0"/>
          <w:marRight w:val="0"/>
          <w:marTop w:val="0"/>
          <w:marBottom w:val="0"/>
          <w:divBdr>
            <w:top w:val="none" w:sz="0" w:space="0" w:color="auto"/>
            <w:left w:val="none" w:sz="0" w:space="0" w:color="auto"/>
            <w:bottom w:val="none" w:sz="0" w:space="0" w:color="auto"/>
            <w:right w:val="none" w:sz="0" w:space="0" w:color="auto"/>
          </w:divBdr>
        </w:div>
        <w:div w:id="2060085356">
          <w:marLeft w:val="0"/>
          <w:marRight w:val="0"/>
          <w:marTop w:val="0"/>
          <w:marBottom w:val="0"/>
          <w:divBdr>
            <w:top w:val="none" w:sz="0" w:space="0" w:color="auto"/>
            <w:left w:val="none" w:sz="0" w:space="0" w:color="auto"/>
            <w:bottom w:val="none" w:sz="0" w:space="0" w:color="auto"/>
            <w:right w:val="none" w:sz="0" w:space="0" w:color="auto"/>
          </w:divBdr>
        </w:div>
      </w:divsChild>
    </w:div>
    <w:div w:id="461462307">
      <w:bodyDiv w:val="1"/>
      <w:marLeft w:val="0"/>
      <w:marRight w:val="0"/>
      <w:marTop w:val="0"/>
      <w:marBottom w:val="0"/>
      <w:divBdr>
        <w:top w:val="none" w:sz="0" w:space="0" w:color="auto"/>
        <w:left w:val="none" w:sz="0" w:space="0" w:color="auto"/>
        <w:bottom w:val="none" w:sz="0" w:space="0" w:color="auto"/>
        <w:right w:val="none" w:sz="0" w:space="0" w:color="auto"/>
      </w:divBdr>
    </w:div>
    <w:div w:id="463619178">
      <w:bodyDiv w:val="1"/>
      <w:marLeft w:val="0"/>
      <w:marRight w:val="0"/>
      <w:marTop w:val="0"/>
      <w:marBottom w:val="0"/>
      <w:divBdr>
        <w:top w:val="none" w:sz="0" w:space="0" w:color="auto"/>
        <w:left w:val="none" w:sz="0" w:space="0" w:color="auto"/>
        <w:bottom w:val="none" w:sz="0" w:space="0" w:color="auto"/>
        <w:right w:val="none" w:sz="0" w:space="0" w:color="auto"/>
      </w:divBdr>
    </w:div>
    <w:div w:id="467089003">
      <w:bodyDiv w:val="1"/>
      <w:marLeft w:val="0"/>
      <w:marRight w:val="0"/>
      <w:marTop w:val="0"/>
      <w:marBottom w:val="0"/>
      <w:divBdr>
        <w:top w:val="none" w:sz="0" w:space="0" w:color="auto"/>
        <w:left w:val="none" w:sz="0" w:space="0" w:color="auto"/>
        <w:bottom w:val="none" w:sz="0" w:space="0" w:color="auto"/>
        <w:right w:val="none" w:sz="0" w:space="0" w:color="auto"/>
      </w:divBdr>
    </w:div>
    <w:div w:id="489101285">
      <w:bodyDiv w:val="1"/>
      <w:marLeft w:val="0"/>
      <w:marRight w:val="0"/>
      <w:marTop w:val="0"/>
      <w:marBottom w:val="0"/>
      <w:divBdr>
        <w:top w:val="none" w:sz="0" w:space="0" w:color="auto"/>
        <w:left w:val="none" w:sz="0" w:space="0" w:color="auto"/>
        <w:bottom w:val="none" w:sz="0" w:space="0" w:color="auto"/>
        <w:right w:val="none" w:sz="0" w:space="0" w:color="auto"/>
      </w:divBdr>
    </w:div>
    <w:div w:id="518545104">
      <w:bodyDiv w:val="1"/>
      <w:marLeft w:val="0"/>
      <w:marRight w:val="0"/>
      <w:marTop w:val="0"/>
      <w:marBottom w:val="0"/>
      <w:divBdr>
        <w:top w:val="none" w:sz="0" w:space="0" w:color="auto"/>
        <w:left w:val="none" w:sz="0" w:space="0" w:color="auto"/>
        <w:bottom w:val="none" w:sz="0" w:space="0" w:color="auto"/>
        <w:right w:val="none" w:sz="0" w:space="0" w:color="auto"/>
      </w:divBdr>
    </w:div>
    <w:div w:id="526337943">
      <w:bodyDiv w:val="1"/>
      <w:marLeft w:val="0"/>
      <w:marRight w:val="0"/>
      <w:marTop w:val="0"/>
      <w:marBottom w:val="0"/>
      <w:divBdr>
        <w:top w:val="none" w:sz="0" w:space="0" w:color="auto"/>
        <w:left w:val="none" w:sz="0" w:space="0" w:color="auto"/>
        <w:bottom w:val="none" w:sz="0" w:space="0" w:color="auto"/>
        <w:right w:val="none" w:sz="0" w:space="0" w:color="auto"/>
      </w:divBdr>
    </w:div>
    <w:div w:id="609317408">
      <w:bodyDiv w:val="1"/>
      <w:marLeft w:val="0"/>
      <w:marRight w:val="0"/>
      <w:marTop w:val="0"/>
      <w:marBottom w:val="0"/>
      <w:divBdr>
        <w:top w:val="none" w:sz="0" w:space="0" w:color="auto"/>
        <w:left w:val="none" w:sz="0" w:space="0" w:color="auto"/>
        <w:bottom w:val="none" w:sz="0" w:space="0" w:color="auto"/>
        <w:right w:val="none" w:sz="0" w:space="0" w:color="auto"/>
      </w:divBdr>
    </w:div>
    <w:div w:id="636568003">
      <w:bodyDiv w:val="1"/>
      <w:marLeft w:val="0"/>
      <w:marRight w:val="0"/>
      <w:marTop w:val="0"/>
      <w:marBottom w:val="0"/>
      <w:divBdr>
        <w:top w:val="none" w:sz="0" w:space="0" w:color="auto"/>
        <w:left w:val="none" w:sz="0" w:space="0" w:color="auto"/>
        <w:bottom w:val="none" w:sz="0" w:space="0" w:color="auto"/>
        <w:right w:val="none" w:sz="0" w:space="0" w:color="auto"/>
      </w:divBdr>
      <w:divsChild>
        <w:div w:id="1957129910">
          <w:marLeft w:val="0"/>
          <w:marRight w:val="0"/>
          <w:marTop w:val="0"/>
          <w:marBottom w:val="0"/>
          <w:divBdr>
            <w:top w:val="none" w:sz="0" w:space="0" w:color="auto"/>
            <w:left w:val="none" w:sz="0" w:space="0" w:color="auto"/>
            <w:bottom w:val="none" w:sz="0" w:space="0" w:color="auto"/>
            <w:right w:val="none" w:sz="0" w:space="0" w:color="auto"/>
          </w:divBdr>
        </w:div>
        <w:div w:id="1701322821">
          <w:marLeft w:val="0"/>
          <w:marRight w:val="0"/>
          <w:marTop w:val="0"/>
          <w:marBottom w:val="0"/>
          <w:divBdr>
            <w:top w:val="none" w:sz="0" w:space="0" w:color="auto"/>
            <w:left w:val="none" w:sz="0" w:space="0" w:color="auto"/>
            <w:bottom w:val="none" w:sz="0" w:space="0" w:color="auto"/>
            <w:right w:val="none" w:sz="0" w:space="0" w:color="auto"/>
          </w:divBdr>
        </w:div>
        <w:div w:id="2001619430">
          <w:marLeft w:val="0"/>
          <w:marRight w:val="0"/>
          <w:marTop w:val="0"/>
          <w:marBottom w:val="0"/>
          <w:divBdr>
            <w:top w:val="none" w:sz="0" w:space="0" w:color="auto"/>
            <w:left w:val="none" w:sz="0" w:space="0" w:color="auto"/>
            <w:bottom w:val="none" w:sz="0" w:space="0" w:color="auto"/>
            <w:right w:val="none" w:sz="0" w:space="0" w:color="auto"/>
          </w:divBdr>
        </w:div>
        <w:div w:id="191578371">
          <w:marLeft w:val="0"/>
          <w:marRight w:val="0"/>
          <w:marTop w:val="0"/>
          <w:marBottom w:val="0"/>
          <w:divBdr>
            <w:top w:val="none" w:sz="0" w:space="0" w:color="auto"/>
            <w:left w:val="none" w:sz="0" w:space="0" w:color="auto"/>
            <w:bottom w:val="none" w:sz="0" w:space="0" w:color="auto"/>
            <w:right w:val="none" w:sz="0" w:space="0" w:color="auto"/>
          </w:divBdr>
        </w:div>
      </w:divsChild>
    </w:div>
    <w:div w:id="697778142">
      <w:bodyDiv w:val="1"/>
      <w:marLeft w:val="0"/>
      <w:marRight w:val="0"/>
      <w:marTop w:val="0"/>
      <w:marBottom w:val="0"/>
      <w:divBdr>
        <w:top w:val="none" w:sz="0" w:space="0" w:color="auto"/>
        <w:left w:val="none" w:sz="0" w:space="0" w:color="auto"/>
        <w:bottom w:val="none" w:sz="0" w:space="0" w:color="auto"/>
        <w:right w:val="none" w:sz="0" w:space="0" w:color="auto"/>
      </w:divBdr>
    </w:div>
    <w:div w:id="724566756">
      <w:bodyDiv w:val="1"/>
      <w:marLeft w:val="0"/>
      <w:marRight w:val="0"/>
      <w:marTop w:val="0"/>
      <w:marBottom w:val="0"/>
      <w:divBdr>
        <w:top w:val="none" w:sz="0" w:space="0" w:color="auto"/>
        <w:left w:val="none" w:sz="0" w:space="0" w:color="auto"/>
        <w:bottom w:val="none" w:sz="0" w:space="0" w:color="auto"/>
        <w:right w:val="none" w:sz="0" w:space="0" w:color="auto"/>
      </w:divBdr>
    </w:div>
    <w:div w:id="731388494">
      <w:bodyDiv w:val="1"/>
      <w:marLeft w:val="0"/>
      <w:marRight w:val="0"/>
      <w:marTop w:val="0"/>
      <w:marBottom w:val="0"/>
      <w:divBdr>
        <w:top w:val="none" w:sz="0" w:space="0" w:color="auto"/>
        <w:left w:val="none" w:sz="0" w:space="0" w:color="auto"/>
        <w:bottom w:val="none" w:sz="0" w:space="0" w:color="auto"/>
        <w:right w:val="none" w:sz="0" w:space="0" w:color="auto"/>
      </w:divBdr>
    </w:div>
    <w:div w:id="756514539">
      <w:bodyDiv w:val="1"/>
      <w:marLeft w:val="0"/>
      <w:marRight w:val="0"/>
      <w:marTop w:val="0"/>
      <w:marBottom w:val="0"/>
      <w:divBdr>
        <w:top w:val="none" w:sz="0" w:space="0" w:color="auto"/>
        <w:left w:val="none" w:sz="0" w:space="0" w:color="auto"/>
        <w:bottom w:val="none" w:sz="0" w:space="0" w:color="auto"/>
        <w:right w:val="none" w:sz="0" w:space="0" w:color="auto"/>
      </w:divBdr>
      <w:divsChild>
        <w:div w:id="59403745">
          <w:marLeft w:val="0"/>
          <w:marRight w:val="0"/>
          <w:marTop w:val="0"/>
          <w:marBottom w:val="0"/>
          <w:divBdr>
            <w:top w:val="none" w:sz="0" w:space="0" w:color="auto"/>
            <w:left w:val="none" w:sz="0" w:space="0" w:color="auto"/>
            <w:bottom w:val="none" w:sz="0" w:space="0" w:color="auto"/>
            <w:right w:val="none" w:sz="0" w:space="0" w:color="auto"/>
          </w:divBdr>
        </w:div>
        <w:div w:id="132917871">
          <w:marLeft w:val="0"/>
          <w:marRight w:val="0"/>
          <w:marTop w:val="0"/>
          <w:marBottom w:val="0"/>
          <w:divBdr>
            <w:top w:val="none" w:sz="0" w:space="0" w:color="auto"/>
            <w:left w:val="none" w:sz="0" w:space="0" w:color="auto"/>
            <w:bottom w:val="none" w:sz="0" w:space="0" w:color="auto"/>
            <w:right w:val="none" w:sz="0" w:space="0" w:color="auto"/>
          </w:divBdr>
        </w:div>
        <w:div w:id="2060589050">
          <w:marLeft w:val="0"/>
          <w:marRight w:val="0"/>
          <w:marTop w:val="0"/>
          <w:marBottom w:val="0"/>
          <w:divBdr>
            <w:top w:val="none" w:sz="0" w:space="0" w:color="auto"/>
            <w:left w:val="none" w:sz="0" w:space="0" w:color="auto"/>
            <w:bottom w:val="none" w:sz="0" w:space="0" w:color="auto"/>
            <w:right w:val="none" w:sz="0" w:space="0" w:color="auto"/>
          </w:divBdr>
        </w:div>
        <w:div w:id="1807317437">
          <w:marLeft w:val="0"/>
          <w:marRight w:val="0"/>
          <w:marTop w:val="0"/>
          <w:marBottom w:val="0"/>
          <w:divBdr>
            <w:top w:val="none" w:sz="0" w:space="0" w:color="auto"/>
            <w:left w:val="none" w:sz="0" w:space="0" w:color="auto"/>
            <w:bottom w:val="none" w:sz="0" w:space="0" w:color="auto"/>
            <w:right w:val="none" w:sz="0" w:space="0" w:color="auto"/>
          </w:divBdr>
        </w:div>
        <w:div w:id="2064331659">
          <w:marLeft w:val="0"/>
          <w:marRight w:val="0"/>
          <w:marTop w:val="0"/>
          <w:marBottom w:val="0"/>
          <w:divBdr>
            <w:top w:val="none" w:sz="0" w:space="0" w:color="auto"/>
            <w:left w:val="none" w:sz="0" w:space="0" w:color="auto"/>
            <w:bottom w:val="none" w:sz="0" w:space="0" w:color="auto"/>
            <w:right w:val="none" w:sz="0" w:space="0" w:color="auto"/>
          </w:divBdr>
        </w:div>
        <w:div w:id="1893346254">
          <w:marLeft w:val="0"/>
          <w:marRight w:val="0"/>
          <w:marTop w:val="0"/>
          <w:marBottom w:val="0"/>
          <w:divBdr>
            <w:top w:val="none" w:sz="0" w:space="0" w:color="auto"/>
            <w:left w:val="none" w:sz="0" w:space="0" w:color="auto"/>
            <w:bottom w:val="none" w:sz="0" w:space="0" w:color="auto"/>
            <w:right w:val="none" w:sz="0" w:space="0" w:color="auto"/>
          </w:divBdr>
        </w:div>
        <w:div w:id="549070015">
          <w:marLeft w:val="0"/>
          <w:marRight w:val="0"/>
          <w:marTop w:val="0"/>
          <w:marBottom w:val="0"/>
          <w:divBdr>
            <w:top w:val="none" w:sz="0" w:space="0" w:color="auto"/>
            <w:left w:val="none" w:sz="0" w:space="0" w:color="auto"/>
            <w:bottom w:val="none" w:sz="0" w:space="0" w:color="auto"/>
            <w:right w:val="none" w:sz="0" w:space="0" w:color="auto"/>
          </w:divBdr>
        </w:div>
        <w:div w:id="1370452978">
          <w:marLeft w:val="0"/>
          <w:marRight w:val="0"/>
          <w:marTop w:val="0"/>
          <w:marBottom w:val="0"/>
          <w:divBdr>
            <w:top w:val="none" w:sz="0" w:space="0" w:color="auto"/>
            <w:left w:val="none" w:sz="0" w:space="0" w:color="auto"/>
            <w:bottom w:val="none" w:sz="0" w:space="0" w:color="auto"/>
            <w:right w:val="none" w:sz="0" w:space="0" w:color="auto"/>
          </w:divBdr>
        </w:div>
        <w:div w:id="1149638447">
          <w:marLeft w:val="0"/>
          <w:marRight w:val="0"/>
          <w:marTop w:val="0"/>
          <w:marBottom w:val="0"/>
          <w:divBdr>
            <w:top w:val="none" w:sz="0" w:space="0" w:color="auto"/>
            <w:left w:val="none" w:sz="0" w:space="0" w:color="auto"/>
            <w:bottom w:val="none" w:sz="0" w:space="0" w:color="auto"/>
            <w:right w:val="none" w:sz="0" w:space="0" w:color="auto"/>
          </w:divBdr>
        </w:div>
        <w:div w:id="1739590225">
          <w:marLeft w:val="0"/>
          <w:marRight w:val="0"/>
          <w:marTop w:val="0"/>
          <w:marBottom w:val="0"/>
          <w:divBdr>
            <w:top w:val="none" w:sz="0" w:space="0" w:color="auto"/>
            <w:left w:val="none" w:sz="0" w:space="0" w:color="auto"/>
            <w:bottom w:val="none" w:sz="0" w:space="0" w:color="auto"/>
            <w:right w:val="none" w:sz="0" w:space="0" w:color="auto"/>
          </w:divBdr>
        </w:div>
        <w:div w:id="1158420647">
          <w:marLeft w:val="0"/>
          <w:marRight w:val="0"/>
          <w:marTop w:val="0"/>
          <w:marBottom w:val="0"/>
          <w:divBdr>
            <w:top w:val="none" w:sz="0" w:space="0" w:color="auto"/>
            <w:left w:val="none" w:sz="0" w:space="0" w:color="auto"/>
            <w:bottom w:val="none" w:sz="0" w:space="0" w:color="auto"/>
            <w:right w:val="none" w:sz="0" w:space="0" w:color="auto"/>
          </w:divBdr>
        </w:div>
        <w:div w:id="1168247778">
          <w:marLeft w:val="0"/>
          <w:marRight w:val="0"/>
          <w:marTop w:val="0"/>
          <w:marBottom w:val="0"/>
          <w:divBdr>
            <w:top w:val="none" w:sz="0" w:space="0" w:color="auto"/>
            <w:left w:val="none" w:sz="0" w:space="0" w:color="auto"/>
            <w:bottom w:val="none" w:sz="0" w:space="0" w:color="auto"/>
            <w:right w:val="none" w:sz="0" w:space="0" w:color="auto"/>
          </w:divBdr>
        </w:div>
        <w:div w:id="1811054105">
          <w:marLeft w:val="0"/>
          <w:marRight w:val="0"/>
          <w:marTop w:val="0"/>
          <w:marBottom w:val="0"/>
          <w:divBdr>
            <w:top w:val="none" w:sz="0" w:space="0" w:color="auto"/>
            <w:left w:val="none" w:sz="0" w:space="0" w:color="auto"/>
            <w:bottom w:val="none" w:sz="0" w:space="0" w:color="auto"/>
            <w:right w:val="none" w:sz="0" w:space="0" w:color="auto"/>
          </w:divBdr>
        </w:div>
      </w:divsChild>
    </w:div>
    <w:div w:id="762144807">
      <w:bodyDiv w:val="1"/>
      <w:marLeft w:val="0"/>
      <w:marRight w:val="0"/>
      <w:marTop w:val="0"/>
      <w:marBottom w:val="0"/>
      <w:divBdr>
        <w:top w:val="none" w:sz="0" w:space="0" w:color="auto"/>
        <w:left w:val="none" w:sz="0" w:space="0" w:color="auto"/>
        <w:bottom w:val="none" w:sz="0" w:space="0" w:color="auto"/>
        <w:right w:val="none" w:sz="0" w:space="0" w:color="auto"/>
      </w:divBdr>
    </w:div>
    <w:div w:id="873032046">
      <w:bodyDiv w:val="1"/>
      <w:marLeft w:val="0"/>
      <w:marRight w:val="0"/>
      <w:marTop w:val="0"/>
      <w:marBottom w:val="0"/>
      <w:divBdr>
        <w:top w:val="none" w:sz="0" w:space="0" w:color="auto"/>
        <w:left w:val="none" w:sz="0" w:space="0" w:color="auto"/>
        <w:bottom w:val="none" w:sz="0" w:space="0" w:color="auto"/>
        <w:right w:val="none" w:sz="0" w:space="0" w:color="auto"/>
      </w:divBdr>
    </w:div>
    <w:div w:id="889268921">
      <w:bodyDiv w:val="1"/>
      <w:marLeft w:val="0"/>
      <w:marRight w:val="0"/>
      <w:marTop w:val="0"/>
      <w:marBottom w:val="0"/>
      <w:divBdr>
        <w:top w:val="none" w:sz="0" w:space="0" w:color="auto"/>
        <w:left w:val="none" w:sz="0" w:space="0" w:color="auto"/>
        <w:bottom w:val="none" w:sz="0" w:space="0" w:color="auto"/>
        <w:right w:val="none" w:sz="0" w:space="0" w:color="auto"/>
      </w:divBdr>
    </w:div>
    <w:div w:id="947809551">
      <w:bodyDiv w:val="1"/>
      <w:marLeft w:val="0"/>
      <w:marRight w:val="0"/>
      <w:marTop w:val="0"/>
      <w:marBottom w:val="0"/>
      <w:divBdr>
        <w:top w:val="none" w:sz="0" w:space="0" w:color="auto"/>
        <w:left w:val="none" w:sz="0" w:space="0" w:color="auto"/>
        <w:bottom w:val="none" w:sz="0" w:space="0" w:color="auto"/>
        <w:right w:val="none" w:sz="0" w:space="0" w:color="auto"/>
      </w:divBdr>
    </w:div>
    <w:div w:id="955330297">
      <w:bodyDiv w:val="1"/>
      <w:marLeft w:val="0"/>
      <w:marRight w:val="0"/>
      <w:marTop w:val="0"/>
      <w:marBottom w:val="0"/>
      <w:divBdr>
        <w:top w:val="none" w:sz="0" w:space="0" w:color="auto"/>
        <w:left w:val="none" w:sz="0" w:space="0" w:color="auto"/>
        <w:bottom w:val="none" w:sz="0" w:space="0" w:color="auto"/>
        <w:right w:val="none" w:sz="0" w:space="0" w:color="auto"/>
      </w:divBdr>
    </w:div>
    <w:div w:id="973801611">
      <w:bodyDiv w:val="1"/>
      <w:marLeft w:val="0"/>
      <w:marRight w:val="0"/>
      <w:marTop w:val="0"/>
      <w:marBottom w:val="0"/>
      <w:divBdr>
        <w:top w:val="none" w:sz="0" w:space="0" w:color="auto"/>
        <w:left w:val="none" w:sz="0" w:space="0" w:color="auto"/>
        <w:bottom w:val="none" w:sz="0" w:space="0" w:color="auto"/>
        <w:right w:val="none" w:sz="0" w:space="0" w:color="auto"/>
      </w:divBdr>
      <w:divsChild>
        <w:div w:id="594897675">
          <w:marLeft w:val="0"/>
          <w:marRight w:val="0"/>
          <w:marTop w:val="0"/>
          <w:marBottom w:val="0"/>
          <w:divBdr>
            <w:top w:val="none" w:sz="0" w:space="0" w:color="auto"/>
            <w:left w:val="none" w:sz="0" w:space="0" w:color="auto"/>
            <w:bottom w:val="none" w:sz="0" w:space="0" w:color="auto"/>
            <w:right w:val="none" w:sz="0" w:space="0" w:color="auto"/>
          </w:divBdr>
        </w:div>
        <w:div w:id="756250410">
          <w:marLeft w:val="0"/>
          <w:marRight w:val="0"/>
          <w:marTop w:val="0"/>
          <w:marBottom w:val="0"/>
          <w:divBdr>
            <w:top w:val="none" w:sz="0" w:space="0" w:color="auto"/>
            <w:left w:val="none" w:sz="0" w:space="0" w:color="auto"/>
            <w:bottom w:val="none" w:sz="0" w:space="0" w:color="auto"/>
            <w:right w:val="none" w:sz="0" w:space="0" w:color="auto"/>
          </w:divBdr>
        </w:div>
      </w:divsChild>
    </w:div>
    <w:div w:id="975917518">
      <w:bodyDiv w:val="1"/>
      <w:marLeft w:val="0"/>
      <w:marRight w:val="0"/>
      <w:marTop w:val="0"/>
      <w:marBottom w:val="0"/>
      <w:divBdr>
        <w:top w:val="none" w:sz="0" w:space="0" w:color="auto"/>
        <w:left w:val="none" w:sz="0" w:space="0" w:color="auto"/>
        <w:bottom w:val="none" w:sz="0" w:space="0" w:color="auto"/>
        <w:right w:val="none" w:sz="0" w:space="0" w:color="auto"/>
      </w:divBdr>
    </w:div>
    <w:div w:id="1024862418">
      <w:bodyDiv w:val="1"/>
      <w:marLeft w:val="0"/>
      <w:marRight w:val="0"/>
      <w:marTop w:val="0"/>
      <w:marBottom w:val="0"/>
      <w:divBdr>
        <w:top w:val="none" w:sz="0" w:space="0" w:color="auto"/>
        <w:left w:val="none" w:sz="0" w:space="0" w:color="auto"/>
        <w:bottom w:val="none" w:sz="0" w:space="0" w:color="auto"/>
        <w:right w:val="none" w:sz="0" w:space="0" w:color="auto"/>
      </w:divBdr>
    </w:div>
    <w:div w:id="1074473935">
      <w:bodyDiv w:val="1"/>
      <w:marLeft w:val="0"/>
      <w:marRight w:val="0"/>
      <w:marTop w:val="0"/>
      <w:marBottom w:val="0"/>
      <w:divBdr>
        <w:top w:val="none" w:sz="0" w:space="0" w:color="auto"/>
        <w:left w:val="none" w:sz="0" w:space="0" w:color="auto"/>
        <w:bottom w:val="none" w:sz="0" w:space="0" w:color="auto"/>
        <w:right w:val="none" w:sz="0" w:space="0" w:color="auto"/>
      </w:divBdr>
    </w:div>
    <w:div w:id="1089473550">
      <w:bodyDiv w:val="1"/>
      <w:marLeft w:val="0"/>
      <w:marRight w:val="0"/>
      <w:marTop w:val="0"/>
      <w:marBottom w:val="0"/>
      <w:divBdr>
        <w:top w:val="none" w:sz="0" w:space="0" w:color="auto"/>
        <w:left w:val="none" w:sz="0" w:space="0" w:color="auto"/>
        <w:bottom w:val="none" w:sz="0" w:space="0" w:color="auto"/>
        <w:right w:val="none" w:sz="0" w:space="0" w:color="auto"/>
      </w:divBdr>
    </w:div>
    <w:div w:id="1174371709">
      <w:bodyDiv w:val="1"/>
      <w:marLeft w:val="0"/>
      <w:marRight w:val="0"/>
      <w:marTop w:val="0"/>
      <w:marBottom w:val="0"/>
      <w:divBdr>
        <w:top w:val="none" w:sz="0" w:space="0" w:color="auto"/>
        <w:left w:val="none" w:sz="0" w:space="0" w:color="auto"/>
        <w:bottom w:val="none" w:sz="0" w:space="0" w:color="auto"/>
        <w:right w:val="none" w:sz="0" w:space="0" w:color="auto"/>
      </w:divBdr>
    </w:div>
    <w:div w:id="1209606496">
      <w:bodyDiv w:val="1"/>
      <w:marLeft w:val="0"/>
      <w:marRight w:val="0"/>
      <w:marTop w:val="0"/>
      <w:marBottom w:val="0"/>
      <w:divBdr>
        <w:top w:val="none" w:sz="0" w:space="0" w:color="auto"/>
        <w:left w:val="none" w:sz="0" w:space="0" w:color="auto"/>
        <w:bottom w:val="none" w:sz="0" w:space="0" w:color="auto"/>
        <w:right w:val="none" w:sz="0" w:space="0" w:color="auto"/>
      </w:divBdr>
    </w:div>
    <w:div w:id="1264415789">
      <w:bodyDiv w:val="1"/>
      <w:marLeft w:val="0"/>
      <w:marRight w:val="0"/>
      <w:marTop w:val="0"/>
      <w:marBottom w:val="0"/>
      <w:divBdr>
        <w:top w:val="none" w:sz="0" w:space="0" w:color="auto"/>
        <w:left w:val="none" w:sz="0" w:space="0" w:color="auto"/>
        <w:bottom w:val="none" w:sz="0" w:space="0" w:color="auto"/>
        <w:right w:val="none" w:sz="0" w:space="0" w:color="auto"/>
      </w:divBdr>
    </w:div>
    <w:div w:id="1400403563">
      <w:bodyDiv w:val="1"/>
      <w:marLeft w:val="0"/>
      <w:marRight w:val="0"/>
      <w:marTop w:val="0"/>
      <w:marBottom w:val="0"/>
      <w:divBdr>
        <w:top w:val="none" w:sz="0" w:space="0" w:color="auto"/>
        <w:left w:val="none" w:sz="0" w:space="0" w:color="auto"/>
        <w:bottom w:val="none" w:sz="0" w:space="0" w:color="auto"/>
        <w:right w:val="none" w:sz="0" w:space="0" w:color="auto"/>
      </w:divBdr>
    </w:div>
    <w:div w:id="1423993701">
      <w:bodyDiv w:val="1"/>
      <w:marLeft w:val="0"/>
      <w:marRight w:val="0"/>
      <w:marTop w:val="0"/>
      <w:marBottom w:val="0"/>
      <w:divBdr>
        <w:top w:val="none" w:sz="0" w:space="0" w:color="auto"/>
        <w:left w:val="none" w:sz="0" w:space="0" w:color="auto"/>
        <w:bottom w:val="none" w:sz="0" w:space="0" w:color="auto"/>
        <w:right w:val="none" w:sz="0" w:space="0" w:color="auto"/>
      </w:divBdr>
    </w:div>
    <w:div w:id="1428036446">
      <w:bodyDiv w:val="1"/>
      <w:marLeft w:val="0"/>
      <w:marRight w:val="0"/>
      <w:marTop w:val="0"/>
      <w:marBottom w:val="0"/>
      <w:divBdr>
        <w:top w:val="none" w:sz="0" w:space="0" w:color="auto"/>
        <w:left w:val="none" w:sz="0" w:space="0" w:color="auto"/>
        <w:bottom w:val="none" w:sz="0" w:space="0" w:color="auto"/>
        <w:right w:val="none" w:sz="0" w:space="0" w:color="auto"/>
      </w:divBdr>
    </w:div>
    <w:div w:id="1649246138">
      <w:bodyDiv w:val="1"/>
      <w:marLeft w:val="0"/>
      <w:marRight w:val="0"/>
      <w:marTop w:val="0"/>
      <w:marBottom w:val="0"/>
      <w:divBdr>
        <w:top w:val="none" w:sz="0" w:space="0" w:color="auto"/>
        <w:left w:val="none" w:sz="0" w:space="0" w:color="auto"/>
        <w:bottom w:val="none" w:sz="0" w:space="0" w:color="auto"/>
        <w:right w:val="none" w:sz="0" w:space="0" w:color="auto"/>
      </w:divBdr>
    </w:div>
    <w:div w:id="1692487046">
      <w:bodyDiv w:val="1"/>
      <w:marLeft w:val="0"/>
      <w:marRight w:val="0"/>
      <w:marTop w:val="0"/>
      <w:marBottom w:val="0"/>
      <w:divBdr>
        <w:top w:val="none" w:sz="0" w:space="0" w:color="auto"/>
        <w:left w:val="none" w:sz="0" w:space="0" w:color="auto"/>
        <w:bottom w:val="none" w:sz="0" w:space="0" w:color="auto"/>
        <w:right w:val="none" w:sz="0" w:space="0" w:color="auto"/>
      </w:divBdr>
    </w:div>
    <w:div w:id="1717125232">
      <w:bodyDiv w:val="1"/>
      <w:marLeft w:val="0"/>
      <w:marRight w:val="0"/>
      <w:marTop w:val="0"/>
      <w:marBottom w:val="0"/>
      <w:divBdr>
        <w:top w:val="none" w:sz="0" w:space="0" w:color="auto"/>
        <w:left w:val="none" w:sz="0" w:space="0" w:color="auto"/>
        <w:bottom w:val="none" w:sz="0" w:space="0" w:color="auto"/>
        <w:right w:val="none" w:sz="0" w:space="0" w:color="auto"/>
      </w:divBdr>
    </w:div>
    <w:div w:id="1733239129">
      <w:bodyDiv w:val="1"/>
      <w:marLeft w:val="0"/>
      <w:marRight w:val="0"/>
      <w:marTop w:val="0"/>
      <w:marBottom w:val="0"/>
      <w:divBdr>
        <w:top w:val="none" w:sz="0" w:space="0" w:color="auto"/>
        <w:left w:val="none" w:sz="0" w:space="0" w:color="auto"/>
        <w:bottom w:val="none" w:sz="0" w:space="0" w:color="auto"/>
        <w:right w:val="none" w:sz="0" w:space="0" w:color="auto"/>
      </w:divBdr>
    </w:div>
    <w:div w:id="1801721610">
      <w:bodyDiv w:val="1"/>
      <w:marLeft w:val="0"/>
      <w:marRight w:val="0"/>
      <w:marTop w:val="0"/>
      <w:marBottom w:val="0"/>
      <w:divBdr>
        <w:top w:val="none" w:sz="0" w:space="0" w:color="auto"/>
        <w:left w:val="none" w:sz="0" w:space="0" w:color="auto"/>
        <w:bottom w:val="none" w:sz="0" w:space="0" w:color="auto"/>
        <w:right w:val="none" w:sz="0" w:space="0" w:color="auto"/>
      </w:divBdr>
    </w:div>
    <w:div w:id="1829132615">
      <w:bodyDiv w:val="1"/>
      <w:marLeft w:val="0"/>
      <w:marRight w:val="0"/>
      <w:marTop w:val="0"/>
      <w:marBottom w:val="0"/>
      <w:divBdr>
        <w:top w:val="none" w:sz="0" w:space="0" w:color="auto"/>
        <w:left w:val="none" w:sz="0" w:space="0" w:color="auto"/>
        <w:bottom w:val="none" w:sz="0" w:space="0" w:color="auto"/>
        <w:right w:val="none" w:sz="0" w:space="0" w:color="auto"/>
      </w:divBdr>
    </w:div>
    <w:div w:id="1841039219">
      <w:bodyDiv w:val="1"/>
      <w:marLeft w:val="0"/>
      <w:marRight w:val="0"/>
      <w:marTop w:val="0"/>
      <w:marBottom w:val="0"/>
      <w:divBdr>
        <w:top w:val="none" w:sz="0" w:space="0" w:color="auto"/>
        <w:left w:val="none" w:sz="0" w:space="0" w:color="auto"/>
        <w:bottom w:val="none" w:sz="0" w:space="0" w:color="auto"/>
        <w:right w:val="none" w:sz="0" w:space="0" w:color="auto"/>
      </w:divBdr>
    </w:div>
    <w:div w:id="1847547897">
      <w:bodyDiv w:val="1"/>
      <w:marLeft w:val="0"/>
      <w:marRight w:val="0"/>
      <w:marTop w:val="0"/>
      <w:marBottom w:val="0"/>
      <w:divBdr>
        <w:top w:val="none" w:sz="0" w:space="0" w:color="auto"/>
        <w:left w:val="none" w:sz="0" w:space="0" w:color="auto"/>
        <w:bottom w:val="none" w:sz="0" w:space="0" w:color="auto"/>
        <w:right w:val="none" w:sz="0" w:space="0" w:color="auto"/>
      </w:divBdr>
    </w:div>
    <w:div w:id="1935820229">
      <w:bodyDiv w:val="1"/>
      <w:marLeft w:val="0"/>
      <w:marRight w:val="0"/>
      <w:marTop w:val="0"/>
      <w:marBottom w:val="0"/>
      <w:divBdr>
        <w:top w:val="none" w:sz="0" w:space="0" w:color="auto"/>
        <w:left w:val="none" w:sz="0" w:space="0" w:color="auto"/>
        <w:bottom w:val="none" w:sz="0" w:space="0" w:color="auto"/>
        <w:right w:val="none" w:sz="0" w:space="0" w:color="auto"/>
      </w:divBdr>
      <w:divsChild>
        <w:div w:id="1955675870">
          <w:marLeft w:val="0"/>
          <w:marRight w:val="0"/>
          <w:marTop w:val="0"/>
          <w:marBottom w:val="0"/>
          <w:divBdr>
            <w:top w:val="none" w:sz="0" w:space="0" w:color="auto"/>
            <w:left w:val="none" w:sz="0" w:space="0" w:color="auto"/>
            <w:bottom w:val="none" w:sz="0" w:space="0" w:color="auto"/>
            <w:right w:val="none" w:sz="0" w:space="0" w:color="auto"/>
          </w:divBdr>
        </w:div>
        <w:div w:id="1558393487">
          <w:marLeft w:val="0"/>
          <w:marRight w:val="0"/>
          <w:marTop w:val="0"/>
          <w:marBottom w:val="0"/>
          <w:divBdr>
            <w:top w:val="none" w:sz="0" w:space="0" w:color="auto"/>
            <w:left w:val="none" w:sz="0" w:space="0" w:color="auto"/>
            <w:bottom w:val="none" w:sz="0" w:space="0" w:color="auto"/>
            <w:right w:val="none" w:sz="0" w:space="0" w:color="auto"/>
          </w:divBdr>
        </w:div>
        <w:div w:id="663700601">
          <w:marLeft w:val="0"/>
          <w:marRight w:val="0"/>
          <w:marTop w:val="0"/>
          <w:marBottom w:val="0"/>
          <w:divBdr>
            <w:top w:val="none" w:sz="0" w:space="0" w:color="auto"/>
            <w:left w:val="none" w:sz="0" w:space="0" w:color="auto"/>
            <w:bottom w:val="none" w:sz="0" w:space="0" w:color="auto"/>
            <w:right w:val="none" w:sz="0" w:space="0" w:color="auto"/>
          </w:divBdr>
        </w:div>
      </w:divsChild>
    </w:div>
    <w:div w:id="2003242594">
      <w:bodyDiv w:val="1"/>
      <w:marLeft w:val="0"/>
      <w:marRight w:val="0"/>
      <w:marTop w:val="0"/>
      <w:marBottom w:val="0"/>
      <w:divBdr>
        <w:top w:val="none" w:sz="0" w:space="0" w:color="auto"/>
        <w:left w:val="none" w:sz="0" w:space="0" w:color="auto"/>
        <w:bottom w:val="none" w:sz="0" w:space="0" w:color="auto"/>
        <w:right w:val="none" w:sz="0" w:space="0" w:color="auto"/>
      </w:divBdr>
    </w:div>
    <w:div w:id="2107992466">
      <w:bodyDiv w:val="1"/>
      <w:marLeft w:val="0"/>
      <w:marRight w:val="0"/>
      <w:marTop w:val="0"/>
      <w:marBottom w:val="0"/>
      <w:divBdr>
        <w:top w:val="none" w:sz="0" w:space="0" w:color="auto"/>
        <w:left w:val="none" w:sz="0" w:space="0" w:color="auto"/>
        <w:bottom w:val="none" w:sz="0" w:space="0" w:color="auto"/>
        <w:right w:val="none" w:sz="0" w:space="0" w:color="auto"/>
      </w:divBdr>
    </w:div>
    <w:div w:id="21430382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Uni15</b:Tag>
    <b:SourceType>JournalArticle</b:SourceType>
    <b:Guid>{57085106-0AB8-466C-9B82-041A0BC0D66E}</b:Guid>
    <b:Title>Nomenclature of the frequency and wavelength bands used in telecommunications</b:Title>
    <b:Year>2015</b:Year>
    <b:Author>
      <b:Author>
        <b:Corporate>Union, I.T.</b:Corporate>
      </b:Author>
    </b:Author>
    <b:JournalName>Recommendation ITU/RV</b:JournalName>
    <b:Pages>431-438</b:Pages>
    <b:RefOrder>2</b:RefOrder>
  </b:Source>
  <b:Source>
    <b:Tag>Hef07</b:Tag>
    <b:SourceType>JournalArticle</b:SourceType>
    <b:Guid>{93414FDC-8CD7-49C0-B126-7968B77BDC72}</b:Guid>
    <b:Author>
      <b:Author>
        <b:NameList>
          <b:Person>
            <b:Last>Heffner</b:Last>
            <b:First>Henry</b:First>
            <b:Middle>E</b:Middle>
          </b:Person>
          <b:Person>
            <b:Last>Heffner</b:Last>
            <b:First>Rickye</b:First>
            <b:Middle>S</b:Middle>
          </b:Person>
        </b:NameList>
      </b:Author>
    </b:Author>
    <b:Title>Hearing Ranges of Laboratory Animals</b:Title>
    <b:JournalName>Journal of the American Association for Laboratory Animal Science</b:JournalName>
    <b:Year>2007</b:Year>
    <b:Pages>20-22</b:Pages>
    <b:Volume>46</b:Volume>
    <b:Issue>1</b:Issue>
    <b:RefOrder>1</b:RefOrder>
  </b:Source>
  <b:Source>
    <b:Tag>Bre07</b:Tag>
    <b:SourceType>ArticleInAPeriodical</b:SourceType>
    <b:Guid>{B4AA60DC-4352-4E41-BEBE-19057AC4D38F}</b:Guid>
    <b:Author>
      <b:Author>
        <b:NameList>
          <b:Person>
            <b:Last>Breed</b:Last>
            <b:First>Gary</b:First>
          </b:Person>
        </b:NameList>
      </b:Author>
    </b:Author>
    <b:Title>There's Nothing Magic About 50 Ohms</b:Title>
    <b:Year>2007</b:Year>
    <b:PeriodicalTitle>High Frequency Electronics</b:PeriodicalTitle>
    <b:Month>June</b:Month>
    <b:RefOrder>6</b:RefOrder>
  </b:Source>
  <b:Source>
    <b:Tag>Val</b:Tag>
    <b:SourceType>Report</b:SourceType>
    <b:Guid>{A8509E27-26F2-4BC0-9514-D0A1961ACE32}</b:Guid>
    <b:Title>VAC Technical Monograph 90-9 - Output Impedance Matching</b:Title>
    <b:Author>
      <b:Author>
        <b:Corporate>Valve Amplification Company</b:Corporate>
      </b:Author>
    </b:Author>
    <b:RefOrder>3</b:RefOrder>
  </b:Source>
  <b:Source>
    <b:Tag>Eas14</b:Tag>
    <b:SourceType>InternetSite</b:SourceType>
    <b:Guid>{BF1613C2-E0A2-4B46-BBE6-E882C9EBB93F}</b:Guid>
    <b:Title>Amplifier damping factor</b:Title>
    <b:Year>2014</b:Year>
    <b:Author>
      <b:Author>
        <b:Corporate>Eastern Acoustics Works</b:Corporate>
      </b:Author>
    </b:Author>
    <b:Month>January</b:Month>
    <b:Day>14</b:Day>
    <b:YearAccessed>2024</b:YearAccessed>
    <b:MonthAccessed>06</b:MonthAccessed>
    <b:DayAccessed>30</b:DayAccessed>
    <b:URL>https://eaw.com/amplifier-damping-factor-more-is-better-or-is-it/#:~:text=Definition,stop%20the%20cone%20from%20moving.</b:URL>
    <b:RefOrder>5</b:RefOrder>
  </b:Source>
  <b:Source>
    <b:Tag>Bow61</b:Tag>
    <b:SourceType>BookSection</b:SourceType>
    <b:Guid>{226AB3C4-61D8-4F21-B551-06B55391F97B}</b:Guid>
    <b:Title>Impedance Matching and Broadbanding</b:Title>
    <b:Year>1961</b:Year>
    <b:Author>
      <b:Author>
        <b:NameList>
          <b:Person>
            <b:Last>Bowman</b:Last>
            <b:First>David</b:First>
            <b:Middle>F.</b:Middle>
          </b:Person>
        </b:NameList>
      </b:Author>
    </b:Author>
    <b:BookTitle>Antenna Engineering Handbook</b:BookTitle>
    <b:Pages>Chapter 31</b:Pages>
    <b:City>Philadelphia</b:City>
    <b:Publisher>I-T-E Circuit Breaker Company</b:Publisher>
    <b:RefOrder>7</b:RefOrder>
  </b:Source>
  <b:Source>
    <b:Tag>Her32</b:Tag>
    <b:SourceType>Report</b:SourceType>
    <b:Guid>{2F2D0121-254F-4401-81FC-2E5B62A0DFFF}</b:Guid>
    <b:Title>AUDIO FREQUENCY TRANSFORMER IMPEDANCE</b:Title>
    <b:Year>1932</b:Year>
    <b:Publisher>Indiana Academy of Science, Indiana University</b:Publisher>
    <b:Author>
      <b:Author>
        <b:NameList>
          <b:Person>
            <b:Last>Hershman</b:Last>
            <b:First>J.</b:First>
            <b:Middle>B.</b:Middle>
          </b:Person>
        </b:NameList>
      </b:Author>
    </b:Author>
    <b:RefOrder>8</b:RefOrder>
  </b:Source>
  <b:Source>
    <b:Tag>Boh91</b:Tag>
    <b:SourceType>InternetSite</b:SourceType>
    <b:Guid>{B14A0954-3329-4954-AFF9-11AEFFF7E9F5}</b:Guid>
    <b:Title>Unity Gain and Impedance Matching: Strange Bedfellows</b:Title>
    <b:Year>1991</b:Year>
    <b:Author>
      <b:Author>
        <b:NameList>
          <b:Person>
            <b:Last>Bohn</b:Last>
            <b:First>Dennis</b:First>
          </b:Person>
        </b:NameList>
      </b:Author>
    </b:Author>
    <b:ProductionCompany>RANE Commercial Audio Products</b:ProductionCompany>
    <b:YearAccessed>2024</b:YearAccessed>
    <b:MonthAccessed>06</b:MonthAccessed>
    <b:DayAccessed>30</b:DayAccessed>
    <b:URL>https://www.ranecommercial.com/legacy/note124.html</b:URL>
    <b:RefOrder>4</b:RefOrder>
  </b:Source>
</b:Sources>
</file>

<file path=customXml/itemProps1.xml><?xml version="1.0" encoding="utf-8"?>
<ds:datastoreItem xmlns:ds="http://schemas.openxmlformats.org/officeDocument/2006/customXml" ds:itemID="{DBBE5746-7972-40F6-84F9-656C53ADA8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5</Pages>
  <Words>2015</Words>
  <Characters>11492</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ISA06016464</dc:creator>
  <cp:keywords/>
  <dc:description/>
  <cp:lastModifiedBy>ISA06016464</cp:lastModifiedBy>
  <cp:revision>6</cp:revision>
  <dcterms:created xsi:type="dcterms:W3CDTF">2024-07-03T00:19:00Z</dcterms:created>
  <dcterms:modified xsi:type="dcterms:W3CDTF">2024-07-03T00:24:00Z</dcterms:modified>
</cp:coreProperties>
</file>