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BE74D" w14:textId="77777777" w:rsidR="00BD35BA" w:rsidRDefault="00776E28">
      <w:pPr>
        <w:spacing w:after="0" w:line="259" w:lineRule="auto"/>
        <w:ind w:left="-1" w:right="4262" w:firstLine="0"/>
        <w:jc w:val="center"/>
      </w:pPr>
      <w:r>
        <w:rPr>
          <w:noProof/>
        </w:rPr>
        <w:drawing>
          <wp:inline distT="0" distB="0" distL="0" distR="0" wp14:anchorId="5D60287F" wp14:editId="4CFE6B66">
            <wp:extent cx="3086100" cy="1104900"/>
            <wp:effectExtent l="0" t="0" r="0" b="0"/>
            <wp:docPr id="298" name="Picture 298"/>
            <wp:cNvGraphicFramePr/>
            <a:graphic xmlns:a="http://schemas.openxmlformats.org/drawingml/2006/main">
              <a:graphicData uri="http://schemas.openxmlformats.org/drawingml/2006/picture">
                <pic:pic xmlns:pic="http://schemas.openxmlformats.org/drawingml/2006/picture">
                  <pic:nvPicPr>
                    <pic:cNvPr id="298" name="Picture 298"/>
                    <pic:cNvPicPr/>
                  </pic:nvPicPr>
                  <pic:blipFill>
                    <a:blip r:embed="rId6"/>
                    <a:stretch>
                      <a:fillRect/>
                    </a:stretch>
                  </pic:blipFill>
                  <pic:spPr>
                    <a:xfrm>
                      <a:off x="0" y="0"/>
                      <a:ext cx="3086100" cy="1104900"/>
                    </a:xfrm>
                    <a:prstGeom prst="rect">
                      <a:avLst/>
                    </a:prstGeom>
                  </pic:spPr>
                </pic:pic>
              </a:graphicData>
            </a:graphic>
          </wp:inline>
        </w:drawing>
      </w:r>
      <w:r>
        <w:rPr>
          <w:sz w:val="96"/>
        </w:rPr>
        <w:t xml:space="preserve"> </w:t>
      </w:r>
    </w:p>
    <w:p w14:paraId="66F55B3F" w14:textId="77777777" w:rsidR="00BD35BA" w:rsidRDefault="00776E28">
      <w:pPr>
        <w:spacing w:after="0" w:line="259" w:lineRule="auto"/>
        <w:ind w:left="240" w:firstLine="0"/>
        <w:jc w:val="center"/>
      </w:pPr>
      <w:r>
        <w:rPr>
          <w:sz w:val="96"/>
        </w:rPr>
        <w:t xml:space="preserve"> </w:t>
      </w:r>
    </w:p>
    <w:p w14:paraId="6DBA7DC4" w14:textId="77777777" w:rsidR="00BD35BA" w:rsidRDefault="00776E28">
      <w:pPr>
        <w:spacing w:after="169" w:line="259" w:lineRule="auto"/>
        <w:ind w:left="0" w:right="2063" w:firstLine="0"/>
        <w:jc w:val="right"/>
      </w:pPr>
      <w:r>
        <w:rPr>
          <w:b/>
          <w:sz w:val="36"/>
        </w:rPr>
        <w:t xml:space="preserve">Module: Community Engagement  </w:t>
      </w:r>
    </w:p>
    <w:p w14:paraId="2677A80A" w14:textId="77777777" w:rsidR="00BD35BA" w:rsidRDefault="00776E28">
      <w:pPr>
        <w:spacing w:after="170" w:line="259" w:lineRule="auto"/>
        <w:ind w:left="2691" w:firstLine="0"/>
        <w:jc w:val="left"/>
      </w:pPr>
      <w:r>
        <w:rPr>
          <w:b/>
          <w:sz w:val="36"/>
        </w:rPr>
        <w:t xml:space="preserve">Module Code: LCBB4002 </w:t>
      </w:r>
    </w:p>
    <w:p w14:paraId="57764765" w14:textId="77777777" w:rsidR="00BD35BA" w:rsidRDefault="00776E28">
      <w:pPr>
        <w:spacing w:after="163" w:line="265" w:lineRule="auto"/>
        <w:jc w:val="center"/>
      </w:pPr>
      <w:r>
        <w:rPr>
          <w:b/>
          <w:sz w:val="36"/>
        </w:rPr>
        <w:t xml:space="preserve">Assessment 2 </w:t>
      </w:r>
    </w:p>
    <w:p w14:paraId="6F9DDDA2" w14:textId="6EFC3910" w:rsidR="00BD35BA" w:rsidRDefault="00776E28">
      <w:pPr>
        <w:spacing w:after="163" w:line="265" w:lineRule="auto"/>
        <w:ind w:right="1"/>
        <w:jc w:val="center"/>
      </w:pPr>
      <w:r>
        <w:rPr>
          <w:b/>
          <w:sz w:val="36"/>
        </w:rPr>
        <w:t xml:space="preserve">Student Name: </w:t>
      </w:r>
      <w:r w:rsidR="0098187F">
        <w:rPr>
          <w:b/>
          <w:sz w:val="36"/>
        </w:rPr>
        <w:t>Cristian Lupu</w:t>
      </w:r>
    </w:p>
    <w:p w14:paraId="164C77EE" w14:textId="577D1BD9" w:rsidR="00BD35BA" w:rsidRDefault="00776E28">
      <w:pPr>
        <w:spacing w:after="7508" w:line="265" w:lineRule="auto"/>
        <w:ind w:right="1"/>
        <w:jc w:val="center"/>
      </w:pPr>
      <w:r>
        <w:rPr>
          <w:b/>
          <w:sz w:val="36"/>
        </w:rPr>
        <w:t xml:space="preserve">Student ID: </w:t>
      </w:r>
      <w:r w:rsidR="00F870C9">
        <w:rPr>
          <w:b/>
          <w:sz w:val="36"/>
        </w:rPr>
        <w:t>2112677</w:t>
      </w:r>
    </w:p>
    <w:p w14:paraId="0EA1A47B" w14:textId="77777777" w:rsidR="00BD35BA" w:rsidRDefault="00776E28">
      <w:pPr>
        <w:spacing w:after="0" w:line="259" w:lineRule="auto"/>
        <w:ind w:left="0" w:firstLine="0"/>
        <w:jc w:val="left"/>
      </w:pPr>
      <w:r>
        <w:t xml:space="preserve"> </w:t>
      </w:r>
    </w:p>
    <w:sdt>
      <w:sdtPr>
        <w:id w:val="2048482521"/>
        <w:docPartObj>
          <w:docPartGallery w:val="Table of Contents"/>
        </w:docPartObj>
      </w:sdtPr>
      <w:sdtEndPr/>
      <w:sdtContent>
        <w:p w14:paraId="6A2FACF1" w14:textId="77777777" w:rsidR="00BD35BA" w:rsidRDefault="00776E28">
          <w:pPr>
            <w:spacing w:after="215" w:line="259" w:lineRule="auto"/>
            <w:ind w:left="2" w:firstLine="0"/>
            <w:jc w:val="center"/>
          </w:pPr>
          <w:r>
            <w:rPr>
              <w:b/>
              <w:sz w:val="28"/>
            </w:rPr>
            <w:t xml:space="preserve">Table of Contents </w:t>
          </w:r>
        </w:p>
        <w:p w14:paraId="420A8479" w14:textId="77777777" w:rsidR="00BD35BA" w:rsidRDefault="00776E28">
          <w:pPr>
            <w:pStyle w:val="TOC1"/>
            <w:tabs>
              <w:tab w:val="right" w:leader="dot" w:pos="9364"/>
            </w:tabs>
          </w:pPr>
          <w:r>
            <w:lastRenderedPageBreak/>
            <w:fldChar w:fldCharType="begin"/>
          </w:r>
          <w:r>
            <w:instrText xml:space="preserve"> TOC \o "1-2" \h \z \u </w:instrText>
          </w:r>
          <w:r>
            <w:fldChar w:fldCharType="separate"/>
          </w:r>
          <w:hyperlink w:anchor="_Toc7644">
            <w:r>
              <w:t>INTRODUCTION</w:t>
            </w:r>
            <w:r>
              <w:tab/>
            </w:r>
            <w:r>
              <w:fldChar w:fldCharType="begin"/>
            </w:r>
            <w:r>
              <w:instrText>PAGEREF _Toc7644 \h</w:instrText>
            </w:r>
            <w:r>
              <w:fldChar w:fldCharType="separate"/>
            </w:r>
            <w:r>
              <w:t xml:space="preserve">1 </w:t>
            </w:r>
            <w:r>
              <w:fldChar w:fldCharType="end"/>
            </w:r>
          </w:hyperlink>
        </w:p>
        <w:p w14:paraId="2888F784" w14:textId="77777777" w:rsidR="00BD35BA" w:rsidRDefault="00776E28">
          <w:pPr>
            <w:pStyle w:val="TOC1"/>
            <w:tabs>
              <w:tab w:val="right" w:leader="dot" w:pos="9364"/>
            </w:tabs>
          </w:pPr>
          <w:hyperlink w:anchor="_Toc7645">
            <w:r>
              <w:t>MAIN BODY</w:t>
            </w:r>
            <w:r>
              <w:tab/>
            </w:r>
            <w:r>
              <w:fldChar w:fldCharType="begin"/>
            </w:r>
            <w:r>
              <w:instrText>PAGEREF _Toc7645 \h</w:instrText>
            </w:r>
            <w:r>
              <w:fldChar w:fldCharType="separate"/>
            </w:r>
            <w:r>
              <w:t xml:space="preserve">1 </w:t>
            </w:r>
            <w:r>
              <w:fldChar w:fldCharType="end"/>
            </w:r>
          </w:hyperlink>
        </w:p>
        <w:p w14:paraId="298C4976" w14:textId="77777777" w:rsidR="00BD35BA" w:rsidRDefault="00776E28">
          <w:pPr>
            <w:pStyle w:val="TOC2"/>
            <w:tabs>
              <w:tab w:val="right" w:leader="dot" w:pos="9364"/>
            </w:tabs>
          </w:pPr>
          <w:hyperlink w:anchor="_Toc7646">
            <w:r>
              <w:t>Description of the difference among both the projects</w:t>
            </w:r>
            <w:r>
              <w:tab/>
            </w:r>
            <w:r>
              <w:fldChar w:fldCharType="begin"/>
            </w:r>
            <w:r>
              <w:instrText>PAGEREF _Toc7646 \h</w:instrText>
            </w:r>
            <w:r>
              <w:fldChar w:fldCharType="separate"/>
            </w:r>
            <w:r>
              <w:t xml:space="preserve">1 </w:t>
            </w:r>
            <w:r>
              <w:fldChar w:fldCharType="end"/>
            </w:r>
          </w:hyperlink>
        </w:p>
        <w:p w14:paraId="05EB0ACA" w14:textId="77777777" w:rsidR="00BD35BA" w:rsidRDefault="00776E28">
          <w:pPr>
            <w:pStyle w:val="TOC2"/>
            <w:tabs>
              <w:tab w:val="right" w:leader="dot" w:pos="9364"/>
            </w:tabs>
          </w:pPr>
          <w:hyperlink w:anchor="_Toc7647">
            <w:r>
              <w:t>Evaluation and analysing the best practices on their community engagement approaches</w:t>
            </w:r>
            <w:r>
              <w:tab/>
            </w:r>
            <w:r>
              <w:fldChar w:fldCharType="begin"/>
            </w:r>
            <w:r>
              <w:instrText>PAGEREF _Toc7647 \h</w:instrText>
            </w:r>
            <w:r>
              <w:fldChar w:fldCharType="separate"/>
            </w:r>
            <w:r>
              <w:t xml:space="preserve">2 </w:t>
            </w:r>
            <w:r>
              <w:fldChar w:fldCharType="end"/>
            </w:r>
          </w:hyperlink>
        </w:p>
        <w:p w14:paraId="25098F79" w14:textId="77777777" w:rsidR="00BD35BA" w:rsidRDefault="00776E28">
          <w:pPr>
            <w:pStyle w:val="TOC2"/>
            <w:tabs>
              <w:tab w:val="right" w:leader="dot" w:pos="9364"/>
            </w:tabs>
          </w:pPr>
          <w:hyperlink w:anchor="_Toc7648">
            <w:r>
              <w:t>Discuss the impact of communication, active consultation, inclusion and participation</w:t>
            </w:r>
            <w:r>
              <w:tab/>
            </w:r>
            <w:r>
              <w:fldChar w:fldCharType="begin"/>
            </w:r>
            <w:r>
              <w:instrText>PAGEREF _Toc7648 \h</w:instrText>
            </w:r>
            <w:r>
              <w:fldChar w:fldCharType="separate"/>
            </w:r>
            <w:r>
              <w:t xml:space="preserve">3 </w:t>
            </w:r>
            <w:r>
              <w:fldChar w:fldCharType="end"/>
            </w:r>
          </w:hyperlink>
        </w:p>
        <w:p w14:paraId="7AD1CF3F" w14:textId="77777777" w:rsidR="00BD35BA" w:rsidRDefault="00776E28">
          <w:pPr>
            <w:pStyle w:val="TOC2"/>
            <w:tabs>
              <w:tab w:val="right" w:leader="dot" w:pos="9364"/>
            </w:tabs>
          </w:pPr>
          <w:hyperlink w:anchor="_Toc7649">
            <w:r>
              <w:t>Process used to a</w:t>
            </w:r>
            <w:r>
              <w:t>chieve the best practices</w:t>
            </w:r>
            <w:r>
              <w:tab/>
            </w:r>
            <w:r>
              <w:fldChar w:fldCharType="begin"/>
            </w:r>
            <w:r>
              <w:instrText>PAGEREF _Toc7649 \h</w:instrText>
            </w:r>
            <w:r>
              <w:fldChar w:fldCharType="separate"/>
            </w:r>
            <w:r>
              <w:t xml:space="preserve">4 </w:t>
            </w:r>
            <w:r>
              <w:fldChar w:fldCharType="end"/>
            </w:r>
          </w:hyperlink>
        </w:p>
        <w:p w14:paraId="5E08B03A" w14:textId="77777777" w:rsidR="00BD35BA" w:rsidRDefault="00776E28">
          <w:pPr>
            <w:pStyle w:val="TOC1"/>
            <w:tabs>
              <w:tab w:val="right" w:leader="dot" w:pos="9364"/>
            </w:tabs>
          </w:pPr>
          <w:hyperlink w:anchor="_Toc7650">
            <w:r>
              <w:t>CONCLUSION</w:t>
            </w:r>
            <w:r>
              <w:tab/>
            </w:r>
            <w:r>
              <w:fldChar w:fldCharType="begin"/>
            </w:r>
            <w:r>
              <w:instrText>PAGEREF _Toc7650 \h</w:instrText>
            </w:r>
            <w:r>
              <w:fldChar w:fldCharType="separate"/>
            </w:r>
            <w:r>
              <w:t xml:space="preserve">6 </w:t>
            </w:r>
            <w:r>
              <w:fldChar w:fldCharType="end"/>
            </w:r>
          </w:hyperlink>
        </w:p>
        <w:p w14:paraId="0E5D8328" w14:textId="77777777" w:rsidR="00BD35BA" w:rsidRDefault="00776E28">
          <w:pPr>
            <w:pStyle w:val="TOC1"/>
            <w:tabs>
              <w:tab w:val="right" w:leader="dot" w:pos="9364"/>
            </w:tabs>
          </w:pPr>
          <w:hyperlink w:anchor="_Toc7651">
            <w:r>
              <w:t>REFERENCES</w:t>
            </w:r>
            <w:r>
              <w:tab/>
            </w:r>
            <w:r>
              <w:fldChar w:fldCharType="begin"/>
            </w:r>
            <w:r>
              <w:instrText>PAGEREF _Toc7651 \h</w:instrText>
            </w:r>
            <w:r>
              <w:fldChar w:fldCharType="separate"/>
            </w:r>
            <w:r>
              <w:t xml:space="preserve">7 </w:t>
            </w:r>
            <w:r>
              <w:fldChar w:fldCharType="end"/>
            </w:r>
          </w:hyperlink>
        </w:p>
        <w:p w14:paraId="347D4017" w14:textId="77777777" w:rsidR="00BD35BA" w:rsidRDefault="00776E28">
          <w:r>
            <w:fldChar w:fldCharType="end"/>
          </w:r>
        </w:p>
      </w:sdtContent>
    </w:sdt>
    <w:p w14:paraId="441092CA" w14:textId="77777777" w:rsidR="00BD35BA" w:rsidRDefault="00BD35BA">
      <w:pPr>
        <w:sectPr w:rsidR="00BD35BA">
          <w:footerReference w:type="even" r:id="rId7"/>
          <w:footerReference w:type="default" r:id="rId8"/>
          <w:footerReference w:type="first" r:id="rId9"/>
          <w:pgSz w:w="12240" w:h="15840"/>
          <w:pgMar w:top="1440" w:right="1436" w:bottom="713" w:left="1441" w:header="720" w:footer="720" w:gutter="0"/>
          <w:cols w:space="720"/>
        </w:sectPr>
      </w:pPr>
    </w:p>
    <w:p w14:paraId="4ADC2074" w14:textId="77777777" w:rsidR="00BD35BA" w:rsidRDefault="00776E28">
      <w:pPr>
        <w:pStyle w:val="Heading1"/>
        <w:ind w:left="-5"/>
      </w:pPr>
      <w:bookmarkStart w:id="0" w:name="_Toc7644"/>
      <w:r>
        <w:lastRenderedPageBreak/>
        <w:t xml:space="preserve">Introduction  </w:t>
      </w:r>
      <w:bookmarkEnd w:id="0"/>
    </w:p>
    <w:p w14:paraId="79D5F082" w14:textId="77777777" w:rsidR="00BD35BA" w:rsidRDefault="00776E28">
      <w:pPr>
        <w:spacing w:line="357" w:lineRule="auto"/>
        <w:ind w:left="-5"/>
      </w:pPr>
      <w:r>
        <w:rPr>
          <w:b/>
          <w:i/>
        </w:rPr>
        <w:t>Community engagement</w:t>
      </w:r>
      <w:r>
        <w:t xml:space="preserve"> can be described </w:t>
      </w:r>
      <w:r>
        <w:t>as the process of working in a collaborative manner. Community engagement is made up of groups and individuals who are linked by common interests, special interests, and geographic proximity (</w:t>
      </w:r>
      <w:r>
        <w:rPr>
          <w:i/>
        </w:rPr>
        <w:t>Wade and Demb, 2009).</w:t>
      </w:r>
      <w:r>
        <w:t xml:space="preserve"> Furthermore, it assists people in bringing</w:t>
      </w:r>
      <w:r>
        <w:t xml:space="preserve"> about environmental and behavioural changes that contribute to their overall well-being. The concept of community engagement helps in addressing different issues with the support of various frameworks, guidelines, and approaches. The members involved in c</w:t>
      </w:r>
      <w:r>
        <w:t>ommunity engagement focus on fulfilling the commitments of the community. In addition to that, it promotes sustainable decisions by communicating the needs and interests of every individual included in the community. Effective and inclusive solutions could</w:t>
      </w:r>
      <w:r>
        <w:t xml:space="preserve"> be identified with the support of community engagement (</w:t>
      </w:r>
      <w:r>
        <w:rPr>
          <w:i/>
        </w:rPr>
        <w:t>Watson and Waterton, 2010).</w:t>
      </w:r>
      <w:r>
        <w:t xml:space="preserve"> The present report focuses on the success of the commonwealth games that were held in Birmingham. It is described as a multi-sport event that is undertaken by various inte</w:t>
      </w:r>
      <w:r>
        <w:t xml:space="preserve">rnational athletes. The report involves the differences between the two projects alongside the evaluation of the best practices, which are related to the community engagement approach. The reflection focuses on the differently performed practises and also </w:t>
      </w:r>
      <w:r>
        <w:t xml:space="preserve">the influence of the inclusion, stakeholder participation, communication, and consultation involved in the project. </w:t>
      </w:r>
    </w:p>
    <w:p w14:paraId="1F789A6C" w14:textId="77777777" w:rsidR="00BD35BA" w:rsidRDefault="00776E28">
      <w:pPr>
        <w:spacing w:after="155" w:line="259" w:lineRule="auto"/>
        <w:ind w:left="0" w:firstLine="0"/>
        <w:jc w:val="left"/>
      </w:pPr>
      <w:r>
        <w:t xml:space="preserve"> </w:t>
      </w:r>
    </w:p>
    <w:p w14:paraId="70C8E9FD" w14:textId="77777777" w:rsidR="00BD35BA" w:rsidRDefault="00776E28">
      <w:pPr>
        <w:pStyle w:val="Heading1"/>
        <w:spacing w:after="205"/>
        <w:ind w:left="-5"/>
      </w:pPr>
      <w:bookmarkStart w:id="1" w:name="_Toc7645"/>
      <w:r>
        <w:t xml:space="preserve">Main Body  </w:t>
      </w:r>
      <w:bookmarkEnd w:id="1"/>
    </w:p>
    <w:p w14:paraId="66C5770F" w14:textId="77777777" w:rsidR="00BD35BA" w:rsidRDefault="00776E28">
      <w:pPr>
        <w:pStyle w:val="Heading2"/>
        <w:ind w:left="-5"/>
      </w:pPr>
      <w:bookmarkStart w:id="2" w:name="_Toc7646"/>
      <w:r>
        <w:t xml:space="preserve">Description of the difference between both the projects </w:t>
      </w:r>
      <w:bookmarkEnd w:id="2"/>
    </w:p>
    <w:p w14:paraId="407566B9" w14:textId="77777777" w:rsidR="00BD35BA" w:rsidRDefault="00776E28">
      <w:pPr>
        <w:spacing w:line="357" w:lineRule="auto"/>
        <w:ind w:left="-5"/>
      </w:pPr>
      <w:r>
        <w:t>The commonwealth games are known as the friendly games that are held</w:t>
      </w:r>
      <w:r>
        <w:t xml:space="preserve"> on an international level among various countries and athletes. The first event was held in the year 1930, but because of World War II, it was cancelled in the years 1942 and 1946. The games comprise badminton, archery, boxing, netball, gymnastics, lawn b</w:t>
      </w:r>
      <w:r>
        <w:t>owls, and much more. The last commonwealth game was held in July and August 2022. It is considered to be the largest multisport event to take place in England within the past 10 years. Also, new games were added during the 2022 Commonwealth, which comprise</w:t>
      </w:r>
      <w:r>
        <w:t xml:space="preserve"> women's cricket, beach volleyball, and wheelchair table tennis. All these games were overseen by the Commonwealth Games Federation, which is responsible for controlling the sporting programme and also selecting the host cities. Also, the Olympic Games are</w:t>
      </w:r>
      <w:r>
        <w:t xml:space="preserve"> considered to be the best international sports events, focusing on summer and winter sports competitors. Also, it allows a large number of athletes to take part in the competition. In relation to the Tokyo Olympics </w:t>
      </w:r>
      <w:r>
        <w:lastRenderedPageBreak/>
        <w:t>2020, approximately 206 countries were r</w:t>
      </w:r>
      <w:r>
        <w:t>ecorded, with 72 teams participating in the end (</w:t>
      </w:r>
      <w:r>
        <w:rPr>
          <w:i/>
        </w:rPr>
        <w:t xml:space="preserve">Lee, Currie, Saied, and Wright, 2020). </w:t>
      </w:r>
    </w:p>
    <w:p w14:paraId="72F28CBD" w14:textId="77777777" w:rsidR="00BD35BA" w:rsidRDefault="00776E28">
      <w:pPr>
        <w:pStyle w:val="Heading2"/>
        <w:spacing w:after="3" w:line="358" w:lineRule="auto"/>
        <w:ind w:left="-5"/>
        <w:jc w:val="both"/>
      </w:pPr>
      <w:bookmarkStart w:id="3" w:name="_Toc7647"/>
      <w:r>
        <w:rPr>
          <w:b w:val="0"/>
          <w:i w:val="0"/>
        </w:rPr>
        <w:t xml:space="preserve"> </w:t>
      </w:r>
      <w:r>
        <w:t xml:space="preserve">Evaluation and analysing the best practices on their community engagement approaches </w:t>
      </w:r>
      <w:bookmarkEnd w:id="3"/>
    </w:p>
    <w:p w14:paraId="5E0E1E14" w14:textId="77777777" w:rsidR="00BD35BA" w:rsidRDefault="00776E28">
      <w:pPr>
        <w:spacing w:line="358" w:lineRule="auto"/>
        <w:ind w:left="-5"/>
      </w:pPr>
      <w:r>
        <w:t xml:space="preserve"> The concept of </w:t>
      </w:r>
      <w:r>
        <w:rPr>
          <w:b/>
          <w:i/>
        </w:rPr>
        <w:t>community engagement</w:t>
      </w:r>
      <w:r>
        <w:t xml:space="preserve"> focuses on including individuals for the pu</w:t>
      </w:r>
      <w:r>
        <w:t>rpose of formulating plans and conducting effective decisions (</w:t>
      </w:r>
      <w:r>
        <w:rPr>
          <w:i/>
        </w:rPr>
        <w:t xml:space="preserve">Wallerstein and Minkler, 2015). </w:t>
      </w:r>
      <w:r>
        <w:t xml:space="preserve">It is important to support these approaches in order to fulfil the targets and goals. The various community engagement approaches comprise the following: </w:t>
      </w:r>
    </w:p>
    <w:p w14:paraId="5EA4C300" w14:textId="77777777" w:rsidR="00BD35BA" w:rsidRDefault="00776E28">
      <w:pPr>
        <w:spacing w:after="115" w:line="259" w:lineRule="auto"/>
        <w:ind w:left="0" w:firstLine="0"/>
        <w:jc w:val="left"/>
      </w:pPr>
      <w:r>
        <w:t xml:space="preserve"> </w:t>
      </w:r>
    </w:p>
    <w:p w14:paraId="71D9B9C1" w14:textId="77777777" w:rsidR="00BD35BA" w:rsidRDefault="00776E28">
      <w:pPr>
        <w:spacing w:line="358" w:lineRule="auto"/>
        <w:ind w:left="-5"/>
      </w:pPr>
      <w:r>
        <w:rPr>
          <w:b/>
        </w:rPr>
        <w:t>Comm</w:t>
      </w:r>
      <w:r>
        <w:rPr>
          <w:b/>
        </w:rPr>
        <w:t>unity Meetings:</w:t>
      </w:r>
      <w:r>
        <w:t xml:space="preserve"> It comprises various stakeholders of the community who participate in face-to-face interaction with each other. In addition to that, it offers opportunities for openness and transparency, which also result in better understandings. The comm</w:t>
      </w:r>
      <w:r>
        <w:t>onwealth games participate in the formulation of plans and decisions through this approach. Moreover, it allows the individuals to analyse the importance of topics by gathering reviews and feedback from each other. Also, the stakeholders could increase the</w:t>
      </w:r>
      <w:r>
        <w:t>ir presence by taking part in the community meetings (</w:t>
      </w:r>
      <w:r>
        <w:rPr>
          <w:i/>
        </w:rPr>
        <w:t>Hong, 2021).</w:t>
      </w:r>
      <w:r>
        <w:t xml:space="preserve"> </w:t>
      </w:r>
      <w:r>
        <w:rPr>
          <w:b/>
        </w:rPr>
        <w:t>Focus Groups</w:t>
      </w:r>
      <w:r>
        <w:t>: It focuses on engaging small, related groups in taking decisions in relation to particular topics. The marginalised stakeholder groups take part in conducting various decision</w:t>
      </w:r>
      <w:r>
        <w:t>s as per their understandings. The games are decided in various departments as per their meetings. Also, it helps save resources and time when the groups are included in sessions and meetings. It aids in the identification of various issues rather than foc</w:t>
      </w:r>
      <w:r>
        <w:t>using solely on large platforms. Misunderstandings and conflicts could be resolved and managed quickly using this approach (</w:t>
      </w:r>
      <w:r>
        <w:rPr>
          <w:i/>
        </w:rPr>
        <w:t>Bhusal and Pandeya, 2022).</w:t>
      </w:r>
      <w:r>
        <w:t xml:space="preserve">  </w:t>
      </w:r>
    </w:p>
    <w:p w14:paraId="48B80A63" w14:textId="77777777" w:rsidR="00BD35BA" w:rsidRDefault="00776E28">
      <w:pPr>
        <w:spacing w:line="358" w:lineRule="auto"/>
        <w:ind w:left="-5"/>
      </w:pPr>
      <w:r>
        <w:rPr>
          <w:b/>
        </w:rPr>
        <w:t>Web based engagement:</w:t>
      </w:r>
      <w:r>
        <w:t xml:space="preserve"> It focuses on using online communication with the support of cloudbased survey sy</w:t>
      </w:r>
      <w:r>
        <w:t xml:space="preserve">stems, online discussion platforms, and social media. Online public participation is considered to be an amazingly effective method for the purpose of engaging communities, which could support these approaches. The games engage their own stakeholders with </w:t>
      </w:r>
      <w:r>
        <w:t xml:space="preserve">the help of various online public platforms. These can effectively access and reach large groups, and they could collect data and information in relation to them. The concept of web-based engagement is considered a highly flexible and convenient method to </w:t>
      </w:r>
      <w:r>
        <w:t>encourage the participation of a large community. Also, it helps in eliminating the various barriers in relation to location and time and could also improve the discussion procedures in an effective manner. The involvement of various individuals could assi</w:t>
      </w:r>
      <w:r>
        <w:t>st in resolving the critical issues and complex problems with the support of creative solutions and ideas (</w:t>
      </w:r>
      <w:r>
        <w:rPr>
          <w:i/>
        </w:rPr>
        <w:t xml:space="preserve">Szewczyk and Crowder-Meyer, 2020). </w:t>
      </w:r>
    </w:p>
    <w:p w14:paraId="577359BF" w14:textId="77777777" w:rsidR="00BD35BA" w:rsidRDefault="00776E28">
      <w:pPr>
        <w:spacing w:line="357" w:lineRule="auto"/>
        <w:ind w:left="-5"/>
      </w:pPr>
      <w:r>
        <w:rPr>
          <w:b/>
        </w:rPr>
        <w:lastRenderedPageBreak/>
        <w:t>Online Consultations:</w:t>
      </w:r>
      <w:r>
        <w:t xml:space="preserve"> In reference to the growth of the internet, it helps in offering numerous opportunities to </w:t>
      </w:r>
      <w:r>
        <w:t>all the stakeholders. In addition to that, it helps in increasing the range of communication and interaction among various groups. The main objective of commonwealth games is to offer consultation opportunities to their stakeholders in order to resolve the</w:t>
      </w:r>
      <w:r>
        <w:t xml:space="preserve">ir queries and doubts. In addition to that, it helps in increasing the participation rate without any huge investment. </w:t>
      </w:r>
    </w:p>
    <w:p w14:paraId="7F46CFCC" w14:textId="77777777" w:rsidR="00BD35BA" w:rsidRDefault="00776E28">
      <w:pPr>
        <w:spacing w:after="230" w:line="259" w:lineRule="auto"/>
        <w:ind w:left="0" w:firstLine="0"/>
        <w:jc w:val="left"/>
      </w:pPr>
      <w:r>
        <w:t xml:space="preserve"> </w:t>
      </w:r>
    </w:p>
    <w:p w14:paraId="5A9EB606" w14:textId="77777777" w:rsidR="00BD35BA" w:rsidRDefault="00776E28">
      <w:pPr>
        <w:pStyle w:val="Heading2"/>
        <w:ind w:left="-5"/>
      </w:pPr>
      <w:bookmarkStart w:id="4" w:name="_Toc7648"/>
      <w:r>
        <w:t xml:space="preserve">Discuss the impact of communication, active consultation, inclusion and participation </w:t>
      </w:r>
      <w:bookmarkEnd w:id="4"/>
    </w:p>
    <w:p w14:paraId="15B9FA32" w14:textId="77777777" w:rsidR="00BD35BA" w:rsidRDefault="00776E28">
      <w:pPr>
        <w:spacing w:after="110" w:line="259" w:lineRule="auto"/>
        <w:ind w:left="0" w:firstLine="0"/>
        <w:jc w:val="left"/>
      </w:pPr>
      <w:r>
        <w:t xml:space="preserve"> </w:t>
      </w:r>
    </w:p>
    <w:p w14:paraId="1AC006DD" w14:textId="77777777" w:rsidR="00BD35BA" w:rsidRDefault="00776E28">
      <w:pPr>
        <w:spacing w:line="358" w:lineRule="auto"/>
        <w:ind w:left="-5"/>
      </w:pPr>
      <w:r>
        <w:t xml:space="preserve"> The concept of community engagement places emphasis on the numerous factors and issues that are related to a particular topic. The major factors comprise the particip</w:t>
      </w:r>
      <w:r>
        <w:t>ation of the stakeholders, active consultation, communication, and inclusion, which are considered to be very crucial as they offer alternatives and ideas (</w:t>
      </w:r>
      <w:r>
        <w:rPr>
          <w:i/>
        </w:rPr>
        <w:t xml:space="preserve">Johnston, Lane and  Hurst, 2018). </w:t>
      </w:r>
      <w:r>
        <w:t>During the Birmingham 2022, the game achieved success due to these</w:t>
      </w:r>
      <w:r>
        <w:t xml:space="preserve"> factors. The participants of the community played a significant role in the commonwealth games. The influence of these factors on the engagement of the community is discussed below. </w:t>
      </w:r>
    </w:p>
    <w:p w14:paraId="53D416B0" w14:textId="77777777" w:rsidR="00BD35BA" w:rsidRDefault="00776E28">
      <w:pPr>
        <w:spacing w:line="358" w:lineRule="auto"/>
        <w:ind w:left="-5"/>
      </w:pPr>
      <w:r>
        <w:rPr>
          <w:b/>
        </w:rPr>
        <w:t>Stakeholders</w:t>
      </w:r>
      <w:r>
        <w:t>: These are described as the set of individuals who particip</w:t>
      </w:r>
      <w:r>
        <w:t>ate in the project or event. These individuals take an interest in contributing their efforts to a particular project. The commonwealth games achieved success by including stakeholders in the decision-making process and the confidential planning process. T</w:t>
      </w:r>
      <w:r>
        <w:t>he issues related to the event can be resolved, and the focus on each and every game will be carefully audited in order to eliminate any type of confusion. It is critical to ensure that available resources are used to their full potential (</w:t>
      </w:r>
      <w:r>
        <w:rPr>
          <w:i/>
        </w:rPr>
        <w:t>Qudah, Thakur, a</w:t>
      </w:r>
      <w:r>
        <w:rPr>
          <w:i/>
        </w:rPr>
        <w:t xml:space="preserve">nd Chewning, 2021). </w:t>
      </w:r>
    </w:p>
    <w:p w14:paraId="0A7745F1" w14:textId="77777777" w:rsidR="00BD35BA" w:rsidRDefault="00776E28">
      <w:pPr>
        <w:spacing w:after="115" w:line="259" w:lineRule="auto"/>
        <w:ind w:left="0" w:firstLine="0"/>
        <w:jc w:val="left"/>
      </w:pPr>
      <w:r>
        <w:t xml:space="preserve"> </w:t>
      </w:r>
    </w:p>
    <w:p w14:paraId="1CC2E686" w14:textId="77777777" w:rsidR="00BD35BA" w:rsidRDefault="00776E28">
      <w:pPr>
        <w:spacing w:after="115" w:line="259" w:lineRule="auto"/>
        <w:ind w:left="0" w:firstLine="0"/>
        <w:jc w:val="left"/>
      </w:pPr>
      <w:r>
        <w:t xml:space="preserve"> </w:t>
      </w:r>
      <w:r>
        <w:rPr>
          <w:b/>
        </w:rPr>
        <w:t xml:space="preserve"> </w:t>
      </w:r>
    </w:p>
    <w:p w14:paraId="7C127074" w14:textId="77777777" w:rsidR="00BD35BA" w:rsidRDefault="00776E28">
      <w:pPr>
        <w:spacing w:line="357" w:lineRule="auto"/>
        <w:ind w:left="-5"/>
      </w:pPr>
      <w:r>
        <w:rPr>
          <w:b/>
        </w:rPr>
        <w:t>Communication</w:t>
      </w:r>
      <w:r>
        <w:t>: It is considered to be another crucial factor that helps create a positive impact on community engagement. With the support of effective communication, it allows the stakeholders to interact with each other and comm</w:t>
      </w:r>
      <w:r>
        <w:t>unicate related data. It connects thoughts and ideas with actual actions so that events and projects are accomplished in a better manner (</w:t>
      </w:r>
      <w:r>
        <w:rPr>
          <w:i/>
        </w:rPr>
        <w:t>Hollebeek, Juric and  Tang, 2017).</w:t>
      </w:r>
      <w:r>
        <w:t xml:space="preserve">  The commonwealth games comprise diverse types of discussions that are related to a</w:t>
      </w:r>
      <w:r>
        <w:t>ctions and games. It is especially important to communicate all the procedures and plans that are held at the game level.</w:t>
      </w:r>
      <w:r>
        <w:rPr>
          <w:b/>
        </w:rPr>
        <w:t xml:space="preserve"> </w:t>
      </w:r>
    </w:p>
    <w:p w14:paraId="6A7100CF" w14:textId="77777777" w:rsidR="00BD35BA" w:rsidRDefault="00776E28">
      <w:pPr>
        <w:spacing w:line="358" w:lineRule="auto"/>
        <w:ind w:left="-5"/>
      </w:pPr>
      <w:r>
        <w:rPr>
          <w:b/>
        </w:rPr>
        <w:lastRenderedPageBreak/>
        <w:t>Active Consultation:</w:t>
      </w:r>
      <w:r>
        <w:t xml:space="preserve"> It focuses on the sentiments and concerns of the community. With the help of consultation during community engag</w:t>
      </w:r>
      <w:r>
        <w:t>ement, suitable alternatives and responses can be provided. Moreover, it empowers community members by strengthening their capabilities and capacities as a whole community. In context with Birmingham 2020, every community member is responsible for their ow</w:t>
      </w:r>
      <w:r>
        <w:t>n duties, which are conducted in an effective way. In addition to that, it clarifies the actual importance of the decisions and topics that offer positive outcomes (</w:t>
      </w:r>
      <w:r>
        <w:rPr>
          <w:i/>
        </w:rPr>
        <w:t xml:space="preserve">Loureiro, Romero, and Bilro, 2020). </w:t>
      </w:r>
    </w:p>
    <w:p w14:paraId="0C38E9FB" w14:textId="77777777" w:rsidR="00BD35BA" w:rsidRDefault="00776E28">
      <w:pPr>
        <w:spacing w:line="357" w:lineRule="auto"/>
        <w:ind w:left="-5"/>
      </w:pPr>
      <w:r>
        <w:rPr>
          <w:b/>
        </w:rPr>
        <w:t>Inclusion</w:t>
      </w:r>
      <w:r>
        <w:t xml:space="preserve">: This factor suggests that every individual </w:t>
      </w:r>
      <w:r>
        <w:t>is equally respected and valued in the community. Also, it helps in securing the rights of all the involved stakeholders so they can contribute their efforts. In addition to that, it helps in developing connections and removing inequality from the communit</w:t>
      </w:r>
      <w:r>
        <w:t xml:space="preserve">y. The commonwealth games enable countries that are primarily governed by the British Empire. All of the teams participating in the multinational games are valued equally, with no favouritism or discrimination.  </w:t>
      </w:r>
    </w:p>
    <w:p w14:paraId="7E75016B" w14:textId="77777777" w:rsidR="00BD35BA" w:rsidRDefault="00776E28">
      <w:pPr>
        <w:spacing w:after="225" w:line="259" w:lineRule="auto"/>
        <w:ind w:left="0" w:firstLine="0"/>
        <w:jc w:val="left"/>
      </w:pPr>
      <w:r>
        <w:t xml:space="preserve"> </w:t>
      </w:r>
    </w:p>
    <w:p w14:paraId="69C471C3" w14:textId="77777777" w:rsidR="00BD35BA" w:rsidRDefault="00776E28">
      <w:pPr>
        <w:pStyle w:val="Heading2"/>
        <w:ind w:left="-5"/>
      </w:pPr>
      <w:bookmarkStart w:id="5" w:name="_Toc7649"/>
      <w:r>
        <w:t xml:space="preserve">Process used to achieve the best practices  </w:t>
      </w:r>
      <w:bookmarkEnd w:id="5"/>
    </w:p>
    <w:p w14:paraId="304D247A" w14:textId="77777777" w:rsidR="00BD35BA" w:rsidRDefault="00776E28">
      <w:pPr>
        <w:spacing w:line="357" w:lineRule="auto"/>
        <w:ind w:left="-5"/>
      </w:pPr>
      <w:r>
        <w:t xml:space="preserve"> The concept of </w:t>
      </w:r>
      <w:r>
        <w:rPr>
          <w:b/>
          <w:i/>
        </w:rPr>
        <w:t>community engagement</w:t>
      </w:r>
      <w:r>
        <w:t xml:space="preserve"> faces a lot of problems on a constant basis, which need to be resolved and identified. The commonwealth games also use these approaches for effective success (</w:t>
      </w:r>
      <w:r>
        <w:rPr>
          <w:i/>
        </w:rPr>
        <w:t>Martin, 2017</w:t>
      </w:r>
      <w:r>
        <w:t xml:space="preserve">). </w:t>
      </w:r>
      <w:r>
        <w:t>It also effectively and appropriately engages the community so that the positive outcomes can be easily implemented. Also, it is important to conduct suitable practises for the objective in order to resolve the challenges and impacts to a greater extent. V</w:t>
      </w:r>
      <w:r>
        <w:t xml:space="preserve">arious steps are included for the implementation of best practices, which are mentioned below: </w:t>
      </w:r>
    </w:p>
    <w:p w14:paraId="1A7D1F9C" w14:textId="77777777" w:rsidR="00BD35BA" w:rsidRDefault="00776E28">
      <w:pPr>
        <w:spacing w:after="110" w:line="259" w:lineRule="auto"/>
        <w:ind w:left="0" w:firstLine="0"/>
        <w:jc w:val="left"/>
      </w:pPr>
      <w:r>
        <w:t xml:space="preserve"> </w:t>
      </w:r>
    </w:p>
    <w:p w14:paraId="4D325B7E" w14:textId="77777777" w:rsidR="00BD35BA" w:rsidRDefault="00776E28">
      <w:pPr>
        <w:spacing w:line="357" w:lineRule="auto"/>
        <w:ind w:left="-5"/>
      </w:pPr>
      <w:r>
        <w:rPr>
          <w:b/>
        </w:rPr>
        <w:t>Research:</w:t>
      </w:r>
      <w:r>
        <w:t xml:space="preserve"> It is described as the first stage in which all individuals are responsible for conducting research in order to gain a better understanding of the s</w:t>
      </w:r>
      <w:r>
        <w:t>ituation and actual issues. The Commonwealth Games, which will be held in Birmingham in 2020, will include a variety of games among international athletes, which will necessitate increased engagement. The stakeholders wield more power, which helps the enti</w:t>
      </w:r>
      <w:r>
        <w:t>re event maintain its standard. Their reviews and thoughts play a crucial role in conducting important decisions. With the support of research, the commonwealth games achieve their main aim with the help of fulfilling the athletes' requirements. In additio</w:t>
      </w:r>
      <w:r>
        <w:t xml:space="preserve">n to that, it maintains confidentiality, comfort, and trust, which are especially important for the commonwealth game. Furthermore, it makes a significant difference in the end results by contributing the best efforts. The research develops a better state </w:t>
      </w:r>
      <w:r>
        <w:t xml:space="preserve">of understanding among the </w:t>
      </w:r>
      <w:r>
        <w:lastRenderedPageBreak/>
        <w:t>groups, which are highly diversified and important for the achievement of prescribed criteria (</w:t>
      </w:r>
      <w:r>
        <w:rPr>
          <w:i/>
        </w:rPr>
        <w:t>Camlin, 2021).</w:t>
      </w:r>
      <w:r>
        <w:t xml:space="preserve"> </w:t>
      </w:r>
    </w:p>
    <w:p w14:paraId="1FECD6FA" w14:textId="77777777" w:rsidR="00BD35BA" w:rsidRDefault="00776E28">
      <w:pPr>
        <w:spacing w:line="357" w:lineRule="auto"/>
        <w:ind w:left="-5"/>
      </w:pPr>
      <w:r>
        <w:rPr>
          <w:b/>
        </w:rPr>
        <w:t>Community Mapping</w:t>
      </w:r>
      <w:r>
        <w:t>:  In relation to all the activities, they have been conducted in a sequential way so that the object</w:t>
      </w:r>
      <w:r>
        <w:t>ives could be achieved. It is especially important to involve the members of the community in the planning so that the resources can be used in the best possible manner. The games are held during fixed time intervals, which also requires decision-making an</w:t>
      </w:r>
      <w:r>
        <w:t>d planning. The members of the community coordinate all the important resources in order to achieve success. The games contribute the best procedures and ideas from the stakeholders that are best suited to the international game requirements. The stakehold</w:t>
      </w:r>
      <w:r>
        <w:t>er's delicate touch results in the strategic reduction of misunderstandings. It also attracts the attention of the media, which is important for the commonwealth games' popularity all over the world (</w:t>
      </w:r>
      <w:r>
        <w:rPr>
          <w:i/>
        </w:rPr>
        <w:t>Jie and Xiuwu, 2020).</w:t>
      </w:r>
      <w:r>
        <w:t xml:space="preserve"> </w:t>
      </w:r>
    </w:p>
    <w:p w14:paraId="5C00055E" w14:textId="77777777" w:rsidR="00BD35BA" w:rsidRDefault="00776E28">
      <w:pPr>
        <w:spacing w:line="357" w:lineRule="auto"/>
        <w:ind w:left="-5"/>
      </w:pPr>
      <w:r>
        <w:rPr>
          <w:b/>
        </w:rPr>
        <w:t>Social media engagement</w:t>
      </w:r>
      <w:r>
        <w:t>: It is co</w:t>
      </w:r>
      <w:r>
        <w:t>nsidered to be an especially crucial factor that offers a suitable platform for interaction and communication. The community members are highly attracted to the information present on the various social media applications. To stay current, the games consta</w:t>
      </w:r>
      <w:r>
        <w:t xml:space="preserve">ntly updated their data and information on a regular basis. Also, it plays an incredibly significant role in impacting every person in an effective way. Moreover, it helps in resolving the issues and queries that could negatively affect the overall growth </w:t>
      </w:r>
      <w:r>
        <w:t>of the community. The stakeholder involved arranges the meetings and also uses various social media platforms in order to communicate without any kind of hindrance. Messages and emails sent via the internet can be effectively shared, assisting in the achie</w:t>
      </w:r>
      <w:r>
        <w:t>vement of the actual goal of community engagement (</w:t>
      </w:r>
      <w:r>
        <w:rPr>
          <w:i/>
        </w:rPr>
        <w:t>Monteiro and Hirano, 2020).</w:t>
      </w:r>
      <w:r>
        <w:t xml:space="preserve">  </w:t>
      </w:r>
    </w:p>
    <w:p w14:paraId="07DACB1B" w14:textId="77777777" w:rsidR="00BD35BA" w:rsidRDefault="00776E28">
      <w:pPr>
        <w:spacing w:after="115" w:line="259" w:lineRule="auto"/>
        <w:ind w:left="0" w:firstLine="0"/>
        <w:jc w:val="left"/>
      </w:pPr>
      <w:r>
        <w:t xml:space="preserve"> </w:t>
      </w:r>
    </w:p>
    <w:p w14:paraId="6FAE8A1F" w14:textId="77777777" w:rsidR="00BD35BA" w:rsidRDefault="00776E28">
      <w:pPr>
        <w:spacing w:line="357" w:lineRule="auto"/>
        <w:ind w:left="-5"/>
      </w:pPr>
      <w:r>
        <w:rPr>
          <w:b/>
        </w:rPr>
        <w:t>Monitoring performance</w:t>
      </w:r>
      <w:r>
        <w:t>: It is considered the last step, which involves keeping track of the community's engagement and its performance. The Commonwealth Games achieved succe</w:t>
      </w:r>
      <w:r>
        <w:t xml:space="preserve">ss in Birmingham for the purpose of ensuring that responsibilities and duties are conducted in an effective way. </w:t>
      </w:r>
    </w:p>
    <w:p w14:paraId="15F5B3C3" w14:textId="77777777" w:rsidR="00BD35BA" w:rsidRDefault="00776E28">
      <w:pPr>
        <w:spacing w:after="0" w:line="259" w:lineRule="auto"/>
        <w:ind w:left="0" w:firstLine="0"/>
        <w:jc w:val="left"/>
      </w:pPr>
      <w:r>
        <w:t xml:space="preserve"> </w:t>
      </w:r>
    </w:p>
    <w:p w14:paraId="0DFDF3EB" w14:textId="77777777" w:rsidR="00BD35BA" w:rsidRDefault="00776E28">
      <w:pPr>
        <w:pStyle w:val="Heading1"/>
        <w:ind w:left="0" w:firstLine="0"/>
      </w:pPr>
      <w:bookmarkStart w:id="6" w:name="_Toc7650"/>
      <w:r>
        <w:rPr>
          <w:i/>
        </w:rPr>
        <w:t xml:space="preserve">Conclusion  </w:t>
      </w:r>
      <w:bookmarkEnd w:id="6"/>
    </w:p>
    <w:p w14:paraId="62833B10" w14:textId="77777777" w:rsidR="00BD35BA" w:rsidRDefault="00776E28">
      <w:pPr>
        <w:spacing w:line="357" w:lineRule="auto"/>
        <w:ind w:left="-5"/>
      </w:pPr>
      <w:r>
        <w:t xml:space="preserve">From the above report, it can be determined that each member of the community should be involved so that effective standards can be easily maintained. The well-being of a community requires the participation and contribution of diversified individuals. It </w:t>
      </w:r>
      <w:r>
        <w:t xml:space="preserve">contributes to a better understanding of the various community approaches mentioned in the report.  </w:t>
      </w:r>
    </w:p>
    <w:p w14:paraId="5F7DB398" w14:textId="77777777" w:rsidR="00BD35BA" w:rsidRDefault="00776E28">
      <w:pPr>
        <w:spacing w:after="115" w:line="259" w:lineRule="auto"/>
        <w:ind w:left="0" w:firstLine="0"/>
        <w:jc w:val="left"/>
      </w:pPr>
      <w:r>
        <w:lastRenderedPageBreak/>
        <w:t xml:space="preserve"> </w:t>
      </w:r>
    </w:p>
    <w:p w14:paraId="745FC5CD" w14:textId="77777777" w:rsidR="00BD35BA" w:rsidRDefault="00776E28">
      <w:pPr>
        <w:spacing w:after="110" w:line="259" w:lineRule="auto"/>
        <w:ind w:left="0" w:firstLine="0"/>
        <w:jc w:val="left"/>
      </w:pPr>
      <w:r>
        <w:t xml:space="preserve"> </w:t>
      </w:r>
    </w:p>
    <w:p w14:paraId="193445C8" w14:textId="77777777" w:rsidR="00BD35BA" w:rsidRDefault="00776E28">
      <w:pPr>
        <w:spacing w:after="115" w:line="259" w:lineRule="auto"/>
        <w:ind w:left="0" w:firstLine="0"/>
        <w:jc w:val="left"/>
      </w:pPr>
      <w:r>
        <w:t xml:space="preserve"> </w:t>
      </w:r>
    </w:p>
    <w:p w14:paraId="0565CA53" w14:textId="77777777" w:rsidR="00BD35BA" w:rsidRDefault="00776E28">
      <w:pPr>
        <w:spacing w:after="115" w:line="259" w:lineRule="auto"/>
        <w:ind w:left="0" w:firstLine="0"/>
        <w:jc w:val="left"/>
      </w:pPr>
      <w:r>
        <w:t xml:space="preserve"> </w:t>
      </w:r>
    </w:p>
    <w:p w14:paraId="2D0F7C43" w14:textId="77777777" w:rsidR="00BD35BA" w:rsidRDefault="00776E28">
      <w:pPr>
        <w:spacing w:after="115" w:line="259" w:lineRule="auto"/>
        <w:ind w:left="0" w:firstLine="0"/>
        <w:jc w:val="left"/>
      </w:pPr>
      <w:r>
        <w:t xml:space="preserve"> </w:t>
      </w:r>
    </w:p>
    <w:p w14:paraId="461EF353" w14:textId="77777777" w:rsidR="00BD35BA" w:rsidRDefault="00776E28">
      <w:pPr>
        <w:spacing w:after="115" w:line="259" w:lineRule="auto"/>
        <w:ind w:left="0" w:firstLine="0"/>
        <w:jc w:val="left"/>
      </w:pPr>
      <w:r>
        <w:t xml:space="preserve"> </w:t>
      </w:r>
    </w:p>
    <w:p w14:paraId="2C69A0F4" w14:textId="77777777" w:rsidR="00BD35BA" w:rsidRDefault="00776E28">
      <w:pPr>
        <w:spacing w:after="110" w:line="259" w:lineRule="auto"/>
        <w:ind w:left="0" w:firstLine="0"/>
        <w:jc w:val="left"/>
      </w:pPr>
      <w:r>
        <w:t xml:space="preserve"> </w:t>
      </w:r>
    </w:p>
    <w:p w14:paraId="6B507666" w14:textId="77777777" w:rsidR="00BD35BA" w:rsidRDefault="00776E28">
      <w:pPr>
        <w:spacing w:after="115" w:line="259" w:lineRule="auto"/>
        <w:ind w:left="0" w:firstLine="0"/>
        <w:jc w:val="left"/>
      </w:pPr>
      <w:r>
        <w:t xml:space="preserve"> </w:t>
      </w:r>
    </w:p>
    <w:p w14:paraId="08DB0505" w14:textId="77777777" w:rsidR="00BD35BA" w:rsidRDefault="00776E28">
      <w:pPr>
        <w:spacing w:after="115" w:line="259" w:lineRule="auto"/>
        <w:ind w:left="0" w:firstLine="0"/>
        <w:jc w:val="left"/>
      </w:pPr>
      <w:r>
        <w:t xml:space="preserve"> </w:t>
      </w:r>
    </w:p>
    <w:p w14:paraId="555C3BC0" w14:textId="77777777" w:rsidR="00BD35BA" w:rsidRDefault="00776E28">
      <w:pPr>
        <w:spacing w:after="115" w:line="259" w:lineRule="auto"/>
        <w:ind w:left="0" w:firstLine="0"/>
        <w:jc w:val="left"/>
      </w:pPr>
      <w:r>
        <w:t xml:space="preserve"> </w:t>
      </w:r>
    </w:p>
    <w:p w14:paraId="4E6D11A9" w14:textId="77777777" w:rsidR="00BD35BA" w:rsidRDefault="00776E28">
      <w:pPr>
        <w:spacing w:after="110" w:line="259" w:lineRule="auto"/>
        <w:ind w:left="0" w:firstLine="0"/>
        <w:jc w:val="left"/>
      </w:pPr>
      <w:r>
        <w:t xml:space="preserve"> </w:t>
      </w:r>
    </w:p>
    <w:p w14:paraId="494B633A" w14:textId="77777777" w:rsidR="00BD35BA" w:rsidRDefault="00776E28">
      <w:pPr>
        <w:spacing w:after="115" w:line="259" w:lineRule="auto"/>
        <w:ind w:left="0" w:firstLine="0"/>
        <w:jc w:val="left"/>
      </w:pPr>
      <w:r>
        <w:t xml:space="preserve"> </w:t>
      </w:r>
    </w:p>
    <w:p w14:paraId="6C2A71F2" w14:textId="77777777" w:rsidR="00BD35BA" w:rsidRDefault="00776E28">
      <w:pPr>
        <w:spacing w:after="115" w:line="259" w:lineRule="auto"/>
        <w:ind w:left="0" w:firstLine="0"/>
        <w:jc w:val="left"/>
      </w:pPr>
      <w:r>
        <w:t xml:space="preserve"> </w:t>
      </w:r>
    </w:p>
    <w:p w14:paraId="336254DD" w14:textId="77777777" w:rsidR="00BD35BA" w:rsidRDefault="00776E28">
      <w:pPr>
        <w:spacing w:after="115" w:line="259" w:lineRule="auto"/>
        <w:ind w:left="0" w:firstLine="0"/>
        <w:jc w:val="left"/>
      </w:pPr>
      <w:r>
        <w:t xml:space="preserve"> </w:t>
      </w:r>
    </w:p>
    <w:p w14:paraId="5E5E772D" w14:textId="77777777" w:rsidR="00BD35BA" w:rsidRDefault="00776E28">
      <w:pPr>
        <w:spacing w:after="115" w:line="259" w:lineRule="auto"/>
        <w:ind w:left="0" w:firstLine="0"/>
        <w:jc w:val="left"/>
      </w:pPr>
      <w:r>
        <w:t xml:space="preserve"> </w:t>
      </w:r>
    </w:p>
    <w:p w14:paraId="690EF1D5" w14:textId="77777777" w:rsidR="00BD35BA" w:rsidRDefault="00776E28">
      <w:pPr>
        <w:spacing w:after="110" w:line="259" w:lineRule="auto"/>
        <w:ind w:left="0" w:firstLine="0"/>
        <w:jc w:val="left"/>
      </w:pPr>
      <w:r>
        <w:t xml:space="preserve"> </w:t>
      </w:r>
    </w:p>
    <w:p w14:paraId="7D605536" w14:textId="77777777" w:rsidR="00BD35BA" w:rsidRDefault="00776E28">
      <w:pPr>
        <w:spacing w:after="115" w:line="259" w:lineRule="auto"/>
        <w:ind w:left="0" w:firstLine="0"/>
        <w:jc w:val="left"/>
      </w:pPr>
      <w:r>
        <w:t xml:space="preserve"> </w:t>
      </w:r>
    </w:p>
    <w:p w14:paraId="73B1FAD7" w14:textId="77777777" w:rsidR="00BD35BA" w:rsidRDefault="00776E28">
      <w:pPr>
        <w:spacing w:after="115" w:line="259" w:lineRule="auto"/>
        <w:ind w:left="0" w:firstLine="0"/>
        <w:jc w:val="left"/>
      </w:pPr>
      <w:r>
        <w:t xml:space="preserve"> </w:t>
      </w:r>
    </w:p>
    <w:p w14:paraId="0DF0FE79" w14:textId="77777777" w:rsidR="00BD35BA" w:rsidRDefault="00776E28">
      <w:pPr>
        <w:spacing w:after="115" w:line="259" w:lineRule="auto"/>
        <w:ind w:left="0" w:firstLine="0"/>
        <w:jc w:val="left"/>
      </w:pPr>
      <w:r>
        <w:t xml:space="preserve"> </w:t>
      </w:r>
    </w:p>
    <w:p w14:paraId="715F1EE0" w14:textId="77777777" w:rsidR="00BD35BA" w:rsidRDefault="00776E28">
      <w:pPr>
        <w:spacing w:after="115" w:line="259" w:lineRule="auto"/>
        <w:ind w:left="0" w:firstLine="0"/>
        <w:jc w:val="left"/>
      </w:pPr>
      <w:r>
        <w:t xml:space="preserve"> </w:t>
      </w:r>
    </w:p>
    <w:p w14:paraId="69307D0B" w14:textId="77777777" w:rsidR="00BD35BA" w:rsidRDefault="00776E28">
      <w:pPr>
        <w:spacing w:after="110" w:line="259" w:lineRule="auto"/>
        <w:ind w:left="0" w:firstLine="0"/>
        <w:jc w:val="left"/>
      </w:pPr>
      <w:r>
        <w:t xml:space="preserve"> </w:t>
      </w:r>
    </w:p>
    <w:p w14:paraId="043A1100" w14:textId="77777777" w:rsidR="00BD35BA" w:rsidRDefault="00776E28">
      <w:pPr>
        <w:pStyle w:val="Heading1"/>
        <w:tabs>
          <w:tab w:val="center" w:pos="1529"/>
        </w:tabs>
        <w:spacing w:after="121"/>
        <w:ind w:left="0" w:firstLine="0"/>
      </w:pPr>
      <w:bookmarkStart w:id="7" w:name="_Toc7651"/>
      <w:r>
        <w:rPr>
          <w:b w:val="0"/>
          <w:sz w:val="24"/>
        </w:rPr>
        <w:t xml:space="preserve"> </w:t>
      </w:r>
      <w:r>
        <w:rPr>
          <w:b w:val="0"/>
          <w:sz w:val="24"/>
        </w:rPr>
        <w:tab/>
      </w:r>
      <w:r>
        <w:rPr>
          <w:sz w:val="24"/>
        </w:rPr>
        <w:t xml:space="preserve">REFERENCES  </w:t>
      </w:r>
      <w:bookmarkEnd w:id="7"/>
    </w:p>
    <w:p w14:paraId="42AAE618" w14:textId="77777777" w:rsidR="00BD35BA" w:rsidRDefault="00776E28">
      <w:pPr>
        <w:pStyle w:val="Heading4"/>
      </w:pPr>
      <w:r>
        <w:t>Books and Journals</w:t>
      </w:r>
      <w:r>
        <w:rPr>
          <w:u w:val="none"/>
        </w:rPr>
        <w:t xml:space="preserve">  </w:t>
      </w:r>
    </w:p>
    <w:p w14:paraId="314A104B" w14:textId="77777777" w:rsidR="00BD35BA" w:rsidRDefault="00776E28">
      <w:pPr>
        <w:spacing w:after="0" w:line="259" w:lineRule="auto"/>
        <w:ind w:left="0" w:firstLine="0"/>
        <w:jc w:val="left"/>
      </w:pPr>
      <w:r>
        <w:t xml:space="preserve"> </w:t>
      </w:r>
    </w:p>
    <w:p w14:paraId="015FE477" w14:textId="77777777" w:rsidR="00BD35BA" w:rsidRDefault="00776E28">
      <w:pPr>
        <w:ind w:left="661" w:hanging="676"/>
      </w:pPr>
      <w:r>
        <w:t xml:space="preserve">Bhusal, T. and Pandeya, G.P., 2022. Ordinary people's participation in local development planning in Nepal. Development in Practice, 32(2), pp.163-174. </w:t>
      </w:r>
    </w:p>
    <w:p w14:paraId="56CC6D30" w14:textId="77777777" w:rsidR="00BD35BA" w:rsidRDefault="00776E28">
      <w:pPr>
        <w:ind w:left="661" w:hanging="676"/>
      </w:pPr>
      <w:r>
        <w:t>Camlin, D.A., 2021. Organizational dynamics in community ensembles. Together in Music: Coordination, ex</w:t>
      </w:r>
      <w:r>
        <w:t xml:space="preserve">pression, participation, p.24. </w:t>
      </w:r>
    </w:p>
    <w:p w14:paraId="7B85C0F9" w14:textId="77777777" w:rsidR="00BD35BA" w:rsidRDefault="00776E28">
      <w:pPr>
        <w:ind w:left="661" w:hanging="676"/>
      </w:pPr>
      <w:r>
        <w:t xml:space="preserve">Hong, S., 2021. A cord of three strands: An innovative approach to parent engagement in schools. Harvard Education Press. </w:t>
      </w:r>
    </w:p>
    <w:p w14:paraId="55490365" w14:textId="77777777" w:rsidR="00BD35BA" w:rsidRDefault="00776E28">
      <w:pPr>
        <w:ind w:left="661" w:hanging="676"/>
      </w:pPr>
      <w:r>
        <w:t>Hollebeek, L.D., Juric, B. and Tang, W., 2017. Virtual brand community engagement practices: a refine</w:t>
      </w:r>
      <w:r>
        <w:t xml:space="preserve">d typology and model. </w:t>
      </w:r>
      <w:r>
        <w:rPr>
          <w:i/>
        </w:rPr>
        <w:t>Journal of Services Marketing</w:t>
      </w:r>
      <w:r>
        <w:t xml:space="preserve">. </w:t>
      </w:r>
    </w:p>
    <w:p w14:paraId="6D142BF4" w14:textId="77777777" w:rsidR="00BD35BA" w:rsidRDefault="00776E28">
      <w:pPr>
        <w:ind w:left="661" w:hanging="676"/>
      </w:pPr>
      <w:r>
        <w:t xml:space="preserve">Jie, Z. and Xiuwu, L., 2020. Customer participation, knowledge sharing and new product development performance in virtual communities. Management Review, 32(4), p.117. </w:t>
      </w:r>
    </w:p>
    <w:p w14:paraId="39E72FEB" w14:textId="77777777" w:rsidR="00BD35BA" w:rsidRDefault="00776E28">
      <w:pPr>
        <w:ind w:left="661" w:hanging="676"/>
      </w:pPr>
      <w:r>
        <w:lastRenderedPageBreak/>
        <w:t>Johnston, K.A., Lane, A.B., Hurst</w:t>
      </w:r>
      <w:r>
        <w:t xml:space="preserve">, B. and Beatson, A., 2018. Episodic and Relational Community Engagement. </w:t>
      </w:r>
      <w:r>
        <w:rPr>
          <w:i/>
        </w:rPr>
        <w:t>The handbook of communication engagement</w:t>
      </w:r>
      <w:r>
        <w:t xml:space="preserve">, p.169. </w:t>
      </w:r>
    </w:p>
    <w:p w14:paraId="75262302" w14:textId="77777777" w:rsidR="00BD35BA" w:rsidRDefault="00776E28">
      <w:pPr>
        <w:ind w:left="661" w:hanging="676"/>
      </w:pPr>
      <w:r>
        <w:t>Lee, L., Currie, V., Saied, N. and Wright, L., 2020. Journey to hope, self-expression and community engagement: Youth-led arts-based</w:t>
      </w:r>
      <w:r>
        <w:t xml:space="preserve"> participatory action research. Children and Youth Services Review, 109, p.104581. </w:t>
      </w:r>
    </w:p>
    <w:p w14:paraId="5319FF5B" w14:textId="77777777" w:rsidR="00BD35BA" w:rsidRDefault="00776E28">
      <w:pPr>
        <w:ind w:left="661" w:hanging="676"/>
      </w:pPr>
      <w:r>
        <w:t>Loureiro, S.M.C., Romero, J. and Bilro, R.G., 2020. Stakeholder engagement in co-creation processes for innovation: a systematic literature review and case study. Journal o</w:t>
      </w:r>
      <w:r>
        <w:t xml:space="preserve">f Business Research, 119, pp.388-409. </w:t>
      </w:r>
    </w:p>
    <w:p w14:paraId="27663B06" w14:textId="77777777" w:rsidR="00BD35BA" w:rsidRDefault="00776E28">
      <w:pPr>
        <w:ind w:left="661" w:hanging="676"/>
      </w:pPr>
      <w:r>
        <w:t xml:space="preserve">Monteiro, K. and Hirano, E., 2020. A periphery inside a semi-periphery: The uneven participation of Brazilian scholars in the international community. English for Specific Purposes, 58, pp.15-29. </w:t>
      </w:r>
    </w:p>
    <w:p w14:paraId="17F31D6A" w14:textId="77777777" w:rsidR="00BD35BA" w:rsidRDefault="00776E28">
      <w:pPr>
        <w:ind w:left="661" w:hanging="676"/>
      </w:pPr>
      <w:r>
        <w:t xml:space="preserve">Martin, V.Y., 2017. </w:t>
      </w:r>
      <w:r>
        <w:t xml:space="preserve">Citizen science as a means for increasing public engagement in science: presumption or possibility. </w:t>
      </w:r>
      <w:r>
        <w:rPr>
          <w:i/>
        </w:rPr>
        <w:t>Science Communication</w:t>
      </w:r>
      <w:r>
        <w:t xml:space="preserve">, </w:t>
      </w:r>
      <w:r>
        <w:rPr>
          <w:i/>
        </w:rPr>
        <w:t>39</w:t>
      </w:r>
      <w:r>
        <w:t xml:space="preserve">(2), pp.142-168. </w:t>
      </w:r>
    </w:p>
    <w:p w14:paraId="64BC22E1" w14:textId="77777777" w:rsidR="00BD35BA" w:rsidRDefault="00776E28">
      <w:pPr>
        <w:ind w:left="661" w:hanging="676"/>
      </w:pPr>
      <w:r>
        <w:t xml:space="preserve">Qudah, B., Thakur, T. and Chewning, B., 2021. Factors influencing patient participation in medication counseling </w:t>
      </w:r>
      <w:r>
        <w:t xml:space="preserve">at the community pharmacy: A systematic review. Research in Social and Administrative Pharmacy, 17(11), pp.1863-1876. </w:t>
      </w:r>
    </w:p>
    <w:p w14:paraId="2092F47F" w14:textId="77777777" w:rsidR="00BD35BA" w:rsidRDefault="00776E28">
      <w:pPr>
        <w:ind w:left="661" w:hanging="676"/>
      </w:pPr>
      <w:r>
        <w:t>Szewczyk, J. and Crowder-Meyer, M., 2020. Community income inequality and the economic gap in participation. Political Behavior, pp.1-26.</w:t>
      </w:r>
      <w:r>
        <w:t xml:space="preserve"> </w:t>
      </w:r>
    </w:p>
    <w:p w14:paraId="40BA6F0C" w14:textId="77777777" w:rsidR="00BD35BA" w:rsidRDefault="00776E28">
      <w:pPr>
        <w:ind w:left="661" w:hanging="676"/>
      </w:pPr>
      <w:r>
        <w:t xml:space="preserve">Wade, A. and Demb, A., 2009. A conceptual model to explore faculty community engagement. </w:t>
      </w:r>
      <w:r>
        <w:rPr>
          <w:i/>
        </w:rPr>
        <w:t>Michigan Journal of Community Service Learning</w:t>
      </w:r>
      <w:r>
        <w:t xml:space="preserve">, </w:t>
      </w:r>
      <w:r>
        <w:rPr>
          <w:i/>
        </w:rPr>
        <w:t>15</w:t>
      </w:r>
      <w:r>
        <w:t xml:space="preserve">(2), pp.5-16. </w:t>
      </w:r>
    </w:p>
    <w:p w14:paraId="4B430111" w14:textId="77777777" w:rsidR="00BD35BA" w:rsidRDefault="00776E28">
      <w:pPr>
        <w:ind w:left="-5"/>
      </w:pPr>
      <w:r>
        <w:t xml:space="preserve">Watson, S. and Waterton, E., 2010. Heritage and community engagement. </w:t>
      </w:r>
    </w:p>
    <w:p w14:paraId="648CBD9E" w14:textId="77777777" w:rsidR="00BD35BA" w:rsidRDefault="00776E28">
      <w:pPr>
        <w:ind w:left="661" w:hanging="676"/>
      </w:pPr>
      <w:r>
        <w:t xml:space="preserve">Wallerstein, N., Minkler, M., Carter-Edwards, L., Avila, M. and Sanchez, V., 2015. Improving health through community engagement, community organization, and community building. </w:t>
      </w:r>
      <w:r>
        <w:rPr>
          <w:i/>
        </w:rPr>
        <w:t xml:space="preserve">Health </w:t>
      </w:r>
      <w:r>
        <w:rPr>
          <w:i/>
        </w:rPr>
        <w:t>behavior: theory, research and practice</w:t>
      </w:r>
      <w:r>
        <w:t xml:space="preserve">, </w:t>
      </w:r>
      <w:r>
        <w:rPr>
          <w:i/>
        </w:rPr>
        <w:t>5</w:t>
      </w:r>
      <w:r>
        <w:t xml:space="preserve">. </w:t>
      </w:r>
    </w:p>
    <w:p w14:paraId="06534B71" w14:textId="77777777" w:rsidR="00BD35BA" w:rsidRDefault="00776E28">
      <w:pPr>
        <w:spacing w:after="325" w:line="259" w:lineRule="auto"/>
        <w:ind w:left="0" w:right="4578" w:firstLine="0"/>
        <w:jc w:val="right"/>
      </w:pPr>
      <w:r>
        <w:rPr>
          <w:b/>
          <w:sz w:val="44"/>
        </w:rPr>
        <w:t xml:space="preserve"> </w:t>
      </w:r>
    </w:p>
    <w:p w14:paraId="4481D6E3" w14:textId="77777777" w:rsidR="00BD35BA" w:rsidRDefault="00776E28">
      <w:pPr>
        <w:spacing w:after="319" w:line="259" w:lineRule="auto"/>
        <w:ind w:left="0" w:right="4578" w:firstLine="0"/>
        <w:jc w:val="right"/>
      </w:pPr>
      <w:r>
        <w:rPr>
          <w:b/>
          <w:sz w:val="44"/>
        </w:rPr>
        <w:t xml:space="preserve"> </w:t>
      </w:r>
    </w:p>
    <w:p w14:paraId="441D9C14" w14:textId="77777777" w:rsidR="00BD35BA" w:rsidRDefault="00776E28">
      <w:pPr>
        <w:spacing w:after="325" w:line="259" w:lineRule="auto"/>
        <w:ind w:left="0" w:right="4578" w:firstLine="0"/>
        <w:jc w:val="right"/>
      </w:pPr>
      <w:r>
        <w:rPr>
          <w:b/>
          <w:sz w:val="44"/>
        </w:rPr>
        <w:t xml:space="preserve"> </w:t>
      </w:r>
    </w:p>
    <w:p w14:paraId="3EF98E65" w14:textId="77777777" w:rsidR="00BD35BA" w:rsidRDefault="00776E28">
      <w:pPr>
        <w:spacing w:after="319" w:line="259" w:lineRule="auto"/>
        <w:ind w:left="0" w:right="4578" w:firstLine="0"/>
        <w:jc w:val="right"/>
      </w:pPr>
      <w:r>
        <w:rPr>
          <w:b/>
          <w:sz w:val="44"/>
        </w:rPr>
        <w:t xml:space="preserve"> </w:t>
      </w:r>
    </w:p>
    <w:p w14:paraId="06D89E73" w14:textId="77777777" w:rsidR="00BD35BA" w:rsidRDefault="00776E28">
      <w:pPr>
        <w:spacing w:after="135" w:line="259" w:lineRule="auto"/>
        <w:ind w:left="0" w:right="4578" w:firstLine="0"/>
        <w:jc w:val="right"/>
      </w:pPr>
      <w:r>
        <w:rPr>
          <w:b/>
          <w:sz w:val="44"/>
        </w:rPr>
        <w:t xml:space="preserve"> </w:t>
      </w:r>
    </w:p>
    <w:p w14:paraId="3F434884" w14:textId="77777777" w:rsidR="00BD35BA" w:rsidRDefault="00776E28">
      <w:pPr>
        <w:spacing w:after="115" w:line="259" w:lineRule="auto"/>
        <w:ind w:left="0" w:right="4628" w:firstLine="0"/>
        <w:jc w:val="right"/>
      </w:pPr>
      <w:r>
        <w:rPr>
          <w:color w:val="222222"/>
        </w:rPr>
        <w:t xml:space="preserve"> </w:t>
      </w:r>
    </w:p>
    <w:p w14:paraId="1341C646" w14:textId="77777777" w:rsidR="00BD35BA" w:rsidRDefault="00776E28">
      <w:pPr>
        <w:spacing w:after="0" w:line="259" w:lineRule="auto"/>
        <w:ind w:left="0" w:firstLine="0"/>
        <w:jc w:val="left"/>
      </w:pPr>
      <w:r>
        <w:t xml:space="preserve"> </w:t>
      </w:r>
    </w:p>
    <w:sectPr w:rsidR="00BD35BA">
      <w:footerReference w:type="even" r:id="rId10"/>
      <w:footerReference w:type="default" r:id="rId11"/>
      <w:footerReference w:type="first" r:id="rId12"/>
      <w:pgSz w:w="12240" w:h="15840"/>
      <w:pgMar w:top="1452" w:right="1435" w:bottom="1589" w:left="1431" w:header="720" w:footer="713"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32C499" w14:textId="77777777" w:rsidR="00000000" w:rsidRDefault="00776E28">
      <w:pPr>
        <w:spacing w:after="0" w:line="240" w:lineRule="auto"/>
      </w:pPr>
      <w:r>
        <w:separator/>
      </w:r>
    </w:p>
  </w:endnote>
  <w:endnote w:type="continuationSeparator" w:id="0">
    <w:p w14:paraId="73B7E11B" w14:textId="77777777" w:rsidR="00000000" w:rsidRDefault="00776E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58D9BD" w14:textId="77777777" w:rsidR="00BD35BA" w:rsidRDefault="00BD35BA">
    <w:pPr>
      <w:spacing w:after="160" w:line="259" w:lineRule="auto"/>
      <w:ind w:lef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E2562" w14:textId="77777777" w:rsidR="00BD35BA" w:rsidRDefault="00BD35BA">
    <w:pPr>
      <w:spacing w:after="160" w:line="259" w:lineRule="auto"/>
      <w:ind w:lef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250495" w14:textId="77777777" w:rsidR="00BD35BA" w:rsidRDefault="00BD35BA">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571774" w14:textId="77777777" w:rsidR="00BD35BA" w:rsidRDefault="00776E28">
    <w:pPr>
      <w:spacing w:after="0" w:line="259" w:lineRule="auto"/>
      <w:ind w:left="0" w:right="1" w:firstLine="0"/>
      <w:jc w:val="center"/>
    </w:pPr>
    <w:r>
      <w:fldChar w:fldCharType="begin"/>
    </w:r>
    <w:r>
      <w:instrText xml:space="preserve"> PAGE   \* MERGEFORMAT </w:instrText>
    </w:r>
    <w:r>
      <w:fldChar w:fldCharType="separate"/>
    </w:r>
    <w:r>
      <w:t>1</w:t>
    </w:r>
    <w:r>
      <w:fldChar w:fldCharType="end"/>
    </w:r>
    <w:r>
      <w:t xml:space="preserve"> </w:t>
    </w:r>
  </w:p>
  <w:p w14:paraId="6E2BB360" w14:textId="77777777" w:rsidR="00BD35BA" w:rsidRDefault="00776E28">
    <w:pPr>
      <w:spacing w:after="0" w:line="259" w:lineRule="auto"/>
      <w:ind w:left="0" w:firstLine="0"/>
      <w:jc w:val="left"/>
    </w:pP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092B95" w14:textId="77777777" w:rsidR="00BD35BA" w:rsidRDefault="00776E28">
    <w:pPr>
      <w:spacing w:after="0" w:line="259" w:lineRule="auto"/>
      <w:ind w:left="0" w:right="1" w:firstLine="0"/>
      <w:jc w:val="center"/>
    </w:pPr>
    <w:r>
      <w:fldChar w:fldCharType="begin"/>
    </w:r>
    <w:r>
      <w:instrText xml:space="preserve"> PAGE   \* MERGEFORMAT </w:instrText>
    </w:r>
    <w:r>
      <w:fldChar w:fldCharType="separate"/>
    </w:r>
    <w:r>
      <w:t>1</w:t>
    </w:r>
    <w:r>
      <w:fldChar w:fldCharType="end"/>
    </w:r>
    <w:r>
      <w:t xml:space="preserve"> </w:t>
    </w:r>
  </w:p>
  <w:p w14:paraId="21D9E339" w14:textId="77777777" w:rsidR="00BD35BA" w:rsidRDefault="00776E28">
    <w:pPr>
      <w:spacing w:after="0" w:line="259" w:lineRule="auto"/>
      <w:ind w:left="0" w:firstLine="0"/>
      <w:jc w:val="left"/>
    </w:pPr>
    <w: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26D1E" w14:textId="77777777" w:rsidR="00BD35BA" w:rsidRDefault="00776E28">
    <w:pPr>
      <w:spacing w:after="0" w:line="259" w:lineRule="auto"/>
      <w:ind w:left="0" w:right="1" w:firstLine="0"/>
      <w:jc w:val="center"/>
    </w:pPr>
    <w:r>
      <w:fldChar w:fldCharType="begin"/>
    </w:r>
    <w:r>
      <w:instrText xml:space="preserve"> PAGE   \* MERGEFORMAT </w:instrText>
    </w:r>
    <w:r>
      <w:fldChar w:fldCharType="separate"/>
    </w:r>
    <w:r>
      <w:t>1</w:t>
    </w:r>
    <w:r>
      <w:fldChar w:fldCharType="end"/>
    </w:r>
    <w:r>
      <w:t xml:space="preserve"> </w:t>
    </w:r>
  </w:p>
  <w:p w14:paraId="0B8108AB" w14:textId="77777777" w:rsidR="00BD35BA" w:rsidRDefault="00776E28">
    <w:pPr>
      <w:spacing w:after="0" w:line="259" w:lineRule="auto"/>
      <w:ind w:lef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933016" w14:textId="77777777" w:rsidR="00000000" w:rsidRDefault="00776E28">
      <w:pPr>
        <w:spacing w:after="0" w:line="240" w:lineRule="auto"/>
      </w:pPr>
      <w:r>
        <w:separator/>
      </w:r>
    </w:p>
  </w:footnote>
  <w:footnote w:type="continuationSeparator" w:id="0">
    <w:p w14:paraId="02DC65D0" w14:textId="77777777" w:rsidR="00000000" w:rsidRDefault="00776E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35BA"/>
    <w:rsid w:val="002720DE"/>
    <w:rsid w:val="00776E28"/>
    <w:rsid w:val="0098187F"/>
    <w:rsid w:val="00BD35BA"/>
    <w:rsid w:val="00F87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8A7431"/>
  <w15:docId w15:val="{5E498A95-D4B5-BC46-A1DB-9C0074881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248" w:lineRule="auto"/>
      <w:ind w:left="10" w:hanging="10"/>
      <w:jc w:val="both"/>
    </w:pPr>
    <w:rPr>
      <w:rFonts w:ascii="Times New Roman" w:eastAsia="Times New Roman" w:hAnsi="Times New Roman" w:cs="Times New Roman"/>
      <w:color w:val="000000"/>
      <w:sz w:val="24"/>
      <w:lang w:val="en-US" w:bidi="en-US"/>
    </w:rPr>
  </w:style>
  <w:style w:type="paragraph" w:styleId="Heading1">
    <w:name w:val="heading 1"/>
    <w:next w:val="Normal"/>
    <w:link w:val="Heading1Char"/>
    <w:uiPriority w:val="9"/>
    <w:qFormat/>
    <w:pPr>
      <w:keepNext/>
      <w:keepLines/>
      <w:spacing w:after="95"/>
      <w:ind w:left="12" w:hanging="10"/>
      <w:outlineLvl w:val="0"/>
    </w:pPr>
    <w:rPr>
      <w:rFonts w:ascii="Times New Roman" w:eastAsia="Times New Roman" w:hAnsi="Times New Roman" w:cs="Times New Roman"/>
      <w:b/>
      <w:color w:val="000000"/>
      <w:sz w:val="28"/>
    </w:rPr>
  </w:style>
  <w:style w:type="paragraph" w:styleId="Heading2">
    <w:name w:val="heading 2"/>
    <w:next w:val="Normal"/>
    <w:link w:val="Heading2Char"/>
    <w:uiPriority w:val="9"/>
    <w:unhideWhenUsed/>
    <w:qFormat/>
    <w:pPr>
      <w:keepNext/>
      <w:keepLines/>
      <w:spacing w:after="115"/>
      <w:ind w:left="10" w:hanging="10"/>
      <w:outlineLvl w:val="1"/>
    </w:pPr>
    <w:rPr>
      <w:rFonts w:ascii="Times New Roman" w:eastAsia="Times New Roman" w:hAnsi="Times New Roman" w:cs="Times New Roman"/>
      <w:b/>
      <w:i/>
      <w:color w:val="000000"/>
      <w:sz w:val="24"/>
    </w:rPr>
  </w:style>
  <w:style w:type="paragraph" w:styleId="Heading3">
    <w:name w:val="heading 3"/>
    <w:next w:val="Normal"/>
    <w:link w:val="Heading3Char"/>
    <w:uiPriority w:val="9"/>
    <w:unhideWhenUsed/>
    <w:qFormat/>
    <w:pPr>
      <w:keepNext/>
      <w:keepLines/>
      <w:spacing w:after="115"/>
      <w:ind w:left="10" w:hanging="10"/>
      <w:outlineLvl w:val="2"/>
    </w:pPr>
    <w:rPr>
      <w:rFonts w:ascii="Times New Roman" w:eastAsia="Times New Roman" w:hAnsi="Times New Roman" w:cs="Times New Roman"/>
      <w:b/>
      <w:i/>
      <w:color w:val="000000"/>
      <w:sz w:val="24"/>
    </w:rPr>
  </w:style>
  <w:style w:type="paragraph" w:styleId="Heading4">
    <w:name w:val="heading 4"/>
    <w:next w:val="Normal"/>
    <w:link w:val="Heading4Char"/>
    <w:uiPriority w:val="9"/>
    <w:unhideWhenUsed/>
    <w:qFormat/>
    <w:pPr>
      <w:keepNext/>
      <w:keepLines/>
      <w:spacing w:after="115"/>
      <w:outlineLvl w:val="3"/>
    </w:pPr>
    <w:rPr>
      <w:rFonts w:ascii="Times New Roman" w:eastAsia="Times New Roman" w:hAnsi="Times New Roman" w:cs="Times New Roman"/>
      <w:color w:val="000000"/>
      <w:sz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Times New Roman" w:eastAsia="Times New Roman" w:hAnsi="Times New Roman" w:cs="Times New Roman"/>
      <w:b/>
      <w:i/>
      <w:color w:val="000000"/>
      <w:sz w:val="24"/>
    </w:rPr>
  </w:style>
  <w:style w:type="character" w:customStyle="1" w:styleId="Heading4Char">
    <w:name w:val="Heading 4 Char"/>
    <w:link w:val="Heading4"/>
    <w:rPr>
      <w:rFonts w:ascii="Times New Roman" w:eastAsia="Times New Roman" w:hAnsi="Times New Roman" w:cs="Times New Roman"/>
      <w:color w:val="000000"/>
      <w:sz w:val="24"/>
      <w:u w:val="single" w:color="000000"/>
    </w:rPr>
  </w:style>
  <w:style w:type="character" w:customStyle="1" w:styleId="Heading1Char">
    <w:name w:val="Heading 1 Char"/>
    <w:link w:val="Heading1"/>
    <w:rPr>
      <w:rFonts w:ascii="Times New Roman" w:eastAsia="Times New Roman" w:hAnsi="Times New Roman" w:cs="Times New Roman"/>
      <w:b/>
      <w:color w:val="000000"/>
      <w:sz w:val="28"/>
    </w:rPr>
  </w:style>
  <w:style w:type="character" w:customStyle="1" w:styleId="Heading2Char">
    <w:name w:val="Heading 2 Char"/>
    <w:link w:val="Heading2"/>
    <w:rPr>
      <w:rFonts w:ascii="Times New Roman" w:eastAsia="Times New Roman" w:hAnsi="Times New Roman" w:cs="Times New Roman"/>
      <w:b/>
      <w:i/>
      <w:color w:val="000000"/>
      <w:sz w:val="24"/>
    </w:rPr>
  </w:style>
  <w:style w:type="paragraph" w:styleId="TOC1">
    <w:name w:val="toc 1"/>
    <w:hidden/>
    <w:pPr>
      <w:spacing w:after="123" w:line="248" w:lineRule="auto"/>
      <w:ind w:left="25" w:right="23" w:hanging="10"/>
      <w:jc w:val="both"/>
    </w:pPr>
    <w:rPr>
      <w:rFonts w:ascii="Times New Roman" w:eastAsia="Times New Roman" w:hAnsi="Times New Roman" w:cs="Times New Roman"/>
      <w:color w:val="000000"/>
      <w:sz w:val="24"/>
    </w:rPr>
  </w:style>
  <w:style w:type="paragraph" w:styleId="TOC2">
    <w:name w:val="toc 2"/>
    <w:hidden/>
    <w:pPr>
      <w:spacing w:after="112"/>
      <w:ind w:left="295" w:right="285" w:hanging="10"/>
      <w:jc w:val="center"/>
    </w:pPr>
    <w:rPr>
      <w:rFonts w:ascii="Times New Roman" w:eastAsia="Times New Roman" w:hAnsi="Times New Roman" w:cs="Times New Roman"/>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 /><Relationship Id="rId13"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footer" Target="footer1.xml" /><Relationship Id="rId12" Type="http://schemas.openxmlformats.org/officeDocument/2006/relationships/footer" Target="footer6.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jpg" /><Relationship Id="rId11" Type="http://schemas.openxmlformats.org/officeDocument/2006/relationships/footer" Target="footer5.xml" /><Relationship Id="rId5" Type="http://schemas.openxmlformats.org/officeDocument/2006/relationships/endnotes" Target="endnotes.xml" /><Relationship Id="rId10" Type="http://schemas.openxmlformats.org/officeDocument/2006/relationships/footer" Target="footer4.xml" /><Relationship Id="rId4" Type="http://schemas.openxmlformats.org/officeDocument/2006/relationships/footnotes" Target="footnotes.xml" /><Relationship Id="rId9" Type="http://schemas.openxmlformats.org/officeDocument/2006/relationships/footer" Target="footer3.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2453</Words>
  <Characters>13987</Characters>
  <Application>Microsoft Office Word</Application>
  <DocSecurity>0</DocSecurity>
  <Lines>116</Lines>
  <Paragraphs>32</Paragraphs>
  <ScaleCrop>false</ScaleCrop>
  <Company/>
  <LinksUpToDate>false</LinksUpToDate>
  <CharactersWithSpaces>16408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Cristian Lupu</cp:lastModifiedBy>
  <cp:revision>2</cp:revision>
  <dcterms:created xsi:type="dcterms:W3CDTF">2023-01-05T20:19:00Z</dcterms:created>
  <dcterms:modified xsi:type="dcterms:W3CDTF">2023-01-05T20:19:00Z</dcterms:modified>
</cp:coreProperties>
</file>