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55EC4B">
      <w:pPr>
        <w:jc w:val="left"/>
        <w:rPr>
          <w:rFonts w:cs="Arial"/>
          <w:sz w:val="28"/>
        </w:rPr>
      </w:pPr>
    </w:p>
    <w:p w14:paraId="5656B364">
      <w:pPr>
        <w:jc w:val="left"/>
        <w:rPr>
          <w:rFonts w:cs="Arial"/>
          <w:sz w:val="28"/>
        </w:rPr>
      </w:pPr>
    </w:p>
    <w:p w14:paraId="572CDB5E">
      <w:pPr>
        <w:jc w:val="center"/>
        <w:rPr>
          <w:rFonts w:cs="Arial"/>
          <w:sz w:val="28"/>
        </w:rPr>
      </w:pPr>
      <w:r>
        <w:rPr>
          <w:lang w:bidi="ar-SA"/>
        </w:rPr>
        <w:drawing>
          <wp:inline distT="0" distB="0" distL="0" distR="0">
            <wp:extent cx="1990725" cy="952500"/>
            <wp:effectExtent l="0" t="0" r="9525" b="0"/>
            <wp:docPr id="1581556340"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581556340" name="image1.png" descr="Discover University of Wales Trinity Saint David"/>
                    <pic:cNvPicPr/>
                  </pic:nvPicPr>
                  <pic:blipFill>
                    <a:blip r:embed="rId7"/>
                    <a:srcRect/>
                    <a:stretch>
                      <a:fillRect/>
                    </a:stretch>
                  </pic:blipFill>
                  <pic:spPr>
                    <a:xfrm>
                      <a:off x="0" y="0"/>
                      <a:ext cx="1990725" cy="952500"/>
                    </a:xfrm>
                    <a:prstGeom prst="rect">
                      <a:avLst/>
                    </a:prstGeom>
                  </pic:spPr>
                </pic:pic>
              </a:graphicData>
            </a:graphic>
          </wp:inline>
        </w:drawing>
      </w:r>
    </w:p>
    <w:p w14:paraId="6EE88F65">
      <w:pPr>
        <w:jc w:val="left"/>
        <w:rPr>
          <w:rFonts w:cs="Arial"/>
          <w:sz w:val="28"/>
        </w:rPr>
      </w:pPr>
    </w:p>
    <w:p w14:paraId="6AD20542">
      <w:pPr>
        <w:jc w:val="left"/>
        <w:rPr>
          <w:rFonts w:cs="Arial"/>
          <w:sz w:val="28"/>
        </w:rPr>
      </w:pPr>
    </w:p>
    <w:p w14:paraId="1620A0A7">
      <w:pPr>
        <w:jc w:val="left"/>
        <w:rPr>
          <w:rFonts w:cs="Arial"/>
          <w:sz w:val="28"/>
        </w:rPr>
      </w:pPr>
    </w:p>
    <w:p w14:paraId="7CBFDAE4">
      <w:pPr>
        <w:jc w:val="left"/>
        <w:rPr>
          <w:rFonts w:cs="Arial"/>
          <w:sz w:val="28"/>
        </w:rPr>
      </w:pPr>
      <w:r>
        <w:rPr>
          <w:rFonts w:cs="Arial"/>
          <w:sz w:val="28"/>
        </w:rPr>
        <w:t>Programme: Master of Business Administration</w:t>
      </w:r>
    </w:p>
    <w:p w14:paraId="673D4DD1">
      <w:pPr>
        <w:jc w:val="left"/>
        <w:rPr>
          <w:rFonts w:cs="Arial"/>
          <w:sz w:val="28"/>
        </w:rPr>
      </w:pPr>
      <w:r>
        <w:rPr>
          <w:rFonts w:cs="Arial"/>
          <w:sz w:val="28"/>
        </w:rPr>
        <w:t>Module Code: LCMB7002</w:t>
      </w:r>
    </w:p>
    <w:p w14:paraId="35DF47D5">
      <w:pPr>
        <w:jc w:val="left"/>
        <w:rPr>
          <w:rFonts w:cs="Arial"/>
          <w:sz w:val="28"/>
        </w:rPr>
      </w:pPr>
      <w:r>
        <w:rPr>
          <w:rFonts w:cs="Arial"/>
          <w:sz w:val="28"/>
        </w:rPr>
        <w:t>Module Name: Financial Management</w:t>
      </w:r>
    </w:p>
    <w:p w14:paraId="51D3885A">
      <w:pPr>
        <w:jc w:val="left"/>
        <w:rPr>
          <w:rFonts w:cs="Arial"/>
          <w:sz w:val="28"/>
        </w:rPr>
      </w:pPr>
      <w:r>
        <w:rPr>
          <w:rFonts w:cs="Arial"/>
          <w:sz w:val="28"/>
        </w:rPr>
        <w:t>Title :</w:t>
      </w:r>
      <w:r>
        <w:rPr>
          <w:rFonts w:hint="default" w:cs="Arial"/>
          <w:sz w:val="28"/>
          <w:lang w:val="en-US"/>
        </w:rPr>
        <w:t xml:space="preserve"> Assessment Component :</w:t>
      </w:r>
      <w:bookmarkStart w:id="48" w:name="_GoBack"/>
      <w:bookmarkEnd w:id="48"/>
      <w:r>
        <w:rPr>
          <w:rFonts w:cs="Arial"/>
          <w:sz w:val="28"/>
        </w:rPr>
        <w:t xml:space="preserve"> Financial </w:t>
      </w:r>
      <w:r>
        <w:rPr>
          <w:rFonts w:hint="default" w:cs="Arial"/>
          <w:sz w:val="28"/>
          <w:lang w:val="en-US"/>
        </w:rPr>
        <w:t>P</w:t>
      </w:r>
      <w:r>
        <w:rPr>
          <w:rFonts w:cs="Arial"/>
          <w:sz w:val="28"/>
        </w:rPr>
        <w:t xml:space="preserve">erformance and </w:t>
      </w:r>
      <w:r>
        <w:rPr>
          <w:rFonts w:hint="default" w:cs="Arial"/>
          <w:sz w:val="28"/>
          <w:lang w:val="en-US"/>
        </w:rPr>
        <w:t>M</w:t>
      </w:r>
      <w:r>
        <w:rPr>
          <w:rFonts w:cs="Arial"/>
          <w:sz w:val="28"/>
        </w:rPr>
        <w:t>anagement</w:t>
      </w:r>
    </w:p>
    <w:p w14:paraId="3B22B398">
      <w:pPr>
        <w:jc w:val="left"/>
        <w:rPr>
          <w:rFonts w:cs="Arial"/>
          <w:sz w:val="28"/>
        </w:rPr>
      </w:pPr>
      <w:r>
        <w:rPr>
          <w:rFonts w:cs="Arial"/>
          <w:sz w:val="28"/>
        </w:rPr>
        <w:t>Lecturer : Patrick Yeboah</w:t>
      </w:r>
    </w:p>
    <w:p w14:paraId="5769ACFC">
      <w:pPr>
        <w:jc w:val="left"/>
        <w:rPr>
          <w:rFonts w:cs="Arial"/>
          <w:sz w:val="28"/>
        </w:rPr>
      </w:pPr>
      <w:r>
        <w:rPr>
          <w:rFonts w:cs="Arial"/>
          <w:sz w:val="28"/>
        </w:rPr>
        <w:t>Student : MD Abdul Kadir Chowdhury</w:t>
      </w:r>
    </w:p>
    <w:p w14:paraId="381B3EAC">
      <w:pPr>
        <w:jc w:val="left"/>
        <w:rPr>
          <w:rFonts w:cs="Arial"/>
          <w:sz w:val="28"/>
        </w:rPr>
      </w:pPr>
      <w:r>
        <w:rPr>
          <w:rFonts w:cs="Arial"/>
          <w:sz w:val="28"/>
        </w:rPr>
        <w:t>Student ID: 2435894</w:t>
      </w:r>
    </w:p>
    <w:p w14:paraId="084027AD">
      <w:pPr>
        <w:jc w:val="left"/>
        <w:rPr>
          <w:rFonts w:cs="Arial"/>
          <w:sz w:val="28"/>
        </w:rPr>
      </w:pPr>
      <w:r>
        <w:rPr>
          <w:rFonts w:cs="Arial"/>
          <w:sz w:val="28"/>
        </w:rPr>
        <w:t>Date of submission: 24th November 2025</w:t>
      </w:r>
    </w:p>
    <w:p w14:paraId="203ECD80">
      <w:pPr>
        <w:spacing w:line="276" w:lineRule="auto"/>
        <w:jc w:val="left"/>
      </w:pPr>
      <w:r>
        <w:br w:type="page"/>
      </w:r>
    </w:p>
    <w:sdt>
      <w:sdtPr>
        <w:rPr>
          <w:rFonts w:ascii="Arial" w:hAnsi="Arial" w:cs="Vrinda" w:eastAsiaTheme="minorHAnsi"/>
          <w:b w:val="0"/>
          <w:bCs w:val="0"/>
          <w:color w:val="auto"/>
          <w:sz w:val="24"/>
          <w:lang w:eastAsia="en-US" w:bidi="bn-IN"/>
        </w:rPr>
        <w:id w:val="-1822871826"/>
        <w:docPartObj>
          <w:docPartGallery w:val="Table of Contents"/>
          <w:docPartUnique/>
        </w:docPartObj>
      </w:sdtPr>
      <w:sdtEndPr>
        <w:rPr>
          <w:rFonts w:ascii="Arial" w:hAnsi="Arial" w:cs="Vrinda" w:eastAsiaTheme="minorHAnsi"/>
          <w:b w:val="0"/>
          <w:bCs w:val="0"/>
          <w:color w:val="auto"/>
          <w:sz w:val="24"/>
          <w:lang w:eastAsia="en-US" w:bidi="bn-IN"/>
        </w:rPr>
      </w:sdtEndPr>
      <w:sdtContent>
        <w:p w14:paraId="245E5D13">
          <w:pPr>
            <w:pStyle w:val="33"/>
            <w:jc w:val="center"/>
            <w:rPr>
              <w:rFonts w:ascii="Arial" w:hAnsi="Arial" w:cs="Arial"/>
              <w:color w:val="auto"/>
              <w:sz w:val="32"/>
            </w:rPr>
          </w:pPr>
          <w:r>
            <w:rPr>
              <w:rFonts w:ascii="Arial" w:hAnsi="Arial" w:cs="Arial"/>
              <w:color w:val="auto"/>
              <w:sz w:val="32"/>
            </w:rPr>
            <w:t>Table of Contents</w:t>
          </w:r>
        </w:p>
        <w:p w14:paraId="1349297D">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TOC \o "1-3" \h \z \u </w:instrText>
          </w:r>
          <w:r>
            <w:fldChar w:fldCharType="separate"/>
          </w:r>
          <w:r>
            <w:fldChar w:fldCharType="begin"/>
          </w:r>
          <w:r>
            <w:instrText xml:space="preserve"> HYPERLINK \l "_Toc214660018" </w:instrText>
          </w:r>
          <w:r>
            <w:fldChar w:fldCharType="separate"/>
          </w:r>
          <w:r>
            <w:rPr>
              <w:rStyle w:val="17"/>
              <w:rFonts w:eastAsia="Times New Roman"/>
            </w:rPr>
            <w:t>1.0 Introduction</w:t>
          </w:r>
          <w:r>
            <w:tab/>
          </w:r>
          <w:r>
            <w:fldChar w:fldCharType="begin"/>
          </w:r>
          <w:r>
            <w:instrText xml:space="preserve"> PAGEREF _Toc214660018 \h </w:instrText>
          </w:r>
          <w:r>
            <w:fldChar w:fldCharType="separate"/>
          </w:r>
          <w:r>
            <w:t>1</w:t>
          </w:r>
          <w:r>
            <w:fldChar w:fldCharType="end"/>
          </w:r>
          <w:r>
            <w:fldChar w:fldCharType="end"/>
          </w:r>
        </w:p>
        <w:p w14:paraId="78C94C3D">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"_Toc214660019" </w:instrText>
          </w:r>
          <w:r>
            <w:fldChar w:fldCharType="separate"/>
          </w:r>
          <w:r>
            <w:rPr>
              <w:rStyle w:val="17"/>
            </w:rPr>
            <w:t>2.0 Financial Health Check</w:t>
          </w:r>
          <w:r>
            <w:tab/>
          </w:r>
          <w:r>
            <w:fldChar w:fldCharType="begin"/>
          </w:r>
          <w:r>
            <w:instrText xml:space="preserve"> PAGEREF _Toc214660019 \h </w:instrText>
          </w:r>
          <w:r>
            <w:fldChar w:fldCharType="separate"/>
          </w:r>
          <w:r>
            <w:t>2</w:t>
          </w:r>
          <w:r>
            <w:fldChar w:fldCharType="end"/>
          </w:r>
          <w:r>
            <w:fldChar w:fldCharType="end"/>
          </w:r>
        </w:p>
        <w:p w14:paraId="5D7ECA54">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"_Toc214660020" </w:instrText>
          </w:r>
          <w:r>
            <w:fldChar w:fldCharType="separate"/>
          </w:r>
          <w:r>
            <w:rPr>
              <w:rStyle w:val="17"/>
            </w:rPr>
            <w:t>2.1 Overview of Financial Performance</w:t>
          </w:r>
          <w:r>
            <w:tab/>
          </w:r>
          <w:r>
            <w:fldChar w:fldCharType="begin"/>
          </w:r>
          <w:r>
            <w:instrText xml:space="preserve"> PAGEREF _Toc214660020 \h </w:instrText>
          </w:r>
          <w:r>
            <w:fldChar w:fldCharType="separate"/>
          </w:r>
          <w:r>
            <w:t>2</w:t>
          </w:r>
          <w:r>
            <w:fldChar w:fldCharType="end"/>
          </w:r>
          <w:r>
            <w:fldChar w:fldCharType="end"/>
          </w:r>
        </w:p>
        <w:p w14:paraId="6424D041">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"_Toc214660021" </w:instrText>
          </w:r>
          <w:r>
            <w:fldChar w:fldCharType="separate"/>
          </w:r>
          <w:r>
            <w:rPr>
              <w:rStyle w:val="17"/>
              <w:rFonts w:eastAsia="Times New Roman"/>
            </w:rPr>
            <w:t xml:space="preserve">2.1.1 </w:t>
          </w:r>
          <w:r>
            <w:rPr>
              <w:rStyle w:val="17"/>
            </w:rPr>
            <w:t>Income Statement Analysis</w:t>
          </w:r>
          <w:r>
            <w:tab/>
          </w:r>
          <w:r>
            <w:fldChar w:fldCharType="begin"/>
          </w:r>
          <w:r>
            <w:instrText xml:space="preserve"> PAGEREF _Toc214660021 \h </w:instrText>
          </w:r>
          <w:r>
            <w:fldChar w:fldCharType="separate"/>
          </w:r>
          <w:r>
            <w:t>2</w:t>
          </w:r>
          <w:r>
            <w:fldChar w:fldCharType="end"/>
          </w:r>
          <w:r>
            <w:fldChar w:fldCharType="end"/>
          </w:r>
        </w:p>
        <w:p w14:paraId="73564259">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"_Toc214660022" </w:instrText>
          </w:r>
          <w:r>
            <w:fldChar w:fldCharType="separate"/>
          </w:r>
          <w:r>
            <w:rPr>
              <w:rStyle w:val="17"/>
            </w:rPr>
            <w:t>2.1.2 Statement of Financial Position Analysis</w:t>
          </w:r>
          <w:r>
            <w:tab/>
          </w:r>
          <w:r>
            <w:fldChar w:fldCharType="begin"/>
          </w:r>
          <w:r>
            <w:instrText xml:space="preserve"> PAGEREF _Toc214660022 \h </w:instrText>
          </w:r>
          <w:r>
            <w:fldChar w:fldCharType="separate"/>
          </w:r>
          <w:r>
            <w:t>2</w:t>
          </w:r>
          <w:r>
            <w:fldChar w:fldCharType="end"/>
          </w:r>
          <w:r>
            <w:fldChar w:fldCharType="end"/>
          </w:r>
        </w:p>
        <w:p w14:paraId="4F3C5062">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"_Toc214660023" </w:instrText>
          </w:r>
          <w:r>
            <w:fldChar w:fldCharType="separate"/>
          </w:r>
          <w:r>
            <w:rPr>
              <w:rStyle w:val="17"/>
            </w:rPr>
            <w:t>2.1.3 Cash Flow Statement Analysis</w:t>
          </w:r>
          <w:r>
            <w:tab/>
          </w:r>
          <w:r>
            <w:fldChar w:fldCharType="begin"/>
          </w:r>
          <w:r>
            <w:instrText xml:space="preserve"> PAGEREF _Toc214660023 \h </w:instrText>
          </w:r>
          <w:r>
            <w:fldChar w:fldCharType="separate"/>
          </w:r>
          <w:r>
            <w:t>2</w:t>
          </w:r>
          <w:r>
            <w:fldChar w:fldCharType="end"/>
          </w:r>
          <w:r>
            <w:fldChar w:fldCharType="end"/>
          </w:r>
        </w:p>
        <w:p w14:paraId="57E4A9C6">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"_Toc214660024" </w:instrText>
          </w:r>
          <w:r>
            <w:fldChar w:fldCharType="separate"/>
          </w:r>
          <w:r>
            <w:rPr>
              <w:rStyle w:val="17"/>
            </w:rPr>
            <w:t>2.2 Ratio Analysis</w:t>
          </w:r>
          <w:r>
            <w:tab/>
          </w:r>
          <w:r>
            <w:fldChar w:fldCharType="begin"/>
          </w:r>
          <w:r>
            <w:instrText xml:space="preserve"> PAGEREF _Toc214660024 \h </w:instrText>
          </w:r>
          <w:r>
            <w:fldChar w:fldCharType="separate"/>
          </w:r>
          <w:r>
            <w:t>3</w:t>
          </w:r>
          <w:r>
            <w:fldChar w:fldCharType="end"/>
          </w:r>
          <w:r>
            <w:fldChar w:fldCharType="end"/>
          </w:r>
        </w:p>
        <w:p w14:paraId="7A51F987">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"_Toc214660025" </w:instrText>
          </w:r>
          <w:r>
            <w:fldChar w:fldCharType="separate"/>
          </w:r>
          <w:r>
            <w:rPr>
              <w:rStyle w:val="17"/>
            </w:rPr>
            <w:t>2.2.1 Profitability Ratios</w:t>
          </w:r>
          <w:r>
            <w:tab/>
          </w:r>
          <w:r>
            <w:fldChar w:fldCharType="begin"/>
          </w:r>
          <w:r>
            <w:instrText xml:space="preserve"> PAGEREF _Toc214660025 \h </w:instrText>
          </w:r>
          <w:r>
            <w:fldChar w:fldCharType="separate"/>
          </w:r>
          <w:r>
            <w:t>3</w:t>
          </w:r>
          <w:r>
            <w:fldChar w:fldCharType="end"/>
          </w:r>
          <w:r>
            <w:fldChar w:fldCharType="end"/>
          </w:r>
        </w:p>
        <w:p w14:paraId="35DE9FC3">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"_Toc214660026" </w:instrText>
          </w:r>
          <w:r>
            <w:fldChar w:fldCharType="separate"/>
          </w:r>
          <w:r>
            <w:rPr>
              <w:rStyle w:val="17"/>
            </w:rPr>
            <w:t>2.2.2 Liquidity Ratios</w:t>
          </w:r>
          <w:r>
            <w:tab/>
          </w:r>
          <w:r>
            <w:fldChar w:fldCharType="begin"/>
          </w:r>
          <w:r>
            <w:instrText xml:space="preserve"> PAGEREF _Toc214660026 \h </w:instrText>
          </w:r>
          <w:r>
            <w:fldChar w:fldCharType="separate"/>
          </w:r>
          <w:r>
            <w:t>4</w:t>
          </w:r>
          <w:r>
            <w:fldChar w:fldCharType="end"/>
          </w:r>
          <w:r>
            <w:fldChar w:fldCharType="end"/>
          </w:r>
        </w:p>
        <w:p w14:paraId="38A3CF16">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"_Toc214660027" </w:instrText>
          </w:r>
          <w:r>
            <w:fldChar w:fldCharType="separate"/>
          </w:r>
          <w:r>
            <w:rPr>
              <w:rStyle w:val="17"/>
            </w:rPr>
            <w:t>2.2.3 Efficiency Ratios</w:t>
          </w:r>
          <w:r>
            <w:tab/>
          </w:r>
          <w:r>
            <w:fldChar w:fldCharType="begin"/>
          </w:r>
          <w:r>
            <w:instrText xml:space="preserve"> PAGEREF _Toc214660027 \h </w:instrText>
          </w:r>
          <w:r>
            <w:fldChar w:fldCharType="separate"/>
          </w:r>
          <w:r>
            <w:t>5</w:t>
          </w:r>
          <w:r>
            <w:fldChar w:fldCharType="end"/>
          </w:r>
          <w:r>
            <w:fldChar w:fldCharType="end"/>
          </w:r>
        </w:p>
        <w:p w14:paraId="7F4C5143">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"_Toc214660028" </w:instrText>
          </w:r>
          <w:r>
            <w:fldChar w:fldCharType="separate"/>
          </w:r>
          <w:r>
            <w:rPr>
              <w:rStyle w:val="17"/>
            </w:rPr>
            <w:t>2.2.4 Gearing Ratios</w:t>
          </w:r>
          <w:r>
            <w:tab/>
          </w:r>
          <w:r>
            <w:fldChar w:fldCharType="begin"/>
          </w:r>
          <w:r>
            <w:instrText xml:space="preserve"> PAGEREF _Toc214660028 \h </w:instrText>
          </w:r>
          <w:r>
            <w:fldChar w:fldCharType="separate"/>
          </w:r>
          <w:r>
            <w:t>6</w:t>
          </w:r>
          <w:r>
            <w:fldChar w:fldCharType="end"/>
          </w:r>
          <w:r>
            <w:fldChar w:fldCharType="end"/>
          </w:r>
        </w:p>
        <w:p w14:paraId="2DD6621D">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"_Toc214660029" </w:instrText>
          </w:r>
          <w:r>
            <w:fldChar w:fldCharType="separate"/>
          </w:r>
          <w:r>
            <w:rPr>
              <w:rStyle w:val="17"/>
            </w:rPr>
            <w:t>2.25 Investment Ratios</w:t>
          </w:r>
          <w:r>
            <w:tab/>
          </w:r>
          <w:r>
            <w:fldChar w:fldCharType="begin"/>
          </w:r>
          <w:r>
            <w:instrText xml:space="preserve"> PAGEREF _Toc214660029 \h </w:instrText>
          </w:r>
          <w:r>
            <w:fldChar w:fldCharType="separate"/>
          </w:r>
          <w:r>
            <w:t>7</w:t>
          </w:r>
          <w:r>
            <w:fldChar w:fldCharType="end"/>
          </w:r>
          <w:r>
            <w:fldChar w:fldCharType="end"/>
          </w:r>
        </w:p>
        <w:p w14:paraId="147EC63C">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"_Toc214660030" </w:instrText>
          </w:r>
          <w:r>
            <w:fldChar w:fldCharType="separate"/>
          </w:r>
          <w:r>
            <w:rPr>
              <w:rStyle w:val="17"/>
              <w:rFonts w:eastAsia="Times New Roman"/>
            </w:rPr>
            <w:t>2.3 Trend Interpretation and Comparative Insights</w:t>
          </w:r>
          <w:r>
            <w:tab/>
          </w:r>
          <w:r>
            <w:fldChar w:fldCharType="begin"/>
          </w:r>
          <w:r>
            <w:instrText xml:space="preserve"> PAGEREF _Toc214660030 \h </w:instrText>
          </w:r>
          <w:r>
            <w:fldChar w:fldCharType="separate"/>
          </w:r>
          <w:r>
            <w:t>8</w:t>
          </w:r>
          <w:r>
            <w:fldChar w:fldCharType="end"/>
          </w:r>
          <w:r>
            <w:fldChar w:fldCharType="end"/>
          </w:r>
        </w:p>
        <w:p w14:paraId="5E879B26">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"_Toc214660031" </w:instrText>
          </w:r>
          <w:r>
            <w:fldChar w:fldCharType="separate"/>
          </w:r>
          <w:r>
            <w:rPr>
              <w:rStyle w:val="17"/>
              <w:rFonts w:eastAsia="Times New Roman"/>
            </w:rPr>
            <w:t>2.3.1 Trend Patterns</w:t>
          </w:r>
          <w:r>
            <w:tab/>
          </w:r>
          <w:r>
            <w:fldChar w:fldCharType="begin"/>
          </w:r>
          <w:r>
            <w:instrText xml:space="preserve"> PAGEREF _Toc214660031 \h </w:instrText>
          </w:r>
          <w:r>
            <w:fldChar w:fldCharType="separate"/>
          </w:r>
          <w:r>
            <w:t>8</w:t>
          </w:r>
          <w:r>
            <w:fldChar w:fldCharType="end"/>
          </w:r>
          <w:r>
            <w:fldChar w:fldCharType="end"/>
          </w:r>
        </w:p>
        <w:p w14:paraId="1357F938">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"_Toc214660032" </w:instrText>
          </w:r>
          <w:r>
            <w:fldChar w:fldCharType="separate"/>
          </w:r>
          <w:r>
            <w:rPr>
              <w:rStyle w:val="17"/>
              <w:rFonts w:eastAsia="Times New Roman"/>
            </w:rPr>
            <w:t>2.3.2 Possible Reasons for Performance Trends</w:t>
          </w:r>
          <w:r>
            <w:tab/>
          </w:r>
          <w:r>
            <w:fldChar w:fldCharType="begin"/>
          </w:r>
          <w:r>
            <w:instrText xml:space="preserve"> PAGEREF _Toc214660032 \h </w:instrText>
          </w:r>
          <w:r>
            <w:fldChar w:fldCharType="separate"/>
          </w:r>
          <w:r>
            <w:t>8</w:t>
          </w:r>
          <w:r>
            <w:fldChar w:fldCharType="end"/>
          </w:r>
          <w:r>
            <w:fldChar w:fldCharType="end"/>
          </w:r>
        </w:p>
        <w:p w14:paraId="310088D9">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"_Toc214660033" </w:instrText>
          </w:r>
          <w:r>
            <w:fldChar w:fldCharType="separate"/>
          </w:r>
          <w:r>
            <w:rPr>
              <w:rStyle w:val="17"/>
              <w:rFonts w:eastAsia="Times New Roman"/>
            </w:rPr>
            <w:t>2.3.3 Comparison with Industry Benchmarks/Peers</w:t>
          </w:r>
          <w:r>
            <w:tab/>
          </w:r>
          <w:r>
            <w:fldChar w:fldCharType="begin"/>
          </w:r>
          <w:r>
            <w:instrText xml:space="preserve"> PAGEREF _Toc214660033 \h </w:instrText>
          </w:r>
          <w:r>
            <w:fldChar w:fldCharType="separate"/>
          </w:r>
          <w:r>
            <w:t>8</w:t>
          </w:r>
          <w:r>
            <w:fldChar w:fldCharType="end"/>
          </w:r>
          <w:r>
            <w:fldChar w:fldCharType="end"/>
          </w:r>
        </w:p>
        <w:p w14:paraId="7C8ECCD0">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"_Toc214660034" </w:instrText>
          </w:r>
          <w:r>
            <w:fldChar w:fldCharType="separate"/>
          </w:r>
          <w:r>
            <w:rPr>
              <w:rStyle w:val="17"/>
              <w:rFonts w:eastAsia="Times New Roman"/>
            </w:rPr>
            <w:t>2.4 Corporate Failure Prediction</w:t>
          </w:r>
          <w:r>
            <w:tab/>
          </w:r>
          <w:r>
            <w:fldChar w:fldCharType="begin"/>
          </w:r>
          <w:r>
            <w:instrText xml:space="preserve"> PAGEREF _Toc214660034 \h </w:instrText>
          </w:r>
          <w:r>
            <w:fldChar w:fldCharType="separate"/>
          </w:r>
          <w:r>
            <w:t>9</w:t>
          </w:r>
          <w:r>
            <w:fldChar w:fldCharType="end"/>
          </w:r>
          <w:r>
            <w:fldChar w:fldCharType="end"/>
          </w:r>
        </w:p>
        <w:p w14:paraId="0D543B8E">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"_Toc214660035" </w:instrText>
          </w:r>
          <w:r>
            <w:fldChar w:fldCharType="separate"/>
          </w:r>
          <w:r>
            <w:rPr>
              <w:rStyle w:val="17"/>
              <w:rFonts w:eastAsia="Times New Roman"/>
            </w:rPr>
            <w:t>3.0 Working Capital Management Analysis</w:t>
          </w:r>
          <w:r>
            <w:tab/>
          </w:r>
          <w:r>
            <w:fldChar w:fldCharType="begin"/>
          </w:r>
          <w:r>
            <w:instrText xml:space="preserve"> PAGEREF _Toc214660035 \h </w:instrText>
          </w:r>
          <w:r>
            <w:fldChar w:fldCharType="separate"/>
          </w:r>
          <w:r>
            <w:t>10</w:t>
          </w:r>
          <w:r>
            <w:fldChar w:fldCharType="end"/>
          </w:r>
          <w:r>
            <w:fldChar w:fldCharType="end"/>
          </w:r>
        </w:p>
        <w:p w14:paraId="737D70F4">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"_Toc214660036" </w:instrText>
          </w:r>
          <w:r>
            <w:fldChar w:fldCharType="separate"/>
          </w:r>
          <w:r>
            <w:rPr>
              <w:rStyle w:val="17"/>
              <w:rFonts w:eastAsia="Times New Roman"/>
            </w:rPr>
            <w:t>3.1 Cash Conversion Cycle (CCC) Analysis</w:t>
          </w:r>
          <w:r>
            <w:tab/>
          </w:r>
          <w:r>
            <w:fldChar w:fldCharType="begin"/>
          </w:r>
          <w:r>
            <w:instrText xml:space="preserve"> PAGEREF _Toc214660036 \h </w:instrText>
          </w:r>
          <w:r>
            <w:fldChar w:fldCharType="separate"/>
          </w:r>
          <w:r>
            <w:t>10</w:t>
          </w:r>
          <w:r>
            <w:fldChar w:fldCharType="end"/>
          </w:r>
          <w:r>
            <w:fldChar w:fldCharType="end"/>
          </w:r>
        </w:p>
        <w:p w14:paraId="2E632D96">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"_Toc214660037" </w:instrText>
          </w:r>
          <w:r>
            <w:fldChar w:fldCharType="separate"/>
          </w:r>
          <w:r>
            <w:rPr>
              <w:rStyle w:val="17"/>
              <w:rFonts w:eastAsia="Times New Roman"/>
            </w:rPr>
            <w:t>3.2 Working Capital Efficiency</w:t>
          </w:r>
          <w:r>
            <w:tab/>
          </w:r>
          <w:r>
            <w:fldChar w:fldCharType="begin"/>
          </w:r>
          <w:r>
            <w:instrText xml:space="preserve"> PAGEREF _Toc214660037 \h </w:instrText>
          </w:r>
          <w:r>
            <w:fldChar w:fldCharType="separate"/>
          </w:r>
          <w:r>
            <w:t>11</w:t>
          </w:r>
          <w:r>
            <w:fldChar w:fldCharType="end"/>
          </w:r>
          <w:r>
            <w:fldChar w:fldCharType="end"/>
          </w:r>
        </w:p>
        <w:p w14:paraId="2DD8B187">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"_Toc214660038" </w:instrText>
          </w:r>
          <w:r>
            <w:fldChar w:fldCharType="separate"/>
          </w:r>
          <w:r>
            <w:rPr>
              <w:rStyle w:val="17"/>
              <w:rFonts w:eastAsia="Times New Roman"/>
            </w:rPr>
            <w:t>3.3 Improvement Strategies</w:t>
          </w:r>
          <w:r>
            <w:tab/>
          </w:r>
          <w:r>
            <w:fldChar w:fldCharType="begin"/>
          </w:r>
          <w:r>
            <w:instrText xml:space="preserve"> PAGEREF _Toc214660038 \h </w:instrText>
          </w:r>
          <w:r>
            <w:fldChar w:fldCharType="separate"/>
          </w:r>
          <w:r>
            <w:t>11</w:t>
          </w:r>
          <w:r>
            <w:fldChar w:fldCharType="end"/>
          </w:r>
          <w:r>
            <w:fldChar w:fldCharType="end"/>
          </w:r>
        </w:p>
        <w:p w14:paraId="6D1F604E">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"_Toc214660039" </w:instrText>
          </w:r>
          <w:r>
            <w:fldChar w:fldCharType="separate"/>
          </w:r>
          <w:r>
            <w:rPr>
              <w:rStyle w:val="17"/>
              <w:rFonts w:eastAsia="Times New Roman"/>
            </w:rPr>
            <w:t>3.4 Financing Options Comparison</w:t>
          </w:r>
          <w:r>
            <w:tab/>
          </w:r>
          <w:r>
            <w:fldChar w:fldCharType="begin"/>
          </w:r>
          <w:r>
            <w:instrText xml:space="preserve"> PAGEREF _Toc214660039 \h </w:instrText>
          </w:r>
          <w:r>
            <w:fldChar w:fldCharType="separate"/>
          </w:r>
          <w:r>
            <w:t>12</w:t>
          </w:r>
          <w:r>
            <w:fldChar w:fldCharType="end"/>
          </w:r>
          <w:r>
            <w:fldChar w:fldCharType="end"/>
          </w:r>
        </w:p>
        <w:p w14:paraId="67BE8F7D">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"_Toc214660040" </w:instrText>
          </w:r>
          <w:r>
            <w:fldChar w:fldCharType="separate"/>
          </w:r>
          <w:r>
            <w:rPr>
              <w:rStyle w:val="17"/>
              <w:rFonts w:eastAsia="Times New Roman"/>
            </w:rPr>
            <w:t>4.0 Strategic Financial Restructuring Plan</w:t>
          </w:r>
          <w:r>
            <w:tab/>
          </w:r>
          <w:r>
            <w:fldChar w:fldCharType="begin"/>
          </w:r>
          <w:r>
            <w:instrText xml:space="preserve"> PAGEREF _Toc214660040 \h </w:instrText>
          </w:r>
          <w:r>
            <w:fldChar w:fldCharType="separate"/>
          </w:r>
          <w:r>
            <w:t>13</w:t>
          </w:r>
          <w:r>
            <w:fldChar w:fldCharType="end"/>
          </w:r>
          <w:r>
            <w:fldChar w:fldCharType="end"/>
          </w:r>
        </w:p>
        <w:p w14:paraId="149391B1">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"_Toc214660041" </w:instrText>
          </w:r>
          <w:r>
            <w:fldChar w:fldCharType="separate"/>
          </w:r>
          <w:r>
            <w:rPr>
              <w:rStyle w:val="17"/>
              <w:rFonts w:eastAsia="Times New Roman"/>
            </w:rPr>
            <w:t>4.1 Diagnosis of Structural Issues</w:t>
          </w:r>
          <w:r>
            <w:tab/>
          </w:r>
          <w:r>
            <w:fldChar w:fldCharType="begin"/>
          </w:r>
          <w:r>
            <w:instrText xml:space="preserve"> PAGEREF _Toc214660041 \h </w:instrText>
          </w:r>
          <w:r>
            <w:fldChar w:fldCharType="separate"/>
          </w:r>
          <w:r>
            <w:t>13</w:t>
          </w:r>
          <w:r>
            <w:fldChar w:fldCharType="end"/>
          </w:r>
          <w:r>
            <w:fldChar w:fldCharType="end"/>
          </w:r>
        </w:p>
        <w:p w14:paraId="7C4900A0">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"_Toc214660042" </w:instrText>
          </w:r>
          <w:r>
            <w:fldChar w:fldCharType="separate"/>
          </w:r>
          <w:r>
            <w:rPr>
              <w:rStyle w:val="17"/>
              <w:rFonts w:eastAsia="Times New Roman"/>
            </w:rPr>
            <w:t>4.1.1 High Operating Expenses</w:t>
          </w:r>
          <w:r>
            <w:tab/>
          </w:r>
          <w:r>
            <w:fldChar w:fldCharType="begin"/>
          </w:r>
          <w:r>
            <w:instrText xml:space="preserve"> PAGEREF _Toc214660042 \h </w:instrText>
          </w:r>
          <w:r>
            <w:fldChar w:fldCharType="separate"/>
          </w:r>
          <w:r>
            <w:t>13</w:t>
          </w:r>
          <w:r>
            <w:fldChar w:fldCharType="end"/>
          </w:r>
          <w:r>
            <w:fldChar w:fldCharType="end"/>
          </w:r>
        </w:p>
        <w:p w14:paraId="17A9E55A">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"_Toc214660043" </w:instrText>
          </w:r>
          <w:r>
            <w:fldChar w:fldCharType="separate"/>
          </w:r>
          <w:r>
            <w:rPr>
              <w:rStyle w:val="17"/>
            </w:rPr>
            <w:t>4.1.2 Debt Load</w:t>
          </w:r>
          <w:r>
            <w:tab/>
          </w:r>
          <w:r>
            <w:fldChar w:fldCharType="begin"/>
          </w:r>
          <w:r>
            <w:instrText xml:space="preserve"> PAGEREF _Toc214660043 \h </w:instrText>
          </w:r>
          <w:r>
            <w:fldChar w:fldCharType="separate"/>
          </w:r>
          <w:r>
            <w:t>13</w:t>
          </w:r>
          <w:r>
            <w:fldChar w:fldCharType="end"/>
          </w:r>
          <w:r>
            <w:fldChar w:fldCharType="end"/>
          </w:r>
        </w:p>
        <w:p w14:paraId="6BD05E79">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"_Toc214660044" </w:instrText>
          </w:r>
          <w:r>
            <w:fldChar w:fldCharType="separate"/>
          </w:r>
          <w:r>
            <w:rPr>
              <w:rStyle w:val="17"/>
            </w:rPr>
            <w:t>4.1.3 Asset Inefficiency</w:t>
          </w:r>
          <w:r>
            <w:tab/>
          </w:r>
          <w:r>
            <w:fldChar w:fldCharType="begin"/>
          </w:r>
          <w:r>
            <w:instrText xml:space="preserve"> PAGEREF _Toc214660044 \h </w:instrText>
          </w:r>
          <w:r>
            <w:fldChar w:fldCharType="separate"/>
          </w:r>
          <w:r>
            <w:t>13</w:t>
          </w:r>
          <w:r>
            <w:fldChar w:fldCharType="end"/>
          </w:r>
          <w:r>
            <w:fldChar w:fldCharType="end"/>
          </w:r>
        </w:p>
        <w:p w14:paraId="33C52B50">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"_Toc214660045" </w:instrText>
          </w:r>
          <w:r>
            <w:fldChar w:fldCharType="separate"/>
          </w:r>
          <w:r>
            <w:rPr>
              <w:rStyle w:val="17"/>
              <w:rFonts w:eastAsia="Times New Roman"/>
            </w:rPr>
            <w:t>4.2 Restructuring Options</w:t>
          </w:r>
          <w:r>
            <w:tab/>
          </w:r>
          <w:r>
            <w:fldChar w:fldCharType="begin"/>
          </w:r>
          <w:r>
            <w:instrText xml:space="preserve"> PAGEREF _Toc214660045 \h </w:instrText>
          </w:r>
          <w:r>
            <w:fldChar w:fldCharType="separate"/>
          </w:r>
          <w:r>
            <w:t>14</w:t>
          </w:r>
          <w:r>
            <w:fldChar w:fldCharType="end"/>
          </w:r>
          <w:r>
            <w:fldChar w:fldCharType="end"/>
          </w:r>
        </w:p>
        <w:p w14:paraId="2E1B7082">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"_Toc214660046" </w:instrText>
          </w:r>
          <w:r>
            <w:fldChar w:fldCharType="separate"/>
          </w:r>
          <w:r>
            <w:rPr>
              <w:rStyle w:val="17"/>
            </w:rPr>
            <w:t>4.2.1 Operational Restructuring</w:t>
          </w:r>
          <w:r>
            <w:tab/>
          </w:r>
          <w:r>
            <w:fldChar w:fldCharType="begin"/>
          </w:r>
          <w:r>
            <w:instrText xml:space="preserve"> PAGEREF _Toc214660046 \h </w:instrText>
          </w:r>
          <w:r>
            <w:fldChar w:fldCharType="separate"/>
          </w:r>
          <w:r>
            <w:t>14</w:t>
          </w:r>
          <w:r>
            <w:fldChar w:fldCharType="end"/>
          </w:r>
          <w:r>
            <w:fldChar w:fldCharType="end"/>
          </w:r>
        </w:p>
        <w:p w14:paraId="6DB7F9E6">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"_Toc214660047" </w:instrText>
          </w:r>
          <w:r>
            <w:fldChar w:fldCharType="separate"/>
          </w:r>
          <w:r>
            <w:rPr>
              <w:rStyle w:val="17"/>
            </w:rPr>
            <w:t>4.2.2 Financial Restructuring</w:t>
          </w:r>
          <w:r>
            <w:tab/>
          </w:r>
          <w:r>
            <w:fldChar w:fldCharType="begin"/>
          </w:r>
          <w:r>
            <w:instrText xml:space="preserve"> PAGEREF _Toc214660047 \h </w:instrText>
          </w:r>
          <w:r>
            <w:fldChar w:fldCharType="separate"/>
          </w:r>
          <w:r>
            <w:t>14</w:t>
          </w:r>
          <w:r>
            <w:fldChar w:fldCharType="end"/>
          </w:r>
          <w:r>
            <w:fldChar w:fldCharType="end"/>
          </w:r>
        </w:p>
        <w:p w14:paraId="45FAE21E">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"_Toc214660048" </w:instrText>
          </w:r>
          <w:r>
            <w:fldChar w:fldCharType="separate"/>
          </w:r>
          <w:r>
            <w:rPr>
              <w:rStyle w:val="17"/>
            </w:rPr>
            <w:t>4.2.3 Strategic Restructuring</w:t>
          </w:r>
          <w:r>
            <w:tab/>
          </w:r>
          <w:r>
            <w:fldChar w:fldCharType="begin"/>
          </w:r>
          <w:r>
            <w:instrText xml:space="preserve"> PAGEREF _Toc214660048 \h </w:instrText>
          </w:r>
          <w:r>
            <w:fldChar w:fldCharType="separate"/>
          </w:r>
          <w:r>
            <w:t>15</w:t>
          </w:r>
          <w:r>
            <w:fldChar w:fldCharType="end"/>
          </w:r>
          <w:r>
            <w:fldChar w:fldCharType="end"/>
          </w:r>
        </w:p>
        <w:p w14:paraId="44C17296">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"_Toc214660049" </w:instrText>
          </w:r>
          <w:r>
            <w:fldChar w:fldCharType="separate"/>
          </w:r>
          <w:r>
            <w:rPr>
              <w:rStyle w:val="17"/>
              <w:rFonts w:eastAsia="Times New Roman"/>
            </w:rPr>
            <w:t>4.3 Evaluation of Impact</w:t>
          </w:r>
          <w:r>
            <w:tab/>
          </w:r>
          <w:r>
            <w:fldChar w:fldCharType="begin"/>
          </w:r>
          <w:r>
            <w:instrText xml:space="preserve"> PAGEREF _Toc214660049 \h </w:instrText>
          </w:r>
          <w:r>
            <w:fldChar w:fldCharType="separate"/>
          </w:r>
          <w:r>
            <w:t>15</w:t>
          </w:r>
          <w:r>
            <w:fldChar w:fldCharType="end"/>
          </w:r>
          <w:r>
            <w:fldChar w:fldCharType="end"/>
          </w:r>
        </w:p>
        <w:p w14:paraId="4C55CE97">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"_Toc214660050" </w:instrText>
          </w:r>
          <w:r>
            <w:fldChar w:fldCharType="separate"/>
          </w:r>
          <w:r>
            <w:rPr>
              <w:rStyle w:val="17"/>
              <w:rFonts w:eastAsia="Times New Roman"/>
            </w:rPr>
            <w:t>4.4 International and Ethical Considerations</w:t>
          </w:r>
          <w:r>
            <w:tab/>
          </w:r>
          <w:r>
            <w:fldChar w:fldCharType="begin"/>
          </w:r>
          <w:r>
            <w:instrText xml:space="preserve"> PAGEREF _Toc214660050 \h </w:instrText>
          </w:r>
          <w:r>
            <w:fldChar w:fldCharType="separate"/>
          </w:r>
          <w:r>
            <w:t>16</w:t>
          </w:r>
          <w:r>
            <w:fldChar w:fldCharType="end"/>
          </w:r>
          <w:r>
            <w:fldChar w:fldCharType="end"/>
          </w:r>
        </w:p>
        <w:p w14:paraId="12E3587D">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"_Toc214660051" </w:instrText>
          </w:r>
          <w:r>
            <w:fldChar w:fldCharType="separate"/>
          </w:r>
          <w:r>
            <w:rPr>
              <w:rStyle w:val="17"/>
              <w:rFonts w:eastAsia="Times New Roman"/>
            </w:rPr>
            <w:t>4.5 Suggested Restructuring Way</w:t>
          </w:r>
          <w:r>
            <w:tab/>
          </w:r>
          <w:r>
            <w:fldChar w:fldCharType="begin"/>
          </w:r>
          <w:r>
            <w:instrText xml:space="preserve"> PAGEREF _Toc214660051 \h </w:instrText>
          </w:r>
          <w:r>
            <w:fldChar w:fldCharType="separate"/>
          </w:r>
          <w:r>
            <w:t>17</w:t>
          </w:r>
          <w:r>
            <w:fldChar w:fldCharType="end"/>
          </w:r>
          <w:r>
            <w:fldChar w:fldCharType="end"/>
          </w:r>
        </w:p>
        <w:p w14:paraId="36C680E3">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"_Toc214660052" </w:instrText>
          </w:r>
          <w:r>
            <w:fldChar w:fldCharType="separate"/>
          </w:r>
          <w:r>
            <w:rPr>
              <w:rStyle w:val="17"/>
              <w:rFonts w:eastAsia="Times New Roman"/>
            </w:rPr>
            <w:t>5.0 Investment Appraisal and Capital Budgeting</w:t>
          </w:r>
          <w:r>
            <w:tab/>
          </w:r>
          <w:r>
            <w:fldChar w:fldCharType="begin"/>
          </w:r>
          <w:r>
            <w:instrText xml:space="preserve"> PAGEREF _Toc214660052 \h </w:instrText>
          </w:r>
          <w:r>
            <w:fldChar w:fldCharType="separate"/>
          </w:r>
          <w:r>
            <w:t>17</w:t>
          </w:r>
          <w:r>
            <w:fldChar w:fldCharType="end"/>
          </w:r>
          <w:r>
            <w:fldChar w:fldCharType="end"/>
          </w:r>
        </w:p>
        <w:p w14:paraId="784B5742">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"_Toc214660053" </w:instrText>
          </w:r>
          <w:r>
            <w:fldChar w:fldCharType="separate"/>
          </w:r>
          <w:r>
            <w:rPr>
              <w:rStyle w:val="17"/>
              <w:rFonts w:eastAsia="Times New Roman"/>
            </w:rPr>
            <w:t>5.1 Investment Data and Assumptions</w:t>
          </w:r>
          <w:r>
            <w:tab/>
          </w:r>
          <w:r>
            <w:fldChar w:fldCharType="begin"/>
          </w:r>
          <w:r>
            <w:instrText xml:space="preserve"> PAGEREF _Toc214660053 \h </w:instrText>
          </w:r>
          <w:r>
            <w:fldChar w:fldCharType="separate"/>
          </w:r>
          <w:r>
            <w:t>17</w:t>
          </w:r>
          <w:r>
            <w:fldChar w:fldCharType="end"/>
          </w:r>
          <w:r>
            <w:fldChar w:fldCharType="end"/>
          </w:r>
        </w:p>
        <w:p w14:paraId="7D5F7429">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"_Toc214660054" </w:instrText>
          </w:r>
          <w:r>
            <w:fldChar w:fldCharType="separate"/>
          </w:r>
          <w:r>
            <w:rPr>
              <w:rStyle w:val="17"/>
            </w:rPr>
            <w:t>5.2 Computation and Evaluation</w:t>
          </w:r>
          <w:r>
            <w:tab/>
          </w:r>
          <w:r>
            <w:fldChar w:fldCharType="begin"/>
          </w:r>
          <w:r>
            <w:instrText xml:space="preserve"> PAGEREF _Toc214660054 \h </w:instrText>
          </w:r>
          <w:r>
            <w:fldChar w:fldCharType="separate"/>
          </w:r>
          <w:r>
            <w:t>18</w:t>
          </w:r>
          <w:r>
            <w:fldChar w:fldCharType="end"/>
          </w:r>
          <w:r>
            <w:fldChar w:fldCharType="end"/>
          </w:r>
        </w:p>
        <w:p w14:paraId="51F84C65">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"_Toc214660055" </w:instrText>
          </w:r>
          <w:r>
            <w:fldChar w:fldCharType="separate"/>
          </w:r>
          <w:r>
            <w:rPr>
              <w:rStyle w:val="17"/>
            </w:rPr>
            <w:t>5.2.1 Project A</w:t>
          </w:r>
          <w:r>
            <w:tab/>
          </w:r>
          <w:r>
            <w:fldChar w:fldCharType="begin"/>
          </w:r>
          <w:r>
            <w:instrText xml:space="preserve"> PAGEREF _Toc214660055 \h </w:instrText>
          </w:r>
          <w:r>
            <w:fldChar w:fldCharType="separate"/>
          </w:r>
          <w:r>
            <w:t>18</w:t>
          </w:r>
          <w:r>
            <w:fldChar w:fldCharType="end"/>
          </w:r>
          <w:r>
            <w:fldChar w:fldCharType="end"/>
          </w:r>
        </w:p>
        <w:p w14:paraId="3D979024">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"_Toc214660056" </w:instrText>
          </w:r>
          <w:r>
            <w:fldChar w:fldCharType="separate"/>
          </w:r>
          <w:r>
            <w:rPr>
              <w:rStyle w:val="17"/>
              <w:rFonts w:cs="Arial"/>
            </w:rPr>
            <w:t>5.2.2 Project B</w:t>
          </w:r>
          <w:r>
            <w:tab/>
          </w:r>
          <w:r>
            <w:fldChar w:fldCharType="begin"/>
          </w:r>
          <w:r>
            <w:instrText xml:space="preserve"> PAGEREF _Toc214660056 \h </w:instrText>
          </w:r>
          <w:r>
            <w:fldChar w:fldCharType="separate"/>
          </w:r>
          <w:r>
            <w:t>20</w:t>
          </w:r>
          <w:r>
            <w:fldChar w:fldCharType="end"/>
          </w:r>
          <w:r>
            <w:fldChar w:fldCharType="end"/>
          </w:r>
        </w:p>
        <w:p w14:paraId="7A81798F">
          <w:pPr>
            <w:pStyle w:val="23"/>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"_Toc214660057" </w:instrText>
          </w:r>
          <w:r>
            <w:fldChar w:fldCharType="separate"/>
          </w:r>
          <w:r>
            <w:rPr>
              <w:rStyle w:val="17"/>
            </w:rPr>
            <w:t>5.2.3 Project C</w:t>
          </w:r>
          <w:r>
            <w:tab/>
          </w:r>
          <w:r>
            <w:fldChar w:fldCharType="begin"/>
          </w:r>
          <w:r>
            <w:instrText xml:space="preserve"> PAGEREF _Toc214660057 \h </w:instrText>
          </w:r>
          <w:r>
            <w:fldChar w:fldCharType="separate"/>
          </w:r>
          <w:r>
            <w:t>21</w:t>
          </w:r>
          <w:r>
            <w:fldChar w:fldCharType="end"/>
          </w:r>
          <w:r>
            <w:fldChar w:fldCharType="end"/>
          </w:r>
        </w:p>
        <w:p w14:paraId="542163E6">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"_Toc214660058" </w:instrText>
          </w:r>
          <w:r>
            <w:fldChar w:fldCharType="separate"/>
          </w:r>
          <w:r>
            <w:rPr>
              <w:rStyle w:val="17"/>
            </w:rPr>
            <w:t>5.3 Comparative Analysis of Project Viability</w:t>
          </w:r>
          <w:r>
            <w:tab/>
          </w:r>
          <w:r>
            <w:fldChar w:fldCharType="begin"/>
          </w:r>
          <w:r>
            <w:instrText xml:space="preserve"> PAGEREF _Toc214660058 \h </w:instrText>
          </w:r>
          <w:r>
            <w:fldChar w:fldCharType="separate"/>
          </w:r>
          <w:r>
            <w:t>22</w:t>
          </w:r>
          <w:r>
            <w:fldChar w:fldCharType="end"/>
          </w:r>
          <w:r>
            <w:fldChar w:fldCharType="end"/>
          </w:r>
        </w:p>
        <w:p w14:paraId="20025FA0">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"_Toc214660059" </w:instrText>
          </w:r>
          <w:r>
            <w:fldChar w:fldCharType="separate"/>
          </w:r>
          <w:r>
            <w:rPr>
              <w:rStyle w:val="17"/>
              <w:rFonts w:eastAsia="Times New Roman"/>
            </w:rPr>
            <w:t>5.4 Capital Rationing Decision (≤ £60m Budget)</w:t>
          </w:r>
          <w:r>
            <w:tab/>
          </w:r>
          <w:r>
            <w:fldChar w:fldCharType="begin"/>
          </w:r>
          <w:r>
            <w:instrText xml:space="preserve"> PAGEREF _Toc214660059 \h </w:instrText>
          </w:r>
          <w:r>
            <w:fldChar w:fldCharType="separate"/>
          </w:r>
          <w:r>
            <w:t>23</w:t>
          </w:r>
          <w:r>
            <w:fldChar w:fldCharType="end"/>
          </w:r>
          <w:r>
            <w:fldChar w:fldCharType="end"/>
          </w:r>
        </w:p>
        <w:p w14:paraId="161B3446">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"_Toc214660060" </w:instrText>
          </w:r>
          <w:r>
            <w:fldChar w:fldCharType="separate"/>
          </w:r>
          <w:r>
            <w:rPr>
              <w:rStyle w:val="17"/>
              <w:rFonts w:eastAsia="Times New Roman"/>
            </w:rPr>
            <w:t>5.5 Strategic Fit and Financial Justification</w:t>
          </w:r>
          <w:r>
            <w:tab/>
          </w:r>
          <w:r>
            <w:fldChar w:fldCharType="begin"/>
          </w:r>
          <w:r>
            <w:instrText xml:space="preserve"> PAGEREF _Toc214660060 \h </w:instrText>
          </w:r>
          <w:r>
            <w:fldChar w:fldCharType="separate"/>
          </w:r>
          <w:r>
            <w:t>24</w:t>
          </w:r>
          <w:r>
            <w:fldChar w:fldCharType="end"/>
          </w:r>
          <w:r>
            <w:fldChar w:fldCharType="end"/>
          </w:r>
        </w:p>
        <w:p w14:paraId="2CB12F48">
          <w:pPr>
            <w:pStyle w:val="22"/>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"_Toc214660061" </w:instrText>
          </w:r>
          <w:r>
            <w:fldChar w:fldCharType="separate"/>
          </w:r>
          <w:r>
            <w:rPr>
              <w:rStyle w:val="17"/>
              <w:rFonts w:eastAsia="Times New Roman"/>
            </w:rPr>
            <w:t>5.6 Sensitivity or Risk Discussion</w:t>
          </w:r>
          <w:r>
            <w:tab/>
          </w:r>
          <w:r>
            <w:fldChar w:fldCharType="begin"/>
          </w:r>
          <w:r>
            <w:instrText xml:space="preserve"> PAGEREF _Toc214660061 \h </w:instrText>
          </w:r>
          <w:r>
            <w:fldChar w:fldCharType="separate"/>
          </w:r>
          <w:r>
            <w:t>24</w:t>
          </w:r>
          <w:r>
            <w:fldChar w:fldCharType="end"/>
          </w:r>
          <w:r>
            <w:fldChar w:fldCharType="end"/>
          </w:r>
        </w:p>
        <w:p w14:paraId="246FAC6F">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"_Toc214660062" </w:instrText>
          </w:r>
          <w:r>
            <w:fldChar w:fldCharType="separate"/>
          </w:r>
          <w:r>
            <w:rPr>
              <w:rStyle w:val="17"/>
              <w:rFonts w:eastAsia="Times New Roman"/>
            </w:rPr>
            <w:t>6.0 Recommendations</w:t>
          </w:r>
          <w:r>
            <w:tab/>
          </w:r>
          <w:r>
            <w:fldChar w:fldCharType="begin"/>
          </w:r>
          <w:r>
            <w:instrText xml:space="preserve"> PAGEREF _Toc214660062 \h </w:instrText>
          </w:r>
          <w:r>
            <w:fldChar w:fldCharType="separate"/>
          </w:r>
          <w:r>
            <w:t>26</w:t>
          </w:r>
          <w:r>
            <w:fldChar w:fldCharType="end"/>
          </w:r>
          <w:r>
            <w:fldChar w:fldCharType="end"/>
          </w:r>
        </w:p>
        <w:p w14:paraId="6B36D88B">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"_Toc214660063" </w:instrText>
          </w:r>
          <w:r>
            <w:fldChar w:fldCharType="separate"/>
          </w:r>
          <w:r>
            <w:rPr>
              <w:rStyle w:val="17"/>
            </w:rPr>
            <w:t>7.0 Conclusion</w:t>
          </w:r>
          <w:r>
            <w:tab/>
          </w:r>
          <w:r>
            <w:fldChar w:fldCharType="begin"/>
          </w:r>
          <w:r>
            <w:instrText xml:space="preserve"> PAGEREF _Toc214660063 \h </w:instrText>
          </w:r>
          <w:r>
            <w:fldChar w:fldCharType="separate"/>
          </w:r>
          <w:r>
            <w:t>27</w:t>
          </w:r>
          <w:r>
            <w:fldChar w:fldCharType="end"/>
          </w:r>
          <w:r>
            <w:fldChar w:fldCharType="end"/>
          </w:r>
        </w:p>
        <w:p w14:paraId="321E2B82">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"_Toc214660064" </w:instrText>
          </w:r>
          <w:r>
            <w:fldChar w:fldCharType="separate"/>
          </w:r>
          <w:r>
            <w:rPr>
              <w:rStyle w:val="17"/>
            </w:rPr>
            <w:t>References</w:t>
          </w:r>
          <w:r>
            <w:tab/>
          </w:r>
          <w:r>
            <w:fldChar w:fldCharType="begin"/>
          </w:r>
          <w:r>
            <w:instrText xml:space="preserve"> PAGEREF _Toc214660064 \h </w:instrText>
          </w:r>
          <w:r>
            <w:fldChar w:fldCharType="separate"/>
          </w:r>
          <w:r>
            <w:t>28</w:t>
          </w:r>
          <w:r>
            <w:fldChar w:fldCharType="end"/>
          </w:r>
          <w:r>
            <w:fldChar w:fldCharType="end"/>
          </w:r>
        </w:p>
        <w:p w14:paraId="4A77D9FD">
          <w:pPr>
            <w:pStyle w:val="21"/>
            <w:tabs>
              <w:tab w:val="right" w:leader="dot" w:pos="9350"/>
            </w:tabs>
            <w:rPr>
              <w:rFonts w:asciiTheme="minorHAnsi" w:hAnsiTheme="minorHAnsi" w:eastAsiaTheme="minorEastAsia" w:cstheme="minorBidi"/>
              <w:sz w:val="22"/>
              <w:szCs w:val="22"/>
              <w:lang w:bidi="ar-SA"/>
            </w:rPr>
          </w:pPr>
          <w:r>
            <w:fldChar w:fldCharType="begin"/>
          </w:r>
          <w:r>
            <w:instrText xml:space="preserve"> HYPERLINK \l "_Toc214660065" </w:instrText>
          </w:r>
          <w:r>
            <w:fldChar w:fldCharType="separate"/>
          </w:r>
          <w:r>
            <w:rPr>
              <w:rStyle w:val="17"/>
            </w:rPr>
            <w:t>Appendices</w:t>
          </w:r>
          <w:r>
            <w:tab/>
          </w:r>
          <w:r>
            <w:fldChar w:fldCharType="begin"/>
          </w:r>
          <w:r>
            <w:instrText xml:space="preserve"> PAGEREF _Toc214660065 \h </w:instrText>
          </w:r>
          <w:r>
            <w:fldChar w:fldCharType="separate"/>
          </w:r>
          <w:r>
            <w:t>31</w:t>
          </w:r>
          <w:r>
            <w:fldChar w:fldCharType="end"/>
          </w:r>
          <w:r>
            <w:fldChar w:fldCharType="end"/>
          </w:r>
        </w:p>
        <w:p w14:paraId="587C9813">
          <w:r>
            <w:rPr>
              <w:b/>
              <w:bCs/>
            </w:rPr>
            <w:fldChar w:fldCharType="end"/>
          </w:r>
        </w:p>
      </w:sdtContent>
    </w:sdt>
    <w:p w14:paraId="22B0488F">
      <w:pPr>
        <w:spacing w:line="276" w:lineRule="auto"/>
        <w:jc w:val="left"/>
        <w:sectPr>
          <w:pgSz w:w="12240" w:h="15840"/>
          <w:pgMar w:top="1440" w:right="1440" w:bottom="1440" w:left="1440" w:header="720" w:footer="720" w:gutter="0"/>
          <w:cols w:space="720" w:num="1"/>
          <w:docGrid w:linePitch="360" w:charSpace="0"/>
        </w:sectPr>
      </w:pPr>
    </w:p>
    <w:p w14:paraId="5FDC5E8E">
      <w:pPr>
        <w:pStyle w:val="2"/>
        <w:rPr>
          <w:rFonts w:eastAsia="Times New Roman"/>
          <w:color w:val="auto"/>
          <w:lang w:bidi="ar-SA"/>
        </w:rPr>
      </w:pPr>
      <w:bookmarkStart w:id="0" w:name="_Toc214660018"/>
      <w:r>
        <w:rPr>
          <w:rFonts w:eastAsia="Times New Roman"/>
          <w:color w:val="auto"/>
          <w:lang w:bidi="ar-SA"/>
        </w:rPr>
        <w:t>1.0 Introduction</w:t>
      </w:r>
      <w:bookmarkEnd w:id="0"/>
      <w:r>
        <w:rPr>
          <w:rFonts w:eastAsia="Times New Roman"/>
          <w:color w:val="auto"/>
          <w:lang w:bidi="ar-SA"/>
        </w:rPr>
        <w:t xml:space="preserve"> </w:t>
      </w:r>
    </w:p>
    <w:p w14:paraId="242447CD">
      <w:pPr>
        <w:rPr>
          <w:lang w:bidi="ar-SA"/>
        </w:rPr>
      </w:pPr>
      <w:r>
        <w:rPr>
          <w:lang w:bidi="ar-SA"/>
        </w:rPr>
        <w:t>General Electronics is a company, which is in a very competitive environment in consumer electronics as well as has been experiencing tremendous financial pressures due to technological changes, sensitivity of price as well as obsolescence of products. The company has suffered severe loss of profitability, an increment in the operational expenses and consequent deterioration of its balance sheet over the last five years. Consecutive losses and declining liquidity have also been indicative of financial distress, which jeopardises its competitiveness globally and long-term operations. The purpose of this report is to make a thorough financial analysis of General Electronics over the period 2020-24, determine the underlying cause of its lost performance, and recommend a turnaround strategy. It also appraises prospective investment projects using quantitative methods of appraisal to lead to recovery and future growth. The report will be formatted into four analytical sections, namely financial health assessment, working capital management strategy, financial restructuring strategy, and investment appraisal that will make actionable recommendations.</w:t>
      </w:r>
    </w:p>
    <w:p w14:paraId="1EE351A0">
      <w:pPr>
        <w:spacing w:line="276" w:lineRule="auto"/>
        <w:jc w:val="left"/>
        <w:rPr>
          <w:rFonts w:eastAsiaTheme="majorEastAsia" w:cstheme="majorBidi"/>
          <w:b/>
          <w:bCs/>
          <w:sz w:val="32"/>
          <w:szCs w:val="35"/>
          <w:lang w:bidi="ar-SA"/>
        </w:rPr>
      </w:pPr>
      <w:r>
        <w:rPr>
          <w:lang w:bidi="ar-SA"/>
        </w:rPr>
        <w:br w:type="page"/>
      </w:r>
    </w:p>
    <w:p w14:paraId="11BF2BEA">
      <w:pPr>
        <w:pStyle w:val="2"/>
        <w:rPr>
          <w:color w:val="auto"/>
          <w:lang w:bidi="ar-SA"/>
        </w:rPr>
      </w:pPr>
      <w:bookmarkStart w:id="1" w:name="_Toc214660019"/>
      <w:r>
        <w:rPr>
          <w:color w:val="auto"/>
          <w:lang w:bidi="ar-SA"/>
        </w:rPr>
        <w:t>2.0 Financial Health Check</w:t>
      </w:r>
      <w:bookmarkEnd w:id="1"/>
    </w:p>
    <w:p w14:paraId="6E0459BE">
      <w:pPr>
        <w:pStyle w:val="3"/>
        <w:rPr>
          <w:lang w:bidi="ar-SA"/>
        </w:rPr>
      </w:pPr>
      <w:bookmarkStart w:id="2" w:name="_Toc214660020"/>
      <w:r>
        <w:rPr>
          <w:lang w:bidi="ar-SA"/>
        </w:rPr>
        <w:t>2.1 Overview of Financial Performance</w:t>
      </w:r>
      <w:bookmarkEnd w:id="2"/>
    </w:p>
    <w:p w14:paraId="37F3AE88">
      <w:pPr>
        <w:rPr>
          <w:lang w:bidi="ar-SA"/>
        </w:rPr>
      </w:pPr>
      <w:r>
        <w:rPr>
          <w:lang w:bidi="ar-SA"/>
        </w:rPr>
        <w:t>General Electronics has gone through some severe variations in its financial performance, which has seen a steady downward trend in its sales due to increasing operational costs and losses in the last 5 years.</w:t>
      </w:r>
    </w:p>
    <w:p w14:paraId="2FAADA91">
      <w:pPr>
        <w:pStyle w:val="4"/>
        <w:rPr>
          <w:lang w:bidi="ar-SA"/>
        </w:rPr>
      </w:pPr>
      <w:bookmarkStart w:id="3" w:name="_Toc214660021"/>
      <w:r>
        <w:rPr>
          <w:rFonts w:eastAsia="Times New Roman"/>
          <w:lang w:bidi="ar-SA"/>
        </w:rPr>
        <w:t xml:space="preserve">2.1.1 </w:t>
      </w:r>
      <w:r>
        <w:rPr>
          <w:lang w:bidi="ar-SA"/>
        </w:rPr>
        <w:t>Income Statement Analysis</w:t>
      </w:r>
      <w:bookmarkEnd w:id="3"/>
    </w:p>
    <w:p w14:paraId="24E444AB">
      <w:pPr>
        <w:rPr>
          <w:lang w:bidi="ar-SA"/>
        </w:rPr>
      </w:pPr>
      <w:r>
        <w:rPr>
          <w:lang w:bidi="ar-SA"/>
        </w:rPr>
        <w:t>The income statement shows an important drop in net income, with a sharp reduction in net income between 2020 and 2024, with ITV at a loss of £24.03 million against a net income of £ 38.57 million. This radical change is an indication of inefficiencies occurring in the business, cost increases, and a reduction in sales. These are net losses where sales have fallen over 35 per cent from 2020 to 2024. Furthermore, the net operating income is recorded as negative for two years in a row (2023 and 2024), which speaks to the sense of urgency of resolving the issue of profitability and op</w:t>
      </w:r>
      <w:r>
        <w:rPr>
          <w:rFonts w:eastAsia="Times New Roman"/>
          <w:lang w:bidi="ar-SA"/>
        </w:rPr>
        <w:t>erating losses in this company.</w:t>
      </w:r>
    </w:p>
    <w:p w14:paraId="296EA6F0">
      <w:pPr>
        <w:pStyle w:val="4"/>
        <w:rPr>
          <w:lang w:bidi="ar-SA"/>
        </w:rPr>
      </w:pPr>
      <w:bookmarkStart w:id="4" w:name="_Toc214660022"/>
      <w:r>
        <w:rPr>
          <w:lang w:bidi="ar-SA"/>
        </w:rPr>
        <w:t>2.1.2 Statement of Financial Position Analysis</w:t>
      </w:r>
      <w:bookmarkEnd w:id="4"/>
    </w:p>
    <w:p w14:paraId="7AF3BCCC">
      <w:pPr>
        <w:rPr>
          <w:lang w:bidi="ar-SA"/>
        </w:rPr>
      </w:pPr>
      <w:r>
        <w:rPr>
          <w:lang w:bidi="ar-SA"/>
        </w:rPr>
        <w:t>The statement of financial position shows that there is a declining financial structure because total assets decreased by £ 510.29 in the year 2024, as compared to 2020, when it was already £510.29. The main causes responsible for this diminution are the decrease in current assets and the decrease in property, plant, and equipment, which indicate a decreased operation of the business and underutilisation of assets. Another compounding factor, that likely to make the company even more vulnerable is the amplified debt load as manifested by the increasing debt-to-equity ratio.</w:t>
      </w:r>
    </w:p>
    <w:p w14:paraId="2FF040D3">
      <w:pPr>
        <w:pStyle w:val="4"/>
        <w:rPr>
          <w:lang w:bidi="ar-SA"/>
        </w:rPr>
      </w:pPr>
      <w:bookmarkStart w:id="5" w:name="_Toc214660023"/>
      <w:r>
        <w:rPr>
          <w:lang w:bidi="ar-SA"/>
        </w:rPr>
        <w:t>2.1.3 Cash Flow Statement Analysis</w:t>
      </w:r>
      <w:bookmarkEnd w:id="5"/>
    </w:p>
    <w:p w14:paraId="0C6F52AA">
      <w:pPr>
        <w:rPr>
          <w:lang w:bidi="ar-SA"/>
        </w:rPr>
      </w:pPr>
      <w:r>
        <w:rPr>
          <w:lang w:bidi="ar-SA"/>
        </w:rPr>
        <w:t>The cash flow statement shows that it has major cash flow challenges. The net cash provided by operating activities was compared to that of 2020, which was -73.39m. Although there is a decrease in capital expenditures for the investing activities, the financing activities demonstrate the reliance on borrowing as well as significant changes in lines of credit. Such dependence on external debt increases the liquidity constraints of the company, which faces difficult challenges in maintaining its operations without external funding.</w:t>
      </w:r>
    </w:p>
    <w:p w14:paraId="25C30CF7">
      <w:pPr>
        <w:pStyle w:val="3"/>
        <w:rPr>
          <w:lang w:bidi="ar-SA"/>
        </w:rPr>
      </w:pPr>
      <w:bookmarkStart w:id="6" w:name="_Toc214660024"/>
      <w:r>
        <w:rPr>
          <w:lang w:bidi="ar-SA"/>
        </w:rPr>
        <w:t>2.2 Ratio Analysis</w:t>
      </w:r>
      <w:bookmarkEnd w:id="6"/>
      <w:r>
        <w:rPr>
          <w:lang w:bidi="ar-SA"/>
        </w:rPr>
        <w:t xml:space="preserve"> </w:t>
      </w:r>
    </w:p>
    <w:p w14:paraId="46D524F7">
      <w:pPr>
        <w:pStyle w:val="4"/>
        <w:rPr>
          <w:lang w:bidi="ar-SA"/>
        </w:rPr>
      </w:pPr>
      <w:bookmarkStart w:id="7" w:name="_Toc214660025"/>
      <w:r>
        <w:rPr>
          <w:lang w:bidi="ar-SA"/>
        </w:rPr>
        <w:t>2.2.1 Profitability Ratios</w:t>
      </w:r>
      <w:bookmarkEnd w:id="7"/>
    </w:p>
    <w:p w14:paraId="79F7EB46">
      <w:pPr>
        <w:spacing w:line="276" w:lineRule="auto"/>
        <w:jc w:val="left"/>
        <w:rPr>
          <w:lang w:bidi="ar-SA"/>
        </w:rPr>
      </w:pPr>
      <w:r>
        <w:rPr>
          <w:lang w:bidi="ar-SA"/>
        </w:rPr>
        <w:drawing>
          <wp:inline distT="0" distB="0" distL="0" distR="0">
            <wp:extent cx="5943600" cy="10833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43600" cy="1083875"/>
                    </a:xfrm>
                    <a:prstGeom prst="rect">
                      <a:avLst/>
                    </a:prstGeom>
                    <a:noFill/>
                    <a:ln>
                      <a:noFill/>
                    </a:ln>
                  </pic:spPr>
                </pic:pic>
              </a:graphicData>
            </a:graphic>
          </wp:inline>
        </w:drawing>
      </w:r>
    </w:p>
    <w:p w14:paraId="3709CA93">
      <w:pPr>
        <w:keepNext/>
        <w:spacing w:line="276" w:lineRule="auto"/>
        <w:jc w:val="left"/>
      </w:pPr>
      <w:r>
        <w:rPr>
          <w:lang w:bidi="ar-SA"/>
        </w:rPr>
        <w:drawing>
          <wp:inline distT="0" distB="0" distL="0" distR="0">
            <wp:extent cx="5943600" cy="2239010"/>
            <wp:effectExtent l="0" t="0" r="19050" b="2794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DAD43D8">
      <w:pPr>
        <w:pStyle w:val="10"/>
        <w:jc w:val="center"/>
        <w:rPr>
          <w:i/>
          <w:color w:val="auto"/>
        </w:rPr>
      </w:pPr>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1</w:t>
      </w:r>
      <w:r>
        <w:rPr>
          <w:i/>
          <w:color w:val="auto"/>
        </w:rPr>
        <w:fldChar w:fldCharType="end"/>
      </w:r>
      <w:r>
        <w:rPr>
          <w:i/>
          <w:color w:val="auto"/>
        </w:rPr>
        <w:t>: Profitability Ratios (Author)</w:t>
      </w:r>
    </w:p>
    <w:p w14:paraId="391DF405">
      <w:r>
        <w:t>The gross profit margin throughout the fiscal years from 2020 to 2024 shows that the GPM rating is 28.67 to 28.87 in years 2020 and 2024, respectively. This shows that there is a steady decreasing trend</w:t>
      </w:r>
      <w:r>
        <w:rPr>
          <w:i/>
        </w:rPr>
        <w:t>.</w:t>
      </w:r>
      <w:r>
        <w:t xml:space="preserve"> There is a slight increase is recorded in 2024 compared to 2023 whereas the general trend indicates the worsening of 2021 to 2023. The margin is recorded at 23.20% in 2023. The fluctuations in gross margin raise the issue of trying to maintain profitability against the backdrop of rising costs and falling revenues (Stefko et al., 2019).</w:t>
      </w:r>
    </w:p>
    <w:p w14:paraId="4B107229">
      <w:r>
        <w:t>Equally, there was a drastic decline in the operating profit margin in 2023 and 2024 due to increased operational inefficiencies and a potential increase in fixed costs (Campello, 2015). The net margin also throws light on more worrisome matters, as negative margins have been reported in 2023 and 2024, meaning that the metastasis of debt and non-operating costs is highly affecting the profitability (Drury and Tayles, 1997).</w:t>
      </w:r>
      <w:r>
        <w:br w:type="textWrapping"/>
      </w:r>
      <w:r>
        <w:t>Both the Return on Assets (ROA) and Return on Equity (ROE) show downward trends, indicating the inefficiency of using both assets and equity to make a profit, especially in the context of the competitor that has more positive margins (Wilson, 2023). The ratios of General Electronics are also quite low compared to the industry average, thus indicating that the company is performing poorly compared to its market counterparts.</w:t>
      </w:r>
    </w:p>
    <w:p w14:paraId="50F86DAE">
      <w:pPr>
        <w:pStyle w:val="4"/>
        <w:rPr>
          <w:lang w:bidi="ar-SA"/>
        </w:rPr>
      </w:pPr>
      <w:bookmarkStart w:id="8" w:name="_Toc214660026"/>
      <w:r>
        <w:rPr>
          <w:lang w:bidi="ar-SA"/>
        </w:rPr>
        <w:t>2.2.2 Liquidity Ratios</w:t>
      </w:r>
      <w:bookmarkEnd w:id="8"/>
    </w:p>
    <w:p w14:paraId="65947D6E">
      <w:pPr>
        <w:spacing w:line="276" w:lineRule="auto"/>
        <w:jc w:val="left"/>
        <w:rPr>
          <w:lang w:bidi="ar-SA"/>
        </w:rPr>
      </w:pPr>
      <w:r>
        <w:rPr>
          <w:lang w:bidi="ar-SA"/>
        </w:rPr>
        <w:drawing>
          <wp:inline distT="0" distB="0" distL="0" distR="0">
            <wp:extent cx="5943600" cy="800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943600" cy="800509"/>
                    </a:xfrm>
                    <a:prstGeom prst="rect">
                      <a:avLst/>
                    </a:prstGeom>
                    <a:noFill/>
                    <a:ln>
                      <a:noFill/>
                    </a:ln>
                  </pic:spPr>
                </pic:pic>
              </a:graphicData>
            </a:graphic>
          </wp:inline>
        </w:drawing>
      </w:r>
    </w:p>
    <w:p w14:paraId="0C9CE145">
      <w:pPr>
        <w:keepNext/>
        <w:spacing w:line="276" w:lineRule="auto"/>
        <w:jc w:val="left"/>
      </w:pPr>
      <w:r>
        <w:rPr>
          <w:lang w:bidi="ar-SA"/>
        </w:rPr>
        <w:drawing>
          <wp:inline distT="0" distB="0" distL="0" distR="0">
            <wp:extent cx="5943600" cy="23241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97AD4A7">
      <w:pPr>
        <w:pStyle w:val="10"/>
        <w:jc w:val="center"/>
        <w:rPr>
          <w:i/>
          <w:color w:val="auto"/>
        </w:rPr>
      </w:pPr>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2</w:t>
      </w:r>
      <w:r>
        <w:rPr>
          <w:i/>
          <w:color w:val="auto"/>
        </w:rPr>
        <w:fldChar w:fldCharType="end"/>
      </w:r>
      <w:r>
        <w:rPr>
          <w:i/>
          <w:color w:val="auto"/>
        </w:rPr>
        <w:t>: Liquidity Ratios (Author)</w:t>
      </w:r>
    </w:p>
    <w:p w14:paraId="783CFA88">
      <w:pPr>
        <w:rPr>
          <w:lang w:bidi="ar-SA"/>
        </w:rPr>
      </w:pPr>
      <w:r>
        <w:rPr>
          <w:lang w:bidi="ar-SA"/>
        </w:rPr>
        <w:t>The current ratio of General Electronics has decreased slightly, but interestingly, from 1.82 in 2020 to 1.53 in 2024, which is an indication of liquidity issues. Although this is still more than 1, it indicates that the capacity of the company to meet its short-term obligations is declining (Scholleova et al., 2010). The quick ratio of 2024 is 1.03, which is lower than in recent years, which implies that General Electronics might have difficulties with covering its short-term liabilities besides using inventory to a high degree (Pervan et al., 2018). The cash ratio has been steadily declining, as it was in 2020 (31.84), ending at 16.92 in 2024, indicating that the company is gradually depending on receivables and inventory as opposed to cash reserves. This may impair its emergency response or unplanned financial impact. These liquidity ratios are most probably decreasing as sales growth has become low and the conversion of assets has improved efficiency. The liquidity position of General Electronics is less favourable compared to the industry average, where the competitors normally have a current ratio of 1.5 and a quick ratio of 1 (Sartori, 2014).</w:t>
      </w:r>
    </w:p>
    <w:p w14:paraId="56643AF3">
      <w:pPr>
        <w:pStyle w:val="4"/>
        <w:rPr>
          <w:lang w:bidi="ar-SA"/>
        </w:rPr>
      </w:pPr>
      <w:bookmarkStart w:id="9" w:name="_Toc214660027"/>
      <w:r>
        <w:rPr>
          <w:lang w:bidi="ar-SA"/>
        </w:rPr>
        <w:t>2.2.3 Efficiency Ratios</w:t>
      </w:r>
      <w:bookmarkEnd w:id="9"/>
    </w:p>
    <w:p w14:paraId="5E366CBE">
      <w:pPr>
        <w:spacing w:line="276" w:lineRule="auto"/>
        <w:jc w:val="left"/>
        <w:rPr>
          <w:lang w:bidi="ar-SA"/>
        </w:rPr>
      </w:pPr>
      <w:r>
        <w:rPr>
          <w:lang w:bidi="ar-SA"/>
        </w:rPr>
        <w:drawing>
          <wp:inline distT="0" distB="0" distL="0" distR="0">
            <wp:extent cx="5943600" cy="10909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943600" cy="1090959"/>
                    </a:xfrm>
                    <a:prstGeom prst="rect">
                      <a:avLst/>
                    </a:prstGeom>
                    <a:noFill/>
                    <a:ln>
                      <a:noFill/>
                    </a:ln>
                  </pic:spPr>
                </pic:pic>
              </a:graphicData>
            </a:graphic>
          </wp:inline>
        </w:drawing>
      </w:r>
    </w:p>
    <w:p w14:paraId="68F6A783">
      <w:pPr>
        <w:keepNext/>
        <w:spacing w:line="276" w:lineRule="auto"/>
        <w:jc w:val="left"/>
      </w:pPr>
      <w:r>
        <w:rPr>
          <w:lang w:bidi="ar-SA"/>
        </w:rPr>
        <w:drawing>
          <wp:inline distT="0" distB="0" distL="0" distR="0">
            <wp:extent cx="5943600" cy="27489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944242" cy="2749736"/>
                    </a:xfrm>
                    <a:prstGeom prst="rect">
                      <a:avLst/>
                    </a:prstGeom>
                    <a:noFill/>
                  </pic:spPr>
                </pic:pic>
              </a:graphicData>
            </a:graphic>
          </wp:inline>
        </w:drawing>
      </w:r>
    </w:p>
    <w:p w14:paraId="59853B68">
      <w:pPr>
        <w:pStyle w:val="10"/>
        <w:jc w:val="center"/>
        <w:rPr>
          <w:i/>
          <w:color w:val="auto"/>
          <w:lang w:bidi="ar-SA"/>
        </w:rPr>
      </w:pPr>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3</w:t>
      </w:r>
      <w:r>
        <w:rPr>
          <w:i/>
          <w:color w:val="auto"/>
        </w:rPr>
        <w:fldChar w:fldCharType="end"/>
      </w:r>
      <w:r>
        <w:rPr>
          <w:i/>
          <w:color w:val="auto"/>
        </w:rPr>
        <w:t>: Efficiency Ratios (Author)</w:t>
      </w:r>
    </w:p>
    <w:p w14:paraId="6744F76B">
      <w:pPr>
        <w:rPr>
          <w:lang w:bidi="ar-SA"/>
        </w:rPr>
      </w:pPr>
      <w:r>
        <w:t>The inventory turnover in General Electronics has not experienced a significant change, although the ratios are at relatively lower levels, and this time, the figure is 3.54 in 2024, whereas in 2023, it was 3.85. This can be an indicator of slow-moving stocks or of operational wastefulness. Days Inventory Outstanding increased to 103.12 days in 2024, suggesting that it takes longer to sell inventory (Sartori et al., 2014). The days' sales on credit also advanced to 105.54 days in 2034, which implies a long duration on collection by customers, and this may affect the liquidity. Days Payable Outstanding rose to 93.60 days; it indicates that General Electronics is becoming late to settle the accounts payable, and it may harm the relationships with the suppliers. As a result, the Cash Conversion Cycle increased to 115.06 days, which represents a slowed cash flow cycle and liquidity issues (Mandal, 2018). Such trends can be explained by the inefficiency of receivables management, excessive inventories, and delayed payments. General Electronics metrics are lower than the industry standards; DIO metrics are 60 days, DSO is 60 days, and CCC is 100 days in relation to industry measures, which are 80, 60, and 100 days, respectively.</w:t>
      </w:r>
    </w:p>
    <w:p w14:paraId="5BD4C0A0">
      <w:pPr>
        <w:pStyle w:val="4"/>
        <w:rPr>
          <w:sz w:val="32"/>
          <w:szCs w:val="35"/>
          <w:lang w:bidi="ar-SA"/>
        </w:rPr>
      </w:pPr>
      <w:bookmarkStart w:id="10" w:name="_Toc214660028"/>
      <w:r>
        <w:rPr>
          <w:lang w:bidi="ar-SA"/>
        </w:rPr>
        <w:t>2.2.4 Gearing Ratios</w:t>
      </w:r>
      <w:bookmarkEnd w:id="10"/>
    </w:p>
    <w:p w14:paraId="0BEEA487">
      <w:pPr>
        <w:spacing w:line="276" w:lineRule="auto"/>
        <w:jc w:val="left"/>
        <w:rPr>
          <w:lang w:bidi="ar-SA"/>
        </w:rPr>
      </w:pPr>
      <w:r>
        <w:rPr>
          <w:lang w:bidi="ar-SA"/>
        </w:rPr>
        <w:drawing>
          <wp:inline distT="0" distB="0" distL="0" distR="0">
            <wp:extent cx="5943600" cy="8001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943600" cy="800509"/>
                    </a:xfrm>
                    <a:prstGeom prst="rect">
                      <a:avLst/>
                    </a:prstGeom>
                    <a:noFill/>
                    <a:ln>
                      <a:noFill/>
                    </a:ln>
                  </pic:spPr>
                </pic:pic>
              </a:graphicData>
            </a:graphic>
          </wp:inline>
        </w:drawing>
      </w:r>
    </w:p>
    <w:p w14:paraId="5D2A7FD2">
      <w:pPr>
        <w:keepNext/>
        <w:spacing w:line="276" w:lineRule="auto"/>
        <w:jc w:val="left"/>
      </w:pPr>
      <w:r>
        <w:rPr>
          <w:lang w:bidi="ar-SA"/>
        </w:rPr>
        <w:drawing>
          <wp:inline distT="0" distB="0" distL="0" distR="0">
            <wp:extent cx="5895975" cy="20612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5899254" cy="2062635"/>
                    </a:xfrm>
                    <a:prstGeom prst="rect">
                      <a:avLst/>
                    </a:prstGeom>
                    <a:noFill/>
                  </pic:spPr>
                </pic:pic>
              </a:graphicData>
            </a:graphic>
          </wp:inline>
        </w:drawing>
      </w:r>
    </w:p>
    <w:p w14:paraId="42767EA5">
      <w:pPr>
        <w:pStyle w:val="10"/>
        <w:jc w:val="center"/>
        <w:rPr>
          <w:i/>
          <w:color w:val="auto"/>
          <w:lang w:bidi="ar-SA"/>
        </w:rPr>
      </w:pPr>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4</w:t>
      </w:r>
      <w:r>
        <w:rPr>
          <w:i/>
          <w:color w:val="auto"/>
        </w:rPr>
        <w:fldChar w:fldCharType="end"/>
      </w:r>
      <w:r>
        <w:rPr>
          <w:i/>
          <w:color w:val="auto"/>
        </w:rPr>
        <w:t>: Gearing Ratios (Author)</w:t>
      </w:r>
    </w:p>
    <w:p w14:paraId="56E5543C">
      <w:pPr>
        <w:rPr>
          <w:lang w:bidi="ar-SA"/>
        </w:rPr>
      </w:pPr>
      <w:r>
        <w:rPr>
          <w:lang w:bidi="ar-SA"/>
        </w:rPr>
        <w:t>The trend of debt ratio in General Electronics has shown a steady increase over time, with many figures of 0.39 in the year 2020, then increasing to an even higher figure of 0.53 in the year 2024, which in turn dictates a rise in financial leverage and the increased reliance on external debt to fund its activities. Moreover, in 2024 the debt-to-equity ratio was more than one.0, reaching 1.11, which suggests a high level of leverage, increased financial risk, and vulnerability to changes in interest rates (Vrbkaand Rowland, 2019). The interest coverage ratio stands at a negative level of -4.55 in 2024, meaning that the company is not able to meet the interest due using operating income and hence underscores the burden on its financial health (Campello, 2015). Such a decline can be attributed to the increasing levels of debt and a resultant deterioration in the performance of the company in terms of its operations that have limited the ability to generate sufficient income. Compared to the industry values, for which the average debt-to-equity ratio is typically less than one, the numbers provided by General Electronics are much more reliant on debt.</w:t>
      </w:r>
    </w:p>
    <w:p w14:paraId="36DD68E6">
      <w:pPr>
        <w:pStyle w:val="4"/>
        <w:rPr>
          <w:lang w:bidi="ar-SA"/>
        </w:rPr>
      </w:pPr>
      <w:bookmarkStart w:id="11" w:name="_Toc214660029"/>
      <w:r>
        <w:rPr>
          <w:lang w:bidi="ar-SA"/>
        </w:rPr>
        <w:t>2.25 Investment Ratios</w:t>
      </w:r>
      <w:bookmarkEnd w:id="11"/>
    </w:p>
    <w:p w14:paraId="670E16FE">
      <w:pPr>
        <w:spacing w:line="276" w:lineRule="auto"/>
        <w:jc w:val="left"/>
        <w:rPr>
          <w:lang w:bidi="ar-SA"/>
        </w:rPr>
      </w:pPr>
      <w:r>
        <w:rPr>
          <w:lang w:bidi="ar-SA"/>
        </w:rPr>
        <w:drawing>
          <wp:inline distT="0" distB="0" distL="0" distR="0">
            <wp:extent cx="5943600" cy="800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943600" cy="800509"/>
                    </a:xfrm>
                    <a:prstGeom prst="rect">
                      <a:avLst/>
                    </a:prstGeom>
                    <a:noFill/>
                    <a:ln>
                      <a:noFill/>
                    </a:ln>
                  </pic:spPr>
                </pic:pic>
              </a:graphicData>
            </a:graphic>
          </wp:inline>
        </w:drawing>
      </w:r>
    </w:p>
    <w:p w14:paraId="22950D81">
      <w:pPr>
        <w:keepNext/>
        <w:spacing w:line="276" w:lineRule="auto"/>
        <w:jc w:val="left"/>
      </w:pPr>
      <w:r>
        <w:rPr>
          <w:lang w:bidi="ar-SA"/>
        </w:rPr>
        <w:drawing>
          <wp:inline distT="0" distB="0" distL="0" distR="0">
            <wp:extent cx="5943600" cy="2466340"/>
            <wp:effectExtent l="0" t="0" r="19050" b="1016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B33D1AC">
      <w:pPr>
        <w:pStyle w:val="10"/>
        <w:jc w:val="center"/>
        <w:rPr>
          <w:i/>
          <w:color w:val="auto"/>
        </w:rPr>
      </w:pPr>
      <w:r>
        <w:rPr>
          <w:i/>
          <w:color w:val="auto"/>
        </w:rPr>
        <w:t xml:space="preserve">Figure </w:t>
      </w:r>
      <w:r>
        <w:rPr>
          <w:i/>
          <w:color w:val="auto"/>
        </w:rPr>
        <w:fldChar w:fldCharType="begin"/>
      </w:r>
      <w:r>
        <w:rPr>
          <w:i/>
          <w:color w:val="auto"/>
        </w:rPr>
        <w:instrText xml:space="preserve"> SEQ Figure \* ARABIC </w:instrText>
      </w:r>
      <w:r>
        <w:rPr>
          <w:i/>
          <w:color w:val="auto"/>
        </w:rPr>
        <w:fldChar w:fldCharType="separate"/>
      </w:r>
      <w:r>
        <w:rPr>
          <w:i/>
          <w:color w:val="auto"/>
        </w:rPr>
        <w:t>5</w:t>
      </w:r>
      <w:r>
        <w:rPr>
          <w:i/>
          <w:color w:val="auto"/>
        </w:rPr>
        <w:fldChar w:fldCharType="end"/>
      </w:r>
      <w:r>
        <w:rPr>
          <w:i/>
          <w:color w:val="auto"/>
        </w:rPr>
        <w:t>: Investment Ratios (Author)</w:t>
      </w:r>
    </w:p>
    <w:p w14:paraId="1DFF9C16">
      <w:pPr>
        <w:rPr>
          <w:lang w:bidi="ar-SA"/>
        </w:rPr>
      </w:pPr>
      <w:r>
        <w:t xml:space="preserve"> </w:t>
      </w:r>
      <w:r>
        <w:rPr>
          <w:lang w:bidi="ar-SA"/>
        </w:rPr>
        <w:t>In 2023 and 2024, the number of earnings per share (EPS) of General Electric was negative, as the company reported losses of -388.29 and -93.50. This slump highlights the fact that this firm is failing to make profits, and this can mainly be blamed on the fact that its operational costs were on the increase, and its revenues are falling. In addition, the book value per share decreased to 2024, marking a narrowing of the equity of the company and subsequent loss of shareholder value to the level of 2020, from £1,284.02 to 595.74. Weakened equity is a problematic issue because it indicates the loss of the financial foundation when operating at a continuous loss and increasing debts (Mandal, and Al-ahdal, 2018). The factors that may have contributed to the same may be inefficiencies in operation, debt build-up, and declining market share. General Electronics has significantly lower book value per share and EPS compared to its industry counterparts because most of the competitors report positive EPS and strong equity positions.</w:t>
      </w:r>
    </w:p>
    <w:p w14:paraId="7213C158">
      <w:pPr>
        <w:pStyle w:val="3"/>
        <w:rPr>
          <w:rFonts w:eastAsia="Times New Roman"/>
          <w:lang w:bidi="ar-SA"/>
        </w:rPr>
      </w:pPr>
      <w:bookmarkStart w:id="12" w:name="_Toc214660030"/>
      <w:r>
        <w:rPr>
          <w:rFonts w:eastAsia="Times New Roman"/>
          <w:lang w:bidi="ar-SA"/>
        </w:rPr>
        <w:t>2.3 Trend Interpretation and Comparative Insights</w:t>
      </w:r>
      <w:bookmarkEnd w:id="12"/>
    </w:p>
    <w:p w14:paraId="7AED4680">
      <w:pPr>
        <w:pStyle w:val="4"/>
        <w:rPr>
          <w:rFonts w:eastAsia="Times New Roman"/>
          <w:lang w:bidi="ar-SA"/>
        </w:rPr>
      </w:pPr>
      <w:bookmarkStart w:id="13" w:name="_Toc214660031"/>
      <w:r>
        <w:rPr>
          <w:rFonts w:eastAsia="Times New Roman"/>
          <w:lang w:bidi="ar-SA"/>
        </w:rPr>
        <w:t>2.3.1 Trend Patterns</w:t>
      </w:r>
      <w:bookmarkEnd w:id="13"/>
    </w:p>
    <w:p w14:paraId="7BB68E50">
      <w:pPr>
        <w:rPr>
          <w:lang w:bidi="ar-SA"/>
        </w:rPr>
      </w:pPr>
      <w:r>
        <w:rPr>
          <w:lang w:bidi="ar-SA"/>
        </w:rPr>
        <w:t>The financial ratios of General Electronics have been showing a downward movement in the main performance ratios. There have been constant declines in profitability measures such as gross margin and operating margin, which means that it is no longer efficient in its operations. The liquidity indicators, including the current ratio and quick ratio, have also deteriorated, and this implies that it might encounter difficulty fulfilling its short-term commitments. The efficiency ratios, including the Inventory Turnover and Days Sales Outstanding (DSO), indicate slow-moving inventory and long-time collections, thus affecting the operational efficiency (Scholleova et al., 2010).</w:t>
      </w:r>
    </w:p>
    <w:p w14:paraId="257E8FF8">
      <w:pPr>
        <w:pStyle w:val="4"/>
        <w:rPr>
          <w:rFonts w:eastAsia="Times New Roman"/>
          <w:lang w:bidi="ar-SA"/>
        </w:rPr>
      </w:pPr>
      <w:bookmarkStart w:id="14" w:name="_Toc214660032"/>
      <w:r>
        <w:rPr>
          <w:rFonts w:eastAsia="Times New Roman"/>
          <w:lang w:bidi="ar-SA"/>
        </w:rPr>
        <w:t>2.3.2 Possible Reasons for Performance Trends</w:t>
      </w:r>
      <w:bookmarkEnd w:id="14"/>
    </w:p>
    <w:p w14:paraId="0365EF25">
      <w:pPr>
        <w:rPr>
          <w:lang w:bidi="ar-SA"/>
        </w:rPr>
      </w:pPr>
      <w:r>
        <w:rPr>
          <w:lang w:bidi="ar-SA"/>
        </w:rPr>
        <w:t>The key causes of such negative tendencies seem to be a growing cost of operation, stronger competition in the market, and poor working-capital management. The poor management of inventory and receivables by the company has strained the liquidity situation, whereas the increasing debt base has further diluted both profitability and financial flexibility (Sartori et al., 2014).</w:t>
      </w:r>
    </w:p>
    <w:p w14:paraId="78940DF1">
      <w:pPr>
        <w:pStyle w:val="4"/>
        <w:rPr>
          <w:rFonts w:eastAsia="Times New Roman"/>
          <w:lang w:bidi="ar-SA"/>
        </w:rPr>
      </w:pPr>
      <w:bookmarkStart w:id="15" w:name="_Toc214660033"/>
      <w:r>
        <w:rPr>
          <w:rFonts w:eastAsia="Times New Roman"/>
          <w:lang w:bidi="ar-SA"/>
        </w:rPr>
        <w:t>2.3.3 Comparison with Industry Benchmarks/Peers</w:t>
      </w:r>
      <w:bookmarkEnd w:id="15"/>
    </w:p>
    <w:p w14:paraId="62E7DCE5">
      <w:pPr>
        <w:rPr>
          <w:lang w:bidi="ar-SA"/>
        </w:rPr>
      </w:pPr>
      <w:r>
        <w:rPr>
          <w:lang w:bidi="ar-SA"/>
        </w:rPr>
        <w:t>The ratios of General Electronics are below the average when they are compared to the industry standards. The rivals have larger margins of profitability, better liquidity, and reduced cash-to-manifold periods, which has a usual industry-level current ratio of 1.5 (Vrbka and Rowland, 2019). The gap shows that General Electronics has an inferior position in managing financial resources and in reacting to the forces of the market.</w:t>
      </w:r>
    </w:p>
    <w:p w14:paraId="74123141">
      <w:pPr>
        <w:pStyle w:val="3"/>
        <w:rPr>
          <w:rFonts w:eastAsia="Times New Roman"/>
          <w:lang w:bidi="ar-SA"/>
        </w:rPr>
      </w:pPr>
      <w:r>
        <w:rPr>
          <w:lang w:bidi="ar-SA"/>
        </w:rPr>
        <w:br w:type="page"/>
      </w:r>
      <w:bookmarkStart w:id="16" w:name="_Toc214660034"/>
      <w:r>
        <w:rPr>
          <w:rFonts w:eastAsia="Times New Roman"/>
          <w:lang w:bidi="ar-SA"/>
        </w:rPr>
        <w:t>2.4 Corporate Failure Prediction</w:t>
      </w:r>
      <w:bookmarkEnd w:id="16"/>
    </w:p>
    <w:p w14:paraId="78F87250">
      <w:pPr>
        <w:rPr>
          <w:lang w:bidi="ar-SA"/>
        </w:rPr>
      </w:pPr>
      <w:r>
        <w:rPr>
          <w:lang w:bidi="ar-SA"/>
        </w:rPr>
        <w:t>To determine financial distress risk of General electronics, the Z Altman score is used; it is a model that has been used extensively to predict bankruptcy of corporate. The Z -Score can be detailed as shown in the following formula:</w:t>
      </w:r>
    </w:p>
    <w:p w14:paraId="6E464FE2">
      <w:pPr>
        <w:jc w:val="center"/>
        <w:rPr>
          <w:rFonts w:eastAsiaTheme="majorEastAsia" w:cstheme="majorBidi"/>
          <w:sz w:val="32"/>
          <w:szCs w:val="35"/>
          <w:lang w:bidi="ar-SA"/>
        </w:rPr>
      </w:pPr>
      <w:r>
        <w:rPr>
          <w:rFonts w:eastAsiaTheme="majorEastAsia" w:cstheme="majorBidi"/>
          <w:sz w:val="32"/>
          <w:szCs w:val="35"/>
          <w:lang w:bidi="ar-SA"/>
        </w:rPr>
        <w:t>Z = 1.2 x X</w:t>
      </w:r>
      <w:r>
        <w:rPr>
          <w:rFonts w:eastAsiaTheme="majorEastAsia" w:cstheme="majorBidi"/>
          <w:sz w:val="32"/>
          <w:szCs w:val="35"/>
          <w:vertAlign w:val="subscript"/>
          <w:lang w:bidi="ar-SA"/>
        </w:rPr>
        <w:t>1</w:t>
      </w:r>
      <w:r>
        <w:rPr>
          <w:rFonts w:eastAsiaTheme="majorEastAsia" w:cstheme="majorBidi"/>
          <w:sz w:val="32"/>
          <w:szCs w:val="35"/>
          <w:lang w:bidi="ar-SA"/>
        </w:rPr>
        <w:t>+ 1.4 x X</w:t>
      </w:r>
      <w:r>
        <w:rPr>
          <w:rFonts w:eastAsiaTheme="majorEastAsia" w:cstheme="majorBidi"/>
          <w:sz w:val="32"/>
          <w:szCs w:val="35"/>
          <w:vertAlign w:val="subscript"/>
          <w:lang w:bidi="ar-SA"/>
        </w:rPr>
        <w:t>2</w:t>
      </w:r>
      <w:r>
        <w:rPr>
          <w:rFonts w:eastAsiaTheme="majorEastAsia" w:cstheme="majorBidi"/>
          <w:sz w:val="32"/>
          <w:szCs w:val="35"/>
          <w:lang w:bidi="ar-SA"/>
        </w:rPr>
        <w:t>+3.3 x X</w:t>
      </w:r>
      <w:r>
        <w:rPr>
          <w:rFonts w:eastAsiaTheme="majorEastAsia" w:cstheme="majorBidi"/>
          <w:sz w:val="32"/>
          <w:szCs w:val="35"/>
          <w:vertAlign w:val="subscript"/>
          <w:lang w:bidi="ar-SA"/>
        </w:rPr>
        <w:t>3</w:t>
      </w:r>
      <w:r>
        <w:rPr>
          <w:rFonts w:eastAsiaTheme="majorEastAsia" w:cstheme="majorBidi"/>
          <w:sz w:val="32"/>
          <w:szCs w:val="35"/>
          <w:lang w:bidi="ar-SA"/>
        </w:rPr>
        <w:t>+0.6 x X</w:t>
      </w:r>
      <w:r>
        <w:rPr>
          <w:rFonts w:eastAsiaTheme="majorEastAsia" w:cstheme="majorBidi"/>
          <w:sz w:val="32"/>
          <w:szCs w:val="35"/>
          <w:vertAlign w:val="subscript"/>
          <w:lang w:bidi="ar-SA"/>
        </w:rPr>
        <w:t>4</w:t>
      </w:r>
      <w:r>
        <w:rPr>
          <w:rFonts w:eastAsiaTheme="majorEastAsia" w:cstheme="majorBidi"/>
          <w:sz w:val="32"/>
          <w:szCs w:val="35"/>
          <w:lang w:bidi="ar-SA"/>
        </w:rPr>
        <w:t>+1.0 x X</w:t>
      </w:r>
      <w:r>
        <w:rPr>
          <w:rFonts w:eastAsiaTheme="majorEastAsia" w:cstheme="majorBidi"/>
          <w:sz w:val="32"/>
          <w:szCs w:val="35"/>
          <w:vertAlign w:val="subscript"/>
          <w:lang w:bidi="ar-SA"/>
        </w:rPr>
        <w:t>5</w:t>
      </w:r>
    </w:p>
    <w:p w14:paraId="1A7395CD">
      <w:pPr>
        <w:spacing w:line="276" w:lineRule="auto"/>
        <w:jc w:val="left"/>
        <w:rPr>
          <w:lang w:bidi="ar-SA"/>
        </w:rPr>
      </w:pPr>
      <w:r>
        <w:rPr>
          <w:lang w:bidi="ar-SA"/>
        </w:rPr>
        <w:t>Where:</w:t>
      </w:r>
    </w:p>
    <w:p w14:paraId="5F46A752">
      <w:pPr>
        <w:spacing w:line="276" w:lineRule="auto"/>
        <w:jc w:val="left"/>
        <w:rPr>
          <w:lang w:bidi="ar-SA"/>
        </w:rPr>
      </w:pPr>
      <w:r>
        <w:rPr>
          <w:lang w:bidi="ar-SA"/>
        </w:rPr>
        <w:t>•</w:t>
      </w:r>
      <w:r>
        <w:rPr>
          <w:lang w:bidi="ar-SA"/>
        </w:rPr>
        <w:tab/>
      </w:r>
      <w:r>
        <w:rPr>
          <w:lang w:bidi="ar-SA"/>
        </w:rPr>
        <w:t>X1: Working Capital / Total Assets</w:t>
      </w:r>
    </w:p>
    <w:p w14:paraId="348DEA6D">
      <w:pPr>
        <w:spacing w:line="276" w:lineRule="auto"/>
        <w:jc w:val="left"/>
        <w:rPr>
          <w:lang w:bidi="ar-SA"/>
        </w:rPr>
      </w:pPr>
      <w:r>
        <w:rPr>
          <w:lang w:bidi="ar-SA"/>
        </w:rPr>
        <w:t>•</w:t>
      </w:r>
      <w:r>
        <w:rPr>
          <w:lang w:bidi="ar-SA"/>
        </w:rPr>
        <w:tab/>
      </w:r>
      <w:r>
        <w:rPr>
          <w:lang w:bidi="ar-SA"/>
        </w:rPr>
        <w:t>X2: Retained Earnings / Total Assets</w:t>
      </w:r>
    </w:p>
    <w:p w14:paraId="4367382E">
      <w:pPr>
        <w:spacing w:line="276" w:lineRule="auto"/>
        <w:jc w:val="left"/>
        <w:rPr>
          <w:lang w:bidi="ar-SA"/>
        </w:rPr>
      </w:pPr>
      <w:r>
        <w:rPr>
          <w:lang w:bidi="ar-SA"/>
        </w:rPr>
        <w:t>•</w:t>
      </w:r>
      <w:r>
        <w:rPr>
          <w:lang w:bidi="ar-SA"/>
        </w:rPr>
        <w:tab/>
      </w:r>
      <w:r>
        <w:rPr>
          <w:lang w:bidi="ar-SA"/>
        </w:rPr>
        <w:t>X3: Earnings before Interest and Taxes (EBIT) / Total Assets</w:t>
      </w:r>
    </w:p>
    <w:p w14:paraId="69E31BB8">
      <w:pPr>
        <w:spacing w:line="276" w:lineRule="auto"/>
        <w:jc w:val="left"/>
        <w:rPr>
          <w:lang w:bidi="ar-SA"/>
        </w:rPr>
      </w:pPr>
      <w:r>
        <w:rPr>
          <w:lang w:bidi="ar-SA"/>
        </w:rPr>
        <w:t>•</w:t>
      </w:r>
      <w:r>
        <w:rPr>
          <w:lang w:bidi="ar-SA"/>
        </w:rPr>
        <w:tab/>
      </w:r>
      <w:r>
        <w:rPr>
          <w:lang w:bidi="ar-SA"/>
        </w:rPr>
        <w:t>X4: Market Value of Equity / Total Liabilities</w:t>
      </w:r>
    </w:p>
    <w:p w14:paraId="48AB47F9">
      <w:pPr>
        <w:spacing w:line="276" w:lineRule="auto"/>
        <w:jc w:val="left"/>
        <w:rPr>
          <w:lang w:bidi="ar-SA"/>
        </w:rPr>
      </w:pPr>
      <w:r>
        <w:rPr>
          <w:lang w:bidi="ar-SA"/>
        </w:rPr>
        <w:t>•</w:t>
      </w:r>
      <w:r>
        <w:rPr>
          <w:lang w:bidi="ar-SA"/>
        </w:rPr>
        <w:tab/>
      </w:r>
      <w:r>
        <w:rPr>
          <w:lang w:bidi="ar-SA"/>
        </w:rPr>
        <w:t>X5: Sales / Total Assets</w:t>
      </w:r>
    </w:p>
    <w:p w14:paraId="6DF4E509">
      <w:pPr>
        <w:keepNext/>
        <w:spacing w:line="276" w:lineRule="auto"/>
        <w:jc w:val="center"/>
      </w:pPr>
      <w:r>
        <w:rPr>
          <w:lang w:bidi="ar-SA"/>
        </w:rPr>
        <w:drawing>
          <wp:inline distT="0" distB="0" distL="0" distR="0">
            <wp:extent cx="6422390" cy="13049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6422596" cy="1304925"/>
                    </a:xfrm>
                    <a:prstGeom prst="rect">
                      <a:avLst/>
                    </a:prstGeom>
                    <a:noFill/>
                    <a:ln>
                      <a:noFill/>
                    </a:ln>
                  </pic:spPr>
                </pic:pic>
              </a:graphicData>
            </a:graphic>
          </wp:inline>
        </w:drawing>
      </w:r>
    </w:p>
    <w:p w14:paraId="67037258">
      <w:pPr>
        <w:pStyle w:val="10"/>
        <w:jc w:val="center"/>
        <w:rPr>
          <w:rFonts w:cs="Arial"/>
          <w:i/>
          <w:color w:val="auto"/>
          <w:szCs w:val="18"/>
        </w:rPr>
      </w:pPr>
      <w:r>
        <w:rPr>
          <w:rFonts w:cs="Arial"/>
          <w:i/>
          <w:color w:val="auto"/>
          <w:szCs w:val="18"/>
        </w:rPr>
        <w:t xml:space="preserve">Figure </w:t>
      </w:r>
      <w:r>
        <w:rPr>
          <w:rFonts w:cs="Arial"/>
          <w:i/>
          <w:color w:val="auto"/>
          <w:szCs w:val="18"/>
        </w:rPr>
        <w:fldChar w:fldCharType="begin"/>
      </w:r>
      <w:r>
        <w:rPr>
          <w:rFonts w:cs="Arial"/>
          <w:i/>
          <w:color w:val="auto"/>
          <w:szCs w:val="18"/>
        </w:rPr>
        <w:instrText xml:space="preserve"> SEQ Figure \* ARABIC </w:instrText>
      </w:r>
      <w:r>
        <w:rPr>
          <w:rFonts w:cs="Arial"/>
          <w:i/>
          <w:color w:val="auto"/>
          <w:szCs w:val="18"/>
        </w:rPr>
        <w:fldChar w:fldCharType="separate"/>
      </w:r>
      <w:r>
        <w:rPr>
          <w:rFonts w:cs="Arial"/>
          <w:i/>
          <w:color w:val="auto"/>
          <w:szCs w:val="18"/>
        </w:rPr>
        <w:t>6</w:t>
      </w:r>
      <w:r>
        <w:rPr>
          <w:rFonts w:cs="Arial"/>
          <w:i/>
          <w:color w:val="auto"/>
          <w:szCs w:val="18"/>
        </w:rPr>
        <w:fldChar w:fldCharType="end"/>
      </w:r>
      <w:r>
        <w:rPr>
          <w:rFonts w:cs="Arial"/>
          <w:i/>
          <w:color w:val="auto"/>
          <w:szCs w:val="18"/>
        </w:rPr>
        <w:t xml:space="preserve">: </w:t>
      </w:r>
      <w:r>
        <w:rPr>
          <w:rFonts w:eastAsia="Times New Roman" w:cs="Arial"/>
          <w:i/>
          <w:color w:val="auto"/>
          <w:szCs w:val="18"/>
          <w:lang w:bidi="ar-SA"/>
        </w:rPr>
        <w:t>Calculation Table for Altman Z-Score (2020-2024) (Author)</w:t>
      </w:r>
    </w:p>
    <w:p w14:paraId="0A467F5A">
      <w:pPr>
        <w:rPr>
          <w:lang w:bidi="ar-SA"/>
        </w:rPr>
      </w:pPr>
      <w:r>
        <w:rPr>
          <w:lang w:bidi="ar-SA"/>
        </w:rPr>
        <w:t>Results of the Z-score with General Electronics show a growing danger of bankruptcy. The 2020 to 2022 Z-scores used by the company were above 1.8, and hence, they lie in the safe zone (1.5530 in 2020, 1.5741 in 2021, and 1.5741 in 2022). On the other hand, the Z-score dropped to 1.2990 in 2023 and 1.3309 in 2024, indicating the movement into the grey zone. This observed deterioration is an indicator of economic weakness because the grey zone is empirically linked to a formidable likelihood of going into bankruptcy without any corrective action. The negative profits before interest and taxes posted by the company in 2023 and 2024, as well as the growing debt costs and the declining profits, suggest that there might be some operational procedures and financial misjudgment practices that could be causing the witnessed decline. The changes should be financial restructuring and strategic interventions that should be carried out immediately in order to avoid further decline and eliminate the risk of entering the zone of distress.</w:t>
      </w:r>
    </w:p>
    <w:p w14:paraId="4D9049F4">
      <w:pPr>
        <w:pStyle w:val="2"/>
        <w:rPr>
          <w:rFonts w:eastAsia="Times New Roman"/>
          <w:color w:val="auto"/>
          <w:lang w:bidi="ar-SA"/>
        </w:rPr>
      </w:pPr>
      <w:bookmarkStart w:id="17" w:name="_Toc214660035"/>
      <w:r>
        <w:rPr>
          <w:rFonts w:eastAsia="Times New Roman"/>
          <w:color w:val="auto"/>
          <w:lang w:bidi="ar-SA"/>
        </w:rPr>
        <w:t>3.0 Working Capital Management Analysis</w:t>
      </w:r>
      <w:bookmarkEnd w:id="17"/>
      <w:r>
        <w:rPr>
          <w:rFonts w:eastAsia="Times New Roman"/>
          <w:color w:val="auto"/>
          <w:lang w:bidi="ar-SA"/>
        </w:rPr>
        <w:t xml:space="preserve"> </w:t>
      </w:r>
    </w:p>
    <w:p w14:paraId="33720090">
      <w:pPr>
        <w:pStyle w:val="3"/>
        <w:rPr>
          <w:rFonts w:eastAsia="Times New Roman"/>
          <w:lang w:bidi="ar-SA"/>
        </w:rPr>
      </w:pPr>
      <w:bookmarkStart w:id="18" w:name="_Toc214660036"/>
      <w:r>
        <w:rPr>
          <w:rFonts w:eastAsia="Times New Roman"/>
          <w:lang w:bidi="ar-SA"/>
        </w:rPr>
        <w:t>3.1 Cash Conversion Cycle (CCC) Analysis</w:t>
      </w:r>
      <w:bookmarkEnd w:id="18"/>
    </w:p>
    <w:p w14:paraId="378C75DF">
      <w:pPr>
        <w:rPr>
          <w:lang w:bidi="ar-SA"/>
        </w:rPr>
      </w:pPr>
      <w:r>
        <w:rPr>
          <w:lang w:bidi="ar-SA"/>
        </w:rPr>
        <w:t>One important measure of liquidity management is Cash Conversion Cycle (CCC); it is the effectiveness with which General Electronics is converting its working capital into cash. The CCC requires calculation of three different components, including Days Inventory Outstanding (DIO), Days Sales Outstanding (DSO), and Days Payables Outstanding (DPO).</w:t>
      </w:r>
    </w:p>
    <w:p w14:paraId="2292B285">
      <w:pPr>
        <w:pStyle w:val="29"/>
        <w:numPr>
          <w:ilvl w:val="0"/>
          <w:numId w:val="1"/>
        </w:numPr>
        <w:rPr>
          <w:lang w:bidi="ar-SA"/>
        </w:rPr>
      </w:pPr>
      <w:r>
        <w:rPr>
          <w:lang w:bidi="ar-SA"/>
        </w:rPr>
        <w:t>DIO is used to receive the average stock days on which a product will remain in stock before being sold and it has grown to 103.12 days in 2024 as compared to 94.74 days in 2023. It means that it takes General Electronics more time to turnover its inventory (Kumar Saxena, 2014).</w:t>
      </w:r>
    </w:p>
    <w:p w14:paraId="70D76F3B">
      <w:pPr>
        <w:pStyle w:val="29"/>
        <w:numPr>
          <w:ilvl w:val="0"/>
          <w:numId w:val="1"/>
        </w:numPr>
        <w:rPr>
          <w:lang w:bidi="ar-SA"/>
        </w:rPr>
      </w:pPr>
      <w:r>
        <w:rPr>
          <w:lang w:bidi="ar-SA"/>
        </w:rPr>
        <w:t>DSO is a metric that indicates how much time it takes to get the payments of the clients and should this increase to 105.54 days in 2024, as opposed to 97.74 days in 2023 which implies that customers are taking a longer time to pay the invoices (Singh and Kumar, 2014).</w:t>
      </w:r>
    </w:p>
    <w:p w14:paraId="13D31F40">
      <w:pPr>
        <w:pStyle w:val="29"/>
        <w:numPr>
          <w:ilvl w:val="0"/>
          <w:numId w:val="1"/>
        </w:numPr>
        <w:rPr>
          <w:lang w:bidi="ar-SA"/>
        </w:rPr>
      </w:pPr>
      <w:r>
        <w:rPr>
          <w:lang w:bidi="ar-SA"/>
        </w:rPr>
        <w:t>DPO is used to determine the average number of days spent on paying suppliers and also rose to 93.60 days in 2024 and this means that General Electronics is slowing payments which might cause tension with suppliers and eventually damage supplier relationships (Ceylan, 2020).</w:t>
      </w:r>
    </w:p>
    <w:p w14:paraId="2562949F">
      <w:pPr>
        <w:rPr>
          <w:lang w:bidi="ar-SA"/>
        </w:rPr>
      </w:pPr>
      <w:r>
        <w:rPr>
          <w:lang w:bidi="ar-SA"/>
        </w:rPr>
        <w:t>The 2024 CCC was 115.06 days, which indicates a slowness of the cash flow cycle compared to previous years. This extension of the cycle indicates that there is a bottleneck in the collection of receivables and inventory turnover, which may have a negative impact in terms of liquidity (Kumar Saxena, 2014). A continuous increase in DSO and DIO alongside the extension of DPO is an indicator of working capital management inefficiencies.</w:t>
      </w:r>
    </w:p>
    <w:p w14:paraId="51EC5E58">
      <w:pPr>
        <w:pStyle w:val="3"/>
        <w:rPr>
          <w:rFonts w:eastAsia="Times New Roman"/>
          <w:lang w:bidi="ar-SA"/>
        </w:rPr>
      </w:pPr>
      <w:bookmarkStart w:id="19" w:name="_Toc214660037"/>
      <w:r>
        <w:rPr>
          <w:rFonts w:eastAsia="Times New Roman"/>
          <w:lang w:bidi="ar-SA"/>
        </w:rPr>
        <w:t>3.2 Working Capital Efficiency</w:t>
      </w:r>
      <w:bookmarkEnd w:id="19"/>
    </w:p>
    <w:p w14:paraId="73EC33DA">
      <w:pPr>
        <w:rPr>
          <w:lang w:bidi="ar-SA"/>
        </w:rPr>
      </w:pPr>
      <w:r>
        <w:rPr>
          <w:lang w:bidi="ar-SA"/>
        </w:rPr>
        <w:t>Over the last few years, General Electronics has shown inefficiency in the usage of working capital. The increasing days inventory outstanding (DIO) and days sales outstanding (DSO) indicate the assets, especially inventory and receivables, are not turned into cash as quickly as they can. The given trend can be explained by the excess of holding inventory or very slow collection procedures. The inventory turnover is lower than the optimal levels, which means that the company is storing inventory for a long period of time (Shtefan and Elizarova, 2018).</w:t>
      </w:r>
    </w:p>
    <w:p w14:paraId="478E22E3">
      <w:pPr>
        <w:rPr>
          <w:lang w:bidi="ar-SA"/>
        </w:rPr>
      </w:pPr>
      <w:r>
        <w:rPr>
          <w:lang w:bidi="ar-SA"/>
        </w:rPr>
        <w:t>The liquidity-profitability trade-off is reflected in the financial performance of General Electronics. The company holds high inventory and receivables, and therefore it paralyses cash and liquidity, and the profitability is impaired as there are increasing operational costs and it suffers a reduction in sales (Kang et al., 2017). As a result, the working-capital management could be improved, i.e., by decreasing the inventory amounts or tightening the credit policies to speed up the collections.</w:t>
      </w:r>
    </w:p>
    <w:p w14:paraId="32DD3F80">
      <w:pPr>
        <w:pStyle w:val="3"/>
        <w:rPr>
          <w:rFonts w:eastAsia="Times New Roman"/>
          <w:lang w:bidi="ar-SA"/>
        </w:rPr>
      </w:pPr>
      <w:bookmarkStart w:id="20" w:name="_Toc214660038"/>
      <w:r>
        <w:rPr>
          <w:rFonts w:eastAsia="Times New Roman"/>
          <w:lang w:bidi="ar-SA"/>
        </w:rPr>
        <w:t>3.3 Improvement Strategies</w:t>
      </w:r>
      <w:bookmarkEnd w:id="20"/>
    </w:p>
    <w:p w14:paraId="6CD9CD97">
      <w:pPr>
        <w:rPr>
          <w:lang w:bidi="ar-SA"/>
        </w:rPr>
      </w:pPr>
      <w:r>
        <w:rPr>
          <w:lang w:bidi="ar-SA"/>
        </w:rPr>
        <w:t>In a bid to overcome working capital inefficiencies, General Electronics needs to adopt a number of measures to increase liquidity as well as to lower the number of bottlenecks:</w:t>
      </w:r>
    </w:p>
    <w:p w14:paraId="7AB10D9E">
      <w:pPr>
        <w:pStyle w:val="29"/>
        <w:numPr>
          <w:ilvl w:val="0"/>
          <w:numId w:val="2"/>
        </w:numPr>
        <w:rPr>
          <w:lang w:bidi="ar-SA"/>
        </w:rPr>
      </w:pPr>
      <w:r>
        <w:rPr>
          <w:b/>
          <w:lang w:bidi="ar-SA"/>
        </w:rPr>
        <w:t>Credit Policy</w:t>
      </w:r>
      <w:r>
        <w:rPr>
          <w:lang w:bidi="ar-SA"/>
        </w:rPr>
        <w:t>: Day sales outstanding (DSO) can be decreased by tightening the credit policy and putting more demanding conditions on customers in terms of payments. Promotion of prompt collections can be funded by the introduction of early-payment discounts or the provision of extended terms to customers who maintain a good record of prompt payments (Ramezani et al., 2002).</w:t>
      </w:r>
    </w:p>
    <w:p w14:paraId="756458A9">
      <w:pPr>
        <w:pStyle w:val="29"/>
        <w:numPr>
          <w:ilvl w:val="0"/>
          <w:numId w:val="2"/>
        </w:numPr>
        <w:rPr>
          <w:lang w:bidi="ar-SA"/>
        </w:rPr>
      </w:pPr>
      <w:r>
        <w:rPr>
          <w:b/>
          <w:lang w:bidi="ar-SA"/>
        </w:rPr>
        <w:t>Inventory Control:</w:t>
      </w:r>
      <w:r>
        <w:rPr>
          <w:lang w:bidi="ar-SA"/>
        </w:rPr>
        <w:t xml:space="preserve"> It is advisable to control the inventory by adopting just-in-time (JIT) practices or demand-forecasting systems to ensure the reduction in the number of days inventory outstanding (DIO) and the increase in the number of inventory turnovers. Automated replenishment and advanced tracking systems will eliminate the shortage of stock and reduce wastage (Haka, 2006).</w:t>
      </w:r>
    </w:p>
    <w:p w14:paraId="25AA4BC0">
      <w:pPr>
        <w:pStyle w:val="29"/>
        <w:numPr>
          <w:ilvl w:val="0"/>
          <w:numId w:val="2"/>
        </w:numPr>
        <w:rPr>
          <w:lang w:bidi="ar-SA"/>
        </w:rPr>
      </w:pPr>
      <w:r>
        <w:rPr>
          <w:b/>
          <w:lang w:bidi="ar-SA"/>
        </w:rPr>
        <w:t>Payables Management:</w:t>
      </w:r>
      <w:r>
        <w:rPr>
          <w:lang w:bidi="ar-SA"/>
        </w:rPr>
        <w:t xml:space="preserve"> It may be possible to unlock cash through the selective extension of days payable outstanding (DPO), although supplier relations should not be damaged. The ability to negotiate good-paying conditions with suppliers, especially those of the essential parts, will provide short-term liquidity advantages (Popp et al., 2010).</w:t>
      </w:r>
    </w:p>
    <w:p w14:paraId="1128BE13">
      <w:pPr>
        <w:pStyle w:val="29"/>
        <w:numPr>
          <w:ilvl w:val="0"/>
          <w:numId w:val="2"/>
        </w:numPr>
        <w:rPr>
          <w:lang w:bidi="ar-SA"/>
        </w:rPr>
      </w:pPr>
      <w:r>
        <w:rPr>
          <w:b/>
          <w:lang w:bidi="ar-SA"/>
        </w:rPr>
        <w:t>Technology Integration</w:t>
      </w:r>
      <w:r>
        <w:rPr>
          <w:lang w:bidi="ar-SA"/>
        </w:rPr>
        <w:t>: The integration of digitisation of the supply chain and the use of enterprise resource planning (ERP) systems will be able to streamline processes, improve forecasting levels, and improve the efficiency of inventory management, accounts receivable, and accounts payable (Ceylan, 2020).</w:t>
      </w:r>
    </w:p>
    <w:p w14:paraId="631090A7">
      <w:pPr>
        <w:pStyle w:val="3"/>
        <w:rPr>
          <w:rFonts w:eastAsia="Times New Roman"/>
          <w:lang w:bidi="ar-SA"/>
        </w:rPr>
      </w:pPr>
      <w:bookmarkStart w:id="21" w:name="_Toc214660039"/>
      <w:r>
        <w:rPr>
          <w:rFonts w:eastAsia="Times New Roman"/>
          <w:lang w:bidi="ar-SA"/>
        </w:rPr>
        <w:t>3.4 Financing Options Comparison</w:t>
      </w:r>
      <w:bookmarkEnd w:id="21"/>
    </w:p>
    <w:p w14:paraId="0D8A47E3">
      <w:pPr>
        <w:rPr>
          <w:lang w:bidi="ar-SA"/>
        </w:rPr>
      </w:pPr>
      <w:r>
        <w:rPr>
          <w:lang w:bidi="ar-SA"/>
        </w:rPr>
        <w:t>General Electronics ought to adopt both long-term and short-term financing providers to solve its liquidity problems:</w:t>
      </w:r>
    </w:p>
    <w:p w14:paraId="0CF4948D">
      <w:pPr>
        <w:pStyle w:val="29"/>
        <w:numPr>
          <w:ilvl w:val="0"/>
          <w:numId w:val="3"/>
        </w:numPr>
        <w:rPr>
          <w:lang w:bidi="ar-SA"/>
        </w:rPr>
      </w:pPr>
      <w:r>
        <w:rPr>
          <w:b/>
          <w:lang w:bidi="ar-SA"/>
        </w:rPr>
        <w:t>Short-term financing</w:t>
      </w:r>
      <w:r>
        <w:rPr>
          <w:lang w:bidi="ar-SA"/>
        </w:rPr>
        <w:t>: This can be used to supply the necessary liquidity to bridge working capital shortages using short-term credit sources such as bank overdraft and trade credit. These are the best choices to fill the cash flow gap in the short term, but they are more expensive, especially when the terms of trade credit are strict (Mandal and Al-ahdal, 2018).</w:t>
      </w:r>
    </w:p>
    <w:p w14:paraId="1DF3AAD5">
      <w:pPr>
        <w:pStyle w:val="29"/>
        <w:numPr>
          <w:ilvl w:val="0"/>
          <w:numId w:val="3"/>
        </w:numPr>
        <w:rPr>
          <w:lang w:bidi="ar-SA"/>
        </w:rPr>
      </w:pPr>
      <w:r>
        <w:rPr>
          <w:b/>
          <w:lang w:bidi="ar-SA"/>
        </w:rPr>
        <w:t>Long-Term Financing:</w:t>
      </w:r>
      <w:r>
        <w:rPr>
          <w:lang w:bidi="ar-SA"/>
        </w:rPr>
        <w:t xml:space="preserve"> Long-term debt would reduce dependency on short-term debt by offering a more stable capital base through equity financing and bonds. Equity financing reduces the ownership, although, unlike bonds, it does not accrue any interest (Campello, 2015). Bonds can be more appropriate when interest rates are low, whereas equity financing can be used to minimise leverage and interest coverage.</w:t>
      </w:r>
    </w:p>
    <w:p w14:paraId="27ED7D67">
      <w:pPr>
        <w:rPr>
          <w:lang w:bidi="ar-SA"/>
        </w:rPr>
      </w:pPr>
      <w:r>
        <w:rPr>
          <w:lang w:bidi="ar-SA"/>
        </w:rPr>
        <w:t>Given the financial difficulties of the company, the financial mix of trade credit as an instant source of liquidity and equity funding as a long-term stabiliser could be the best choice. Such sources of finance are associated with the liquidity position of General Electronics and also minimise the risks of over-leveraging.</w:t>
      </w:r>
    </w:p>
    <w:p w14:paraId="5CF0B1F5">
      <w:pPr>
        <w:pStyle w:val="2"/>
        <w:rPr>
          <w:rFonts w:eastAsia="Times New Roman"/>
          <w:color w:val="auto"/>
          <w:lang w:bidi="ar-SA"/>
        </w:rPr>
      </w:pPr>
      <w:bookmarkStart w:id="22" w:name="_Toc214660040"/>
      <w:r>
        <w:rPr>
          <w:rFonts w:eastAsia="Times New Roman"/>
          <w:color w:val="auto"/>
          <w:lang w:bidi="ar-SA"/>
        </w:rPr>
        <w:t>4.0 Strategic Financial Restructuring Plan</w:t>
      </w:r>
      <w:bookmarkEnd w:id="22"/>
      <w:r>
        <w:rPr>
          <w:rFonts w:eastAsia="Times New Roman"/>
          <w:color w:val="auto"/>
          <w:lang w:bidi="ar-SA"/>
        </w:rPr>
        <w:t xml:space="preserve"> </w:t>
      </w:r>
    </w:p>
    <w:p w14:paraId="18E7E02B">
      <w:pPr>
        <w:pStyle w:val="3"/>
        <w:rPr>
          <w:rFonts w:eastAsia="Times New Roman"/>
          <w:lang w:bidi="ar-SA"/>
        </w:rPr>
      </w:pPr>
      <w:bookmarkStart w:id="23" w:name="_Toc214660041"/>
      <w:r>
        <w:rPr>
          <w:rFonts w:eastAsia="Times New Roman"/>
          <w:lang w:bidi="ar-SA"/>
        </w:rPr>
        <w:t>4.1 Diagnosis of Structural Issues</w:t>
      </w:r>
      <w:bookmarkEnd w:id="23"/>
    </w:p>
    <w:p w14:paraId="128F9522">
      <w:pPr>
        <w:rPr>
          <w:lang w:bidi="ar-SA"/>
        </w:rPr>
      </w:pPr>
      <w:r>
        <w:rPr>
          <w:lang w:bidi="ar-SA"/>
        </w:rPr>
        <w:t>General Electronics has been experiencing gross underperformance, which has been mainly as a result of high operating costs, unrealistic debt load, and inefficiency of the assets. These problems have literally led to the loss of profitability and financial troubles of the company.</w:t>
      </w:r>
    </w:p>
    <w:p w14:paraId="29590614">
      <w:pPr>
        <w:pStyle w:val="4"/>
        <w:rPr>
          <w:rFonts w:eastAsia="Times New Roman"/>
          <w:lang w:bidi="ar-SA"/>
        </w:rPr>
      </w:pPr>
      <w:bookmarkStart w:id="24" w:name="_Toc214660042"/>
      <w:r>
        <w:rPr>
          <w:rFonts w:eastAsia="Times New Roman"/>
          <w:lang w:bidi="ar-SA"/>
        </w:rPr>
        <w:t>4.1.1 High Operating Expenses</w:t>
      </w:r>
      <w:bookmarkEnd w:id="24"/>
    </w:p>
    <w:p w14:paraId="574B071B">
      <w:pPr>
        <w:rPr>
          <w:lang w:bidi="ar-SA"/>
        </w:rPr>
      </w:pPr>
      <w:r>
        <w:rPr>
          <w:lang w:bidi="ar-SA"/>
        </w:rPr>
        <w:t>It has increased operating costs which can be attributed to high labor costs, costs of raw materials and also overhead costs and even though revenues have been relatively steady, the increase in costs has reduced profit margins and the negative operating income in 2023 and 2024. This reflects the cost of an increase in fixed costs and these difficulties could be linked to the ineffectiveness of the production processes, the use of inefficient technology, and lack of effective cost-controlling tools (Ong et al., 2011). These are the factors that hinder the ability of the firm to maintain profitability thus increasing financial distress.</w:t>
      </w:r>
    </w:p>
    <w:p w14:paraId="745C687A">
      <w:pPr>
        <w:pStyle w:val="4"/>
        <w:rPr>
          <w:rFonts w:eastAsia="Times New Roman"/>
          <w:lang w:bidi="ar-SA"/>
        </w:rPr>
      </w:pPr>
      <w:bookmarkStart w:id="25" w:name="_Toc214660043"/>
      <w:r>
        <w:rPr>
          <w:lang w:bidi="ar-SA"/>
        </w:rPr>
        <w:t>4.1.2 Debt Load</w:t>
      </w:r>
      <w:bookmarkEnd w:id="25"/>
    </w:p>
    <w:p w14:paraId="18211013">
      <w:pPr>
        <w:rPr>
          <w:lang w:bidi="ar-SA"/>
        </w:rPr>
      </w:pPr>
      <w:r>
        <w:rPr>
          <w:lang w:bidi="ar-SA"/>
        </w:rPr>
        <w:t>The growing dependence on debt by General Electronics has been negative. In 2024, the debt-to-equity ratio increased to 1.11, which is an indication of increased financial leverage and risk. Although a certain amount of debt is needed to grow the company, the interest coverage ratio has been negative, especially in 2024 (-4.55), which implies that the company has been unable to cover the interest payments on the basis of operating income (Oki and Sivaruban, 2016). This has increased the liquidity pressures, which have restricted the potential of the company to reinvest in its operations or to carry out growth strategies.</w:t>
      </w:r>
    </w:p>
    <w:p w14:paraId="47727734">
      <w:pPr>
        <w:pStyle w:val="4"/>
        <w:rPr>
          <w:rFonts w:eastAsia="Times New Roman"/>
          <w:lang w:bidi="ar-SA"/>
        </w:rPr>
      </w:pPr>
      <w:bookmarkStart w:id="26" w:name="_Toc214660044"/>
      <w:r>
        <w:rPr>
          <w:lang w:bidi="ar-SA"/>
        </w:rPr>
        <w:t>4.1.3 Asset Inefficiency</w:t>
      </w:r>
      <w:bookmarkEnd w:id="26"/>
    </w:p>
    <w:p w14:paraId="0D53D89D">
      <w:pPr>
        <w:rPr>
          <w:lang w:bidi="ar-SA"/>
        </w:rPr>
      </w:pPr>
      <w:r>
        <w:rPr>
          <w:lang w:bidi="ar-SA"/>
        </w:rPr>
        <w:t>The company has not been making good use of its assets. There is poor inventory turnover, and the days' sales outstanding (DSO) has gone up, meaning that the company has a backlog of receivables (Harris and El-Massri, 2011). This waste in asset management ties up cash that can be used to enhance liquidity or decrease debt.</w:t>
      </w:r>
    </w:p>
    <w:p w14:paraId="64A9C6E4">
      <w:pPr>
        <w:pStyle w:val="3"/>
        <w:rPr>
          <w:rFonts w:eastAsia="Times New Roman"/>
          <w:lang w:bidi="ar-SA"/>
        </w:rPr>
      </w:pPr>
      <w:bookmarkStart w:id="27" w:name="_Toc214660045"/>
      <w:r>
        <w:rPr>
          <w:rFonts w:eastAsia="Times New Roman"/>
          <w:lang w:bidi="ar-SA"/>
        </w:rPr>
        <w:t>4.2 Restructuring Options</w:t>
      </w:r>
      <w:bookmarkEnd w:id="27"/>
    </w:p>
    <w:p w14:paraId="603FFA15">
      <w:pPr>
        <w:rPr>
          <w:lang w:bidi="ar-SA"/>
        </w:rPr>
      </w:pPr>
      <w:r>
        <w:rPr>
          <w:lang w:bidi="ar-SA"/>
        </w:rPr>
        <w:t>In order to solve these structural problems, there are some viable restructuring alternatives that should be looked at. These alternatives may be divided into operational, financial, and strategic activities.</w:t>
      </w:r>
    </w:p>
    <w:p w14:paraId="1169EEFE">
      <w:pPr>
        <w:pStyle w:val="4"/>
        <w:rPr>
          <w:lang w:bidi="ar-SA"/>
        </w:rPr>
      </w:pPr>
      <w:bookmarkStart w:id="28" w:name="_Toc214660046"/>
      <w:r>
        <w:rPr>
          <w:lang w:bidi="ar-SA"/>
        </w:rPr>
        <w:t>4.2.1 Operational Restructuring</w:t>
      </w:r>
      <w:bookmarkEnd w:id="28"/>
    </w:p>
    <w:p w14:paraId="28024750">
      <w:pPr>
        <w:rPr>
          <w:lang w:bidi="ar-SA"/>
        </w:rPr>
      </w:pPr>
      <w:r>
        <w:rPr>
          <w:b/>
          <w:bCs/>
          <w:lang w:bidi="ar-SA"/>
        </w:rPr>
        <w:t>Cost Rationalisation</w:t>
      </w:r>
      <w:r>
        <w:rPr>
          <w:lang w:bidi="ar-SA"/>
        </w:rPr>
        <w:t>: Profitability can be regained by reducing operating costs through automation and optimising the process, as well as cutting costs in non-essential areas. These involve the process of selective layoffs, outsourcing non-core services and functions, and renegotiation of supplier contracts to achieve more favourable conditions (Awomewe and Ogundele, 2008). Through increasing operational efficiency, General Electronics can reduce its cost base without reducing its output.</w:t>
      </w:r>
    </w:p>
    <w:p w14:paraId="7A769503">
      <w:pPr>
        <w:rPr>
          <w:lang w:bidi="ar-SA"/>
        </w:rPr>
      </w:pPr>
      <w:r>
        <w:rPr>
          <w:b/>
          <w:bCs/>
          <w:lang w:bidi="ar-SA"/>
        </w:rPr>
        <w:t>Asset Utilisation</w:t>
      </w:r>
      <w:r>
        <w:rPr>
          <w:lang w:bidi="ar-SA"/>
        </w:rPr>
        <w:t>: Asset turnover will be improved through the enhancement of stock management and debt collection. Just-in-time (JIT) inventory control would minimise inventory and carrying costs, whereas stricter credit procedures would speed up the collection process and decrease the days sales outstanding (Bierman, 2020).</w:t>
      </w:r>
    </w:p>
    <w:p w14:paraId="323F82D6">
      <w:pPr>
        <w:pStyle w:val="4"/>
        <w:rPr>
          <w:lang w:bidi="ar-SA"/>
        </w:rPr>
      </w:pPr>
      <w:bookmarkStart w:id="29" w:name="_Toc214660047"/>
      <w:r>
        <w:rPr>
          <w:lang w:bidi="ar-SA"/>
        </w:rPr>
        <w:t>4.2.2 Financial Restructuring</w:t>
      </w:r>
      <w:bookmarkEnd w:id="29"/>
    </w:p>
    <w:p w14:paraId="498B1133">
      <w:pPr>
        <w:rPr>
          <w:lang w:bidi="ar-SA"/>
        </w:rPr>
      </w:pPr>
      <w:r>
        <w:rPr>
          <w:b/>
          <w:bCs/>
          <w:lang w:bidi="ar-SA"/>
        </w:rPr>
        <w:t>Equity Injection</w:t>
      </w:r>
      <w:r>
        <w:rPr>
          <w:lang w:bidi="ar-SA"/>
        </w:rPr>
        <w:t>: Its capitalisation would lead to fewer debts and better liquidity of the company. This may be through the issue of new shares or by attracting the attention of the private-equity investors. It would also give the company the much-needed capital to stabilise its finances, although at the expense of existing shareholders (Sun et al., 2014).</w:t>
      </w:r>
    </w:p>
    <w:p w14:paraId="771FB9F9">
      <w:pPr>
        <w:rPr>
          <w:lang w:bidi="ar-SA"/>
        </w:rPr>
      </w:pPr>
      <w:r>
        <w:rPr>
          <w:b/>
          <w:bCs/>
          <w:lang w:bidi="ar-SA"/>
        </w:rPr>
        <w:t>Debt Refinancing:</w:t>
      </w:r>
      <w:r>
        <w:rPr>
          <w:lang w:bidi="ar-SA"/>
        </w:rPr>
        <w:t xml:space="preserve"> By refinancing current debt, it can serve to extend the term of obligation, reduce interest rates, or even restructure payment schedule to relieve liquidity pressure for the short term. The company would have more space to operate, and it would have cash to reinvest back.</w:t>
      </w:r>
    </w:p>
    <w:p w14:paraId="172E8D9B">
      <w:pPr>
        <w:rPr>
          <w:lang w:bidi="ar-SA"/>
        </w:rPr>
      </w:pPr>
      <w:r>
        <w:rPr>
          <w:b/>
          <w:bCs/>
          <w:lang w:bidi="ar-SA"/>
        </w:rPr>
        <w:t>Divestiture and Merger</w:t>
      </w:r>
      <w:r>
        <w:rPr>
          <w:lang w:bidi="ar-SA"/>
        </w:rPr>
        <w:t>: Selling non-essential properties or unsuccessful companies can raise immediate cash and refocus business efforts on areas of business operations. A merger with a more powerful competitor could enable General Electronics to expand operations, lower expenses, and improve its market position.</w:t>
      </w:r>
    </w:p>
    <w:p w14:paraId="6FFB286E">
      <w:pPr>
        <w:pStyle w:val="4"/>
      </w:pPr>
      <w:bookmarkStart w:id="30" w:name="_Toc214660048"/>
      <w:r>
        <w:t>4.2.3 Strategic Restructuring</w:t>
      </w:r>
      <w:bookmarkEnd w:id="30"/>
    </w:p>
    <w:p w14:paraId="114AFBD9">
      <w:r>
        <w:t>The main objective of strategic restructuring is high-margin products and services and as a result, General Electronics is able to compensate low-margin or weak performing business activities. As it is a well-known fact that restructuring of portfolio makes business operations lean, so for that reason the operational effectiveness would be increased and along with that this will enhance the company’s presence in the market.  With a focus on digital transformation strategies and in addition to that the use of new-age digital technologies, It must be made mandatory to enhance customer experience however, by using a strong online strategy the establishment of penetration within the e-commerce industry will create more sources of income which increased profitability, as a result of such an increase and the lower cost of operation will improve General Electronics competitive position in such a dynamic market.</w:t>
      </w:r>
    </w:p>
    <w:p w14:paraId="04AC7F4A">
      <w:pPr>
        <w:pStyle w:val="3"/>
        <w:rPr>
          <w:rFonts w:eastAsia="Times New Roman"/>
          <w:lang w:bidi="ar-SA"/>
        </w:rPr>
      </w:pPr>
      <w:bookmarkStart w:id="31" w:name="_Toc214660049"/>
      <w:r>
        <w:rPr>
          <w:rFonts w:eastAsia="Times New Roman"/>
          <w:lang w:bidi="ar-SA"/>
        </w:rPr>
        <w:t>4.3 Evaluation of Impact</w:t>
      </w:r>
      <w:bookmarkEnd w:id="31"/>
    </w:p>
    <w:p w14:paraId="689BE9FC">
      <w:pPr>
        <w:rPr>
          <w:lang w:bidi="ar-SA"/>
        </w:rPr>
      </w:pPr>
      <w:r>
        <w:rPr>
          <w:lang w:bidi="ar-SA"/>
        </w:rPr>
        <w:t>The impact of the proposed restructuring strategies on key financial metrics should be evaluated as follows:</w:t>
      </w:r>
    </w:p>
    <w:p w14:paraId="406C59EA">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1</w:t>
      </w:r>
      <w:r>
        <w:rPr>
          <w:i/>
          <w:color w:val="auto"/>
        </w:rPr>
        <w:fldChar w:fldCharType="end"/>
      </w:r>
      <w:r>
        <w:rPr>
          <w:i/>
          <w:color w:val="auto"/>
        </w:rPr>
        <w:t>: Evaluation of Restructuring Measures and Their Impact on Key Financial Metrics (Author)</w:t>
      </w:r>
    </w:p>
    <w:p w14:paraId="17C23908">
      <w:r>
        <w:rPr>
          <w:lang w:bidi="ar-SA"/>
        </w:rPr>
        <w:drawing>
          <wp:inline distT="0" distB="0" distL="0" distR="0">
            <wp:extent cx="5943600" cy="4338955"/>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19"/>
                    <a:stretch>
                      <a:fillRect/>
                    </a:stretch>
                  </pic:blipFill>
                  <pic:spPr>
                    <a:xfrm>
                      <a:off x="0" y="0"/>
                      <a:ext cx="5943600" cy="4338955"/>
                    </a:xfrm>
                    <a:prstGeom prst="rect">
                      <a:avLst/>
                    </a:prstGeom>
                  </pic:spPr>
                </pic:pic>
              </a:graphicData>
            </a:graphic>
          </wp:inline>
        </w:drawing>
      </w:r>
    </w:p>
    <w:p w14:paraId="1112A547">
      <w:pPr>
        <w:pStyle w:val="3"/>
        <w:rPr>
          <w:rFonts w:eastAsia="Times New Roman"/>
          <w:lang w:bidi="ar-SA"/>
        </w:rPr>
      </w:pPr>
      <w:bookmarkStart w:id="32" w:name="_Toc214660050"/>
      <w:r>
        <w:rPr>
          <w:rFonts w:eastAsia="Times New Roman"/>
          <w:lang w:bidi="ar-SA"/>
        </w:rPr>
        <w:t>4.4 International and Ethical Considerations</w:t>
      </w:r>
      <w:bookmarkEnd w:id="32"/>
    </w:p>
    <w:p w14:paraId="135B3F35">
      <w:pPr>
        <w:rPr>
          <w:lang w:bidi="ar-SA"/>
        </w:rPr>
      </w:pPr>
      <w:r>
        <w:rPr>
          <w:lang w:bidi="ar-SA"/>
        </w:rPr>
        <w:t>In the company's quest to undertake financial restructuring, General Electronics ought to consider the effects of international taxation and currency risk, especially in cases where businesses cut across different jurisdictions. Disagreements in tax regimes may have a significant effect on the efficacy of restructuring tools, e.g., mergers or equity injections. At the same time, currency volatility can have an impact on the profitability of foreign businesses, in particular, when a significant percentage of income is brought to the home market (Stefko et al., 2019).</w:t>
      </w:r>
    </w:p>
    <w:p w14:paraId="2E948063">
      <w:pPr>
        <w:rPr>
          <w:lang w:bidi="ar-SA"/>
        </w:rPr>
      </w:pPr>
      <w:r>
        <w:rPr>
          <w:lang w:bidi="ar-SA"/>
        </w:rPr>
        <w:t>Moreover, the social responsibility of the company (CSR) and its corporate governance are some of the important aspects that will come into the restructuring process. Ethical governance systems and an evident sense of sustainability have become a significant topic to both stakeholders, including investors as well as consumers. Sustainable practice through restructuring will not only provide a better image to people but also help the company adapt to the current trends in sustainability in the world.</w:t>
      </w:r>
    </w:p>
    <w:p w14:paraId="120E2F48">
      <w:pPr>
        <w:pStyle w:val="3"/>
        <w:rPr>
          <w:rFonts w:eastAsia="Times New Roman"/>
          <w:lang w:bidi="ar-SA"/>
        </w:rPr>
      </w:pPr>
      <w:bookmarkStart w:id="33" w:name="_Toc214660051"/>
      <w:r>
        <w:rPr>
          <w:rFonts w:eastAsia="Times New Roman"/>
          <w:lang w:bidi="ar-SA"/>
        </w:rPr>
        <w:t>4.5 Suggested Restructuring Way</w:t>
      </w:r>
      <w:bookmarkEnd w:id="33"/>
    </w:p>
    <w:p w14:paraId="4538A46A">
      <w:pPr>
        <w:rPr>
          <w:lang w:bidi="ar-SA"/>
        </w:rPr>
      </w:pPr>
      <w:r>
        <w:rPr>
          <w:lang w:bidi="ar-SA"/>
        </w:rPr>
        <w:t>The operational, financial, and strategic interventions are most likely to be combined in the most feasible restructuring pathway. It should focus on cost rationalisation to increase profitability in the near term, capital injections to reduce indebtedness, and a portfolio repositioning to focus on more profitable channels. Such efforts should be supported by a digital transformation that strengthens the long-term growth opportunities. These measures would enable General Electronics to stabilise its financial position, increase shareholder value, regain its competitive position, and maintain ethical governance principles.</w:t>
      </w:r>
    </w:p>
    <w:p w14:paraId="29084662">
      <w:pPr>
        <w:pStyle w:val="2"/>
        <w:rPr>
          <w:rFonts w:eastAsia="Times New Roman"/>
          <w:color w:val="auto"/>
          <w:lang w:bidi="ar-SA"/>
        </w:rPr>
      </w:pPr>
      <w:bookmarkStart w:id="34" w:name="_Toc214660052"/>
      <w:r>
        <w:rPr>
          <w:rFonts w:eastAsia="Times New Roman"/>
          <w:color w:val="auto"/>
          <w:lang w:bidi="ar-SA"/>
        </w:rPr>
        <w:t>5.0 Investment Appraisal and Capital Budgeting</w:t>
      </w:r>
      <w:bookmarkEnd w:id="34"/>
      <w:r>
        <w:rPr>
          <w:rFonts w:eastAsia="Times New Roman"/>
          <w:color w:val="auto"/>
          <w:lang w:bidi="ar-SA"/>
        </w:rPr>
        <w:t xml:space="preserve"> </w:t>
      </w:r>
    </w:p>
    <w:p w14:paraId="3D80E934">
      <w:pPr>
        <w:rPr>
          <w:lang w:bidi="ar-SA"/>
        </w:rPr>
      </w:pPr>
      <w:r>
        <w:rPr>
          <w:lang w:bidi="ar-SA"/>
        </w:rPr>
        <w:t>This section seeks to evaluate three investment projects (A, B, and C) using well-known investment appraisal methods, that is, Payback Period (PBP), Accounting Rate of Return (ARR), Net Present Value (NPV), Profitability Index (PI), and Internal Rate of Return (IRR). Based on these reviews, I will advise the project that will be most appropriate to General Electronics, considering the capital rationing limit of the company at 60 million pounds and its financial health ratio, which includes its profitability, liquidity, and risk.</w:t>
      </w:r>
    </w:p>
    <w:p w14:paraId="157F544C">
      <w:pPr>
        <w:pStyle w:val="3"/>
        <w:rPr>
          <w:rFonts w:eastAsia="Times New Roman"/>
          <w:lang w:bidi="ar-SA"/>
        </w:rPr>
      </w:pPr>
      <w:bookmarkStart w:id="35" w:name="_Toc214660053"/>
      <w:r>
        <w:rPr>
          <w:rFonts w:eastAsia="Times New Roman"/>
          <w:lang w:bidi="ar-SA"/>
        </w:rPr>
        <w:t>5.1 Investment Data and Assumptions</w:t>
      </w:r>
      <w:bookmarkEnd w:id="35"/>
    </w:p>
    <w:p w14:paraId="50D1AA5F">
      <w:pPr>
        <w:rPr>
          <w:lang w:bidi="ar-SA"/>
        </w:rPr>
      </w:pPr>
      <w:r>
        <w:rPr>
          <w:lang w:bidi="ar-SA"/>
        </w:rPr>
        <w:t>The proposed projects, their cash flows, and other relevant details are summarised below:</w:t>
      </w:r>
    </w:p>
    <w:p w14:paraId="5778586C">
      <w:pPr>
        <w:spacing w:line="276" w:lineRule="auto"/>
        <w:jc w:val="left"/>
        <w:rPr>
          <w:b/>
          <w:bCs/>
          <w:i/>
          <w:sz w:val="18"/>
          <w:szCs w:val="22"/>
        </w:rPr>
      </w:pPr>
      <w:r>
        <w:rPr>
          <w:i/>
        </w:rPr>
        <w:br w:type="page"/>
      </w:r>
    </w:p>
    <w:p w14:paraId="00A8F0C9">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2</w:t>
      </w:r>
      <w:r>
        <w:rPr>
          <w:i/>
          <w:color w:val="auto"/>
        </w:rPr>
        <w:fldChar w:fldCharType="end"/>
      </w:r>
      <w:r>
        <w:rPr>
          <w:i/>
          <w:color w:val="auto"/>
        </w:rPr>
        <w:t>: Investment Data for Project A, B, and C (Author)</w:t>
      </w:r>
    </w:p>
    <w:tbl>
      <w:tblPr>
        <w:tblStyle w:val="2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82"/>
        <w:gridCol w:w="2539"/>
        <w:gridCol w:w="3432"/>
      </w:tblGrid>
      <w:tr w14:paraId="36C564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681D249">
            <w:pPr>
              <w:spacing w:after="0"/>
              <w:rPr>
                <w:b/>
                <w:sz w:val="22"/>
                <w:lang w:bidi="ar-SA"/>
              </w:rPr>
            </w:pPr>
            <w:r>
              <w:rPr>
                <w:b/>
                <w:sz w:val="22"/>
                <w:lang w:bidi="ar-SA"/>
              </w:rPr>
              <w:t>Project</w:t>
            </w:r>
          </w:p>
        </w:tc>
        <w:tc>
          <w:tcPr>
            <w:tcW w:w="0" w:type="auto"/>
          </w:tcPr>
          <w:p w14:paraId="0D6CF0D9">
            <w:pPr>
              <w:spacing w:after="0"/>
              <w:rPr>
                <w:b/>
                <w:sz w:val="22"/>
                <w:lang w:bidi="ar-SA"/>
              </w:rPr>
            </w:pPr>
            <w:r>
              <w:rPr>
                <w:b/>
                <w:sz w:val="22"/>
                <w:lang w:bidi="ar-SA"/>
              </w:rPr>
              <w:t>Initial Investment (£m)</w:t>
            </w:r>
          </w:p>
        </w:tc>
        <w:tc>
          <w:tcPr>
            <w:tcW w:w="0" w:type="auto"/>
          </w:tcPr>
          <w:p w14:paraId="27605C65">
            <w:pPr>
              <w:spacing w:after="0"/>
              <w:rPr>
                <w:b/>
                <w:sz w:val="22"/>
                <w:lang w:bidi="ar-SA"/>
              </w:rPr>
            </w:pPr>
            <w:r>
              <w:rPr>
                <w:b/>
                <w:sz w:val="22"/>
                <w:lang w:bidi="ar-SA"/>
              </w:rPr>
              <w:t>Year 1-5 Net Cash Inflows (£m)</w:t>
            </w:r>
          </w:p>
        </w:tc>
      </w:tr>
      <w:tr w14:paraId="1B64FC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DBE0149">
            <w:pPr>
              <w:spacing w:after="0"/>
              <w:rPr>
                <w:b/>
                <w:sz w:val="22"/>
                <w:lang w:bidi="ar-SA"/>
              </w:rPr>
            </w:pPr>
            <w:r>
              <w:rPr>
                <w:b/>
                <w:sz w:val="22"/>
                <w:lang w:bidi="ar-SA"/>
              </w:rPr>
              <w:t>Project A</w:t>
            </w:r>
          </w:p>
        </w:tc>
        <w:tc>
          <w:tcPr>
            <w:tcW w:w="0" w:type="auto"/>
          </w:tcPr>
          <w:p w14:paraId="0D442CE8">
            <w:pPr>
              <w:spacing w:after="0"/>
              <w:rPr>
                <w:sz w:val="22"/>
                <w:lang w:bidi="ar-SA"/>
              </w:rPr>
            </w:pPr>
            <w:r>
              <w:rPr>
                <w:sz w:val="22"/>
                <w:lang w:bidi="ar-SA"/>
              </w:rPr>
              <w:t>40</w:t>
            </w:r>
          </w:p>
        </w:tc>
        <w:tc>
          <w:tcPr>
            <w:tcW w:w="0" w:type="auto"/>
          </w:tcPr>
          <w:p w14:paraId="0B7B7C87">
            <w:pPr>
              <w:spacing w:after="0"/>
              <w:rPr>
                <w:sz w:val="22"/>
                <w:lang w:bidi="ar-SA"/>
              </w:rPr>
            </w:pPr>
            <w:r>
              <w:rPr>
                <w:sz w:val="22"/>
                <w:lang w:bidi="ar-SA"/>
              </w:rPr>
              <w:t>£10m, £12m, £14m, £10m, £8m</w:t>
            </w:r>
          </w:p>
        </w:tc>
      </w:tr>
      <w:tr w14:paraId="2E412B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C250F68">
            <w:pPr>
              <w:spacing w:after="0"/>
              <w:rPr>
                <w:b/>
                <w:sz w:val="22"/>
                <w:lang w:bidi="ar-SA"/>
              </w:rPr>
            </w:pPr>
            <w:r>
              <w:rPr>
                <w:b/>
                <w:sz w:val="22"/>
                <w:lang w:bidi="ar-SA"/>
              </w:rPr>
              <w:t>Project B</w:t>
            </w:r>
          </w:p>
        </w:tc>
        <w:tc>
          <w:tcPr>
            <w:tcW w:w="0" w:type="auto"/>
          </w:tcPr>
          <w:p w14:paraId="04CCB61E">
            <w:pPr>
              <w:spacing w:after="0"/>
              <w:rPr>
                <w:sz w:val="22"/>
                <w:lang w:bidi="ar-SA"/>
              </w:rPr>
            </w:pPr>
            <w:r>
              <w:rPr>
                <w:sz w:val="22"/>
                <w:lang w:bidi="ar-SA"/>
              </w:rPr>
              <w:t>30</w:t>
            </w:r>
          </w:p>
        </w:tc>
        <w:tc>
          <w:tcPr>
            <w:tcW w:w="0" w:type="auto"/>
          </w:tcPr>
          <w:p w14:paraId="3C734C41">
            <w:pPr>
              <w:spacing w:after="0"/>
              <w:rPr>
                <w:sz w:val="22"/>
                <w:lang w:bidi="ar-SA"/>
              </w:rPr>
            </w:pPr>
            <w:r>
              <w:rPr>
                <w:sz w:val="22"/>
                <w:lang w:bidi="ar-SA"/>
              </w:rPr>
              <w:t>£6m, £6m, £6m, £6m, £6m</w:t>
            </w:r>
          </w:p>
        </w:tc>
      </w:tr>
      <w:tr w14:paraId="766B7E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534C844">
            <w:pPr>
              <w:spacing w:after="0"/>
              <w:rPr>
                <w:b/>
                <w:sz w:val="22"/>
                <w:lang w:bidi="ar-SA"/>
              </w:rPr>
            </w:pPr>
            <w:r>
              <w:rPr>
                <w:b/>
                <w:sz w:val="22"/>
                <w:lang w:bidi="ar-SA"/>
              </w:rPr>
              <w:t>Project C</w:t>
            </w:r>
          </w:p>
        </w:tc>
        <w:tc>
          <w:tcPr>
            <w:tcW w:w="0" w:type="auto"/>
          </w:tcPr>
          <w:p w14:paraId="24F39253">
            <w:pPr>
              <w:spacing w:after="0"/>
              <w:rPr>
                <w:sz w:val="22"/>
                <w:lang w:bidi="ar-SA"/>
              </w:rPr>
            </w:pPr>
            <w:r>
              <w:rPr>
                <w:sz w:val="22"/>
                <w:lang w:bidi="ar-SA"/>
              </w:rPr>
              <w:t>50</w:t>
            </w:r>
          </w:p>
        </w:tc>
        <w:tc>
          <w:tcPr>
            <w:tcW w:w="0" w:type="auto"/>
          </w:tcPr>
          <w:p w14:paraId="2F4147C8">
            <w:pPr>
              <w:spacing w:after="0"/>
              <w:rPr>
                <w:sz w:val="22"/>
                <w:lang w:bidi="ar-SA"/>
              </w:rPr>
            </w:pPr>
            <w:r>
              <w:rPr>
                <w:sz w:val="22"/>
                <w:lang w:bidi="ar-SA"/>
              </w:rPr>
              <w:t>£5m, £10m, £20m, £25m, £15m</w:t>
            </w:r>
          </w:p>
        </w:tc>
      </w:tr>
    </w:tbl>
    <w:p w14:paraId="54D53EA9">
      <w:pPr>
        <w:rPr>
          <w:b/>
          <w:lang w:bidi="ar-SA"/>
        </w:rPr>
      </w:pPr>
    </w:p>
    <w:p w14:paraId="13D1B1AA">
      <w:pPr>
        <w:rPr>
          <w:b/>
          <w:lang w:bidi="ar-SA"/>
        </w:rPr>
      </w:pPr>
      <w:r>
        <w:rPr>
          <w:b/>
          <w:lang w:bidi="ar-SA"/>
        </w:rPr>
        <w:t>Assumptions:</w:t>
      </w:r>
    </w:p>
    <w:p w14:paraId="6E99792F">
      <w:pPr>
        <w:pStyle w:val="29"/>
        <w:numPr>
          <w:ilvl w:val="0"/>
          <w:numId w:val="4"/>
        </w:numPr>
        <w:rPr>
          <w:lang w:bidi="ar-SA"/>
        </w:rPr>
      </w:pPr>
      <w:r>
        <w:rPr>
          <w:lang w:bidi="ar-SA"/>
        </w:rPr>
        <w:t>Discount Rate: 10%</w:t>
      </w:r>
    </w:p>
    <w:p w14:paraId="10CAE348">
      <w:pPr>
        <w:pStyle w:val="29"/>
        <w:numPr>
          <w:ilvl w:val="0"/>
          <w:numId w:val="4"/>
        </w:numPr>
        <w:rPr>
          <w:lang w:bidi="ar-SA"/>
        </w:rPr>
      </w:pPr>
      <w:r>
        <w:rPr>
          <w:lang w:bidi="ar-SA"/>
        </w:rPr>
        <w:t>Depreciation: Straight-line depreciation to zero over five years</w:t>
      </w:r>
    </w:p>
    <w:p w14:paraId="527E0783">
      <w:pPr>
        <w:pStyle w:val="29"/>
        <w:numPr>
          <w:ilvl w:val="0"/>
          <w:numId w:val="4"/>
        </w:numPr>
        <w:rPr>
          <w:lang w:bidi="ar-SA"/>
        </w:rPr>
      </w:pPr>
      <w:r>
        <w:rPr>
          <w:lang w:bidi="ar-SA"/>
        </w:rPr>
        <w:t>Capital Budgeting Constraint: Only £60 million is available for investment</w:t>
      </w:r>
    </w:p>
    <w:p w14:paraId="47F31BEF">
      <w:pPr>
        <w:pStyle w:val="3"/>
      </w:pPr>
      <w:bookmarkStart w:id="36" w:name="_Toc214660054"/>
      <w:r>
        <w:t>5.2 Computation and Evaluation</w:t>
      </w:r>
      <w:bookmarkEnd w:id="36"/>
    </w:p>
    <w:p w14:paraId="54837684">
      <w:pPr>
        <w:pStyle w:val="4"/>
      </w:pPr>
      <w:bookmarkStart w:id="37" w:name="_Toc214660055"/>
      <w:r>
        <w:t>5.2.1 Project A</w:t>
      </w:r>
      <w:bookmarkEnd w:id="37"/>
    </w:p>
    <w:p w14:paraId="526685DC">
      <w:r>
        <w:t>The net present value of Project A also includes a figure of 1.324 million pounds which implies that the project will be expected to produce a positive cash flow which is higher than the necessary required amount of yield.</w:t>
      </w:r>
    </w:p>
    <w:p w14:paraId="7ABDDD89">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3</w:t>
      </w:r>
      <w:r>
        <w:rPr>
          <w:i/>
          <w:color w:val="auto"/>
        </w:rPr>
        <w:fldChar w:fldCharType="end"/>
      </w:r>
      <w:r>
        <w:rPr>
          <w:i/>
          <w:color w:val="auto"/>
        </w:rPr>
        <w:t>: Cash Flow Summary (Author)</w:t>
      </w:r>
    </w:p>
    <w:tbl>
      <w:tblPr>
        <w:tblStyle w:val="8"/>
        <w:tblW w:w="8115" w:type="dxa"/>
        <w:jc w:val="center"/>
        <w:tblLayout w:type="autofit"/>
        <w:tblCellMar>
          <w:top w:w="0" w:type="dxa"/>
          <w:left w:w="108" w:type="dxa"/>
          <w:bottom w:w="0" w:type="dxa"/>
          <w:right w:w="108" w:type="dxa"/>
        </w:tblCellMar>
      </w:tblPr>
      <w:tblGrid>
        <w:gridCol w:w="1365"/>
        <w:gridCol w:w="1530"/>
        <w:gridCol w:w="1620"/>
        <w:gridCol w:w="1620"/>
        <w:gridCol w:w="1980"/>
      </w:tblGrid>
      <w:tr w14:paraId="7486D509">
        <w:tblPrEx>
          <w:tblCellMar>
            <w:top w:w="0" w:type="dxa"/>
            <w:left w:w="108" w:type="dxa"/>
            <w:bottom w:w="0" w:type="dxa"/>
            <w:right w:w="108" w:type="dxa"/>
          </w:tblCellMar>
        </w:tblPrEx>
        <w:trPr>
          <w:trHeight w:val="375" w:hRule="atLeast"/>
          <w:jc w:val="center"/>
        </w:trPr>
        <w:tc>
          <w:tcPr>
            <w:tcW w:w="8115" w:type="dxa"/>
            <w:gridSpan w:val="5"/>
            <w:tcBorders>
              <w:top w:val="single" w:color="auto" w:sz="8" w:space="0"/>
              <w:left w:val="single" w:color="auto" w:sz="8" w:space="0"/>
              <w:bottom w:val="single" w:color="auto" w:sz="4" w:space="0"/>
              <w:right w:val="single" w:color="000000" w:sz="8" w:space="0"/>
            </w:tcBorders>
            <w:shd w:val="clear" w:color="000000" w:fill="F2DCDB"/>
            <w:noWrap/>
            <w:vAlign w:val="bottom"/>
          </w:tcPr>
          <w:p w14:paraId="2E119B7D">
            <w:pPr>
              <w:spacing w:after="0" w:line="240" w:lineRule="auto"/>
              <w:jc w:val="center"/>
              <w:rPr>
                <w:rFonts w:ascii="Calibri" w:hAnsi="Calibri" w:eastAsia="Times New Roman" w:cs="Calibri"/>
                <w:b/>
                <w:bCs/>
                <w:sz w:val="28"/>
                <w:lang w:bidi="ar-SA"/>
              </w:rPr>
            </w:pPr>
            <w:r>
              <w:rPr>
                <w:rFonts w:ascii="Calibri" w:hAnsi="Calibri" w:eastAsia="Times New Roman" w:cs="Calibri"/>
                <w:b/>
                <w:bCs/>
                <w:sz w:val="28"/>
                <w:lang w:bidi="ar-SA"/>
              </w:rPr>
              <w:t>Project A</w:t>
            </w:r>
          </w:p>
        </w:tc>
      </w:tr>
      <w:tr w14:paraId="2C2C31B8">
        <w:tblPrEx>
          <w:tblCellMar>
            <w:top w:w="0" w:type="dxa"/>
            <w:left w:w="108" w:type="dxa"/>
            <w:bottom w:w="0" w:type="dxa"/>
            <w:right w:w="108" w:type="dxa"/>
          </w:tblCellMar>
        </w:tblPrEx>
        <w:trPr>
          <w:trHeight w:val="315" w:hRule="atLeast"/>
          <w:jc w:val="center"/>
        </w:trPr>
        <w:tc>
          <w:tcPr>
            <w:tcW w:w="1365" w:type="dxa"/>
            <w:tcBorders>
              <w:top w:val="nil"/>
              <w:left w:val="single" w:color="auto" w:sz="8" w:space="0"/>
              <w:bottom w:val="single" w:color="auto" w:sz="4" w:space="0"/>
              <w:right w:val="single" w:color="auto" w:sz="4" w:space="0"/>
            </w:tcBorders>
            <w:shd w:val="clear" w:color="000000" w:fill="F2DCDB"/>
            <w:vAlign w:val="center"/>
          </w:tcPr>
          <w:p w14:paraId="73A7B72C">
            <w:pPr>
              <w:spacing w:after="0" w:line="240" w:lineRule="auto"/>
              <w:jc w:val="center"/>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Year</w:t>
            </w:r>
          </w:p>
        </w:tc>
        <w:tc>
          <w:tcPr>
            <w:tcW w:w="1530" w:type="dxa"/>
            <w:tcBorders>
              <w:top w:val="nil"/>
              <w:left w:val="nil"/>
              <w:bottom w:val="single" w:color="auto" w:sz="4" w:space="0"/>
              <w:right w:val="single" w:color="auto" w:sz="4" w:space="0"/>
            </w:tcBorders>
            <w:shd w:val="clear" w:color="000000" w:fill="F2DCDB"/>
            <w:vAlign w:val="center"/>
          </w:tcPr>
          <w:p w14:paraId="042B0B66">
            <w:pPr>
              <w:spacing w:after="0" w:line="240" w:lineRule="auto"/>
              <w:jc w:val="center"/>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(£m)</w:t>
            </w:r>
          </w:p>
        </w:tc>
        <w:tc>
          <w:tcPr>
            <w:tcW w:w="1620" w:type="dxa"/>
            <w:tcBorders>
              <w:top w:val="nil"/>
              <w:left w:val="nil"/>
              <w:bottom w:val="single" w:color="auto" w:sz="4" w:space="0"/>
              <w:right w:val="single" w:color="auto" w:sz="4" w:space="0"/>
            </w:tcBorders>
            <w:shd w:val="clear" w:color="000000" w:fill="F2DCDB"/>
            <w:vAlign w:val="center"/>
          </w:tcPr>
          <w:p w14:paraId="0260F7A3">
            <w:pPr>
              <w:spacing w:after="0" w:line="240" w:lineRule="auto"/>
              <w:jc w:val="center"/>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 xml:space="preserve"> (£m)</w:t>
            </w:r>
          </w:p>
        </w:tc>
        <w:tc>
          <w:tcPr>
            <w:tcW w:w="1620" w:type="dxa"/>
            <w:tcBorders>
              <w:top w:val="nil"/>
              <w:left w:val="nil"/>
              <w:bottom w:val="single" w:color="auto" w:sz="4" w:space="0"/>
              <w:right w:val="single" w:color="auto" w:sz="4" w:space="0"/>
            </w:tcBorders>
            <w:shd w:val="clear" w:color="000000" w:fill="F2DCDB"/>
            <w:noWrap/>
            <w:vAlign w:val="bottom"/>
          </w:tcPr>
          <w:p w14:paraId="5D08E8CD">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Discount Factor (10%)</w:t>
            </w:r>
          </w:p>
        </w:tc>
        <w:tc>
          <w:tcPr>
            <w:tcW w:w="1980" w:type="dxa"/>
            <w:tcBorders>
              <w:top w:val="nil"/>
              <w:left w:val="nil"/>
              <w:bottom w:val="single" w:color="auto" w:sz="4" w:space="0"/>
              <w:right w:val="single" w:color="auto" w:sz="8" w:space="0"/>
            </w:tcBorders>
            <w:shd w:val="clear" w:color="000000" w:fill="F2DCDB"/>
            <w:noWrap/>
            <w:vAlign w:val="bottom"/>
          </w:tcPr>
          <w:p w14:paraId="39D7F058">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 </w:t>
            </w:r>
          </w:p>
        </w:tc>
      </w:tr>
      <w:tr w14:paraId="7AE6CCC7">
        <w:tblPrEx>
          <w:tblCellMar>
            <w:top w:w="0" w:type="dxa"/>
            <w:left w:w="108" w:type="dxa"/>
            <w:bottom w:w="0" w:type="dxa"/>
            <w:right w:w="108" w:type="dxa"/>
          </w:tblCellMar>
        </w:tblPrEx>
        <w:trPr>
          <w:trHeight w:val="315" w:hRule="atLeast"/>
          <w:jc w:val="center"/>
        </w:trPr>
        <w:tc>
          <w:tcPr>
            <w:tcW w:w="1365" w:type="dxa"/>
            <w:tcBorders>
              <w:top w:val="nil"/>
              <w:left w:val="single" w:color="auto" w:sz="8" w:space="0"/>
              <w:bottom w:val="single" w:color="auto" w:sz="4" w:space="0"/>
              <w:right w:val="single" w:color="auto" w:sz="4" w:space="0"/>
            </w:tcBorders>
            <w:shd w:val="clear" w:color="000000" w:fill="F2DCDB"/>
            <w:vAlign w:val="center"/>
          </w:tcPr>
          <w:p w14:paraId="367C19D7">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0</w:t>
            </w:r>
          </w:p>
        </w:tc>
        <w:tc>
          <w:tcPr>
            <w:tcW w:w="1530" w:type="dxa"/>
            <w:tcBorders>
              <w:top w:val="nil"/>
              <w:left w:val="nil"/>
              <w:bottom w:val="single" w:color="auto" w:sz="4" w:space="0"/>
              <w:right w:val="single" w:color="auto" w:sz="4" w:space="0"/>
            </w:tcBorders>
            <w:shd w:val="clear" w:color="000000" w:fill="F2DCDB"/>
            <w:vAlign w:val="center"/>
          </w:tcPr>
          <w:p w14:paraId="51F81735">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-40</w:t>
            </w:r>
          </w:p>
        </w:tc>
        <w:tc>
          <w:tcPr>
            <w:tcW w:w="1620" w:type="dxa"/>
            <w:tcBorders>
              <w:top w:val="nil"/>
              <w:left w:val="nil"/>
              <w:bottom w:val="single" w:color="auto" w:sz="4" w:space="0"/>
              <w:right w:val="single" w:color="auto" w:sz="4" w:space="0"/>
            </w:tcBorders>
            <w:shd w:val="clear" w:color="000000" w:fill="F2DCDB"/>
            <w:vAlign w:val="center"/>
          </w:tcPr>
          <w:p w14:paraId="359F3EBF">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-40</w:t>
            </w:r>
          </w:p>
        </w:tc>
        <w:tc>
          <w:tcPr>
            <w:tcW w:w="1620" w:type="dxa"/>
            <w:tcBorders>
              <w:top w:val="nil"/>
              <w:left w:val="nil"/>
              <w:bottom w:val="single" w:color="auto" w:sz="4" w:space="0"/>
              <w:right w:val="single" w:color="auto" w:sz="4" w:space="0"/>
            </w:tcBorders>
            <w:shd w:val="clear" w:color="000000" w:fill="F2DCDB"/>
            <w:noWrap/>
            <w:vAlign w:val="bottom"/>
          </w:tcPr>
          <w:p w14:paraId="3936EDD8">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1</w:t>
            </w:r>
          </w:p>
        </w:tc>
        <w:tc>
          <w:tcPr>
            <w:tcW w:w="1980" w:type="dxa"/>
            <w:tcBorders>
              <w:top w:val="nil"/>
              <w:left w:val="nil"/>
              <w:bottom w:val="single" w:color="auto" w:sz="4" w:space="0"/>
              <w:right w:val="single" w:color="auto" w:sz="8" w:space="0"/>
            </w:tcBorders>
            <w:shd w:val="clear" w:color="000000" w:fill="F2DCDB"/>
            <w:noWrap/>
            <w:vAlign w:val="bottom"/>
          </w:tcPr>
          <w:p w14:paraId="0B4F43C0">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 </w:t>
            </w:r>
          </w:p>
        </w:tc>
      </w:tr>
      <w:tr w14:paraId="3C64F33D">
        <w:tblPrEx>
          <w:tblCellMar>
            <w:top w:w="0" w:type="dxa"/>
            <w:left w:w="108" w:type="dxa"/>
            <w:bottom w:w="0" w:type="dxa"/>
            <w:right w:w="108" w:type="dxa"/>
          </w:tblCellMar>
        </w:tblPrEx>
        <w:trPr>
          <w:trHeight w:val="315" w:hRule="atLeast"/>
          <w:jc w:val="center"/>
        </w:trPr>
        <w:tc>
          <w:tcPr>
            <w:tcW w:w="1365" w:type="dxa"/>
            <w:tcBorders>
              <w:top w:val="nil"/>
              <w:left w:val="single" w:color="auto" w:sz="8" w:space="0"/>
              <w:bottom w:val="single" w:color="auto" w:sz="4" w:space="0"/>
              <w:right w:val="single" w:color="auto" w:sz="4" w:space="0"/>
            </w:tcBorders>
            <w:shd w:val="clear" w:color="000000" w:fill="F2DCDB"/>
            <w:vAlign w:val="center"/>
          </w:tcPr>
          <w:p w14:paraId="034AD8B2">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1</w:t>
            </w:r>
          </w:p>
        </w:tc>
        <w:tc>
          <w:tcPr>
            <w:tcW w:w="1530" w:type="dxa"/>
            <w:tcBorders>
              <w:top w:val="nil"/>
              <w:left w:val="nil"/>
              <w:bottom w:val="single" w:color="auto" w:sz="4" w:space="0"/>
              <w:right w:val="single" w:color="auto" w:sz="4" w:space="0"/>
            </w:tcBorders>
            <w:shd w:val="clear" w:color="000000" w:fill="F2DCDB"/>
            <w:vAlign w:val="center"/>
          </w:tcPr>
          <w:p w14:paraId="6967D571">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10</w:t>
            </w:r>
          </w:p>
        </w:tc>
        <w:tc>
          <w:tcPr>
            <w:tcW w:w="1620" w:type="dxa"/>
            <w:tcBorders>
              <w:top w:val="nil"/>
              <w:left w:val="nil"/>
              <w:bottom w:val="single" w:color="auto" w:sz="4" w:space="0"/>
              <w:right w:val="single" w:color="auto" w:sz="4" w:space="0"/>
            </w:tcBorders>
            <w:shd w:val="clear" w:color="000000" w:fill="F2DCDB"/>
            <w:vAlign w:val="center"/>
          </w:tcPr>
          <w:p w14:paraId="4F743368">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-30</w:t>
            </w:r>
          </w:p>
        </w:tc>
        <w:tc>
          <w:tcPr>
            <w:tcW w:w="1620" w:type="dxa"/>
            <w:tcBorders>
              <w:top w:val="nil"/>
              <w:left w:val="nil"/>
              <w:bottom w:val="single" w:color="auto" w:sz="4" w:space="0"/>
              <w:right w:val="single" w:color="auto" w:sz="4" w:space="0"/>
            </w:tcBorders>
            <w:shd w:val="clear" w:color="000000" w:fill="F2DCDB"/>
            <w:noWrap/>
            <w:vAlign w:val="bottom"/>
          </w:tcPr>
          <w:p w14:paraId="37E50814">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0.909090909</w:t>
            </w:r>
          </w:p>
        </w:tc>
        <w:tc>
          <w:tcPr>
            <w:tcW w:w="1980" w:type="dxa"/>
            <w:tcBorders>
              <w:top w:val="nil"/>
              <w:left w:val="nil"/>
              <w:bottom w:val="single" w:color="auto" w:sz="4" w:space="0"/>
              <w:right w:val="single" w:color="auto" w:sz="8" w:space="0"/>
            </w:tcBorders>
            <w:shd w:val="clear" w:color="000000" w:fill="F2DCDB"/>
            <w:noWrap/>
            <w:vAlign w:val="bottom"/>
          </w:tcPr>
          <w:p w14:paraId="6873C54C">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9.090909091</w:t>
            </w:r>
          </w:p>
        </w:tc>
      </w:tr>
      <w:tr w14:paraId="5E3A9734">
        <w:tblPrEx>
          <w:tblCellMar>
            <w:top w:w="0" w:type="dxa"/>
            <w:left w:w="108" w:type="dxa"/>
            <w:bottom w:w="0" w:type="dxa"/>
            <w:right w:w="108" w:type="dxa"/>
          </w:tblCellMar>
        </w:tblPrEx>
        <w:trPr>
          <w:trHeight w:val="315" w:hRule="atLeast"/>
          <w:jc w:val="center"/>
        </w:trPr>
        <w:tc>
          <w:tcPr>
            <w:tcW w:w="1365" w:type="dxa"/>
            <w:tcBorders>
              <w:top w:val="nil"/>
              <w:left w:val="single" w:color="auto" w:sz="8" w:space="0"/>
              <w:bottom w:val="single" w:color="auto" w:sz="4" w:space="0"/>
              <w:right w:val="single" w:color="auto" w:sz="4" w:space="0"/>
            </w:tcBorders>
            <w:shd w:val="clear" w:color="000000" w:fill="F2DCDB"/>
            <w:vAlign w:val="center"/>
          </w:tcPr>
          <w:p w14:paraId="07D443F4">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2</w:t>
            </w:r>
          </w:p>
        </w:tc>
        <w:tc>
          <w:tcPr>
            <w:tcW w:w="1530" w:type="dxa"/>
            <w:tcBorders>
              <w:top w:val="nil"/>
              <w:left w:val="nil"/>
              <w:bottom w:val="single" w:color="auto" w:sz="4" w:space="0"/>
              <w:right w:val="single" w:color="auto" w:sz="4" w:space="0"/>
            </w:tcBorders>
            <w:shd w:val="clear" w:color="000000" w:fill="F2DCDB"/>
            <w:vAlign w:val="center"/>
          </w:tcPr>
          <w:p w14:paraId="753FA47B">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12</w:t>
            </w:r>
          </w:p>
        </w:tc>
        <w:tc>
          <w:tcPr>
            <w:tcW w:w="1620" w:type="dxa"/>
            <w:tcBorders>
              <w:top w:val="nil"/>
              <w:left w:val="nil"/>
              <w:bottom w:val="single" w:color="auto" w:sz="4" w:space="0"/>
              <w:right w:val="single" w:color="auto" w:sz="4" w:space="0"/>
            </w:tcBorders>
            <w:shd w:val="clear" w:color="000000" w:fill="F2DCDB"/>
            <w:vAlign w:val="center"/>
          </w:tcPr>
          <w:p w14:paraId="2595EF68">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-18</w:t>
            </w:r>
          </w:p>
        </w:tc>
        <w:tc>
          <w:tcPr>
            <w:tcW w:w="1620" w:type="dxa"/>
            <w:tcBorders>
              <w:top w:val="nil"/>
              <w:left w:val="nil"/>
              <w:bottom w:val="single" w:color="auto" w:sz="4" w:space="0"/>
              <w:right w:val="single" w:color="auto" w:sz="4" w:space="0"/>
            </w:tcBorders>
            <w:shd w:val="clear" w:color="000000" w:fill="F2DCDB"/>
            <w:noWrap/>
            <w:vAlign w:val="bottom"/>
          </w:tcPr>
          <w:p w14:paraId="040E31D7">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0.826446281</w:t>
            </w:r>
          </w:p>
        </w:tc>
        <w:tc>
          <w:tcPr>
            <w:tcW w:w="1980" w:type="dxa"/>
            <w:tcBorders>
              <w:top w:val="nil"/>
              <w:left w:val="nil"/>
              <w:bottom w:val="single" w:color="auto" w:sz="4" w:space="0"/>
              <w:right w:val="single" w:color="auto" w:sz="8" w:space="0"/>
            </w:tcBorders>
            <w:shd w:val="clear" w:color="000000" w:fill="F2DCDB"/>
            <w:noWrap/>
            <w:vAlign w:val="bottom"/>
          </w:tcPr>
          <w:p w14:paraId="2F9ABC67">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9.917355372</w:t>
            </w:r>
          </w:p>
        </w:tc>
      </w:tr>
      <w:tr w14:paraId="1C36BFB6">
        <w:tblPrEx>
          <w:tblCellMar>
            <w:top w:w="0" w:type="dxa"/>
            <w:left w:w="108" w:type="dxa"/>
            <w:bottom w:w="0" w:type="dxa"/>
            <w:right w:w="108" w:type="dxa"/>
          </w:tblCellMar>
        </w:tblPrEx>
        <w:trPr>
          <w:trHeight w:val="315" w:hRule="atLeast"/>
          <w:jc w:val="center"/>
        </w:trPr>
        <w:tc>
          <w:tcPr>
            <w:tcW w:w="1365" w:type="dxa"/>
            <w:tcBorders>
              <w:top w:val="nil"/>
              <w:left w:val="single" w:color="auto" w:sz="8" w:space="0"/>
              <w:bottom w:val="single" w:color="auto" w:sz="4" w:space="0"/>
              <w:right w:val="single" w:color="auto" w:sz="4" w:space="0"/>
            </w:tcBorders>
            <w:shd w:val="clear" w:color="000000" w:fill="F2DCDB"/>
            <w:vAlign w:val="center"/>
          </w:tcPr>
          <w:p w14:paraId="08C7934A">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3</w:t>
            </w:r>
          </w:p>
        </w:tc>
        <w:tc>
          <w:tcPr>
            <w:tcW w:w="1530" w:type="dxa"/>
            <w:tcBorders>
              <w:top w:val="nil"/>
              <w:left w:val="nil"/>
              <w:bottom w:val="single" w:color="auto" w:sz="4" w:space="0"/>
              <w:right w:val="single" w:color="auto" w:sz="4" w:space="0"/>
            </w:tcBorders>
            <w:shd w:val="clear" w:color="000000" w:fill="F2DCDB"/>
            <w:vAlign w:val="center"/>
          </w:tcPr>
          <w:p w14:paraId="6B6A38D9">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14</w:t>
            </w:r>
          </w:p>
        </w:tc>
        <w:tc>
          <w:tcPr>
            <w:tcW w:w="1620" w:type="dxa"/>
            <w:tcBorders>
              <w:top w:val="nil"/>
              <w:left w:val="nil"/>
              <w:bottom w:val="single" w:color="auto" w:sz="4" w:space="0"/>
              <w:right w:val="single" w:color="auto" w:sz="4" w:space="0"/>
            </w:tcBorders>
            <w:shd w:val="clear" w:color="000000" w:fill="F2DCDB"/>
            <w:vAlign w:val="center"/>
          </w:tcPr>
          <w:p w14:paraId="6513DB29">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-4</w:t>
            </w:r>
          </w:p>
        </w:tc>
        <w:tc>
          <w:tcPr>
            <w:tcW w:w="1620" w:type="dxa"/>
            <w:tcBorders>
              <w:top w:val="nil"/>
              <w:left w:val="nil"/>
              <w:bottom w:val="single" w:color="auto" w:sz="4" w:space="0"/>
              <w:right w:val="single" w:color="auto" w:sz="4" w:space="0"/>
            </w:tcBorders>
            <w:shd w:val="clear" w:color="000000" w:fill="F2DCDB"/>
            <w:noWrap/>
            <w:vAlign w:val="bottom"/>
          </w:tcPr>
          <w:p w14:paraId="45CB972D">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0.751314801</w:t>
            </w:r>
          </w:p>
        </w:tc>
        <w:tc>
          <w:tcPr>
            <w:tcW w:w="1980" w:type="dxa"/>
            <w:tcBorders>
              <w:top w:val="nil"/>
              <w:left w:val="nil"/>
              <w:bottom w:val="single" w:color="auto" w:sz="4" w:space="0"/>
              <w:right w:val="single" w:color="auto" w:sz="8" w:space="0"/>
            </w:tcBorders>
            <w:shd w:val="clear" w:color="000000" w:fill="F2DCDB"/>
            <w:noWrap/>
            <w:vAlign w:val="bottom"/>
          </w:tcPr>
          <w:p w14:paraId="2E7366AD">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10.51840721</w:t>
            </w:r>
          </w:p>
        </w:tc>
      </w:tr>
      <w:tr w14:paraId="0C4D5C48">
        <w:tblPrEx>
          <w:tblCellMar>
            <w:top w:w="0" w:type="dxa"/>
            <w:left w:w="108" w:type="dxa"/>
            <w:bottom w:w="0" w:type="dxa"/>
            <w:right w:w="108" w:type="dxa"/>
          </w:tblCellMar>
        </w:tblPrEx>
        <w:trPr>
          <w:trHeight w:val="315" w:hRule="atLeast"/>
          <w:jc w:val="center"/>
        </w:trPr>
        <w:tc>
          <w:tcPr>
            <w:tcW w:w="1365" w:type="dxa"/>
            <w:tcBorders>
              <w:top w:val="nil"/>
              <w:left w:val="single" w:color="auto" w:sz="8" w:space="0"/>
              <w:bottom w:val="single" w:color="auto" w:sz="4" w:space="0"/>
              <w:right w:val="single" w:color="auto" w:sz="4" w:space="0"/>
            </w:tcBorders>
            <w:shd w:val="clear" w:color="000000" w:fill="F2DCDB"/>
            <w:vAlign w:val="center"/>
          </w:tcPr>
          <w:p w14:paraId="7B6559D1">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4</w:t>
            </w:r>
          </w:p>
        </w:tc>
        <w:tc>
          <w:tcPr>
            <w:tcW w:w="1530" w:type="dxa"/>
            <w:tcBorders>
              <w:top w:val="nil"/>
              <w:left w:val="nil"/>
              <w:bottom w:val="single" w:color="auto" w:sz="4" w:space="0"/>
              <w:right w:val="single" w:color="auto" w:sz="4" w:space="0"/>
            </w:tcBorders>
            <w:shd w:val="clear" w:color="000000" w:fill="F2DCDB"/>
            <w:vAlign w:val="center"/>
          </w:tcPr>
          <w:p w14:paraId="7A33A9AC">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10</w:t>
            </w:r>
          </w:p>
        </w:tc>
        <w:tc>
          <w:tcPr>
            <w:tcW w:w="1620" w:type="dxa"/>
            <w:tcBorders>
              <w:top w:val="nil"/>
              <w:left w:val="nil"/>
              <w:bottom w:val="single" w:color="auto" w:sz="4" w:space="0"/>
              <w:right w:val="single" w:color="auto" w:sz="4" w:space="0"/>
            </w:tcBorders>
            <w:shd w:val="clear" w:color="000000" w:fill="F2DCDB"/>
            <w:vAlign w:val="center"/>
          </w:tcPr>
          <w:p w14:paraId="2B012A57">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6</w:t>
            </w:r>
          </w:p>
        </w:tc>
        <w:tc>
          <w:tcPr>
            <w:tcW w:w="1620" w:type="dxa"/>
            <w:tcBorders>
              <w:top w:val="nil"/>
              <w:left w:val="nil"/>
              <w:bottom w:val="single" w:color="auto" w:sz="4" w:space="0"/>
              <w:right w:val="single" w:color="auto" w:sz="4" w:space="0"/>
            </w:tcBorders>
            <w:shd w:val="clear" w:color="000000" w:fill="F2DCDB"/>
            <w:noWrap/>
            <w:vAlign w:val="bottom"/>
          </w:tcPr>
          <w:p w14:paraId="66C21303">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0.683013455</w:t>
            </w:r>
          </w:p>
        </w:tc>
        <w:tc>
          <w:tcPr>
            <w:tcW w:w="1980" w:type="dxa"/>
            <w:tcBorders>
              <w:top w:val="nil"/>
              <w:left w:val="nil"/>
              <w:bottom w:val="single" w:color="auto" w:sz="4" w:space="0"/>
              <w:right w:val="single" w:color="auto" w:sz="8" w:space="0"/>
            </w:tcBorders>
            <w:shd w:val="clear" w:color="000000" w:fill="F2DCDB"/>
            <w:noWrap/>
            <w:vAlign w:val="bottom"/>
          </w:tcPr>
          <w:p w14:paraId="3E6037E7">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6.830134554</w:t>
            </w:r>
          </w:p>
        </w:tc>
      </w:tr>
      <w:tr w14:paraId="4719AEDB">
        <w:tblPrEx>
          <w:tblCellMar>
            <w:top w:w="0" w:type="dxa"/>
            <w:left w:w="108" w:type="dxa"/>
            <w:bottom w:w="0" w:type="dxa"/>
            <w:right w:w="108" w:type="dxa"/>
          </w:tblCellMar>
        </w:tblPrEx>
        <w:trPr>
          <w:trHeight w:val="315" w:hRule="atLeast"/>
          <w:jc w:val="center"/>
        </w:trPr>
        <w:tc>
          <w:tcPr>
            <w:tcW w:w="1365" w:type="dxa"/>
            <w:tcBorders>
              <w:top w:val="nil"/>
              <w:left w:val="single" w:color="auto" w:sz="8" w:space="0"/>
              <w:bottom w:val="nil"/>
              <w:right w:val="single" w:color="auto" w:sz="4" w:space="0"/>
            </w:tcBorders>
            <w:shd w:val="clear" w:color="000000" w:fill="F2DCDB"/>
            <w:vAlign w:val="center"/>
          </w:tcPr>
          <w:p w14:paraId="0ED9F4F3">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5</w:t>
            </w:r>
          </w:p>
        </w:tc>
        <w:tc>
          <w:tcPr>
            <w:tcW w:w="1530" w:type="dxa"/>
            <w:tcBorders>
              <w:top w:val="nil"/>
              <w:left w:val="nil"/>
              <w:bottom w:val="nil"/>
              <w:right w:val="single" w:color="auto" w:sz="4" w:space="0"/>
            </w:tcBorders>
            <w:shd w:val="clear" w:color="000000" w:fill="F2DCDB"/>
            <w:vAlign w:val="center"/>
          </w:tcPr>
          <w:p w14:paraId="5A96C9FE">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8</w:t>
            </w:r>
          </w:p>
        </w:tc>
        <w:tc>
          <w:tcPr>
            <w:tcW w:w="1620" w:type="dxa"/>
            <w:tcBorders>
              <w:top w:val="nil"/>
              <w:left w:val="nil"/>
              <w:bottom w:val="nil"/>
              <w:right w:val="single" w:color="auto" w:sz="4" w:space="0"/>
            </w:tcBorders>
            <w:shd w:val="clear" w:color="000000" w:fill="F2DCDB"/>
            <w:vAlign w:val="center"/>
          </w:tcPr>
          <w:p w14:paraId="65D00C8F">
            <w:pPr>
              <w:spacing w:after="0" w:line="240" w:lineRule="auto"/>
              <w:jc w:val="left"/>
              <w:rPr>
                <w:rFonts w:ascii="Times New Roman" w:hAnsi="Times New Roman" w:eastAsia="Times New Roman" w:cs="Times New Roman"/>
                <w:b/>
                <w:bCs/>
                <w:szCs w:val="24"/>
                <w:lang w:bidi="ar-SA"/>
              </w:rPr>
            </w:pPr>
            <w:r>
              <w:rPr>
                <w:rFonts w:ascii="Times New Roman" w:hAnsi="Times New Roman" w:eastAsia="Times New Roman" w:cs="Times New Roman"/>
                <w:b/>
                <w:bCs/>
                <w:szCs w:val="24"/>
                <w:lang w:bidi="ar-SA"/>
              </w:rPr>
              <w:t>14</w:t>
            </w:r>
          </w:p>
        </w:tc>
        <w:tc>
          <w:tcPr>
            <w:tcW w:w="1620" w:type="dxa"/>
            <w:tcBorders>
              <w:top w:val="nil"/>
              <w:left w:val="nil"/>
              <w:bottom w:val="nil"/>
              <w:right w:val="single" w:color="auto" w:sz="4" w:space="0"/>
            </w:tcBorders>
            <w:shd w:val="clear" w:color="000000" w:fill="F2DCDB"/>
            <w:noWrap/>
            <w:vAlign w:val="bottom"/>
          </w:tcPr>
          <w:p w14:paraId="797EAA61">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0.620921323</w:t>
            </w:r>
          </w:p>
        </w:tc>
        <w:tc>
          <w:tcPr>
            <w:tcW w:w="1980" w:type="dxa"/>
            <w:tcBorders>
              <w:top w:val="nil"/>
              <w:left w:val="nil"/>
              <w:bottom w:val="nil"/>
              <w:right w:val="single" w:color="auto" w:sz="8" w:space="0"/>
            </w:tcBorders>
            <w:shd w:val="clear" w:color="000000" w:fill="F2DCDB"/>
            <w:noWrap/>
            <w:vAlign w:val="bottom"/>
          </w:tcPr>
          <w:p w14:paraId="0B5B42AD">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4.967370584</w:t>
            </w:r>
          </w:p>
        </w:tc>
      </w:tr>
      <w:tr w14:paraId="539E241A">
        <w:tblPrEx>
          <w:tblCellMar>
            <w:top w:w="0" w:type="dxa"/>
            <w:left w:w="108" w:type="dxa"/>
            <w:bottom w:w="0" w:type="dxa"/>
            <w:right w:w="108" w:type="dxa"/>
          </w:tblCellMar>
        </w:tblPrEx>
        <w:trPr>
          <w:trHeight w:val="315" w:hRule="atLeast"/>
          <w:jc w:val="center"/>
        </w:trPr>
        <w:tc>
          <w:tcPr>
            <w:tcW w:w="1365" w:type="dxa"/>
            <w:tcBorders>
              <w:top w:val="nil"/>
              <w:left w:val="single" w:color="auto" w:sz="8" w:space="0"/>
              <w:bottom w:val="single" w:color="auto" w:sz="4" w:space="0"/>
              <w:right w:val="single" w:color="auto" w:sz="4" w:space="0"/>
            </w:tcBorders>
            <w:shd w:val="clear" w:color="000000" w:fill="F2DCDB"/>
            <w:vAlign w:val="center"/>
          </w:tcPr>
          <w:p w14:paraId="0B148822">
            <w:pPr>
              <w:spacing w:after="0" w:line="240" w:lineRule="auto"/>
              <w:jc w:val="left"/>
              <w:rPr>
                <w:rFonts w:ascii="Times New Roman" w:hAnsi="Times New Roman" w:eastAsia="Times New Roman" w:cs="Times New Roman"/>
                <w:b/>
                <w:bCs/>
                <w:szCs w:val="24"/>
                <w:lang w:bidi="ar-SA"/>
              </w:rPr>
            </w:pPr>
          </w:p>
        </w:tc>
        <w:tc>
          <w:tcPr>
            <w:tcW w:w="1530" w:type="dxa"/>
            <w:tcBorders>
              <w:top w:val="nil"/>
              <w:left w:val="nil"/>
              <w:bottom w:val="single" w:color="auto" w:sz="4" w:space="0"/>
              <w:right w:val="single" w:color="auto" w:sz="4" w:space="0"/>
            </w:tcBorders>
            <w:shd w:val="clear" w:color="000000" w:fill="F2DCDB"/>
            <w:vAlign w:val="center"/>
          </w:tcPr>
          <w:p w14:paraId="2DB73C39">
            <w:pPr>
              <w:spacing w:after="0" w:line="240" w:lineRule="auto"/>
              <w:jc w:val="left"/>
              <w:rPr>
                <w:rFonts w:ascii="Times New Roman" w:hAnsi="Times New Roman" w:eastAsia="Times New Roman" w:cs="Times New Roman"/>
                <w:b/>
                <w:bCs/>
                <w:szCs w:val="24"/>
                <w:lang w:bidi="ar-SA"/>
              </w:rPr>
            </w:pPr>
          </w:p>
        </w:tc>
        <w:tc>
          <w:tcPr>
            <w:tcW w:w="1620" w:type="dxa"/>
            <w:tcBorders>
              <w:top w:val="nil"/>
              <w:left w:val="nil"/>
              <w:bottom w:val="single" w:color="auto" w:sz="4" w:space="0"/>
              <w:right w:val="single" w:color="auto" w:sz="4" w:space="0"/>
            </w:tcBorders>
            <w:shd w:val="clear" w:color="000000" w:fill="F2DCDB"/>
            <w:vAlign w:val="center"/>
          </w:tcPr>
          <w:p w14:paraId="698E0F33">
            <w:pPr>
              <w:spacing w:after="0" w:line="240" w:lineRule="auto"/>
              <w:jc w:val="left"/>
              <w:rPr>
                <w:rFonts w:ascii="Times New Roman" w:hAnsi="Times New Roman" w:eastAsia="Times New Roman" w:cs="Times New Roman"/>
                <w:b/>
                <w:bCs/>
                <w:szCs w:val="24"/>
                <w:lang w:bidi="ar-SA"/>
              </w:rPr>
            </w:pPr>
          </w:p>
        </w:tc>
        <w:tc>
          <w:tcPr>
            <w:tcW w:w="1620" w:type="dxa"/>
            <w:tcBorders>
              <w:top w:val="nil"/>
              <w:left w:val="nil"/>
              <w:bottom w:val="single" w:color="auto" w:sz="4" w:space="0"/>
              <w:right w:val="single" w:color="auto" w:sz="4" w:space="0"/>
            </w:tcBorders>
            <w:shd w:val="clear" w:color="000000" w:fill="F2DCDB"/>
            <w:noWrap/>
            <w:vAlign w:val="bottom"/>
          </w:tcPr>
          <w:p w14:paraId="09EA1616">
            <w:pPr>
              <w:spacing w:after="0" w:line="240" w:lineRule="auto"/>
              <w:jc w:val="right"/>
              <w:rPr>
                <w:rFonts w:ascii="Calibri" w:hAnsi="Calibri" w:eastAsia="Times New Roman" w:cs="Calibri"/>
                <w:sz w:val="22"/>
                <w:szCs w:val="22"/>
                <w:lang w:bidi="ar-SA"/>
              </w:rPr>
            </w:pPr>
          </w:p>
        </w:tc>
        <w:tc>
          <w:tcPr>
            <w:tcW w:w="1980" w:type="dxa"/>
            <w:tcBorders>
              <w:top w:val="nil"/>
              <w:left w:val="nil"/>
              <w:bottom w:val="single" w:color="auto" w:sz="4" w:space="0"/>
              <w:right w:val="single" w:color="auto" w:sz="8" w:space="0"/>
            </w:tcBorders>
            <w:shd w:val="clear" w:color="000000" w:fill="F2DCDB"/>
            <w:noWrap/>
            <w:vAlign w:val="bottom"/>
          </w:tcPr>
          <w:p w14:paraId="745DF573">
            <w:pPr>
              <w:spacing w:after="0" w:line="240" w:lineRule="auto"/>
              <w:jc w:val="right"/>
              <w:rPr>
                <w:rFonts w:ascii="Calibri" w:hAnsi="Calibri" w:eastAsia="Times New Roman" w:cs="Calibri"/>
                <w:sz w:val="22"/>
                <w:szCs w:val="22"/>
                <w:lang w:bidi="ar-SA"/>
              </w:rPr>
            </w:pPr>
          </w:p>
        </w:tc>
      </w:tr>
    </w:tbl>
    <w:p w14:paraId="422A35F1">
      <w:pPr>
        <w:spacing w:line="276" w:lineRule="auto"/>
        <w:jc w:val="left"/>
        <w:rPr>
          <w:lang w:bidi="ar-SA"/>
        </w:rPr>
      </w:pPr>
    </w:p>
    <w:p w14:paraId="1F534641">
      <w:pPr>
        <w:spacing w:line="276" w:lineRule="auto"/>
        <w:jc w:val="left"/>
        <w:rPr>
          <w:lang w:bidi="ar-SA"/>
        </w:rPr>
      </w:pPr>
    </w:p>
    <w:p w14:paraId="58BAE23C">
      <w:pPr>
        <w:spacing w:line="276" w:lineRule="auto"/>
        <w:jc w:val="left"/>
        <w:rPr>
          <w:lang w:bidi="ar-SA"/>
        </w:rPr>
      </w:pPr>
    </w:p>
    <w:p w14:paraId="572EF210">
      <w:pPr>
        <w:pStyle w:val="10"/>
        <w:keepNext/>
        <w:jc w:val="center"/>
        <w:rPr>
          <w:i/>
          <w:color w:val="auto"/>
          <w:szCs w:val="18"/>
        </w:rPr>
      </w:pPr>
      <w:r>
        <w:rPr>
          <w:i/>
          <w:color w:val="auto"/>
          <w:szCs w:val="18"/>
        </w:rPr>
        <w:t xml:space="preserve">Table </w:t>
      </w:r>
      <w:r>
        <w:rPr>
          <w:i/>
          <w:color w:val="auto"/>
          <w:szCs w:val="18"/>
        </w:rPr>
        <w:fldChar w:fldCharType="begin"/>
      </w:r>
      <w:r>
        <w:rPr>
          <w:i/>
          <w:color w:val="auto"/>
          <w:szCs w:val="18"/>
        </w:rPr>
        <w:instrText xml:space="preserve"> SEQ Table \* ARABIC </w:instrText>
      </w:r>
      <w:r>
        <w:rPr>
          <w:i/>
          <w:color w:val="auto"/>
          <w:szCs w:val="18"/>
        </w:rPr>
        <w:fldChar w:fldCharType="separate"/>
      </w:r>
      <w:r>
        <w:rPr>
          <w:i/>
          <w:color w:val="auto"/>
          <w:szCs w:val="18"/>
        </w:rPr>
        <w:t>4</w:t>
      </w:r>
      <w:r>
        <w:rPr>
          <w:i/>
          <w:color w:val="auto"/>
          <w:szCs w:val="18"/>
        </w:rPr>
        <w:fldChar w:fldCharType="end"/>
      </w:r>
      <w:r>
        <w:rPr>
          <w:i/>
          <w:color w:val="auto"/>
          <w:szCs w:val="18"/>
        </w:rPr>
        <w:t>: Investment Evaluation Metrics (Author)</w:t>
      </w:r>
    </w:p>
    <w:tbl>
      <w:tblPr>
        <w:tblStyle w:val="8"/>
        <w:tblW w:w="5865" w:type="dxa"/>
        <w:jc w:val="center"/>
        <w:tblLayout w:type="autofit"/>
        <w:tblCellMar>
          <w:top w:w="0" w:type="dxa"/>
          <w:left w:w="108" w:type="dxa"/>
          <w:bottom w:w="0" w:type="dxa"/>
          <w:right w:w="108" w:type="dxa"/>
        </w:tblCellMar>
      </w:tblPr>
      <w:tblGrid>
        <w:gridCol w:w="2805"/>
        <w:gridCol w:w="3060"/>
      </w:tblGrid>
      <w:tr w14:paraId="2C5E7767">
        <w:tblPrEx>
          <w:tblCellMar>
            <w:top w:w="0" w:type="dxa"/>
            <w:left w:w="108" w:type="dxa"/>
            <w:bottom w:w="0" w:type="dxa"/>
            <w:right w:w="108" w:type="dxa"/>
          </w:tblCellMar>
        </w:tblPrEx>
        <w:trPr>
          <w:trHeight w:val="300" w:hRule="atLeast"/>
          <w:jc w:val="center"/>
        </w:trPr>
        <w:tc>
          <w:tcPr>
            <w:tcW w:w="2805" w:type="dxa"/>
            <w:tcBorders>
              <w:top w:val="single" w:color="auto" w:sz="4" w:space="0"/>
              <w:left w:val="single" w:color="auto" w:sz="4" w:space="0"/>
              <w:bottom w:val="single" w:color="auto" w:sz="4" w:space="0"/>
              <w:right w:val="single" w:color="auto" w:sz="4" w:space="0"/>
            </w:tcBorders>
            <w:shd w:val="clear" w:color="000000" w:fill="E6B8B7"/>
            <w:noWrap/>
            <w:vAlign w:val="bottom"/>
          </w:tcPr>
          <w:p w14:paraId="7EB80E59">
            <w:pPr>
              <w:rPr>
                <w:sz w:val="20"/>
              </w:rPr>
            </w:pPr>
            <w:r>
              <w:rPr>
                <w:sz w:val="20"/>
              </w:rPr>
              <w:t> </w:t>
            </w:r>
          </w:p>
        </w:tc>
        <w:tc>
          <w:tcPr>
            <w:tcW w:w="3060" w:type="dxa"/>
            <w:tcBorders>
              <w:top w:val="single" w:color="auto" w:sz="4" w:space="0"/>
              <w:left w:val="nil"/>
              <w:bottom w:val="single" w:color="auto" w:sz="4" w:space="0"/>
              <w:right w:val="single" w:color="auto" w:sz="4" w:space="0"/>
            </w:tcBorders>
            <w:shd w:val="clear" w:color="000000" w:fill="E6B8B7"/>
            <w:noWrap/>
            <w:vAlign w:val="bottom"/>
          </w:tcPr>
          <w:p w14:paraId="760B58E6">
            <w:pPr>
              <w:rPr>
                <w:sz w:val="20"/>
              </w:rPr>
            </w:pPr>
            <w:r>
              <w:rPr>
                <w:sz w:val="20"/>
              </w:rPr>
              <w:t> </w:t>
            </w:r>
          </w:p>
        </w:tc>
      </w:tr>
      <w:tr w14:paraId="6EE958F6">
        <w:tblPrEx>
          <w:tblCellMar>
            <w:top w:w="0" w:type="dxa"/>
            <w:left w:w="108" w:type="dxa"/>
            <w:bottom w:w="0" w:type="dxa"/>
            <w:right w:w="108" w:type="dxa"/>
          </w:tblCellMar>
        </w:tblPrEx>
        <w:trPr>
          <w:trHeight w:val="315" w:hRule="atLeast"/>
          <w:jc w:val="center"/>
        </w:trPr>
        <w:tc>
          <w:tcPr>
            <w:tcW w:w="2805" w:type="dxa"/>
            <w:tcBorders>
              <w:top w:val="nil"/>
              <w:left w:val="single" w:color="auto" w:sz="4" w:space="0"/>
              <w:bottom w:val="single" w:color="auto" w:sz="4" w:space="0"/>
              <w:right w:val="single" w:color="auto" w:sz="4" w:space="0"/>
            </w:tcBorders>
            <w:shd w:val="clear" w:color="000000" w:fill="E6B8B7"/>
            <w:noWrap/>
            <w:vAlign w:val="bottom"/>
          </w:tcPr>
          <w:p w14:paraId="3F176A08">
            <w:pPr>
              <w:rPr>
                <w:sz w:val="20"/>
              </w:rPr>
            </w:pPr>
            <w:r>
              <w:rPr>
                <w:sz w:val="20"/>
              </w:rPr>
              <w:t>PV</w:t>
            </w:r>
          </w:p>
        </w:tc>
        <w:tc>
          <w:tcPr>
            <w:tcW w:w="3060" w:type="dxa"/>
            <w:tcBorders>
              <w:top w:val="nil"/>
              <w:left w:val="nil"/>
              <w:bottom w:val="single" w:color="auto" w:sz="4" w:space="0"/>
              <w:right w:val="single" w:color="auto" w:sz="4" w:space="0"/>
            </w:tcBorders>
            <w:shd w:val="clear" w:color="000000" w:fill="E6B8B7"/>
            <w:noWrap/>
            <w:vAlign w:val="bottom"/>
          </w:tcPr>
          <w:p w14:paraId="004B96EB">
            <w:pPr>
              <w:rPr>
                <w:sz w:val="20"/>
              </w:rPr>
            </w:pPr>
            <w:r>
              <w:rPr>
                <w:sz w:val="20"/>
              </w:rPr>
              <w:t>41.32417681</w:t>
            </w:r>
          </w:p>
        </w:tc>
      </w:tr>
      <w:tr w14:paraId="38764C06">
        <w:tblPrEx>
          <w:tblCellMar>
            <w:top w:w="0" w:type="dxa"/>
            <w:left w:w="108" w:type="dxa"/>
            <w:bottom w:w="0" w:type="dxa"/>
            <w:right w:w="108" w:type="dxa"/>
          </w:tblCellMar>
        </w:tblPrEx>
        <w:trPr>
          <w:trHeight w:val="300" w:hRule="atLeast"/>
          <w:jc w:val="center"/>
        </w:trPr>
        <w:tc>
          <w:tcPr>
            <w:tcW w:w="2805" w:type="dxa"/>
            <w:tcBorders>
              <w:top w:val="nil"/>
              <w:left w:val="single" w:color="auto" w:sz="4" w:space="0"/>
              <w:bottom w:val="single" w:color="auto" w:sz="4" w:space="0"/>
              <w:right w:val="single" w:color="auto" w:sz="4" w:space="0"/>
            </w:tcBorders>
            <w:shd w:val="clear" w:color="000000" w:fill="E6B8B7"/>
            <w:noWrap/>
            <w:vAlign w:val="bottom"/>
          </w:tcPr>
          <w:p w14:paraId="0906B9ED">
            <w:pPr>
              <w:rPr>
                <w:sz w:val="20"/>
              </w:rPr>
            </w:pPr>
            <w:r>
              <w:rPr>
                <w:sz w:val="20"/>
              </w:rPr>
              <w:t>Outlay</w:t>
            </w:r>
          </w:p>
        </w:tc>
        <w:tc>
          <w:tcPr>
            <w:tcW w:w="3060" w:type="dxa"/>
            <w:tcBorders>
              <w:top w:val="nil"/>
              <w:left w:val="nil"/>
              <w:bottom w:val="single" w:color="auto" w:sz="4" w:space="0"/>
              <w:right w:val="single" w:color="auto" w:sz="4" w:space="0"/>
            </w:tcBorders>
            <w:shd w:val="clear" w:color="000000" w:fill="E6B8B7"/>
            <w:noWrap/>
            <w:vAlign w:val="bottom"/>
          </w:tcPr>
          <w:p w14:paraId="621771D1">
            <w:pPr>
              <w:rPr>
                <w:sz w:val="20"/>
              </w:rPr>
            </w:pPr>
            <w:r>
              <w:rPr>
                <w:sz w:val="20"/>
              </w:rPr>
              <w:t>40</w:t>
            </w:r>
          </w:p>
        </w:tc>
      </w:tr>
      <w:tr w14:paraId="15FDFB8B">
        <w:tblPrEx>
          <w:tblCellMar>
            <w:top w:w="0" w:type="dxa"/>
            <w:left w:w="108" w:type="dxa"/>
            <w:bottom w:w="0" w:type="dxa"/>
            <w:right w:w="108" w:type="dxa"/>
          </w:tblCellMar>
        </w:tblPrEx>
        <w:trPr>
          <w:trHeight w:val="300" w:hRule="atLeast"/>
          <w:jc w:val="center"/>
        </w:trPr>
        <w:tc>
          <w:tcPr>
            <w:tcW w:w="2805" w:type="dxa"/>
            <w:tcBorders>
              <w:top w:val="nil"/>
              <w:left w:val="single" w:color="auto" w:sz="4" w:space="0"/>
              <w:bottom w:val="single" w:color="auto" w:sz="4" w:space="0"/>
              <w:right w:val="single" w:color="auto" w:sz="4" w:space="0"/>
            </w:tcBorders>
            <w:shd w:val="clear" w:color="000000" w:fill="E6B8B7"/>
            <w:noWrap/>
            <w:vAlign w:val="bottom"/>
          </w:tcPr>
          <w:p w14:paraId="2D4F47A4">
            <w:pPr>
              <w:rPr>
                <w:sz w:val="20"/>
              </w:rPr>
            </w:pPr>
            <w:r>
              <w:rPr>
                <w:sz w:val="20"/>
              </w:rPr>
              <w:t>NPV</w:t>
            </w:r>
          </w:p>
        </w:tc>
        <w:tc>
          <w:tcPr>
            <w:tcW w:w="3060" w:type="dxa"/>
            <w:tcBorders>
              <w:top w:val="nil"/>
              <w:left w:val="nil"/>
              <w:bottom w:val="single" w:color="auto" w:sz="4" w:space="0"/>
              <w:right w:val="single" w:color="auto" w:sz="4" w:space="0"/>
            </w:tcBorders>
            <w:shd w:val="clear" w:color="000000" w:fill="E6B8B7"/>
            <w:noWrap/>
            <w:vAlign w:val="bottom"/>
          </w:tcPr>
          <w:p w14:paraId="557C20AA">
            <w:pPr>
              <w:rPr>
                <w:sz w:val="20"/>
              </w:rPr>
            </w:pPr>
            <w:r>
              <w:rPr>
                <w:sz w:val="20"/>
              </w:rPr>
              <w:t>1.324176814</w:t>
            </w:r>
          </w:p>
        </w:tc>
      </w:tr>
      <w:tr w14:paraId="7B26BB14">
        <w:tblPrEx>
          <w:tblCellMar>
            <w:top w:w="0" w:type="dxa"/>
            <w:left w:w="108" w:type="dxa"/>
            <w:bottom w:w="0" w:type="dxa"/>
            <w:right w:w="108" w:type="dxa"/>
          </w:tblCellMar>
        </w:tblPrEx>
        <w:trPr>
          <w:trHeight w:val="315" w:hRule="atLeast"/>
          <w:jc w:val="center"/>
        </w:trPr>
        <w:tc>
          <w:tcPr>
            <w:tcW w:w="2805" w:type="dxa"/>
            <w:tcBorders>
              <w:top w:val="nil"/>
              <w:left w:val="single" w:color="auto" w:sz="4" w:space="0"/>
              <w:bottom w:val="single" w:color="auto" w:sz="4" w:space="0"/>
              <w:right w:val="single" w:color="auto" w:sz="4" w:space="0"/>
            </w:tcBorders>
            <w:shd w:val="clear" w:color="000000" w:fill="E6B8B7"/>
            <w:noWrap/>
            <w:vAlign w:val="bottom"/>
          </w:tcPr>
          <w:p w14:paraId="4BA7B88C">
            <w:pPr>
              <w:rPr>
                <w:sz w:val="20"/>
              </w:rPr>
            </w:pPr>
            <w:r>
              <w:rPr>
                <w:sz w:val="20"/>
              </w:rPr>
              <w:t>IRR</w:t>
            </w:r>
          </w:p>
        </w:tc>
        <w:tc>
          <w:tcPr>
            <w:tcW w:w="3060" w:type="dxa"/>
            <w:tcBorders>
              <w:top w:val="nil"/>
              <w:left w:val="nil"/>
              <w:bottom w:val="single" w:color="auto" w:sz="4" w:space="0"/>
              <w:right w:val="single" w:color="auto" w:sz="4" w:space="0"/>
            </w:tcBorders>
            <w:shd w:val="clear" w:color="000000" w:fill="E6B8B7"/>
            <w:noWrap/>
            <w:vAlign w:val="bottom"/>
          </w:tcPr>
          <w:p w14:paraId="7C5F9D69">
            <w:pPr>
              <w:rPr>
                <w:sz w:val="20"/>
              </w:rPr>
            </w:pPr>
            <w:r>
              <w:rPr>
                <w:sz w:val="20"/>
              </w:rPr>
              <w:t>11.33%</w:t>
            </w:r>
          </w:p>
        </w:tc>
      </w:tr>
      <w:tr w14:paraId="18A3926F">
        <w:tblPrEx>
          <w:tblCellMar>
            <w:top w:w="0" w:type="dxa"/>
            <w:left w:w="108" w:type="dxa"/>
            <w:bottom w:w="0" w:type="dxa"/>
            <w:right w:w="108" w:type="dxa"/>
          </w:tblCellMar>
        </w:tblPrEx>
        <w:trPr>
          <w:trHeight w:val="330" w:hRule="atLeast"/>
          <w:jc w:val="center"/>
        </w:trPr>
        <w:tc>
          <w:tcPr>
            <w:tcW w:w="2805" w:type="dxa"/>
            <w:tcBorders>
              <w:top w:val="nil"/>
              <w:left w:val="single" w:color="auto" w:sz="4" w:space="0"/>
              <w:bottom w:val="single" w:color="auto" w:sz="4" w:space="0"/>
              <w:right w:val="single" w:color="auto" w:sz="4" w:space="0"/>
            </w:tcBorders>
            <w:shd w:val="clear" w:color="000000" w:fill="E6B8B7"/>
            <w:noWrap/>
            <w:vAlign w:val="bottom"/>
          </w:tcPr>
          <w:p w14:paraId="17E3EAB9">
            <w:pPr>
              <w:rPr>
                <w:sz w:val="20"/>
              </w:rPr>
            </w:pPr>
            <w:r>
              <w:rPr>
                <w:sz w:val="20"/>
              </w:rPr>
              <w:t>ARR</w:t>
            </w:r>
          </w:p>
        </w:tc>
        <w:tc>
          <w:tcPr>
            <w:tcW w:w="3060" w:type="dxa"/>
            <w:tcBorders>
              <w:top w:val="nil"/>
              <w:left w:val="nil"/>
              <w:bottom w:val="single" w:color="auto" w:sz="4" w:space="0"/>
              <w:right w:val="single" w:color="auto" w:sz="4" w:space="0"/>
            </w:tcBorders>
            <w:shd w:val="clear" w:color="000000" w:fill="E6B8B7"/>
            <w:noWrap/>
            <w:vAlign w:val="bottom"/>
          </w:tcPr>
          <w:p w14:paraId="1DB089CF">
            <w:pPr>
              <w:rPr>
                <w:sz w:val="20"/>
              </w:rPr>
            </w:pPr>
            <w:r>
              <w:rPr>
                <w:sz w:val="20"/>
              </w:rPr>
              <w:t>7.00%</w:t>
            </w:r>
          </w:p>
        </w:tc>
      </w:tr>
      <w:tr w14:paraId="4EB7A025">
        <w:tblPrEx>
          <w:tblCellMar>
            <w:top w:w="0" w:type="dxa"/>
            <w:left w:w="108" w:type="dxa"/>
            <w:bottom w:w="0" w:type="dxa"/>
            <w:right w:w="108" w:type="dxa"/>
          </w:tblCellMar>
        </w:tblPrEx>
        <w:trPr>
          <w:trHeight w:val="300" w:hRule="atLeast"/>
          <w:jc w:val="center"/>
        </w:trPr>
        <w:tc>
          <w:tcPr>
            <w:tcW w:w="2805" w:type="dxa"/>
            <w:tcBorders>
              <w:top w:val="nil"/>
              <w:left w:val="single" w:color="auto" w:sz="4" w:space="0"/>
              <w:bottom w:val="single" w:color="auto" w:sz="4" w:space="0"/>
              <w:right w:val="single" w:color="auto" w:sz="4" w:space="0"/>
            </w:tcBorders>
            <w:shd w:val="clear" w:color="000000" w:fill="E6B8B7"/>
            <w:noWrap/>
            <w:vAlign w:val="bottom"/>
          </w:tcPr>
          <w:p w14:paraId="563563B2">
            <w:pPr>
              <w:rPr>
                <w:sz w:val="20"/>
              </w:rPr>
            </w:pPr>
            <w:r>
              <w:rPr>
                <w:sz w:val="20"/>
              </w:rPr>
              <w:t>PI</w:t>
            </w:r>
          </w:p>
        </w:tc>
        <w:tc>
          <w:tcPr>
            <w:tcW w:w="3060" w:type="dxa"/>
            <w:tcBorders>
              <w:top w:val="nil"/>
              <w:left w:val="nil"/>
              <w:bottom w:val="single" w:color="auto" w:sz="4" w:space="0"/>
              <w:right w:val="single" w:color="auto" w:sz="4" w:space="0"/>
            </w:tcBorders>
            <w:shd w:val="clear" w:color="000000" w:fill="E6B8B7"/>
            <w:noWrap/>
            <w:vAlign w:val="bottom"/>
          </w:tcPr>
          <w:p w14:paraId="593E866B">
            <w:pPr>
              <w:rPr>
                <w:sz w:val="20"/>
              </w:rPr>
            </w:pPr>
            <w:r>
              <w:rPr>
                <w:sz w:val="20"/>
              </w:rPr>
              <w:t>35.00%</w:t>
            </w:r>
          </w:p>
        </w:tc>
      </w:tr>
      <w:tr w14:paraId="3E3BC900">
        <w:tblPrEx>
          <w:tblCellMar>
            <w:top w:w="0" w:type="dxa"/>
            <w:left w:w="108" w:type="dxa"/>
            <w:bottom w:w="0" w:type="dxa"/>
            <w:right w:w="108" w:type="dxa"/>
          </w:tblCellMar>
        </w:tblPrEx>
        <w:trPr>
          <w:trHeight w:val="300" w:hRule="atLeast"/>
          <w:jc w:val="center"/>
        </w:trPr>
        <w:tc>
          <w:tcPr>
            <w:tcW w:w="2805" w:type="dxa"/>
            <w:tcBorders>
              <w:top w:val="nil"/>
              <w:left w:val="single" w:color="auto" w:sz="4" w:space="0"/>
              <w:bottom w:val="single" w:color="auto" w:sz="4" w:space="0"/>
              <w:right w:val="single" w:color="auto" w:sz="4" w:space="0"/>
            </w:tcBorders>
            <w:shd w:val="clear" w:color="000000" w:fill="E6B8B7"/>
            <w:noWrap/>
            <w:vAlign w:val="bottom"/>
          </w:tcPr>
          <w:p w14:paraId="75878D25">
            <w:pPr>
              <w:rPr>
                <w:sz w:val="20"/>
              </w:rPr>
            </w:pPr>
            <w:r>
              <w:rPr>
                <w:sz w:val="20"/>
              </w:rPr>
              <w:t>Payback</w:t>
            </w:r>
          </w:p>
        </w:tc>
        <w:tc>
          <w:tcPr>
            <w:tcW w:w="3060" w:type="dxa"/>
            <w:tcBorders>
              <w:top w:val="nil"/>
              <w:left w:val="nil"/>
              <w:bottom w:val="single" w:color="auto" w:sz="4" w:space="0"/>
              <w:right w:val="single" w:color="auto" w:sz="4" w:space="0"/>
            </w:tcBorders>
            <w:shd w:val="clear" w:color="000000" w:fill="E6B8B7"/>
            <w:noWrap/>
            <w:vAlign w:val="bottom"/>
          </w:tcPr>
          <w:p w14:paraId="6C3EBF3F">
            <w:pPr>
              <w:rPr>
                <w:sz w:val="20"/>
              </w:rPr>
            </w:pPr>
            <w:r>
              <w:rPr>
                <w:sz w:val="20"/>
              </w:rPr>
              <w:t>3.40</w:t>
            </w:r>
          </w:p>
        </w:tc>
      </w:tr>
      <w:tr w14:paraId="342763EE">
        <w:tblPrEx>
          <w:tblCellMar>
            <w:top w:w="0" w:type="dxa"/>
            <w:left w:w="108" w:type="dxa"/>
            <w:bottom w:w="0" w:type="dxa"/>
            <w:right w:w="108" w:type="dxa"/>
          </w:tblCellMar>
        </w:tblPrEx>
        <w:trPr>
          <w:trHeight w:val="315" w:hRule="atLeast"/>
          <w:jc w:val="center"/>
        </w:trPr>
        <w:tc>
          <w:tcPr>
            <w:tcW w:w="2805" w:type="dxa"/>
            <w:tcBorders>
              <w:top w:val="nil"/>
              <w:left w:val="single" w:color="auto" w:sz="4" w:space="0"/>
              <w:bottom w:val="single" w:color="auto" w:sz="4" w:space="0"/>
              <w:right w:val="single" w:color="auto" w:sz="4" w:space="0"/>
            </w:tcBorders>
            <w:shd w:val="clear" w:color="000000" w:fill="E6B8B7"/>
            <w:noWrap/>
            <w:vAlign w:val="bottom"/>
          </w:tcPr>
          <w:p w14:paraId="169ADB3F">
            <w:pPr>
              <w:rPr>
                <w:sz w:val="20"/>
              </w:rPr>
            </w:pPr>
            <w:r>
              <w:rPr>
                <w:sz w:val="20"/>
              </w:rPr>
              <w:t> </w:t>
            </w:r>
          </w:p>
        </w:tc>
        <w:tc>
          <w:tcPr>
            <w:tcW w:w="3060" w:type="dxa"/>
            <w:tcBorders>
              <w:top w:val="nil"/>
              <w:left w:val="nil"/>
              <w:bottom w:val="single" w:color="auto" w:sz="4" w:space="0"/>
              <w:right w:val="single" w:color="auto" w:sz="4" w:space="0"/>
            </w:tcBorders>
            <w:shd w:val="clear" w:color="000000" w:fill="E6B8B7"/>
            <w:noWrap/>
            <w:vAlign w:val="bottom"/>
          </w:tcPr>
          <w:p w14:paraId="4DD9B5FC">
            <w:pPr>
              <w:rPr>
                <w:sz w:val="20"/>
              </w:rPr>
            </w:pPr>
            <w:r>
              <w:rPr>
                <w:sz w:val="20"/>
              </w:rPr>
              <w:t>3 years 2.8 Months</w:t>
            </w:r>
          </w:p>
        </w:tc>
      </w:tr>
    </w:tbl>
    <w:p w14:paraId="74DBE5DD"/>
    <w:p w14:paraId="4C6263F1">
      <w:pPr>
        <w:pStyle w:val="10"/>
        <w:jc w:val="center"/>
        <w:rPr>
          <w:i/>
          <w:color w:val="auto"/>
          <w:szCs w:val="18"/>
        </w:rPr>
      </w:pPr>
      <w:r>
        <w:rPr>
          <w:i/>
          <w:color w:val="auto"/>
          <w:szCs w:val="18"/>
        </w:rPr>
        <w:t xml:space="preserve">Table </w:t>
      </w:r>
      <w:r>
        <w:rPr>
          <w:i/>
          <w:color w:val="auto"/>
          <w:szCs w:val="18"/>
        </w:rPr>
        <w:fldChar w:fldCharType="begin"/>
      </w:r>
      <w:r>
        <w:rPr>
          <w:i/>
          <w:color w:val="auto"/>
          <w:szCs w:val="18"/>
        </w:rPr>
        <w:instrText xml:space="preserve"> SEQ Table \* ARABIC </w:instrText>
      </w:r>
      <w:r>
        <w:rPr>
          <w:i/>
          <w:color w:val="auto"/>
          <w:szCs w:val="18"/>
        </w:rPr>
        <w:fldChar w:fldCharType="separate"/>
      </w:r>
      <w:r>
        <w:rPr>
          <w:i/>
          <w:color w:val="auto"/>
          <w:szCs w:val="18"/>
        </w:rPr>
        <w:t>5</w:t>
      </w:r>
      <w:r>
        <w:rPr>
          <w:i/>
          <w:color w:val="auto"/>
          <w:szCs w:val="18"/>
        </w:rPr>
        <w:fldChar w:fldCharType="end"/>
      </w:r>
      <w:r>
        <w:rPr>
          <w:i/>
          <w:color w:val="auto"/>
          <w:szCs w:val="18"/>
        </w:rPr>
        <w:t>: Project A Evaluation (Author)</w:t>
      </w:r>
    </w:p>
    <w:p w14:paraId="7E2ADB05">
      <w:r>
        <w:rPr>
          <w:lang w:bidi="ar-SA"/>
        </w:rPr>
        <w:drawing>
          <wp:inline distT="0" distB="0" distL="0" distR="0">
            <wp:extent cx="5943600" cy="276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5943600" cy="276841"/>
                    </a:xfrm>
                    <a:prstGeom prst="rect">
                      <a:avLst/>
                    </a:prstGeom>
                    <a:noFill/>
                    <a:ln>
                      <a:noFill/>
                    </a:ln>
                  </pic:spPr>
                </pic:pic>
              </a:graphicData>
            </a:graphic>
          </wp:inline>
        </w:drawing>
      </w:r>
    </w:p>
    <w:p w14:paraId="68644367">
      <w:r>
        <w:t>Project A's Net Present Value (NPV) is equal to £1.32 monetary worth, and this means that the project will produce more than the initial investment, and thus this project is a feasible investment (Harris and El-Massri, 2011). The discount rate of 10 is less than the Internal Rate of Return (11.33) of the project, which is an additional step to understand that the project is profitable. An Accounting Rate of Return (ARR) of 7% indicates a comparatively small payback on investment when compared with other projects, but it is still a sign of positive performance (Bierman, 2020). The Profitability Index (PI) of 1.35 illustrates that out of every 1 pound that will be invested, the company will reap 1.35 of it in present value terms, and hence, it will be profitable. Also, the payback time of 3.4 returns and years (or about 3 years and 2.8 months) demonstrates that the project will be able to pay back in a relatively short time in accordance with the liquidity needs of the firm. Project A is a good investment opportunity as a whole with good returns and reasonable risk.</w:t>
      </w:r>
    </w:p>
    <w:p w14:paraId="697AB2FD">
      <w:pPr>
        <w:pStyle w:val="4"/>
        <w:rPr>
          <w:b w:val="0"/>
        </w:rPr>
      </w:pPr>
      <w:bookmarkStart w:id="38" w:name="_Toc214660056"/>
      <w:r>
        <w:rPr>
          <w:rStyle w:val="19"/>
          <w:rFonts w:cs="Arial"/>
          <w:b/>
          <w:bCs w:val="0"/>
        </w:rPr>
        <w:t>5.2.2 Project B</w:t>
      </w:r>
      <w:bookmarkEnd w:id="38"/>
    </w:p>
    <w:p w14:paraId="23317552">
      <w:r>
        <w:t>Project B presents a financial risk that can be discerned to General Electronics. The Net Present Value (NPV) data indicates that it is at negative -7.255 million and thus, it would be encroaching value instead of creating it.</w:t>
      </w:r>
    </w:p>
    <w:p w14:paraId="29680787">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6</w:t>
      </w:r>
      <w:r>
        <w:rPr>
          <w:i/>
          <w:color w:val="auto"/>
        </w:rPr>
        <w:fldChar w:fldCharType="end"/>
      </w:r>
      <w:r>
        <w:rPr>
          <w:i/>
          <w:color w:val="auto"/>
        </w:rPr>
        <w:t>: Cash Flow Summary (Author)</w:t>
      </w:r>
    </w:p>
    <w:p w14:paraId="3B6E835C">
      <w:pPr>
        <w:spacing w:line="276" w:lineRule="auto"/>
        <w:jc w:val="left"/>
        <w:rPr>
          <w:lang w:bidi="ar-SA"/>
        </w:rPr>
      </w:pPr>
      <w:r>
        <w:rPr>
          <w:lang w:bidi="ar-SA"/>
        </w:rPr>
        <w:drawing>
          <wp:inline distT="0" distB="0" distL="0" distR="0">
            <wp:extent cx="5943600" cy="191960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a:xfrm>
                      <a:off x="0" y="0"/>
                      <a:ext cx="5943600" cy="1919622"/>
                    </a:xfrm>
                    <a:prstGeom prst="rect">
                      <a:avLst/>
                    </a:prstGeom>
                    <a:noFill/>
                    <a:ln>
                      <a:noFill/>
                    </a:ln>
                  </pic:spPr>
                </pic:pic>
              </a:graphicData>
            </a:graphic>
          </wp:inline>
        </w:drawing>
      </w:r>
    </w:p>
    <w:p w14:paraId="6CE21291">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7</w:t>
      </w:r>
      <w:r>
        <w:rPr>
          <w:i/>
          <w:color w:val="auto"/>
        </w:rPr>
        <w:fldChar w:fldCharType="end"/>
      </w:r>
      <w:r>
        <w:rPr>
          <w:i/>
          <w:color w:val="auto"/>
        </w:rPr>
        <w:t>: Investment Evaluation Metrics (Author)</w:t>
      </w:r>
    </w:p>
    <w:tbl>
      <w:tblPr>
        <w:tblStyle w:val="8"/>
        <w:tblW w:w="3960" w:type="dxa"/>
        <w:jc w:val="center"/>
        <w:tblLayout w:type="autofit"/>
        <w:tblCellMar>
          <w:top w:w="0" w:type="dxa"/>
          <w:left w:w="108" w:type="dxa"/>
          <w:bottom w:w="0" w:type="dxa"/>
          <w:right w:w="108" w:type="dxa"/>
        </w:tblCellMar>
      </w:tblPr>
      <w:tblGrid>
        <w:gridCol w:w="1600"/>
        <w:gridCol w:w="2360"/>
      </w:tblGrid>
      <w:tr w14:paraId="46506637">
        <w:tblPrEx>
          <w:tblCellMar>
            <w:top w:w="0" w:type="dxa"/>
            <w:left w:w="108" w:type="dxa"/>
            <w:bottom w:w="0" w:type="dxa"/>
            <w:right w:w="108" w:type="dxa"/>
          </w:tblCellMar>
        </w:tblPrEx>
        <w:trPr>
          <w:trHeight w:val="600" w:hRule="atLeast"/>
          <w:jc w:val="center"/>
        </w:trPr>
        <w:tc>
          <w:tcPr>
            <w:tcW w:w="1600" w:type="dxa"/>
            <w:tcBorders>
              <w:top w:val="single" w:color="auto" w:sz="4" w:space="0"/>
              <w:left w:val="single" w:color="auto" w:sz="4" w:space="0"/>
              <w:bottom w:val="single" w:color="auto" w:sz="4" w:space="0"/>
              <w:right w:val="single" w:color="auto" w:sz="4" w:space="0"/>
            </w:tcBorders>
            <w:shd w:val="clear" w:color="000000" w:fill="E6B8B7"/>
            <w:noWrap/>
            <w:vAlign w:val="bottom"/>
          </w:tcPr>
          <w:p w14:paraId="2AD7C344">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 </w:t>
            </w:r>
          </w:p>
        </w:tc>
        <w:tc>
          <w:tcPr>
            <w:tcW w:w="2360" w:type="dxa"/>
            <w:tcBorders>
              <w:top w:val="single" w:color="auto" w:sz="4" w:space="0"/>
              <w:left w:val="nil"/>
              <w:bottom w:val="single" w:color="auto" w:sz="4" w:space="0"/>
              <w:right w:val="single" w:color="auto" w:sz="4" w:space="0"/>
            </w:tcBorders>
            <w:shd w:val="clear" w:color="000000" w:fill="E6B8B7"/>
            <w:noWrap/>
            <w:vAlign w:val="bottom"/>
          </w:tcPr>
          <w:p w14:paraId="326ACD3D">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 </w:t>
            </w:r>
          </w:p>
        </w:tc>
      </w:tr>
      <w:tr w14:paraId="44F1612E">
        <w:tblPrEx>
          <w:tblCellMar>
            <w:top w:w="0" w:type="dxa"/>
            <w:left w:w="108" w:type="dxa"/>
            <w:bottom w:w="0" w:type="dxa"/>
            <w:right w:w="108" w:type="dxa"/>
          </w:tblCellMar>
        </w:tblPrEx>
        <w:trPr>
          <w:trHeight w:val="300" w:hRule="atLeast"/>
          <w:jc w:val="center"/>
        </w:trPr>
        <w:tc>
          <w:tcPr>
            <w:tcW w:w="1600" w:type="dxa"/>
            <w:tcBorders>
              <w:top w:val="nil"/>
              <w:left w:val="single" w:color="auto" w:sz="4" w:space="0"/>
              <w:bottom w:val="single" w:color="auto" w:sz="4" w:space="0"/>
              <w:right w:val="single" w:color="auto" w:sz="4" w:space="0"/>
            </w:tcBorders>
            <w:shd w:val="clear" w:color="000000" w:fill="E6B8B7"/>
            <w:noWrap/>
            <w:vAlign w:val="bottom"/>
          </w:tcPr>
          <w:p w14:paraId="156E29A5">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PV</w:t>
            </w:r>
          </w:p>
        </w:tc>
        <w:tc>
          <w:tcPr>
            <w:tcW w:w="2360" w:type="dxa"/>
            <w:tcBorders>
              <w:top w:val="nil"/>
              <w:left w:val="nil"/>
              <w:bottom w:val="single" w:color="auto" w:sz="4" w:space="0"/>
              <w:right w:val="single" w:color="auto" w:sz="4" w:space="0"/>
            </w:tcBorders>
            <w:shd w:val="clear" w:color="000000" w:fill="E6B8B7"/>
            <w:noWrap/>
            <w:vAlign w:val="bottom"/>
          </w:tcPr>
          <w:p w14:paraId="3E40545E">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22.74472062</w:t>
            </w:r>
          </w:p>
        </w:tc>
      </w:tr>
      <w:tr w14:paraId="0B3684A7">
        <w:tblPrEx>
          <w:tblCellMar>
            <w:top w:w="0" w:type="dxa"/>
            <w:left w:w="108" w:type="dxa"/>
            <w:bottom w:w="0" w:type="dxa"/>
            <w:right w:w="108" w:type="dxa"/>
          </w:tblCellMar>
        </w:tblPrEx>
        <w:trPr>
          <w:trHeight w:val="300" w:hRule="atLeast"/>
          <w:jc w:val="center"/>
        </w:trPr>
        <w:tc>
          <w:tcPr>
            <w:tcW w:w="1600" w:type="dxa"/>
            <w:tcBorders>
              <w:top w:val="nil"/>
              <w:left w:val="single" w:color="auto" w:sz="4" w:space="0"/>
              <w:bottom w:val="single" w:color="auto" w:sz="4" w:space="0"/>
              <w:right w:val="single" w:color="auto" w:sz="4" w:space="0"/>
            </w:tcBorders>
            <w:shd w:val="clear" w:color="000000" w:fill="E6B8B7"/>
            <w:noWrap/>
            <w:vAlign w:val="bottom"/>
          </w:tcPr>
          <w:p w14:paraId="7B2A030A">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Outlay</w:t>
            </w:r>
          </w:p>
        </w:tc>
        <w:tc>
          <w:tcPr>
            <w:tcW w:w="2360" w:type="dxa"/>
            <w:tcBorders>
              <w:top w:val="nil"/>
              <w:left w:val="nil"/>
              <w:bottom w:val="single" w:color="auto" w:sz="4" w:space="0"/>
              <w:right w:val="single" w:color="auto" w:sz="4" w:space="0"/>
            </w:tcBorders>
            <w:shd w:val="clear" w:color="000000" w:fill="E6B8B7"/>
            <w:noWrap/>
            <w:vAlign w:val="bottom"/>
          </w:tcPr>
          <w:p w14:paraId="15C394F7">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30</w:t>
            </w:r>
          </w:p>
        </w:tc>
      </w:tr>
      <w:tr w14:paraId="46BD852F">
        <w:tblPrEx>
          <w:tblCellMar>
            <w:top w:w="0" w:type="dxa"/>
            <w:left w:w="108" w:type="dxa"/>
            <w:bottom w:w="0" w:type="dxa"/>
            <w:right w:w="108" w:type="dxa"/>
          </w:tblCellMar>
        </w:tblPrEx>
        <w:trPr>
          <w:trHeight w:val="300" w:hRule="atLeast"/>
          <w:jc w:val="center"/>
        </w:trPr>
        <w:tc>
          <w:tcPr>
            <w:tcW w:w="1600" w:type="dxa"/>
            <w:tcBorders>
              <w:top w:val="nil"/>
              <w:left w:val="single" w:color="auto" w:sz="4" w:space="0"/>
              <w:bottom w:val="single" w:color="auto" w:sz="4" w:space="0"/>
              <w:right w:val="single" w:color="auto" w:sz="4" w:space="0"/>
            </w:tcBorders>
            <w:shd w:val="clear" w:color="000000" w:fill="E6B8B7"/>
            <w:noWrap/>
            <w:vAlign w:val="bottom"/>
          </w:tcPr>
          <w:p w14:paraId="458BA1A1">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NPV</w:t>
            </w:r>
          </w:p>
        </w:tc>
        <w:tc>
          <w:tcPr>
            <w:tcW w:w="2360" w:type="dxa"/>
            <w:tcBorders>
              <w:top w:val="nil"/>
              <w:left w:val="nil"/>
              <w:bottom w:val="single" w:color="auto" w:sz="4" w:space="0"/>
              <w:right w:val="single" w:color="auto" w:sz="4" w:space="0"/>
            </w:tcBorders>
            <w:shd w:val="clear" w:color="000000" w:fill="E6B8B7"/>
            <w:noWrap/>
            <w:vAlign w:val="bottom"/>
          </w:tcPr>
          <w:p w14:paraId="18C488B7">
            <w:pPr>
              <w:spacing w:after="0" w:line="240" w:lineRule="auto"/>
              <w:jc w:val="center"/>
              <w:rPr>
                <w:rFonts w:ascii="Calibri" w:hAnsi="Calibri" w:eastAsia="Times New Roman" w:cs="Calibri"/>
                <w:sz w:val="22"/>
                <w:szCs w:val="22"/>
                <w:lang w:bidi="ar-SA"/>
              </w:rPr>
            </w:pPr>
            <w:r>
              <w:rPr>
                <w:rFonts w:ascii="Calibri" w:hAnsi="Calibri" w:eastAsia="Times New Roman" w:cs="Calibri"/>
                <w:sz w:val="22"/>
                <w:szCs w:val="22"/>
                <w:lang w:bidi="ar-SA"/>
              </w:rPr>
              <w:t>-7.255279384</w:t>
            </w:r>
          </w:p>
        </w:tc>
      </w:tr>
      <w:tr w14:paraId="5AFFB3E2">
        <w:tblPrEx>
          <w:tblCellMar>
            <w:top w:w="0" w:type="dxa"/>
            <w:left w:w="108" w:type="dxa"/>
            <w:bottom w:w="0" w:type="dxa"/>
            <w:right w:w="108" w:type="dxa"/>
          </w:tblCellMar>
        </w:tblPrEx>
        <w:trPr>
          <w:trHeight w:val="300" w:hRule="atLeast"/>
          <w:jc w:val="center"/>
        </w:trPr>
        <w:tc>
          <w:tcPr>
            <w:tcW w:w="1600" w:type="dxa"/>
            <w:tcBorders>
              <w:top w:val="nil"/>
              <w:left w:val="single" w:color="auto" w:sz="4" w:space="0"/>
              <w:bottom w:val="single" w:color="auto" w:sz="4" w:space="0"/>
              <w:right w:val="single" w:color="auto" w:sz="4" w:space="0"/>
            </w:tcBorders>
            <w:shd w:val="clear" w:color="000000" w:fill="E6B8B7"/>
            <w:noWrap/>
            <w:vAlign w:val="bottom"/>
          </w:tcPr>
          <w:p w14:paraId="6FAB3875">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IRR</w:t>
            </w:r>
          </w:p>
        </w:tc>
        <w:tc>
          <w:tcPr>
            <w:tcW w:w="2360" w:type="dxa"/>
            <w:tcBorders>
              <w:top w:val="nil"/>
              <w:left w:val="nil"/>
              <w:bottom w:val="single" w:color="auto" w:sz="4" w:space="0"/>
              <w:right w:val="single" w:color="auto" w:sz="4" w:space="0"/>
            </w:tcBorders>
            <w:shd w:val="clear" w:color="000000" w:fill="E6B8B7"/>
            <w:noWrap/>
            <w:vAlign w:val="bottom"/>
          </w:tcPr>
          <w:p w14:paraId="16A1DF49">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0.00%</w:t>
            </w:r>
          </w:p>
        </w:tc>
      </w:tr>
      <w:tr w14:paraId="27159975">
        <w:tblPrEx>
          <w:tblCellMar>
            <w:top w:w="0" w:type="dxa"/>
            <w:left w:w="108" w:type="dxa"/>
            <w:bottom w:w="0" w:type="dxa"/>
            <w:right w:w="108" w:type="dxa"/>
          </w:tblCellMar>
        </w:tblPrEx>
        <w:trPr>
          <w:trHeight w:val="300" w:hRule="atLeast"/>
          <w:jc w:val="center"/>
        </w:trPr>
        <w:tc>
          <w:tcPr>
            <w:tcW w:w="1600" w:type="dxa"/>
            <w:tcBorders>
              <w:top w:val="nil"/>
              <w:left w:val="single" w:color="auto" w:sz="4" w:space="0"/>
              <w:bottom w:val="single" w:color="auto" w:sz="4" w:space="0"/>
              <w:right w:val="single" w:color="auto" w:sz="4" w:space="0"/>
            </w:tcBorders>
            <w:shd w:val="clear" w:color="000000" w:fill="E6B8B7"/>
            <w:noWrap/>
            <w:vAlign w:val="bottom"/>
          </w:tcPr>
          <w:p w14:paraId="1EA4C011">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ARR</w:t>
            </w:r>
          </w:p>
        </w:tc>
        <w:tc>
          <w:tcPr>
            <w:tcW w:w="2360" w:type="dxa"/>
            <w:tcBorders>
              <w:top w:val="nil"/>
              <w:left w:val="nil"/>
              <w:bottom w:val="single" w:color="auto" w:sz="4" w:space="0"/>
              <w:right w:val="single" w:color="auto" w:sz="4" w:space="0"/>
            </w:tcBorders>
            <w:shd w:val="clear" w:color="000000" w:fill="E6B8B7"/>
            <w:noWrap/>
            <w:vAlign w:val="bottom"/>
          </w:tcPr>
          <w:p w14:paraId="31691349">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10.00%</w:t>
            </w:r>
          </w:p>
        </w:tc>
      </w:tr>
      <w:tr w14:paraId="6EE5A1B7">
        <w:tblPrEx>
          <w:tblCellMar>
            <w:top w:w="0" w:type="dxa"/>
            <w:left w:w="108" w:type="dxa"/>
            <w:bottom w:w="0" w:type="dxa"/>
            <w:right w:w="108" w:type="dxa"/>
          </w:tblCellMar>
        </w:tblPrEx>
        <w:trPr>
          <w:trHeight w:val="300" w:hRule="atLeast"/>
          <w:jc w:val="center"/>
        </w:trPr>
        <w:tc>
          <w:tcPr>
            <w:tcW w:w="1600" w:type="dxa"/>
            <w:tcBorders>
              <w:top w:val="nil"/>
              <w:left w:val="single" w:color="auto" w:sz="4" w:space="0"/>
              <w:bottom w:val="single" w:color="auto" w:sz="4" w:space="0"/>
              <w:right w:val="single" w:color="auto" w:sz="4" w:space="0"/>
            </w:tcBorders>
            <w:shd w:val="clear" w:color="000000" w:fill="E6B8B7"/>
            <w:noWrap/>
            <w:vAlign w:val="bottom"/>
          </w:tcPr>
          <w:p w14:paraId="02ACF15A">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PI</w:t>
            </w:r>
          </w:p>
        </w:tc>
        <w:tc>
          <w:tcPr>
            <w:tcW w:w="2360" w:type="dxa"/>
            <w:tcBorders>
              <w:top w:val="nil"/>
              <w:left w:val="nil"/>
              <w:bottom w:val="single" w:color="auto" w:sz="4" w:space="0"/>
              <w:right w:val="single" w:color="auto" w:sz="4" w:space="0"/>
            </w:tcBorders>
            <w:shd w:val="clear" w:color="000000" w:fill="E6B8B7"/>
            <w:noWrap/>
            <w:vAlign w:val="bottom"/>
          </w:tcPr>
          <w:p w14:paraId="3FB3C6FD">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0.00%</w:t>
            </w:r>
          </w:p>
        </w:tc>
      </w:tr>
      <w:tr w14:paraId="71708556">
        <w:tblPrEx>
          <w:tblCellMar>
            <w:top w:w="0" w:type="dxa"/>
            <w:left w:w="108" w:type="dxa"/>
            <w:bottom w:w="0" w:type="dxa"/>
            <w:right w:w="108" w:type="dxa"/>
          </w:tblCellMar>
        </w:tblPrEx>
        <w:trPr>
          <w:trHeight w:val="300" w:hRule="atLeast"/>
          <w:jc w:val="center"/>
        </w:trPr>
        <w:tc>
          <w:tcPr>
            <w:tcW w:w="1600" w:type="dxa"/>
            <w:tcBorders>
              <w:top w:val="nil"/>
              <w:left w:val="single" w:color="auto" w:sz="4" w:space="0"/>
              <w:bottom w:val="single" w:color="auto" w:sz="4" w:space="0"/>
              <w:right w:val="single" w:color="auto" w:sz="4" w:space="0"/>
            </w:tcBorders>
            <w:shd w:val="clear" w:color="000000" w:fill="E6B8B7"/>
            <w:noWrap/>
            <w:vAlign w:val="bottom"/>
          </w:tcPr>
          <w:p w14:paraId="7A79D719">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Payback</w:t>
            </w:r>
          </w:p>
        </w:tc>
        <w:tc>
          <w:tcPr>
            <w:tcW w:w="2360" w:type="dxa"/>
            <w:tcBorders>
              <w:top w:val="nil"/>
              <w:left w:val="nil"/>
              <w:bottom w:val="single" w:color="auto" w:sz="4" w:space="0"/>
              <w:right w:val="single" w:color="auto" w:sz="4" w:space="0"/>
            </w:tcBorders>
            <w:shd w:val="clear" w:color="000000" w:fill="E6B8B7"/>
            <w:noWrap/>
            <w:vAlign w:val="bottom"/>
          </w:tcPr>
          <w:p w14:paraId="2F3DD065">
            <w:pPr>
              <w:spacing w:after="0" w:line="240" w:lineRule="auto"/>
              <w:jc w:val="right"/>
              <w:rPr>
                <w:rFonts w:ascii="Calibri" w:hAnsi="Calibri" w:eastAsia="Times New Roman" w:cs="Calibri"/>
                <w:sz w:val="22"/>
                <w:szCs w:val="22"/>
                <w:lang w:bidi="ar-SA"/>
              </w:rPr>
            </w:pPr>
            <w:r>
              <w:rPr>
                <w:rFonts w:ascii="Calibri" w:hAnsi="Calibri" w:eastAsia="Times New Roman" w:cs="Calibri"/>
                <w:sz w:val="22"/>
                <w:szCs w:val="22"/>
                <w:lang w:bidi="ar-SA"/>
              </w:rPr>
              <w:t>5.00</w:t>
            </w:r>
          </w:p>
        </w:tc>
      </w:tr>
      <w:tr w14:paraId="72A426CA">
        <w:tblPrEx>
          <w:tblCellMar>
            <w:top w:w="0" w:type="dxa"/>
            <w:left w:w="108" w:type="dxa"/>
            <w:bottom w:w="0" w:type="dxa"/>
            <w:right w:w="108" w:type="dxa"/>
          </w:tblCellMar>
        </w:tblPrEx>
        <w:trPr>
          <w:trHeight w:val="315" w:hRule="atLeast"/>
          <w:jc w:val="center"/>
        </w:trPr>
        <w:tc>
          <w:tcPr>
            <w:tcW w:w="1600" w:type="dxa"/>
            <w:tcBorders>
              <w:top w:val="nil"/>
              <w:left w:val="single" w:color="auto" w:sz="4" w:space="0"/>
              <w:bottom w:val="single" w:color="auto" w:sz="4" w:space="0"/>
              <w:right w:val="single" w:color="auto" w:sz="4" w:space="0"/>
            </w:tcBorders>
            <w:shd w:val="clear" w:color="000000" w:fill="E6B8B7"/>
            <w:noWrap/>
            <w:vAlign w:val="bottom"/>
          </w:tcPr>
          <w:p w14:paraId="04B81B7F">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 </w:t>
            </w:r>
          </w:p>
        </w:tc>
        <w:tc>
          <w:tcPr>
            <w:tcW w:w="2360" w:type="dxa"/>
            <w:tcBorders>
              <w:top w:val="nil"/>
              <w:left w:val="nil"/>
              <w:bottom w:val="single" w:color="auto" w:sz="4" w:space="0"/>
              <w:right w:val="single" w:color="auto" w:sz="4" w:space="0"/>
            </w:tcBorders>
            <w:shd w:val="clear" w:color="000000" w:fill="E6B8B7"/>
            <w:noWrap/>
            <w:vAlign w:val="bottom"/>
          </w:tcPr>
          <w:p w14:paraId="26039627">
            <w:pPr>
              <w:spacing w:after="0" w:line="240" w:lineRule="auto"/>
              <w:jc w:val="left"/>
              <w:rPr>
                <w:rFonts w:ascii="Calibri" w:hAnsi="Calibri" w:eastAsia="Times New Roman" w:cs="Calibri"/>
                <w:sz w:val="22"/>
                <w:szCs w:val="22"/>
                <w:lang w:bidi="ar-SA"/>
              </w:rPr>
            </w:pPr>
            <w:r>
              <w:rPr>
                <w:rFonts w:ascii="Calibri" w:hAnsi="Calibri" w:eastAsia="Times New Roman" w:cs="Calibri"/>
                <w:sz w:val="22"/>
                <w:szCs w:val="22"/>
                <w:lang w:bidi="ar-SA"/>
              </w:rPr>
              <w:t xml:space="preserve">5 years </w:t>
            </w:r>
          </w:p>
        </w:tc>
      </w:tr>
    </w:tbl>
    <w:p w14:paraId="4B22AF6D">
      <w:pPr>
        <w:rPr>
          <w:lang w:bidi="ar-SA"/>
        </w:rPr>
      </w:pPr>
    </w:p>
    <w:p w14:paraId="13EF1C79">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8</w:t>
      </w:r>
      <w:r>
        <w:rPr>
          <w:i/>
          <w:color w:val="auto"/>
        </w:rPr>
        <w:fldChar w:fldCharType="end"/>
      </w:r>
      <w:r>
        <w:rPr>
          <w:i/>
          <w:color w:val="auto"/>
        </w:rPr>
        <w:t xml:space="preserve">: </w:t>
      </w:r>
      <w:r>
        <w:rPr>
          <w:i/>
          <w:color w:val="auto"/>
          <w:szCs w:val="18"/>
        </w:rPr>
        <w:t>Project B Evaluation (Author)</w:t>
      </w:r>
    </w:p>
    <w:p w14:paraId="7CAC924E">
      <w:pPr>
        <w:rPr>
          <w:lang w:bidi="ar-SA"/>
        </w:rPr>
      </w:pPr>
      <w:r>
        <w:rPr>
          <w:lang w:bidi="ar-SA"/>
        </w:rPr>
        <w:drawing>
          <wp:inline distT="0" distB="0" distL="0" distR="0">
            <wp:extent cx="5943600" cy="3384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a:xfrm>
                      <a:off x="0" y="0"/>
                      <a:ext cx="5943600" cy="338647"/>
                    </a:xfrm>
                    <a:prstGeom prst="rect">
                      <a:avLst/>
                    </a:prstGeom>
                    <a:noFill/>
                    <a:ln>
                      <a:noFill/>
                    </a:ln>
                  </pic:spPr>
                </pic:pic>
              </a:graphicData>
            </a:graphic>
          </wp:inline>
        </w:drawing>
      </w:r>
    </w:p>
    <w:p w14:paraId="19B23F95">
      <w:pPr>
        <w:rPr>
          <w:lang w:bidi="ar-SA"/>
        </w:rPr>
      </w:pPr>
      <w:r>
        <w:rPr>
          <w:lang w:bidi="ar-SA"/>
        </w:rPr>
        <w:t>Project B in this analysis shows a negative net present value of -7.26M, which shows the failure of the project to pay its start-up investment. Its internal rate of return is 0.00, which means that the project does not produce any returns higher than the discount rate and, therefore, does not meet the minimum required rate of return (Bierman, 2020). Despite the accounting rate of return being 10 per cent, the negative NPV nullifies its suitability as a justification for the investment. Profitability is not greater than 0, which means that a net positive economic value is generated at each pound, or rather, the investment produces zero of it (Drury and Tayles, 1997). The payback period of five years is a lengthy recovery time, and, thus, this risk profile of investment increases. With this in mind, Project B cannot be considered an attractive investment, as it has low financial performance and high risk.</w:t>
      </w:r>
    </w:p>
    <w:p w14:paraId="663E04D4">
      <w:pPr>
        <w:pStyle w:val="4"/>
        <w:rPr>
          <w:lang w:bidi="ar-SA"/>
        </w:rPr>
      </w:pPr>
      <w:bookmarkStart w:id="39" w:name="_Toc214660057"/>
      <w:r>
        <w:rPr>
          <w:lang w:bidi="ar-SA"/>
        </w:rPr>
        <w:t>5.2.3 Project C</w:t>
      </w:r>
      <w:bookmarkEnd w:id="39"/>
    </w:p>
    <w:p w14:paraId="361D5682">
      <w:pPr>
        <w:spacing w:line="276" w:lineRule="auto"/>
        <w:jc w:val="left"/>
      </w:pPr>
      <w:r>
        <w:rPr>
          <w:lang w:bidi="ar-SA"/>
        </w:rPr>
        <w:t>Project C is viewed as the best project in terms of the financial performance.</w:t>
      </w:r>
    </w:p>
    <w:p w14:paraId="1E8C862E">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9</w:t>
      </w:r>
      <w:r>
        <w:rPr>
          <w:i/>
          <w:color w:val="auto"/>
        </w:rPr>
        <w:fldChar w:fldCharType="end"/>
      </w:r>
      <w:r>
        <w:rPr>
          <w:i/>
          <w:color w:val="auto"/>
        </w:rPr>
        <w:t>: Cash Flow Summary (Author)</w:t>
      </w:r>
    </w:p>
    <w:p w14:paraId="744C20B7">
      <w:pPr>
        <w:spacing w:line="276" w:lineRule="auto"/>
        <w:jc w:val="left"/>
        <w:rPr>
          <w:lang w:bidi="ar-SA"/>
        </w:rPr>
      </w:pPr>
      <w:r>
        <w:rPr>
          <w:lang w:bidi="ar-SA"/>
        </w:rPr>
        <w:drawing>
          <wp:inline distT="0" distB="0" distL="0" distR="0">
            <wp:extent cx="5943600" cy="141351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a:xfrm>
                      <a:off x="0" y="0"/>
                      <a:ext cx="5943600" cy="1413613"/>
                    </a:xfrm>
                    <a:prstGeom prst="rect">
                      <a:avLst/>
                    </a:prstGeom>
                    <a:noFill/>
                    <a:ln>
                      <a:noFill/>
                    </a:ln>
                  </pic:spPr>
                </pic:pic>
              </a:graphicData>
            </a:graphic>
          </wp:inline>
        </w:drawing>
      </w:r>
    </w:p>
    <w:p w14:paraId="63636F3C">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10</w:t>
      </w:r>
      <w:r>
        <w:rPr>
          <w:i/>
          <w:color w:val="auto"/>
        </w:rPr>
        <w:fldChar w:fldCharType="end"/>
      </w:r>
      <w:r>
        <w:rPr>
          <w:i/>
          <w:color w:val="auto"/>
        </w:rPr>
        <w:t>: Investment Evaluation Metrics (Author)</w:t>
      </w:r>
    </w:p>
    <w:p w14:paraId="04AFFE96">
      <w:pPr>
        <w:jc w:val="center"/>
        <w:rPr>
          <w:lang w:bidi="ar-SA"/>
        </w:rPr>
      </w:pPr>
      <w:r>
        <w:rPr>
          <w:lang w:bidi="ar-SA"/>
        </w:rPr>
        <w:drawing>
          <wp:inline distT="0" distB="0" distL="0" distR="0">
            <wp:extent cx="2524125" cy="23622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a:xfrm>
                      <a:off x="0" y="0"/>
                      <a:ext cx="2524125" cy="2362200"/>
                    </a:xfrm>
                    <a:prstGeom prst="rect">
                      <a:avLst/>
                    </a:prstGeom>
                    <a:noFill/>
                    <a:ln>
                      <a:noFill/>
                    </a:ln>
                  </pic:spPr>
                </pic:pic>
              </a:graphicData>
            </a:graphic>
          </wp:inline>
        </w:drawing>
      </w:r>
    </w:p>
    <w:p w14:paraId="32F90A23">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11</w:t>
      </w:r>
      <w:r>
        <w:rPr>
          <w:i/>
          <w:color w:val="auto"/>
        </w:rPr>
        <w:fldChar w:fldCharType="end"/>
      </w:r>
      <w:r>
        <w:rPr>
          <w:i/>
          <w:color w:val="auto"/>
        </w:rPr>
        <w:t xml:space="preserve">: </w:t>
      </w:r>
      <w:r>
        <w:rPr>
          <w:i/>
          <w:color w:val="auto"/>
          <w:szCs w:val="18"/>
        </w:rPr>
        <w:t>Project C Evaluation (Author)</w:t>
      </w:r>
    </w:p>
    <w:p w14:paraId="1F1B4110">
      <w:pPr>
        <w:rPr>
          <w:lang w:bidi="ar-SA"/>
        </w:rPr>
      </w:pPr>
      <w:r>
        <w:rPr>
          <w:lang w:bidi="ar-SA"/>
        </w:rPr>
        <w:drawing>
          <wp:inline distT="0" distB="0" distL="0" distR="0">
            <wp:extent cx="5943600" cy="32194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a:xfrm>
                      <a:off x="0" y="0"/>
                      <a:ext cx="5943600" cy="322039"/>
                    </a:xfrm>
                    <a:prstGeom prst="rect">
                      <a:avLst/>
                    </a:prstGeom>
                    <a:noFill/>
                    <a:ln>
                      <a:noFill/>
                    </a:ln>
                  </pic:spPr>
                </pic:pic>
              </a:graphicData>
            </a:graphic>
          </wp:inline>
        </w:drawing>
      </w:r>
    </w:p>
    <w:p w14:paraId="278FF54F">
      <w:pPr>
        <w:rPr>
          <w:lang w:bidi="ar-SA"/>
        </w:rPr>
      </w:pPr>
      <w:r>
        <w:rPr>
          <w:lang w:bidi="ar-SA"/>
        </w:rPr>
        <w:t>Project C is considered a desirable investment project based on the net present value, for which the figure is 4.23 million pounds, proving that the value of the investment generated more than what was required to invest in the project (Haka, 2006). The internal rate of return of 12.72 per cent exceeds the required discount rate of 10 per cent, meaning that it is a high-profitability level. The accounting rate of return of 10 per cent denotes a medium-range profit of the investment, whereas the profit-investment ratio of 1.50 suggests that every 1 pound of investment capital does generate 1.50 of the present-value payoffs, which also helps to support the profitability of the project (Pervan, 2018). The payback period is estimated to be 3.6 years (a combination of 3 years and 7.2 months), which means that the payback period of this project will cover the initial investment within a fairly reasonable time period. All in all, Project B gives a good combination of profitability, a corresponding payback period, and sound risk management, and thus is a good choice of investment under the capital rationing constraints.</w:t>
      </w:r>
    </w:p>
    <w:p w14:paraId="58C28FAB">
      <w:pPr>
        <w:pStyle w:val="3"/>
      </w:pPr>
      <w:bookmarkStart w:id="40" w:name="_Toc214660058"/>
      <w:r>
        <w:rPr>
          <w:rStyle w:val="19"/>
          <w:b/>
          <w:bCs/>
        </w:rPr>
        <w:t>5.3 Comparative Analysis of Project Viability</w:t>
      </w:r>
      <w:bookmarkEnd w:id="40"/>
    </w:p>
    <w:p w14:paraId="7FC4E7CD">
      <w:r>
        <w:t>When comparing Projects A, B and C, it is possible to discuss a number of fundamental differences regarding profitability, risk and cash-flow dynamics.</w:t>
      </w:r>
    </w:p>
    <w:p w14:paraId="04A4A052">
      <w:pPr>
        <w:pStyle w:val="10"/>
        <w:keepNext/>
        <w:jc w:val="center"/>
        <w:rPr>
          <w:i/>
          <w:color w:val="auto"/>
        </w:rPr>
      </w:pPr>
      <w:r>
        <w:rPr>
          <w:i/>
          <w:color w:val="auto"/>
        </w:rPr>
        <w:t xml:space="preserve">Table </w:t>
      </w:r>
      <w:r>
        <w:rPr>
          <w:i/>
          <w:color w:val="auto"/>
        </w:rPr>
        <w:fldChar w:fldCharType="begin"/>
      </w:r>
      <w:r>
        <w:rPr>
          <w:i/>
          <w:color w:val="auto"/>
        </w:rPr>
        <w:instrText xml:space="preserve"> SEQ Table \* ARABIC </w:instrText>
      </w:r>
      <w:r>
        <w:rPr>
          <w:i/>
          <w:color w:val="auto"/>
        </w:rPr>
        <w:fldChar w:fldCharType="separate"/>
      </w:r>
      <w:r>
        <w:rPr>
          <w:i/>
          <w:color w:val="auto"/>
        </w:rPr>
        <w:t>12</w:t>
      </w:r>
      <w:r>
        <w:rPr>
          <w:i/>
          <w:color w:val="auto"/>
        </w:rPr>
        <w:fldChar w:fldCharType="end"/>
      </w:r>
      <w:r>
        <w:rPr>
          <w:i/>
          <w:color w:val="auto"/>
        </w:rPr>
        <w:t>: Comparison of Investment Projects: Project A, B, and C (Author)</w:t>
      </w:r>
    </w:p>
    <w:p w14:paraId="3B0E8743">
      <w:r>
        <w:rPr>
          <w:lang w:bidi="ar-SA"/>
        </w:rPr>
        <w:drawing>
          <wp:inline distT="0" distB="0" distL="0" distR="0">
            <wp:extent cx="5943600" cy="188785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a:xfrm>
                      <a:off x="0" y="0"/>
                      <a:ext cx="5943600" cy="1888284"/>
                    </a:xfrm>
                    <a:prstGeom prst="rect">
                      <a:avLst/>
                    </a:prstGeom>
                    <a:noFill/>
                    <a:ln>
                      <a:noFill/>
                    </a:ln>
                  </pic:spPr>
                </pic:pic>
              </a:graphicData>
            </a:graphic>
          </wp:inline>
        </w:drawing>
      </w:r>
    </w:p>
    <w:p w14:paraId="3767DDA6">
      <w:r>
        <w:t>Project A demonstrates the high net present value (£9.48 million) and the internal rate of return at 22.5 per cent, which are indicative of a high level of profitability and a low payback period of 3.57 years. However, the average rate of return of 7 per cent is relatively low in terms of profit in comparison to the capital invested. The major risk of Project A is the volatility of the cash-flow profile, as they are highly concentrated in the first few years.</w:t>
      </w:r>
    </w:p>
    <w:p w14:paraId="26AEE7A6">
      <w:r>
        <w:t>Project B would yield a positive net present value of 6.37 million dollars and a rate of return of 18 per cent, but the payback period will take five years. Its cash-inflow patterns are not volatile and even weaker compared to those of Projects A and C, 6.37 m, but this could be dangerous in case the company needs more immediate gains. The 20% average rate of return implies a higher profitability; however, the rate of change of cash flow is less than that of Project A, which indicates more predictable returns.</w:t>
      </w:r>
    </w:p>
    <w:p w14:paraId="1EF98394">
      <w:r>
        <w:t>Project C shows a maximum average rate of return of 30 per cent, with its cash inflows being recorded in later years, hence producing a payback period of five years. Its Net present value (NPV) of 9.21 is the second best, but what makes the cash flow timescale the main risk is the fact that higher inflows of funds become a reality later; this may hamper liquidity.</w:t>
      </w:r>
    </w:p>
    <w:p w14:paraId="6539880D">
      <w:r>
        <w:t>Project A seems to represent the most moderate balance between profitability and the timing of cash flow; Project B seems to be more conservative but can afford a more substantial risk of cash flow fluctuation. Project C yields greater returns and has increased risk, which can be explained by the time value of money.</w:t>
      </w:r>
    </w:p>
    <w:p w14:paraId="6B2538E8">
      <w:pPr>
        <w:pStyle w:val="3"/>
        <w:rPr>
          <w:rFonts w:eastAsia="Times New Roman"/>
          <w:lang w:bidi="ar-SA"/>
        </w:rPr>
      </w:pPr>
      <w:bookmarkStart w:id="41" w:name="_Toc214660059"/>
      <w:r>
        <w:rPr>
          <w:rFonts w:eastAsia="Times New Roman"/>
          <w:lang w:bidi="ar-SA"/>
        </w:rPr>
        <w:t>5.4 Capital Rationing Decision (≤ £60m Budget)</w:t>
      </w:r>
      <w:bookmarkEnd w:id="41"/>
    </w:p>
    <w:p w14:paraId="0E05027D">
      <w:pPr>
        <w:rPr>
          <w:lang w:bidi="ar-SA"/>
        </w:rPr>
      </w:pPr>
      <w:r>
        <w:rPr>
          <w:lang w:bidi="ar-SA"/>
        </w:rPr>
        <w:t>With the capital limit of 60 million UK, the ideal investment portfolio must focus on maximization of net present value (NPV) with risk factor consideration being made. Project A serves as a better alternative to project B because it provides the best NPV of 9.48 million pounds and an appealing internal rate of return at 22.5 pounds per cent, hence making it the perfect choice. Its short payback period of 3.57 years also increases its attractiveness by making it easier to recoup the starting cost in a shorter period of time (Wilson, 2023). Project B has a positive NPV of £6.37 million and a relatively low IRR of 18 percent, indicating that they indicate good but not great returns, although the longer payoff period of 5 years makes it less competitive than Project A, despite having a payoff within the commercial envelope and the stabl</w:t>
      </w:r>
      <w:r>
        <w:rPr>
          <w:bCs/>
          <w:lang w:bidi="ar-SA"/>
        </w:rPr>
        <w:t>e payoff (Ceylan, 2020).</w:t>
      </w:r>
    </w:p>
    <w:p w14:paraId="713D1F98">
      <w:pPr>
        <w:rPr>
          <w:lang w:bidi="ar-SA"/>
        </w:rPr>
      </w:pPr>
      <w:r>
        <w:rPr>
          <w:lang w:bidi="ar-SA"/>
        </w:rPr>
        <w:t>Project C also meets the budgetary constraint, but it is not considered, as the entry cost is an enormous 50 million pounds. It has a higher accounting rate of return (ARR) of 30 percent, but the concentration of its cash flows in its later years in the project enhances cash-flow risk and liquidity issues. In turn, Project B becomes the option of choice due to a higher value and an acceptable risk profile</w:t>
      </w:r>
      <w:r>
        <w:rPr>
          <w:bCs/>
          <w:lang w:bidi="ar-SA"/>
        </w:rPr>
        <w:t>.</w:t>
      </w:r>
    </w:p>
    <w:p w14:paraId="50F1EE2C">
      <w:pPr>
        <w:rPr>
          <w:lang w:bidi="ar-SA"/>
        </w:rPr>
      </w:pPr>
      <w:r>
        <w:rPr>
          <w:lang w:bidi="ar-SA"/>
        </w:rPr>
        <w:t>Recommendation: Use the entire amount of £40 million for project A, leaving a net of 20 million, and it can help to enhance the maximum returns of finances and leave strategic options open.</w:t>
      </w:r>
    </w:p>
    <w:p w14:paraId="127846A3">
      <w:pPr>
        <w:pStyle w:val="3"/>
        <w:rPr>
          <w:rFonts w:eastAsia="Times New Roman"/>
          <w:lang w:bidi="ar-SA"/>
        </w:rPr>
      </w:pPr>
      <w:bookmarkStart w:id="42" w:name="_Toc214660060"/>
      <w:r>
        <w:rPr>
          <w:rFonts w:eastAsia="Times New Roman"/>
          <w:lang w:bidi="ar-SA"/>
        </w:rPr>
        <w:t>5.5 Strategic Fit and Financial Justification</w:t>
      </w:r>
      <w:bookmarkEnd w:id="42"/>
    </w:p>
    <w:p w14:paraId="2B3A8733">
      <w:pPr>
        <w:rPr>
          <w:lang w:bidi="ar-SA"/>
        </w:rPr>
      </w:pPr>
      <w:r>
        <w:rPr>
          <w:lang w:bidi="ar-SA"/>
        </w:rPr>
        <w:t>This goal is in line with the idea of increasing profitability and regaining the balance sheet of the company, which represents the goal of Project A by General Electronics. Its net present value (£9.48 million) and internal rate of return (22.5 per cent) make the proposal the most appealing investment opportunity with a high level of returns in a comparatively short payback period of 3.57 years (Kang et al., 2017). This project helps in the restructuring of the company as it will create sources of cash early on, which can then be reinvested to stabilise operations, as well as to reduce debt obligations. Besides, its healthy profitability ratios are associated with the necessity to enhance financial performance and achieve sustainable growth. Picking Project A thus leads to better shareholder value and reduced financial distress, thus contributing to the long-term recovery and profitable goals of General Electronics.</w:t>
      </w:r>
    </w:p>
    <w:p w14:paraId="7F617AE7">
      <w:pPr>
        <w:pStyle w:val="3"/>
        <w:rPr>
          <w:rFonts w:eastAsia="Times New Roman"/>
          <w:lang w:bidi="ar-SA"/>
        </w:rPr>
      </w:pPr>
      <w:bookmarkStart w:id="43" w:name="_Toc214660061"/>
      <w:r>
        <w:rPr>
          <w:rFonts w:eastAsia="Times New Roman"/>
          <w:lang w:bidi="ar-SA"/>
        </w:rPr>
        <w:t>5.6 Sensitivity or Risk Discussion</w:t>
      </w:r>
      <w:bookmarkEnd w:id="43"/>
    </w:p>
    <w:p w14:paraId="59B4E5C7">
      <w:pPr>
        <w:rPr>
          <w:lang w:bidi="ar-SA"/>
        </w:rPr>
      </w:pPr>
      <w:r>
        <w:rPr>
          <w:lang w:bidi="ar-SA"/>
        </w:rPr>
        <w:t>A variation in the discount rate of 2.2 per cent will have a significant impact on the net.2 present value of both projects. In the case of Project A, where the discount rate is 10.0percent, the NPV at 8 and 12 per cent will be £11.23 and 7.47 million, respectively. With Project B, NPV will move to 7.72 (8) million and 5.15 (12) million. Net NPV of project C becomes, respectively, 0.107m and 0.0822m. These findings help to understand that Project A will resist the changes in the discount rate the most, and the performance will still be excellent despite slight changes in the cost of capital (Smith, 2022).</w:t>
      </w:r>
    </w:p>
    <w:p w14:paraId="0BDFF8DC">
      <w:pPr>
        <w:spacing w:line="276" w:lineRule="auto"/>
        <w:jc w:val="left"/>
        <w:rPr>
          <w:lang w:bidi="ar-SA"/>
        </w:rPr>
      </w:pPr>
      <w:r>
        <w:rPr>
          <w:lang w:bidi="ar-SA"/>
        </w:rPr>
        <w:br w:type="page"/>
      </w:r>
    </w:p>
    <w:p w14:paraId="115AA0A7">
      <w:pPr>
        <w:pStyle w:val="2"/>
        <w:rPr>
          <w:rFonts w:eastAsia="Times New Roman"/>
          <w:color w:val="auto"/>
          <w:lang w:bidi="ar-SA"/>
        </w:rPr>
      </w:pPr>
      <w:bookmarkStart w:id="44" w:name="_Toc214660062"/>
      <w:r>
        <w:rPr>
          <w:rFonts w:eastAsia="Times New Roman"/>
          <w:color w:val="auto"/>
          <w:lang w:bidi="ar-SA"/>
        </w:rPr>
        <w:t>6.0 Recommendations</w:t>
      </w:r>
      <w:bookmarkEnd w:id="44"/>
    </w:p>
    <w:p w14:paraId="21B6289C">
      <w:pPr>
        <w:rPr>
          <w:lang w:bidi="ar-SA"/>
        </w:rPr>
      </w:pPr>
      <w:r>
        <w:rPr>
          <w:lang w:bidi="ar-SA"/>
        </w:rPr>
        <w:t>As it has been concluded as a result of the financial analysis and investment appraisal, the following recommendations are suggested to General Electronics:</w:t>
      </w:r>
    </w:p>
    <w:p w14:paraId="6440BF83">
      <w:pPr>
        <w:pStyle w:val="29"/>
        <w:numPr>
          <w:ilvl w:val="0"/>
          <w:numId w:val="5"/>
        </w:numPr>
        <w:rPr>
          <w:lang w:bidi="ar-SA"/>
        </w:rPr>
      </w:pPr>
      <w:r>
        <w:rPr>
          <w:b/>
          <w:lang w:bidi="ar-SA"/>
        </w:rPr>
        <w:t>Redesign Operations</w:t>
      </w:r>
      <w:r>
        <w:rPr>
          <w:lang w:bidi="ar-SA"/>
        </w:rPr>
        <w:t>: Cost rationalisation should be implemented immediately in order to reduce operational inefficiencies in the company. Automation and optimisation of production processes will help in controlling the soaring operational expenses and improving profitability.</w:t>
      </w:r>
    </w:p>
    <w:p w14:paraId="22FFF270">
      <w:pPr>
        <w:pStyle w:val="29"/>
        <w:numPr>
          <w:ilvl w:val="0"/>
          <w:numId w:val="5"/>
        </w:numPr>
        <w:rPr>
          <w:lang w:bidi="ar-SA"/>
        </w:rPr>
      </w:pPr>
      <w:r>
        <w:rPr>
          <w:b/>
          <w:lang w:bidi="ar-SA"/>
        </w:rPr>
        <w:t>Project Selection</w:t>
      </w:r>
      <w:r>
        <w:rPr>
          <w:lang w:bidi="ar-SA"/>
        </w:rPr>
        <w:t>: Project A should be selected, given the capital rationing constraint, given that it has a favourable payback period of 3.4 years, a positive net present value (£1.32 million), and a high internal rate of return (11.33 per cent), signifying sustainability in the return on investment. Project C is also a very appealing alternative due to its profitability index of 50 and the internal rate of return amounting to 12.72 per cent; however, the fact that it is more expensive than Project A makes it less appealing.</w:t>
      </w:r>
    </w:p>
    <w:p w14:paraId="5004711A">
      <w:pPr>
        <w:pStyle w:val="29"/>
        <w:numPr>
          <w:ilvl w:val="0"/>
          <w:numId w:val="5"/>
        </w:numPr>
        <w:rPr>
          <w:lang w:bidi="ar-SA"/>
        </w:rPr>
      </w:pPr>
      <w:r>
        <w:rPr>
          <w:b/>
          <w:lang w:bidi="ar-SA"/>
        </w:rPr>
        <w:t>Liquidity Management</w:t>
      </w:r>
      <w:r>
        <w:rPr>
          <w:lang w:bidi="ar-SA"/>
        </w:rPr>
        <w:t>: Enhance working-capital liquidity management through strengthened credit policies and low inventory levels in order to enhance cash flow. Research on both short-term and long-term funding sources to deal with liquidity issues.</w:t>
      </w:r>
    </w:p>
    <w:p w14:paraId="791BBF37">
      <w:pPr>
        <w:rPr>
          <w:lang w:bidi="ar-SA"/>
        </w:rPr>
      </w:pPr>
      <w:r>
        <w:rPr>
          <w:lang w:bidi="ar-SA"/>
        </w:rPr>
        <w:t>These initiatives must help stabilise the financial status of General Electronics and help it provide growth opportunities in the future.</w:t>
      </w:r>
    </w:p>
    <w:p w14:paraId="2B89A155">
      <w:pPr>
        <w:pStyle w:val="2"/>
        <w:tabs>
          <w:tab w:val="center" w:pos="4680"/>
          <w:tab w:val="left" w:pos="7920"/>
        </w:tabs>
        <w:jc w:val="left"/>
        <w:rPr>
          <w:color w:val="auto"/>
          <w:lang w:bidi="ar-SA"/>
        </w:rPr>
      </w:pPr>
      <w:r>
        <w:rPr>
          <w:color w:val="auto"/>
          <w:lang w:bidi="ar-SA"/>
        </w:rPr>
        <w:tab/>
      </w:r>
    </w:p>
    <w:p w14:paraId="284B5B09">
      <w:pPr>
        <w:spacing w:line="276" w:lineRule="auto"/>
        <w:jc w:val="left"/>
        <w:rPr>
          <w:rFonts w:eastAsiaTheme="majorEastAsia" w:cstheme="majorBidi"/>
          <w:b/>
          <w:bCs/>
          <w:sz w:val="32"/>
          <w:szCs w:val="35"/>
          <w:lang w:bidi="ar-SA"/>
        </w:rPr>
      </w:pPr>
      <w:r>
        <w:rPr>
          <w:lang w:bidi="ar-SA"/>
        </w:rPr>
        <w:br w:type="page"/>
      </w:r>
    </w:p>
    <w:p w14:paraId="2A5AC32D">
      <w:pPr>
        <w:pStyle w:val="2"/>
        <w:tabs>
          <w:tab w:val="center" w:pos="4680"/>
          <w:tab w:val="left" w:pos="7920"/>
        </w:tabs>
        <w:jc w:val="left"/>
        <w:rPr>
          <w:rFonts w:eastAsia="Times New Roman"/>
          <w:color w:val="auto"/>
          <w:lang w:bidi="ar-SA"/>
        </w:rPr>
      </w:pPr>
      <w:bookmarkStart w:id="45" w:name="_Toc214660063"/>
      <w:r>
        <w:rPr>
          <w:color w:val="auto"/>
          <w:lang w:bidi="ar-SA"/>
        </w:rPr>
        <w:t>7.0 Conclusion</w:t>
      </w:r>
      <w:bookmarkEnd w:id="45"/>
      <w:r>
        <w:rPr>
          <w:color w:val="auto"/>
          <w:lang w:bidi="ar-SA"/>
        </w:rPr>
        <w:tab/>
      </w:r>
    </w:p>
    <w:p w14:paraId="76FE521D">
      <w:pPr>
        <w:rPr>
          <w:lang w:bidi="ar-SA"/>
        </w:rPr>
      </w:pPr>
      <w:r>
        <w:rPr>
          <w:lang w:bidi="ar-SA"/>
        </w:rPr>
        <w:t>The report has covered the financial position of General Electronics, management of working capital, working capital, and general investment opportunities in detail. The performance of the company has been highly strained, as it is typified by falling profitability, liquidity problems, and high debt levels. Project A should be chosen as the best investment choice based on the capital limitation or constraint available, considering its better NPV (£9.48 million) and IRR (22.5 per cent), which gives the best mix of profitability, acceptable risk, and payback period. The financial restructuring strategy (cost rationalisation, debt refinancing, and digital transformation) will also serve to strengthen the profitability and the financial stability of the company in the long run. These steps would help General Electronics to overcome the financial problems and increase shareholders' value and market competitiveness.</w:t>
      </w:r>
    </w:p>
    <w:p w14:paraId="15A1084A">
      <w:pPr>
        <w:rPr>
          <w:lang w:bidi="ar-SA"/>
        </w:rPr>
      </w:pPr>
      <w:r>
        <w:rPr>
          <w:lang w:bidi="ar-SA"/>
        </w:rPr>
        <w:br w:type="page"/>
      </w:r>
    </w:p>
    <w:p w14:paraId="5DC7CC22">
      <w:pPr>
        <w:pStyle w:val="2"/>
        <w:rPr>
          <w:rFonts w:eastAsia="Times New Roman"/>
          <w:color w:val="auto"/>
          <w:lang w:bidi="ar-SA"/>
        </w:rPr>
      </w:pPr>
      <w:bookmarkStart w:id="46" w:name="_Toc214660064"/>
      <w:r>
        <w:rPr>
          <w:color w:val="auto"/>
          <w:lang w:bidi="ar-SA"/>
        </w:rPr>
        <w:t>References</w:t>
      </w:r>
      <w:bookmarkEnd w:id="46"/>
    </w:p>
    <w:p w14:paraId="48BFCF32">
      <w:pPr>
        <w:ind w:left="720" w:hanging="720"/>
      </w:pPr>
      <w:r>
        <w:t xml:space="preserve">Awomewe, A.F. and Ogundele, O.O. (2008) ‘The importance of the Payback method in Capital budgeting decision’, </w:t>
      </w:r>
      <w:r>
        <w:rPr>
          <w:rStyle w:val="14"/>
        </w:rPr>
        <w:t>Journal of Finance and Accounting</w:t>
      </w:r>
      <w:r>
        <w:t>, 12(3), pp. 54-65.</w:t>
      </w:r>
    </w:p>
    <w:p w14:paraId="017C890F">
      <w:pPr>
        <w:ind w:left="720" w:hanging="720"/>
      </w:pPr>
      <w:r>
        <w:t xml:space="preserve">Bierman, H. (2020) </w:t>
      </w:r>
      <w:r>
        <w:rPr>
          <w:rStyle w:val="14"/>
        </w:rPr>
        <w:t>Capital budgeting</w:t>
      </w:r>
      <w:r>
        <w:t xml:space="preserve">, in </w:t>
      </w:r>
      <w:r>
        <w:rPr>
          <w:rStyle w:val="14"/>
        </w:rPr>
        <w:t>Handbook of Financial Planning and Control</w:t>
      </w:r>
      <w:r>
        <w:t>, pp. 77-89.</w:t>
      </w:r>
    </w:p>
    <w:p w14:paraId="21A2BA66">
      <w:pPr>
        <w:ind w:left="720" w:hanging="720"/>
        <w:rPr>
          <w:lang w:bidi="ar-SA"/>
        </w:rPr>
      </w:pPr>
      <w:r>
        <w:rPr>
          <w:lang w:bidi="ar-SA"/>
        </w:rPr>
        <w:t xml:space="preserve">Campello, M. (2015) ‘Corporate liquidity management’, </w:t>
      </w:r>
      <w:r>
        <w:rPr>
          <w:i/>
          <w:iCs/>
          <w:lang w:bidi="ar-SA"/>
        </w:rPr>
        <w:t>NBER Reporter</w:t>
      </w:r>
      <w:r>
        <w:rPr>
          <w:lang w:bidi="ar-SA"/>
        </w:rPr>
        <w:t>, (3), pp. 16-18.</w:t>
      </w:r>
    </w:p>
    <w:p w14:paraId="7AD5AC80">
      <w:pPr>
        <w:ind w:left="720" w:hanging="720"/>
        <w:rPr>
          <w:lang w:bidi="ar-SA"/>
        </w:rPr>
      </w:pPr>
      <w:r>
        <w:rPr>
          <w:lang w:bidi="ar-SA"/>
        </w:rPr>
        <w:t xml:space="preserve">Ceylan, I.E. (2020) ‘Measuring efficiency of working capital management: Index method’, </w:t>
      </w:r>
      <w:r>
        <w:rPr>
          <w:i/>
          <w:iCs/>
          <w:lang w:bidi="ar-SA"/>
        </w:rPr>
        <w:t>Economics Business and Organization Research</w:t>
      </w:r>
      <w:r>
        <w:rPr>
          <w:lang w:bidi="ar-SA"/>
        </w:rPr>
        <w:t>, pp. 238-246.</w:t>
      </w:r>
    </w:p>
    <w:p w14:paraId="7247A0D9">
      <w:pPr>
        <w:ind w:left="720" w:hanging="720"/>
        <w:rPr>
          <w:lang w:bidi="ar-SA"/>
        </w:rPr>
      </w:pPr>
      <w:r>
        <w:rPr>
          <w:lang w:bidi="ar-SA"/>
        </w:rPr>
        <w:t xml:space="preserve">Drury, C. and Tayles, M. (1997) ‘The misapplication of capital investment appraisal techniques’, </w:t>
      </w:r>
      <w:r>
        <w:rPr>
          <w:i/>
          <w:iCs/>
          <w:lang w:bidi="ar-SA"/>
        </w:rPr>
        <w:t>Management Decision</w:t>
      </w:r>
      <w:r>
        <w:rPr>
          <w:lang w:bidi="ar-SA"/>
        </w:rPr>
        <w:t>, 35(2), pp. 86-93.</w:t>
      </w:r>
    </w:p>
    <w:p w14:paraId="40F28E1B">
      <w:pPr>
        <w:ind w:left="720" w:hanging="720"/>
        <w:rPr>
          <w:lang w:bidi="ar-SA"/>
        </w:rPr>
      </w:pPr>
      <w:r>
        <w:rPr>
          <w:lang w:bidi="ar-SA"/>
        </w:rPr>
        <w:t xml:space="preserve">Haka, S.F. (2006) ‘A review of the literature on capital budgeting and investment appraisal: Past, present, and future musings’, </w:t>
      </w:r>
      <w:r>
        <w:rPr>
          <w:i/>
          <w:iCs/>
          <w:lang w:bidi="ar-SA"/>
        </w:rPr>
        <w:t>Handbooks of Management Accounting Research</w:t>
      </w:r>
      <w:r>
        <w:rPr>
          <w:lang w:bidi="ar-SA"/>
        </w:rPr>
        <w:t>, 2, pp. 697-728.</w:t>
      </w:r>
    </w:p>
    <w:p w14:paraId="34428397">
      <w:pPr>
        <w:ind w:left="720" w:hanging="720"/>
      </w:pPr>
      <w:r>
        <w:t xml:space="preserve">Harris, E.P. and El-Massri, M. (2011) ‘Capital investment appraisal’, in </w:t>
      </w:r>
      <w:r>
        <w:rPr>
          <w:rStyle w:val="14"/>
        </w:rPr>
        <w:t>Review of Management Accounting Research</w:t>
      </w:r>
      <w:r>
        <w:t>, Palgrave Macmillan, London, pp. 343-377.</w:t>
      </w:r>
    </w:p>
    <w:p w14:paraId="76BF1344">
      <w:pPr>
        <w:ind w:left="720" w:hanging="720"/>
        <w:rPr>
          <w:lang w:bidi="ar-SA"/>
        </w:rPr>
      </w:pPr>
      <w:r>
        <w:rPr>
          <w:lang w:bidi="ar-SA"/>
        </w:rPr>
        <w:t xml:space="preserve">Kang, H.C., Anderson, R.M., Eom, K.S. and Kang, S.K. (2017) ‘Controlling shareholders' value, long-run firm value and short-term performance’, </w:t>
      </w:r>
      <w:r>
        <w:rPr>
          <w:i/>
          <w:iCs/>
          <w:lang w:bidi="ar-SA"/>
        </w:rPr>
        <w:t>Journal of Corporate Finance</w:t>
      </w:r>
      <w:r>
        <w:rPr>
          <w:lang w:bidi="ar-SA"/>
        </w:rPr>
        <w:t>, 43, pp. 340-353.</w:t>
      </w:r>
    </w:p>
    <w:p w14:paraId="1B53089F">
      <w:pPr>
        <w:ind w:left="720" w:hanging="720"/>
        <w:rPr>
          <w:lang w:bidi="ar-SA"/>
        </w:rPr>
      </w:pPr>
      <w:r>
        <w:rPr>
          <w:lang w:bidi="ar-SA"/>
        </w:rPr>
        <w:t xml:space="preserve">Kumar Saxena, C.A. (2024) ‘Working capital management: A critical analysis of techniques and practices’, </w:t>
      </w:r>
      <w:r>
        <w:rPr>
          <w:i/>
          <w:iCs/>
          <w:lang w:bidi="ar-SA"/>
        </w:rPr>
        <w:t>Bulletin of Pure &amp; Applied Sciences-Zoology</w:t>
      </w:r>
      <w:r>
        <w:rPr>
          <w:lang w:bidi="ar-SA"/>
        </w:rPr>
        <w:t>, 43.</w:t>
      </w:r>
    </w:p>
    <w:p w14:paraId="5B7E8B69">
      <w:pPr>
        <w:ind w:left="720" w:hanging="720"/>
        <w:rPr>
          <w:lang w:bidi="ar-SA"/>
        </w:rPr>
      </w:pPr>
      <w:r>
        <w:rPr>
          <w:lang w:bidi="ar-SA"/>
        </w:rPr>
        <w:t xml:space="preserve">Mandal, P. and Al-ahdal, M.W. (2018) ‘Impact of corporate governance on financial performance of Indian electronic consumer goods firms’, </w:t>
      </w:r>
      <w:r>
        <w:rPr>
          <w:i/>
          <w:iCs/>
          <w:lang w:bidi="ar-SA"/>
        </w:rPr>
        <w:t>International Journal of Research</w:t>
      </w:r>
      <w:r>
        <w:rPr>
          <w:lang w:bidi="ar-SA"/>
        </w:rPr>
        <w:t>, 5(19), pp. 56-74.</w:t>
      </w:r>
    </w:p>
    <w:p w14:paraId="20B71835">
      <w:pPr>
        <w:ind w:left="720" w:hanging="720"/>
        <w:rPr>
          <w:lang w:bidi="ar-SA"/>
        </w:rPr>
      </w:pPr>
      <w:r>
        <w:rPr>
          <w:lang w:bidi="ar-SA"/>
        </w:rPr>
        <w:t xml:space="preserve">Oki, F. and Sivaruban, S. (2016) ‘Capital budgeting and cost evaluation techniques: A conceptual analysis’, </w:t>
      </w:r>
      <w:r>
        <w:rPr>
          <w:i/>
          <w:iCs/>
          <w:lang w:bidi="ar-SA"/>
        </w:rPr>
        <w:t>International Journal of Science and Research</w:t>
      </w:r>
      <w:r>
        <w:rPr>
          <w:lang w:bidi="ar-SA"/>
        </w:rPr>
        <w:t>, pp. 1553-1557.</w:t>
      </w:r>
    </w:p>
    <w:p w14:paraId="2B2873A9">
      <w:pPr>
        <w:ind w:left="720" w:hanging="720"/>
      </w:pPr>
      <w:r>
        <w:t xml:space="preserve">Ong, S.W., Choong Yap, V. and Khong, R.W. (2011) ‘Corporate failure prediction: A study of public listed companies in Malaysia’, </w:t>
      </w:r>
      <w:r>
        <w:rPr>
          <w:rStyle w:val="14"/>
        </w:rPr>
        <w:t>Managerial Finance</w:t>
      </w:r>
      <w:r>
        <w:t>, 37(6), pp. 553-564.</w:t>
      </w:r>
    </w:p>
    <w:p w14:paraId="49E9DC08">
      <w:pPr>
        <w:ind w:left="720" w:hanging="720"/>
        <w:rPr>
          <w:lang w:bidi="ar-SA"/>
        </w:rPr>
      </w:pPr>
      <w:r>
        <w:rPr>
          <w:lang w:bidi="ar-SA"/>
        </w:rPr>
        <w:t xml:space="preserve">Pervan, I., Pervan, M. and Kuvek, T. (2018) ‘Firm failure prediction: Financial distress model vs traditional models’, </w:t>
      </w:r>
      <w:r>
        <w:rPr>
          <w:i/>
          <w:iCs/>
          <w:lang w:bidi="ar-SA"/>
        </w:rPr>
        <w:t>Croatian Operational Research Review</w:t>
      </w:r>
      <w:r>
        <w:rPr>
          <w:lang w:bidi="ar-SA"/>
        </w:rPr>
        <w:t>, pp. 269-279.</w:t>
      </w:r>
    </w:p>
    <w:p w14:paraId="2BAAFD3E">
      <w:pPr>
        <w:ind w:left="720" w:hanging="720"/>
        <w:rPr>
          <w:lang w:bidi="ar-SA"/>
        </w:rPr>
      </w:pPr>
      <w:r>
        <w:rPr>
          <w:lang w:bidi="ar-SA"/>
        </w:rPr>
        <w:t xml:space="preserve">Popp, D., Newell, R.G. and Jaffe, A.B. (2010) ‘Energy, the environment, and technological change’, </w:t>
      </w:r>
      <w:r>
        <w:rPr>
          <w:i/>
          <w:iCs/>
          <w:lang w:bidi="ar-SA"/>
        </w:rPr>
        <w:t>Handbook of the Economics of Innovation</w:t>
      </w:r>
      <w:r>
        <w:rPr>
          <w:lang w:bidi="ar-SA"/>
        </w:rPr>
        <w:t>, 2, pp. 873-937.</w:t>
      </w:r>
    </w:p>
    <w:p w14:paraId="59C2014C">
      <w:pPr>
        <w:ind w:left="720" w:hanging="720"/>
        <w:rPr>
          <w:lang w:bidi="ar-SA"/>
        </w:rPr>
      </w:pPr>
      <w:r>
        <w:rPr>
          <w:lang w:bidi="ar-SA"/>
        </w:rPr>
        <w:t xml:space="preserve">Ramezani, C.A., Soenen, L. and Jung, A. (2002) ‘Growth, corporate profitability, and value creation’, </w:t>
      </w:r>
      <w:r>
        <w:rPr>
          <w:i/>
          <w:iCs/>
          <w:lang w:bidi="ar-SA"/>
        </w:rPr>
        <w:t>Financial Analysts Journal</w:t>
      </w:r>
      <w:r>
        <w:rPr>
          <w:lang w:bidi="ar-SA"/>
        </w:rPr>
        <w:t>, 58(6), pp. 56-67.</w:t>
      </w:r>
    </w:p>
    <w:p w14:paraId="02B8AF48">
      <w:pPr>
        <w:ind w:left="720" w:hanging="720"/>
        <w:rPr>
          <w:lang w:bidi="ar-SA"/>
        </w:rPr>
      </w:pPr>
      <w:r>
        <w:rPr>
          <w:lang w:bidi="ar-SA"/>
        </w:rPr>
        <w:t xml:space="preserve">Sartori, D., Catalano, G., Genco, M., Pancotti, C., Sirtori, E., Vignetti, S. and Del Bo, C. (2014) ‘Guide to cost-benefit analysis of investment projects’, </w:t>
      </w:r>
      <w:r>
        <w:rPr>
          <w:i/>
          <w:iCs/>
          <w:lang w:bidi="ar-SA"/>
        </w:rPr>
        <w:t>Economic Appraisal Tool for Cohesion Policy, 2020</w:t>
      </w:r>
      <w:r>
        <w:rPr>
          <w:lang w:bidi="ar-SA"/>
        </w:rPr>
        <w:t>.</w:t>
      </w:r>
    </w:p>
    <w:p w14:paraId="02291B80">
      <w:pPr>
        <w:ind w:left="720" w:hanging="720"/>
        <w:rPr>
          <w:lang w:bidi="ar-SA"/>
        </w:rPr>
      </w:pPr>
      <w:r>
        <w:rPr>
          <w:lang w:bidi="ar-SA"/>
        </w:rPr>
        <w:t xml:space="preserve">Scholleova, H., Fotr, J. and Svecova, L. (2010) ‘Investment decision making criterions in practice’, </w:t>
      </w:r>
      <w:r>
        <w:rPr>
          <w:i/>
          <w:iCs/>
          <w:lang w:bidi="ar-SA"/>
        </w:rPr>
        <w:t>Economics &amp; Management</w:t>
      </w:r>
      <w:r>
        <w:rPr>
          <w:lang w:bidi="ar-SA"/>
        </w:rPr>
        <w:t>, 15(1), pp. 1018-1023.</w:t>
      </w:r>
    </w:p>
    <w:p w14:paraId="7E10B5C5">
      <w:pPr>
        <w:ind w:left="720" w:hanging="720"/>
        <w:rPr>
          <w:lang w:bidi="ar-SA"/>
        </w:rPr>
      </w:pPr>
      <w:r>
        <w:rPr>
          <w:lang w:bidi="ar-SA"/>
        </w:rPr>
        <w:t xml:space="preserve">Shtefan, M.A. and Elizarova, J.M. (2018) ‘Investment project efficiency and risk evaluation: An integrated approach’, </w:t>
      </w:r>
      <w:r>
        <w:rPr>
          <w:i/>
          <w:iCs/>
          <w:lang w:bidi="ar-SA"/>
        </w:rPr>
        <w:t>Бизнес-информатика</w:t>
      </w:r>
      <w:r>
        <w:rPr>
          <w:lang w:bidi="ar-SA"/>
        </w:rPr>
        <w:t>, (4 (46) eng), pp. 54-65.</w:t>
      </w:r>
    </w:p>
    <w:p w14:paraId="621A4736">
      <w:pPr>
        <w:ind w:left="720" w:hanging="720"/>
        <w:rPr>
          <w:lang w:bidi="ar-SA"/>
        </w:rPr>
      </w:pPr>
      <w:r>
        <w:rPr>
          <w:lang w:bidi="ar-SA"/>
        </w:rPr>
        <w:t xml:space="preserve">Singh, H. P. and Kumar, S. (2014) ‘Working capital management: A literature review and research agenda’, </w:t>
      </w:r>
      <w:r>
        <w:rPr>
          <w:i/>
          <w:iCs/>
          <w:lang w:bidi="ar-SA"/>
        </w:rPr>
        <w:t>Qualitative Research in Financial Markets</w:t>
      </w:r>
      <w:r>
        <w:rPr>
          <w:lang w:bidi="ar-SA"/>
        </w:rPr>
        <w:t>, 6(2), pp. 173-197.</w:t>
      </w:r>
    </w:p>
    <w:p w14:paraId="252AD689">
      <w:pPr>
        <w:ind w:left="720" w:hanging="720"/>
        <w:rPr>
          <w:lang w:bidi="ar-SA"/>
        </w:rPr>
      </w:pPr>
      <w:r>
        <w:rPr>
          <w:lang w:bidi="ar-SA"/>
        </w:rPr>
        <w:t xml:space="preserve">Stefko, R., Jencova, S., Vasanicova, P. and Litavcova, E. (2019) ‘An evaluation of financial health in the electrical engineering industry’, </w:t>
      </w:r>
      <w:r>
        <w:rPr>
          <w:i/>
          <w:iCs/>
          <w:lang w:bidi="ar-SA"/>
        </w:rPr>
        <w:t>Journal of Competitiveness</w:t>
      </w:r>
      <w:r>
        <w:rPr>
          <w:lang w:bidi="ar-SA"/>
        </w:rPr>
        <w:t>, 11(4), p. 144.</w:t>
      </w:r>
    </w:p>
    <w:p w14:paraId="7774F92B">
      <w:pPr>
        <w:ind w:left="720" w:hanging="720"/>
      </w:pPr>
      <w:r>
        <w:t xml:space="preserve">Sun, J., Li, H., Huang, Q.H. and He, K.Y. (2014) ‘Predicting financial distress and corporate failure: A review from the state-of-the-art definitions, modeling, sampling, and featuring approaches’, </w:t>
      </w:r>
      <w:r>
        <w:rPr>
          <w:rStyle w:val="14"/>
        </w:rPr>
        <w:t>Knowledge-based Systems</w:t>
      </w:r>
      <w:r>
        <w:t>, 57, pp. 41-56.</w:t>
      </w:r>
    </w:p>
    <w:p w14:paraId="5D87D7B0">
      <w:pPr>
        <w:ind w:left="720" w:hanging="720"/>
        <w:rPr>
          <w:lang w:bidi="ar-SA"/>
        </w:rPr>
      </w:pPr>
      <w:r>
        <w:rPr>
          <w:lang w:bidi="ar-SA"/>
        </w:rPr>
        <w:t xml:space="preserve">Vrbka, J. and Rowland, Z. (2019) ‘Assessing the financial health of companies engaged in mining and extraction using methods of complex evaluation of enterprises’, in </w:t>
      </w:r>
      <w:r>
        <w:rPr>
          <w:i/>
          <w:iCs/>
          <w:lang w:bidi="ar-SA"/>
        </w:rPr>
        <w:t>Sustainable Growth and Development of Economic Systems: Contradictions in the Era of Digitalization and Globalization</w:t>
      </w:r>
      <w:r>
        <w:rPr>
          <w:lang w:bidi="ar-SA"/>
        </w:rPr>
        <w:t>, pp. 321-333. Cham: Springer International Publishing.</w:t>
      </w:r>
    </w:p>
    <w:p w14:paraId="3F6A5886">
      <w:pPr>
        <w:ind w:left="720" w:hanging="720"/>
        <w:rPr>
          <w:lang w:bidi="ar-SA"/>
        </w:rPr>
      </w:pPr>
      <w:r>
        <w:rPr>
          <w:lang w:bidi="ar-SA"/>
        </w:rPr>
        <w:t xml:space="preserve">Wilson, M. (2023) ‘Empirical evidence of the use of a framework of risk and return in capital budgeting for foreign direct investment’, </w:t>
      </w:r>
      <w:r>
        <w:rPr>
          <w:i/>
          <w:iCs/>
          <w:lang w:bidi="ar-SA"/>
        </w:rPr>
        <w:t>Managerial Finance</w:t>
      </w:r>
      <w:r>
        <w:rPr>
          <w:lang w:bidi="ar-SA"/>
        </w:rPr>
        <w:t>, 16(2), pp. 25-34.</w:t>
      </w:r>
    </w:p>
    <w:p w14:paraId="6E50D177">
      <w:pPr>
        <w:rPr>
          <w:b/>
          <w:bCs/>
          <w:lang w:bidi="ar-SA"/>
        </w:rPr>
      </w:pPr>
    </w:p>
    <w:p w14:paraId="2D80B4DF">
      <w:pPr>
        <w:rPr>
          <w:rFonts w:eastAsiaTheme="majorEastAsia" w:cstheme="majorBidi"/>
          <w:b/>
          <w:bCs/>
          <w:sz w:val="32"/>
          <w:szCs w:val="35"/>
          <w:lang w:bidi="ar-SA"/>
        </w:rPr>
      </w:pPr>
      <w:r>
        <w:rPr>
          <w:lang w:bidi="ar-SA"/>
        </w:rPr>
        <w:br w:type="page"/>
      </w:r>
    </w:p>
    <w:p w14:paraId="3DA7A58E">
      <w:pPr>
        <w:pStyle w:val="2"/>
        <w:rPr>
          <w:color w:val="auto"/>
          <w:lang w:bidi="ar-SA"/>
        </w:rPr>
      </w:pPr>
      <w:bookmarkStart w:id="47" w:name="_Toc214660065"/>
      <w:r>
        <w:rPr>
          <w:color w:val="auto"/>
          <w:lang w:bidi="ar-SA"/>
        </w:rPr>
        <w:t>Appendices</w:t>
      </w:r>
      <w:bookmarkEnd w:id="47"/>
    </w:p>
    <w:p w14:paraId="63870A8E">
      <w:pPr>
        <w:rPr>
          <w:lang w:bidi="ar-SA"/>
        </w:rPr>
      </w:pPr>
      <w:r>
        <w:rPr>
          <w:lang w:bidi="ar-SA"/>
        </w:rPr>
        <w:drawing>
          <wp:inline distT="0" distB="0" distL="0" distR="0">
            <wp:extent cx="6019800" cy="26435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a:xfrm>
                      <a:off x="0" y="0"/>
                      <a:ext cx="6021412" cy="2644725"/>
                    </a:xfrm>
                    <a:prstGeom prst="rect">
                      <a:avLst/>
                    </a:prstGeom>
                    <a:noFill/>
                    <a:ln>
                      <a:noFill/>
                    </a:ln>
                  </pic:spPr>
                </pic:pic>
              </a:graphicData>
            </a:graphic>
          </wp:inline>
        </w:drawing>
      </w:r>
    </w:p>
    <w:p w14:paraId="4EACDED9">
      <w:pPr>
        <w:rPr>
          <w:lang w:bidi="ar-SA"/>
        </w:rPr>
      </w:pPr>
      <w:r>
        <w:rPr>
          <w:lang w:bidi="ar-SA"/>
        </w:rPr>
        <w:drawing>
          <wp:inline distT="0" distB="0" distL="0" distR="0">
            <wp:extent cx="5943600" cy="54730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a:xfrm>
                      <a:off x="0" y="0"/>
                      <a:ext cx="5943600" cy="5473292"/>
                    </a:xfrm>
                    <a:prstGeom prst="rect">
                      <a:avLst/>
                    </a:prstGeom>
                    <a:noFill/>
                    <a:ln>
                      <a:noFill/>
                    </a:ln>
                  </pic:spPr>
                </pic:pic>
              </a:graphicData>
            </a:graphic>
          </wp:inline>
        </w:drawing>
      </w:r>
    </w:p>
    <w:p w14:paraId="58EE0EEF">
      <w:pPr>
        <w:spacing w:line="276" w:lineRule="auto"/>
        <w:jc w:val="left"/>
        <w:rPr>
          <w:lang w:bidi="ar-SA"/>
        </w:rPr>
      </w:pPr>
      <w:r>
        <w:rPr>
          <w:lang w:bidi="ar-SA"/>
        </w:rPr>
        <w:br w:type="page"/>
      </w:r>
    </w:p>
    <w:p w14:paraId="3FBFDA70">
      <w:pPr>
        <w:rPr>
          <w:lang w:bidi="ar-SA"/>
        </w:rPr>
      </w:pPr>
      <w:r>
        <w:rPr>
          <w:lang w:bidi="ar-SA"/>
        </w:rPr>
        <w:drawing>
          <wp:inline distT="0" distB="0" distL="0" distR="0">
            <wp:extent cx="5943600" cy="3925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5943600" cy="3926048"/>
                    </a:xfrm>
                    <a:prstGeom prst="rect">
                      <a:avLst/>
                    </a:prstGeom>
                    <a:noFill/>
                    <a:ln>
                      <a:noFill/>
                    </a:ln>
                  </pic:spPr>
                </pic:pic>
              </a:graphicData>
            </a:graphic>
          </wp:inline>
        </w:drawing>
      </w:r>
    </w:p>
    <w:p w14:paraId="3E2BDEF1">
      <w:r>
        <w:rPr>
          <w:lang w:bidi="ar-SA"/>
        </w:rPr>
        <w:drawing>
          <wp:inline distT="0" distB="0" distL="0" distR="0">
            <wp:extent cx="5943600" cy="18262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a:xfrm>
                      <a:off x="0" y="0"/>
                      <a:ext cx="5943600" cy="1826703"/>
                    </a:xfrm>
                    <a:prstGeom prst="rect">
                      <a:avLst/>
                    </a:prstGeom>
                    <a:noFill/>
                    <a:ln>
                      <a:noFill/>
                    </a:ln>
                  </pic:spPr>
                </pic:pic>
              </a:graphicData>
            </a:graphic>
          </wp:inline>
        </w:drawing>
      </w:r>
    </w:p>
    <w:sectPr>
      <w:footerReference r:id="rId5" w:type="default"/>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00002FF" w:usb1="4000ACFF" w:usb2="00000001" w:usb3="00000000" w:csb0="2000019F" w:csb1="00000000"/>
  </w:font>
  <w:font w:name="等线">
    <w:altName w:val="Arial Unicode MS"/>
    <w:panose1 w:val="00000000000000000000"/>
    <w:charset w:val="86"/>
    <w:family w:val="auto"/>
    <w:pitch w:val="default"/>
    <w:sig w:usb0="00000000" w:usb1="00000000" w:usb2="00000000" w:usb3="00000000" w:csb0="00000000" w:csb1="00000000"/>
  </w:font>
  <w:font w:name="Vrinda">
    <w:panose1 w:val="020B0502040204020203"/>
    <w:charset w:val="00"/>
    <w:family w:val="swiss"/>
    <w:pitch w:val="default"/>
    <w:sig w:usb0="00010003" w:usb1="00000000" w:usb2="00000000" w:usb3="00000000" w:csb0="00000001" w:csb1="00000000"/>
  </w:font>
  <w:font w:name="Calibri">
    <w:panose1 w:val="020F0502020204030204"/>
    <w:charset w:val="00"/>
    <w:family w:val="auto"/>
    <w:pitch w:val="default"/>
    <w:sig w:usb0="E00002FF" w:usb1="4000ACFF" w:usb2="00000001" w:usb3="00000000" w:csb0="2000019F" w:csb1="00000000"/>
  </w:font>
  <w:font w:name="Cambria">
    <w:panose1 w:val="02040503050406030204"/>
    <w:charset w:val="00"/>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56884370"/>
      <w:docPartObj>
        <w:docPartGallery w:val="AutoText"/>
      </w:docPartObj>
    </w:sdtPr>
    <w:sdtContent>
      <w:p w14:paraId="0EA01EE3">
        <w:pPr>
          <w:pStyle w:val="15"/>
          <w:jc w:val="right"/>
        </w:pPr>
        <w:r>
          <w:t xml:space="preserve">Page | </w:t>
        </w:r>
        <w:r>
          <w:fldChar w:fldCharType="begin"/>
        </w:r>
        <w:r>
          <w:instrText xml:space="preserve"> PAGE   \* MERGEFORMAT </w:instrText>
        </w:r>
        <w:r>
          <w:fldChar w:fldCharType="separate"/>
        </w:r>
        <w:r>
          <w:t>18</w:t>
        </w:r>
        <w:r>
          <w:fldChar w:fldCharType="end"/>
        </w:r>
        <w:r>
          <w:t xml:space="preserve"> </w:t>
        </w:r>
      </w:p>
    </w:sdtContent>
  </w:sdt>
  <w:p w14:paraId="2FCD9600">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EE522C"/>
    <w:multiLevelType w:val="multilevel"/>
    <w:tmpl w:val="00EE522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9B00F26"/>
    <w:multiLevelType w:val="multilevel"/>
    <w:tmpl w:val="29B00F2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54DA79C3"/>
    <w:multiLevelType w:val="multilevel"/>
    <w:tmpl w:val="54DA79C3"/>
    <w:lvl w:ilvl="0" w:tentative="0">
      <w:start w:val="1"/>
      <w:numFmt w:val="decimal"/>
      <w:lvlText w:val="%1."/>
      <w:lvlJc w:val="lef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5381BEA"/>
    <w:multiLevelType w:val="multilevel"/>
    <w:tmpl w:val="55381BEA"/>
    <w:lvl w:ilvl="0" w:tentative="0">
      <w:start w:val="1"/>
      <w:numFmt w:val="bullet"/>
      <w:lvlText w:val=""/>
      <w:lvlJc w:val="left"/>
      <w:pPr>
        <w:ind w:left="720" w:hanging="360"/>
      </w:pPr>
      <w:rPr>
        <w:rFonts w:hint="default" w:ascii="Symbol" w:hAnsi="Symbol"/>
      </w:rPr>
    </w:lvl>
    <w:lvl w:ilvl="1" w:tentative="0">
      <w:start w:val="0"/>
      <w:numFmt w:val="bullet"/>
      <w:lvlText w:val="•"/>
      <w:lvlJc w:val="left"/>
      <w:pPr>
        <w:ind w:left="1440" w:hanging="360"/>
      </w:pPr>
      <w:rPr>
        <w:rFonts w:hint="default" w:ascii="Arial" w:hAnsi="Arial" w:cs="Arial" w:eastAsiaTheme="minorHAnsi"/>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F6223D2"/>
    <w:multiLevelType w:val="multilevel"/>
    <w:tmpl w:val="7F6223D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NotDisplayPageBoundarie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Dc0NzKyMDA1NbU0tTRR0lEKTi0uzszPAykwrgUAGEX3liwAAAA="/>
  </w:docVars>
  <w:rsids>
    <w:rsidRoot w:val="003C76CF"/>
    <w:rsid w:val="0002176E"/>
    <w:rsid w:val="000559C2"/>
    <w:rsid w:val="00060515"/>
    <w:rsid w:val="00061159"/>
    <w:rsid w:val="00163063"/>
    <w:rsid w:val="0018095D"/>
    <w:rsid w:val="00182FE2"/>
    <w:rsid w:val="001931B4"/>
    <w:rsid w:val="0019705F"/>
    <w:rsid w:val="001C629E"/>
    <w:rsid w:val="001D73F9"/>
    <w:rsid w:val="001E6DD9"/>
    <w:rsid w:val="00205A70"/>
    <w:rsid w:val="002260DB"/>
    <w:rsid w:val="0025621D"/>
    <w:rsid w:val="0028333D"/>
    <w:rsid w:val="002D4FDC"/>
    <w:rsid w:val="002D51C0"/>
    <w:rsid w:val="002F422E"/>
    <w:rsid w:val="00314B26"/>
    <w:rsid w:val="00340778"/>
    <w:rsid w:val="00345875"/>
    <w:rsid w:val="00356972"/>
    <w:rsid w:val="00382DE3"/>
    <w:rsid w:val="00390393"/>
    <w:rsid w:val="003C76CF"/>
    <w:rsid w:val="003F5661"/>
    <w:rsid w:val="0043718F"/>
    <w:rsid w:val="00457666"/>
    <w:rsid w:val="00494796"/>
    <w:rsid w:val="004A165B"/>
    <w:rsid w:val="004B0555"/>
    <w:rsid w:val="004C10EA"/>
    <w:rsid w:val="004E1DBD"/>
    <w:rsid w:val="00535DAD"/>
    <w:rsid w:val="00596A78"/>
    <w:rsid w:val="00620FC2"/>
    <w:rsid w:val="00622EF4"/>
    <w:rsid w:val="00650ED4"/>
    <w:rsid w:val="00663FF2"/>
    <w:rsid w:val="00694D8E"/>
    <w:rsid w:val="006C2CE8"/>
    <w:rsid w:val="00702362"/>
    <w:rsid w:val="00714BD7"/>
    <w:rsid w:val="00730DF1"/>
    <w:rsid w:val="007410A6"/>
    <w:rsid w:val="00756E33"/>
    <w:rsid w:val="0079631B"/>
    <w:rsid w:val="007A4481"/>
    <w:rsid w:val="007B7872"/>
    <w:rsid w:val="007E7AFC"/>
    <w:rsid w:val="00801848"/>
    <w:rsid w:val="008044A9"/>
    <w:rsid w:val="0084365A"/>
    <w:rsid w:val="00863C51"/>
    <w:rsid w:val="00895803"/>
    <w:rsid w:val="00963482"/>
    <w:rsid w:val="009B478D"/>
    <w:rsid w:val="009D611B"/>
    <w:rsid w:val="00A07625"/>
    <w:rsid w:val="00A62DC1"/>
    <w:rsid w:val="00AB6721"/>
    <w:rsid w:val="00AC6A55"/>
    <w:rsid w:val="00AE10A9"/>
    <w:rsid w:val="00B0228F"/>
    <w:rsid w:val="00B04BA7"/>
    <w:rsid w:val="00B44FD3"/>
    <w:rsid w:val="00C4642C"/>
    <w:rsid w:val="00C7729A"/>
    <w:rsid w:val="00C92173"/>
    <w:rsid w:val="00D1213A"/>
    <w:rsid w:val="00D16AA2"/>
    <w:rsid w:val="00D71049"/>
    <w:rsid w:val="00D7366B"/>
    <w:rsid w:val="00D860D5"/>
    <w:rsid w:val="00D86989"/>
    <w:rsid w:val="00DE4B77"/>
    <w:rsid w:val="00DE58C1"/>
    <w:rsid w:val="00E22D10"/>
    <w:rsid w:val="00E713A0"/>
    <w:rsid w:val="00E813D3"/>
    <w:rsid w:val="00EC5E49"/>
    <w:rsid w:val="00ED296F"/>
    <w:rsid w:val="00F25969"/>
    <w:rsid w:val="00F32582"/>
    <w:rsid w:val="00F82464"/>
    <w:rsid w:val="47BE7790"/>
    <w:rsid w:val="79741E15"/>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Arial" w:hAnsi="Arial" w:cs="Vrinda" w:eastAsiaTheme="minorHAnsi"/>
      <w:sz w:val="24"/>
      <w:szCs w:val="28"/>
      <w:lang w:val="en-US" w:eastAsia="en-US" w:bidi="bn-IN"/>
    </w:rPr>
  </w:style>
  <w:style w:type="paragraph" w:styleId="2">
    <w:name w:val="heading 1"/>
    <w:basedOn w:val="1"/>
    <w:next w:val="1"/>
    <w:link w:val="25"/>
    <w:qFormat/>
    <w:uiPriority w:val="9"/>
    <w:pPr>
      <w:keepNext/>
      <w:keepLines/>
      <w:spacing w:before="720" w:after="240"/>
      <w:jc w:val="center"/>
      <w:outlineLvl w:val="0"/>
    </w:pPr>
    <w:rPr>
      <w:rFonts w:eastAsiaTheme="majorEastAsia" w:cstheme="majorBidi"/>
      <w:b/>
      <w:bCs/>
      <w:color w:val="17375E" w:themeColor="text2" w:themeShade="BF"/>
      <w:sz w:val="32"/>
      <w:szCs w:val="35"/>
    </w:rPr>
  </w:style>
  <w:style w:type="paragraph" w:styleId="3">
    <w:name w:val="heading 2"/>
    <w:basedOn w:val="1"/>
    <w:next w:val="1"/>
    <w:link w:val="28"/>
    <w:unhideWhenUsed/>
    <w:qFormat/>
    <w:uiPriority w:val="9"/>
    <w:pPr>
      <w:keepNext/>
      <w:keepLines/>
      <w:spacing w:before="320" w:after="120"/>
      <w:outlineLvl w:val="1"/>
    </w:pPr>
    <w:rPr>
      <w:rFonts w:eastAsiaTheme="majorEastAsia" w:cstheme="majorBidi"/>
      <w:b/>
      <w:bCs/>
      <w:sz w:val="28"/>
      <w:szCs w:val="33"/>
    </w:rPr>
  </w:style>
  <w:style w:type="paragraph" w:styleId="4">
    <w:name w:val="heading 3"/>
    <w:basedOn w:val="1"/>
    <w:next w:val="1"/>
    <w:link w:val="26"/>
    <w:unhideWhenUsed/>
    <w:qFormat/>
    <w:uiPriority w:val="9"/>
    <w:pPr>
      <w:keepNext/>
      <w:keepLines/>
      <w:spacing w:before="200" w:after="0"/>
      <w:outlineLvl w:val="2"/>
    </w:pPr>
    <w:rPr>
      <w:rFonts w:eastAsiaTheme="majorEastAsia" w:cstheme="majorBidi"/>
      <w:b/>
      <w:bCs/>
      <w:i/>
    </w:rPr>
  </w:style>
  <w:style w:type="paragraph" w:styleId="5">
    <w:name w:val="heading 4"/>
    <w:basedOn w:val="1"/>
    <w:next w:val="1"/>
    <w:link w:val="27"/>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6"/>
    <w:basedOn w:val="1"/>
    <w:next w:val="1"/>
    <w:link w:val="30"/>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character" w:default="1" w:styleId="7">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9">
    <w:name w:val="Balloon Text"/>
    <w:basedOn w:val="1"/>
    <w:link w:val="24"/>
    <w:semiHidden/>
    <w:unhideWhenUsed/>
    <w:uiPriority w:val="99"/>
    <w:pPr>
      <w:spacing w:after="0" w:line="240" w:lineRule="auto"/>
    </w:pPr>
    <w:rPr>
      <w:rFonts w:ascii="Tahoma" w:hAnsi="Tahoma" w:cs="Tahoma"/>
      <w:sz w:val="16"/>
      <w:szCs w:val="20"/>
    </w:rPr>
  </w:style>
  <w:style w:type="paragraph" w:styleId="10">
    <w:name w:val="caption"/>
    <w:basedOn w:val="1"/>
    <w:next w:val="1"/>
    <w:unhideWhenUsed/>
    <w:qFormat/>
    <w:uiPriority w:val="35"/>
    <w:pPr>
      <w:spacing w:line="240" w:lineRule="auto"/>
    </w:pPr>
    <w:rPr>
      <w:b/>
      <w:bCs/>
      <w:color w:val="4F81BD" w:themeColor="accent1"/>
      <w:sz w:val="18"/>
      <w:szCs w:val="22"/>
      <w14:textFill>
        <w14:solidFill>
          <w14:schemeClr w14:val="accent1"/>
        </w14:solidFill>
      </w14:textFill>
    </w:rPr>
  </w:style>
  <w:style w:type="character" w:styleId="11">
    <w:name w:val="annotation reference"/>
    <w:basedOn w:val="7"/>
    <w:semiHidden/>
    <w:unhideWhenUsed/>
    <w:uiPriority w:val="99"/>
    <w:rPr>
      <w:sz w:val="16"/>
      <w:szCs w:val="16"/>
    </w:rPr>
  </w:style>
  <w:style w:type="paragraph" w:styleId="12">
    <w:name w:val="annotation text"/>
    <w:basedOn w:val="1"/>
    <w:link w:val="34"/>
    <w:unhideWhenUsed/>
    <w:uiPriority w:val="99"/>
    <w:pPr>
      <w:spacing w:line="240" w:lineRule="auto"/>
    </w:pPr>
    <w:rPr>
      <w:sz w:val="20"/>
      <w:szCs w:val="25"/>
    </w:rPr>
  </w:style>
  <w:style w:type="paragraph" w:styleId="13">
    <w:name w:val="annotation subject"/>
    <w:basedOn w:val="12"/>
    <w:next w:val="12"/>
    <w:link w:val="35"/>
    <w:semiHidden/>
    <w:unhideWhenUsed/>
    <w:uiPriority w:val="99"/>
    <w:rPr>
      <w:b/>
      <w:bCs/>
    </w:rPr>
  </w:style>
  <w:style w:type="character" w:styleId="14">
    <w:name w:val="Emphasis"/>
    <w:basedOn w:val="7"/>
    <w:qFormat/>
    <w:uiPriority w:val="20"/>
    <w:rPr>
      <w:i/>
      <w:iCs/>
    </w:rPr>
  </w:style>
  <w:style w:type="paragraph" w:styleId="15">
    <w:name w:val="footer"/>
    <w:basedOn w:val="1"/>
    <w:link w:val="32"/>
    <w:unhideWhenUsed/>
    <w:uiPriority w:val="99"/>
    <w:pPr>
      <w:tabs>
        <w:tab w:val="center" w:pos="4680"/>
        <w:tab w:val="right" w:pos="9360"/>
      </w:tabs>
      <w:spacing w:after="0" w:line="240" w:lineRule="auto"/>
    </w:pPr>
  </w:style>
  <w:style w:type="paragraph" w:styleId="16">
    <w:name w:val="header"/>
    <w:basedOn w:val="1"/>
    <w:link w:val="31"/>
    <w:unhideWhenUsed/>
    <w:uiPriority w:val="99"/>
    <w:pPr>
      <w:tabs>
        <w:tab w:val="center" w:pos="4680"/>
        <w:tab w:val="right" w:pos="9360"/>
      </w:tabs>
      <w:spacing w:after="0" w:line="240" w:lineRule="auto"/>
    </w:pPr>
  </w:style>
  <w:style w:type="character" w:styleId="17">
    <w:name w:val="Hyperlink"/>
    <w:basedOn w:val="7"/>
    <w:unhideWhenUsed/>
    <w:uiPriority w:val="99"/>
    <w:rPr>
      <w:color w:val="0000FF" w:themeColor="hyperlink"/>
      <w:u w:val="single"/>
      <w14:textFill>
        <w14:solidFill>
          <w14:schemeClr w14:val="hlink"/>
        </w14:solidFill>
      </w14:textFill>
    </w:rPr>
  </w:style>
  <w:style w:type="paragraph" w:styleId="18">
    <w:name w:val="Normal (Web)"/>
    <w:basedOn w:val="1"/>
    <w:unhideWhenUsed/>
    <w:uiPriority w:val="99"/>
    <w:pPr>
      <w:spacing w:before="100" w:beforeAutospacing="1" w:after="100" w:afterAutospacing="1" w:line="240" w:lineRule="auto"/>
      <w:jc w:val="left"/>
    </w:pPr>
    <w:rPr>
      <w:rFonts w:ascii="Times New Roman" w:hAnsi="Times New Roman" w:eastAsia="Times New Roman" w:cs="Times New Roman"/>
      <w:szCs w:val="24"/>
      <w:lang w:bidi="ar-SA"/>
    </w:rPr>
  </w:style>
  <w:style w:type="character" w:styleId="19">
    <w:name w:val="Strong"/>
    <w:basedOn w:val="7"/>
    <w:qFormat/>
    <w:uiPriority w:val="22"/>
    <w:rPr>
      <w:b/>
      <w:bCs/>
    </w:rPr>
  </w:style>
  <w:style w:type="table" w:styleId="20">
    <w:name w:val="Table Grid"/>
    <w:basedOn w:val="8"/>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1">
    <w:name w:val="toc 1"/>
    <w:basedOn w:val="1"/>
    <w:next w:val="1"/>
    <w:autoRedefine/>
    <w:unhideWhenUsed/>
    <w:uiPriority w:val="39"/>
    <w:pPr>
      <w:spacing w:after="100"/>
    </w:pPr>
  </w:style>
  <w:style w:type="paragraph" w:styleId="22">
    <w:name w:val="toc 2"/>
    <w:basedOn w:val="1"/>
    <w:next w:val="1"/>
    <w:autoRedefine/>
    <w:unhideWhenUsed/>
    <w:uiPriority w:val="39"/>
    <w:pPr>
      <w:spacing w:after="100"/>
      <w:ind w:left="240"/>
    </w:pPr>
  </w:style>
  <w:style w:type="paragraph" w:styleId="23">
    <w:name w:val="toc 3"/>
    <w:basedOn w:val="1"/>
    <w:next w:val="1"/>
    <w:autoRedefine/>
    <w:unhideWhenUsed/>
    <w:uiPriority w:val="39"/>
    <w:pPr>
      <w:spacing w:after="100"/>
      <w:ind w:left="480"/>
    </w:pPr>
  </w:style>
  <w:style w:type="character" w:customStyle="1" w:styleId="24">
    <w:name w:val="Balloon Text Char"/>
    <w:basedOn w:val="7"/>
    <w:link w:val="9"/>
    <w:semiHidden/>
    <w:uiPriority w:val="99"/>
    <w:rPr>
      <w:rFonts w:ascii="Tahoma" w:hAnsi="Tahoma" w:cs="Tahoma"/>
      <w:sz w:val="16"/>
      <w:szCs w:val="20"/>
    </w:rPr>
  </w:style>
  <w:style w:type="character" w:customStyle="1" w:styleId="25">
    <w:name w:val="Heading 1 Char"/>
    <w:basedOn w:val="7"/>
    <w:link w:val="2"/>
    <w:uiPriority w:val="9"/>
    <w:rPr>
      <w:rFonts w:ascii="Arial" w:hAnsi="Arial" w:eastAsiaTheme="majorEastAsia" w:cstheme="majorBidi"/>
      <w:b/>
      <w:bCs/>
      <w:color w:val="17375E" w:themeColor="text2" w:themeShade="BF"/>
      <w:sz w:val="32"/>
      <w:szCs w:val="35"/>
    </w:rPr>
  </w:style>
  <w:style w:type="character" w:customStyle="1" w:styleId="26">
    <w:name w:val="Heading 3 Char"/>
    <w:basedOn w:val="7"/>
    <w:link w:val="4"/>
    <w:uiPriority w:val="9"/>
    <w:rPr>
      <w:rFonts w:ascii="Arial" w:hAnsi="Arial" w:eastAsiaTheme="majorEastAsia" w:cstheme="majorBidi"/>
      <w:b/>
      <w:bCs/>
      <w:i/>
      <w:sz w:val="24"/>
    </w:rPr>
  </w:style>
  <w:style w:type="character" w:customStyle="1" w:styleId="27">
    <w:name w:val="Heading 4 Char"/>
    <w:basedOn w:val="7"/>
    <w:link w:val="5"/>
    <w:semiHidden/>
    <w:uiPriority w:val="9"/>
    <w:rPr>
      <w:rFonts w:asciiTheme="majorHAnsi" w:hAnsiTheme="majorHAnsi" w:eastAsiaTheme="majorEastAsia" w:cstheme="majorBidi"/>
      <w:b/>
      <w:bCs/>
      <w:i/>
      <w:iCs/>
      <w:color w:val="4F81BD" w:themeColor="accent1"/>
      <w:sz w:val="24"/>
      <w14:textFill>
        <w14:solidFill>
          <w14:schemeClr w14:val="accent1"/>
        </w14:solidFill>
      </w14:textFill>
    </w:rPr>
  </w:style>
  <w:style w:type="character" w:customStyle="1" w:styleId="28">
    <w:name w:val="Heading 2 Char"/>
    <w:basedOn w:val="7"/>
    <w:link w:val="3"/>
    <w:uiPriority w:val="9"/>
    <w:rPr>
      <w:rFonts w:ascii="Arial" w:hAnsi="Arial" w:eastAsiaTheme="majorEastAsia" w:cstheme="majorBidi"/>
      <w:b/>
      <w:bCs/>
      <w:sz w:val="28"/>
      <w:szCs w:val="33"/>
    </w:rPr>
  </w:style>
  <w:style w:type="paragraph" w:styleId="29">
    <w:name w:val="List Paragraph"/>
    <w:basedOn w:val="1"/>
    <w:qFormat/>
    <w:uiPriority w:val="34"/>
    <w:pPr>
      <w:ind w:left="720"/>
      <w:contextualSpacing/>
    </w:pPr>
  </w:style>
  <w:style w:type="character" w:customStyle="1" w:styleId="30">
    <w:name w:val="Heading 6 Char"/>
    <w:basedOn w:val="7"/>
    <w:link w:val="6"/>
    <w:semiHidden/>
    <w:uiPriority w:val="9"/>
    <w:rPr>
      <w:rFonts w:asciiTheme="majorHAnsi" w:hAnsiTheme="majorHAnsi" w:eastAsiaTheme="majorEastAsia" w:cstheme="majorBidi"/>
      <w:i/>
      <w:iCs/>
      <w:color w:val="254061" w:themeColor="accent1" w:themeShade="80"/>
      <w:sz w:val="24"/>
    </w:rPr>
  </w:style>
  <w:style w:type="character" w:customStyle="1" w:styleId="31">
    <w:name w:val="Header Char"/>
    <w:basedOn w:val="7"/>
    <w:link w:val="16"/>
    <w:uiPriority w:val="99"/>
    <w:rPr>
      <w:rFonts w:ascii="Arial" w:hAnsi="Arial" w:cs="Vrinda"/>
      <w:sz w:val="24"/>
    </w:rPr>
  </w:style>
  <w:style w:type="character" w:customStyle="1" w:styleId="32">
    <w:name w:val="Footer Char"/>
    <w:basedOn w:val="7"/>
    <w:link w:val="15"/>
    <w:uiPriority w:val="99"/>
    <w:rPr>
      <w:rFonts w:ascii="Arial" w:hAnsi="Arial" w:cs="Vrinda"/>
      <w:sz w:val="24"/>
    </w:rPr>
  </w:style>
  <w:style w:type="paragraph" w:customStyle="1" w:styleId="33">
    <w:name w:val="TOC Heading"/>
    <w:basedOn w:val="2"/>
    <w:next w:val="1"/>
    <w:semiHidden/>
    <w:unhideWhenUsed/>
    <w:qFormat/>
    <w:uiPriority w:val="39"/>
    <w:pPr>
      <w:spacing w:before="480" w:after="0" w:line="276" w:lineRule="auto"/>
      <w:jc w:val="left"/>
      <w:outlineLvl w:val="9"/>
    </w:pPr>
    <w:rPr>
      <w:rFonts w:asciiTheme="majorHAnsi" w:hAnsiTheme="majorHAnsi"/>
      <w:color w:val="376092" w:themeColor="accent1" w:themeShade="BF"/>
      <w:sz w:val="28"/>
      <w:szCs w:val="28"/>
      <w:lang w:eastAsia="ja-JP" w:bidi="ar-SA"/>
    </w:rPr>
  </w:style>
  <w:style w:type="character" w:customStyle="1" w:styleId="34">
    <w:name w:val="Comment Text Char"/>
    <w:basedOn w:val="7"/>
    <w:link w:val="12"/>
    <w:uiPriority w:val="99"/>
    <w:rPr>
      <w:rFonts w:ascii="Arial" w:hAnsi="Arial" w:cs="Vrinda"/>
      <w:sz w:val="20"/>
      <w:szCs w:val="25"/>
    </w:rPr>
  </w:style>
  <w:style w:type="character" w:customStyle="1" w:styleId="35">
    <w:name w:val="Comment Subject Char"/>
    <w:basedOn w:val="34"/>
    <w:link w:val="13"/>
    <w:semiHidden/>
    <w:uiPriority w:val="99"/>
    <w:rPr>
      <w:rFonts w:ascii="Arial" w:hAnsi="Arial" w:cs="Vrinda"/>
      <w:b/>
      <w:bCs/>
      <w:sz w:val="20"/>
      <w:szCs w:val="25"/>
    </w:rPr>
  </w:style>
  <w:style w:type="paragraph" w:styleId="36">
    <w:name w:val="No Spacing"/>
    <w:qFormat/>
    <w:uiPriority w:val="1"/>
    <w:pPr>
      <w:spacing w:after="0" w:line="240" w:lineRule="auto"/>
      <w:jc w:val="both"/>
    </w:pPr>
    <w:rPr>
      <w:rFonts w:ascii="Arial" w:hAnsi="Arial" w:cs="Vrinda" w:eastAsiaTheme="minorHAnsi"/>
      <w:sz w:val="24"/>
      <w:szCs w:val="28"/>
      <w:lang w:val="en-US" w:eastAsia="en-US" w:bidi="bn-IN"/>
    </w:rPr>
  </w:style>
  <w:style w:type="table" w:customStyle="1" w:styleId="37">
    <w:name w:val="Plain Table 11"/>
    <w:basedOn w:val="8"/>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2.emf"/><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3" Type="http://schemas.openxmlformats.org/officeDocument/2006/relationships/fontTable" Target="fontTable.xml"/><Relationship Id="rId32" Type="http://schemas.openxmlformats.org/officeDocument/2006/relationships/customXml" Target="../customXml/item1.xml"/><Relationship Id="rId31" Type="http://schemas.openxmlformats.org/officeDocument/2006/relationships/numbering" Target="numbering.xml"/><Relationship Id="rId30" Type="http://schemas.openxmlformats.org/officeDocument/2006/relationships/image" Target="media/image21.emf"/><Relationship Id="rId3" Type="http://schemas.openxmlformats.org/officeDocument/2006/relationships/footnotes" Target="footnotes.xml"/><Relationship Id="rId29" Type="http://schemas.openxmlformats.org/officeDocument/2006/relationships/image" Target="media/image20.emf"/><Relationship Id="rId28" Type="http://schemas.openxmlformats.org/officeDocument/2006/relationships/image" Target="media/image19.emf"/><Relationship Id="rId27" Type="http://schemas.openxmlformats.org/officeDocument/2006/relationships/image" Target="media/image18.emf"/><Relationship Id="rId26" Type="http://schemas.openxmlformats.org/officeDocument/2006/relationships/image" Target="media/image17.emf"/><Relationship Id="rId25" Type="http://schemas.openxmlformats.org/officeDocument/2006/relationships/image" Target="media/image16.emf"/><Relationship Id="rId24" Type="http://schemas.openxmlformats.org/officeDocument/2006/relationships/image" Target="media/image15.emf"/><Relationship Id="rId23" Type="http://schemas.openxmlformats.org/officeDocument/2006/relationships/image" Target="media/image14.emf"/><Relationship Id="rId22" Type="http://schemas.openxmlformats.org/officeDocument/2006/relationships/image" Target="media/image13.emf"/><Relationship Id="rId21" Type="http://schemas.openxmlformats.org/officeDocument/2006/relationships/image" Target="media/image12.emf"/><Relationship Id="rId20" Type="http://schemas.openxmlformats.org/officeDocument/2006/relationships/image" Target="media/image11.emf"/><Relationship Id="rId2" Type="http://schemas.openxmlformats.org/officeDocument/2006/relationships/settings" Target="settings.xml"/><Relationship Id="rId19" Type="http://schemas.openxmlformats.org/officeDocument/2006/relationships/image" Target="media/image10.png"/><Relationship Id="rId18" Type="http://schemas.openxmlformats.org/officeDocument/2006/relationships/image" Target="media/image9.emf"/><Relationship Id="rId17" Type="http://schemas.openxmlformats.org/officeDocument/2006/relationships/chart" Target="charts/chart3.xml"/><Relationship Id="rId16" Type="http://schemas.openxmlformats.org/officeDocument/2006/relationships/image" Target="media/image8.emf"/><Relationship Id="rId15" Type="http://schemas.openxmlformats.org/officeDocument/2006/relationships/image" Target="media/image7.png"/><Relationship Id="rId14" Type="http://schemas.openxmlformats.org/officeDocument/2006/relationships/image" Target="media/image6.emf"/><Relationship Id="rId13" Type="http://schemas.openxmlformats.org/officeDocument/2006/relationships/image" Target="media/image5.png"/><Relationship Id="rId12" Type="http://schemas.openxmlformats.org/officeDocument/2006/relationships/image" Target="media/image4.emf"/><Relationship Id="rId11" Type="http://schemas.openxmlformats.org/officeDocument/2006/relationships/chart" Target="charts/chart2.xml"/><Relationship Id="rId10" Type="http://schemas.openxmlformats.org/officeDocument/2006/relationships/image" Target="media/image3.emf"/><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package" Target="../embeddings/Workbook2.xlsx"/></Relationships>
</file>

<file path=word/charts/_rels/chart2.xml.rels><?xml version="1.0" encoding="UTF-8" standalone="yes"?>
<Relationships xmlns="http://schemas.openxmlformats.org/package/2006/relationships"><Relationship Id="rId1" Type="http://schemas.openxmlformats.org/officeDocument/2006/relationships/package" Target="../embeddings/Workbook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Workbook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Sheet1!$J$6</c:f>
              <c:strCache>
                <c:ptCount val="1"/>
                <c:pt idx="0">
                  <c:v>Asset Turnover</c:v>
                </c:pt>
              </c:strCache>
            </c:strRef>
          </c:tx>
          <c:invertIfNegative val="0"/>
          <c:dLbls>
            <c:delete val="1"/>
          </c:dLbls>
          <c:cat>
            <c:numRef>
              <c:f>Sheet1!$K$5:$O$5</c:f>
              <c:numCache>
                <c:formatCode>General</c:formatCode>
                <c:ptCount val="5"/>
                <c:pt idx="0">
                  <c:v>2024</c:v>
                </c:pt>
                <c:pt idx="1">
                  <c:v>2023</c:v>
                </c:pt>
                <c:pt idx="2">
                  <c:v>2022</c:v>
                </c:pt>
                <c:pt idx="3">
                  <c:v>2021</c:v>
                </c:pt>
                <c:pt idx="4">
                  <c:v>2020</c:v>
                </c:pt>
              </c:numCache>
            </c:numRef>
          </c:cat>
          <c:val>
            <c:numRef>
              <c:f>Sheet1!$K$6:$O$6</c:f>
              <c:numCache>
                <c:formatCode>0.00</c:formatCode>
                <c:ptCount val="5"/>
                <c:pt idx="0">
                  <c:v>1.22119720182834</c:v>
                </c:pt>
                <c:pt idx="1">
                  <c:v>1.18148379192519</c:v>
                </c:pt>
                <c:pt idx="2">
                  <c:v>1.07653873846355</c:v>
                </c:pt>
                <c:pt idx="3">
                  <c:v>1.17880740200804</c:v>
                </c:pt>
                <c:pt idx="4">
                  <c:v>1.20456995042035</c:v>
                </c:pt>
              </c:numCache>
            </c:numRef>
          </c:val>
        </c:ser>
        <c:ser>
          <c:idx val="1"/>
          <c:order val="1"/>
          <c:tx>
            <c:strRef>
              <c:f>Sheet1!$J$7</c:f>
              <c:strCache>
                <c:ptCount val="1"/>
                <c:pt idx="0">
                  <c:v>Gross Profit Margin </c:v>
                </c:pt>
              </c:strCache>
            </c:strRef>
          </c:tx>
          <c:invertIfNegative val="0"/>
          <c:dLbls>
            <c:delete val="1"/>
          </c:dLbls>
          <c:cat>
            <c:numRef>
              <c:f>Sheet1!$K$5:$O$5</c:f>
              <c:numCache>
                <c:formatCode>General</c:formatCode>
                <c:ptCount val="5"/>
                <c:pt idx="0">
                  <c:v>2024</c:v>
                </c:pt>
                <c:pt idx="1">
                  <c:v>2023</c:v>
                </c:pt>
                <c:pt idx="2">
                  <c:v>2022</c:v>
                </c:pt>
                <c:pt idx="3">
                  <c:v>2021</c:v>
                </c:pt>
                <c:pt idx="4">
                  <c:v>2020</c:v>
                </c:pt>
              </c:numCache>
            </c:numRef>
          </c:cat>
          <c:val>
            <c:numRef>
              <c:f>Sheet1!$K$7:$O$7</c:f>
              <c:numCache>
                <c:formatCode>0.00%</c:formatCode>
                <c:ptCount val="5"/>
                <c:pt idx="0">
                  <c:v>0.288680836408115</c:v>
                </c:pt>
                <c:pt idx="1">
                  <c:v>0.232033240022166</c:v>
                </c:pt>
                <c:pt idx="2">
                  <c:v>0.280592758005052</c:v>
                </c:pt>
                <c:pt idx="3">
                  <c:v>0.287592129015529</c:v>
                </c:pt>
                <c:pt idx="4">
                  <c:v>0.286744322248975</c:v>
                </c:pt>
              </c:numCache>
            </c:numRef>
          </c:val>
        </c:ser>
        <c:ser>
          <c:idx val="2"/>
          <c:order val="2"/>
          <c:tx>
            <c:strRef>
              <c:f>Sheet1!$J$8</c:f>
              <c:strCache>
                <c:ptCount val="1"/>
                <c:pt idx="0">
                  <c:v>Operating Profit Margin</c:v>
                </c:pt>
              </c:strCache>
            </c:strRef>
          </c:tx>
          <c:invertIfNegative val="0"/>
          <c:dLbls>
            <c:delete val="1"/>
          </c:dLbls>
          <c:cat>
            <c:numRef>
              <c:f>Sheet1!$K$5:$O$5</c:f>
              <c:numCache>
                <c:formatCode>General</c:formatCode>
                <c:ptCount val="5"/>
                <c:pt idx="0">
                  <c:v>2024</c:v>
                </c:pt>
                <c:pt idx="1">
                  <c:v>2023</c:v>
                </c:pt>
                <c:pt idx="2">
                  <c:v>2022</c:v>
                </c:pt>
                <c:pt idx="3">
                  <c:v>2021</c:v>
                </c:pt>
                <c:pt idx="4">
                  <c:v>2020</c:v>
                </c:pt>
              </c:numCache>
            </c:numRef>
          </c:cat>
          <c:val>
            <c:numRef>
              <c:f>Sheet1!$K$8:$O$8</c:f>
              <c:numCache>
                <c:formatCode>0.00%</c:formatCode>
                <c:ptCount val="5"/>
                <c:pt idx="0">
                  <c:v>-0.0387384489932359</c:v>
                </c:pt>
                <c:pt idx="1">
                  <c:v>-0.202876869691788</c:v>
                </c:pt>
                <c:pt idx="2">
                  <c:v>0.0268041882926056</c:v>
                </c:pt>
                <c:pt idx="3">
                  <c:v>0.0386517996948148</c:v>
                </c:pt>
                <c:pt idx="4">
                  <c:v>0.0606282943970847</c:v>
                </c:pt>
              </c:numCache>
            </c:numRef>
          </c:val>
        </c:ser>
        <c:ser>
          <c:idx val="3"/>
          <c:order val="3"/>
          <c:tx>
            <c:strRef>
              <c:f>Sheet1!$J$9</c:f>
              <c:strCache>
                <c:ptCount val="1"/>
                <c:pt idx="0">
                  <c:v>ROA</c:v>
                </c:pt>
              </c:strCache>
            </c:strRef>
          </c:tx>
          <c:invertIfNegative val="0"/>
          <c:dLbls>
            <c:delete val="1"/>
          </c:dLbls>
          <c:cat>
            <c:numRef>
              <c:f>Sheet1!$K$5:$O$5</c:f>
              <c:numCache>
                <c:formatCode>General</c:formatCode>
                <c:ptCount val="5"/>
                <c:pt idx="0">
                  <c:v>2024</c:v>
                </c:pt>
                <c:pt idx="1">
                  <c:v>2023</c:v>
                </c:pt>
                <c:pt idx="2">
                  <c:v>2022</c:v>
                </c:pt>
                <c:pt idx="3">
                  <c:v>2021</c:v>
                </c:pt>
                <c:pt idx="4">
                  <c:v>2020</c:v>
                </c:pt>
              </c:numCache>
            </c:numRef>
          </c:cat>
          <c:val>
            <c:numRef>
              <c:f>Sheet1!$K$9:$O$9</c:f>
              <c:numCache>
                <c:formatCode>0.00%</c:formatCode>
                <c:ptCount val="5"/>
                <c:pt idx="0">
                  <c:v>-0.0743117450224831</c:v>
                </c:pt>
                <c:pt idx="1">
                  <c:v>-0.276048691664419</c:v>
                </c:pt>
                <c:pt idx="2">
                  <c:v>0.000807278598389806</c:v>
                </c:pt>
                <c:pt idx="3">
                  <c:v>0.0103870300265701</c:v>
                </c:pt>
                <c:pt idx="4">
                  <c:v>0.0755883909149699</c:v>
                </c:pt>
              </c:numCache>
            </c:numRef>
          </c:val>
        </c:ser>
        <c:ser>
          <c:idx val="4"/>
          <c:order val="4"/>
          <c:tx>
            <c:strRef>
              <c:f>Sheet1!$J$10</c:f>
              <c:strCache>
                <c:ptCount val="1"/>
                <c:pt idx="0">
                  <c:v>ROE</c:v>
                </c:pt>
              </c:strCache>
            </c:strRef>
          </c:tx>
          <c:invertIfNegative val="0"/>
          <c:dLbls>
            <c:delete val="1"/>
          </c:dLbls>
          <c:cat>
            <c:numRef>
              <c:f>Sheet1!$K$5:$O$5</c:f>
              <c:numCache>
                <c:formatCode>General</c:formatCode>
                <c:ptCount val="5"/>
                <c:pt idx="0">
                  <c:v>2024</c:v>
                </c:pt>
                <c:pt idx="1">
                  <c:v>2023</c:v>
                </c:pt>
                <c:pt idx="2">
                  <c:v>2022</c:v>
                </c:pt>
                <c:pt idx="3">
                  <c:v>2021</c:v>
                </c:pt>
                <c:pt idx="4">
                  <c:v>2020</c:v>
                </c:pt>
              </c:numCache>
            </c:numRef>
          </c:cat>
          <c:val>
            <c:numRef>
              <c:f>Sheet1!$K$10:$O$10</c:f>
              <c:numCache>
                <c:formatCode>0.00%</c:formatCode>
                <c:ptCount val="5"/>
                <c:pt idx="0">
                  <c:v>-0.156944580516639</c:v>
                </c:pt>
                <c:pt idx="1">
                  <c:v>-0.54906103286385</c:v>
                </c:pt>
                <c:pt idx="2">
                  <c:v>0.00151635954486859</c:v>
                </c:pt>
                <c:pt idx="3">
                  <c:v>0.0192100714262418</c:v>
                </c:pt>
                <c:pt idx="4">
                  <c:v>0.123114832062458</c:v>
                </c:pt>
              </c:numCache>
            </c:numRef>
          </c:val>
        </c:ser>
        <c:dLbls>
          <c:showLegendKey val="0"/>
          <c:showVal val="0"/>
          <c:showCatName val="0"/>
          <c:showSerName val="0"/>
          <c:showPercent val="0"/>
          <c:showBubbleSize val="0"/>
        </c:dLbls>
        <c:gapWidth val="150"/>
        <c:axId val="260027520"/>
        <c:axId val="260029440"/>
      </c:barChart>
      <c:catAx>
        <c:axId val="260027520"/>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260029440"/>
        <c:crosses val="autoZero"/>
        <c:auto val="1"/>
        <c:lblAlgn val="ctr"/>
        <c:lblOffset val="100"/>
        <c:noMultiLvlLbl val="0"/>
      </c:catAx>
      <c:valAx>
        <c:axId val="260029440"/>
        <c:scaling>
          <c:orientation val="minMax"/>
        </c:scaling>
        <c:delete val="0"/>
        <c:axPos val="l"/>
        <c:majorGridlines/>
        <c:numFmt formatCode="0.0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260027520"/>
        <c:crosses val="autoZero"/>
        <c:crossBetween val="between"/>
      </c:valAx>
      <c:spPr>
        <a:solidFill>
          <a:schemeClr val="bg1"/>
        </a:solidFill>
        <a:ln>
          <a:noFill/>
        </a:ln>
        <a:effectLst/>
      </c:spPr>
    </c:plotArea>
    <c:legend>
      <c:legendPos val="r"/>
      <c:layout/>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legend>
    <c:plotVisOnly val="1"/>
    <c:dispBlanksAs val="gap"/>
    <c:showDLblsOverMax val="0"/>
    <c:extLst>
      <c:ext uri="{0b15fc19-7d7d-44ad-8c2d-2c3a37ce22c3}">
        <chartProps xmlns="https://web.wps.cn/et/2018/main" chartId="{291f5f6a-9e85-4a78-9ac3-126b83f9c9f9}"/>
      </c:ext>
    </c:extLst>
  </c:chart>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Sheet1!$J$16</c:f>
              <c:strCache>
                <c:ptCount val="1"/>
                <c:pt idx="0">
                  <c:v>Current Ratio</c:v>
                </c:pt>
              </c:strCache>
            </c:strRef>
          </c:tx>
          <c:invertIfNegative val="0"/>
          <c:dLbls>
            <c:delete val="1"/>
          </c:dLbls>
          <c:cat>
            <c:numRef>
              <c:f>Sheet1!$K$15:$O$15</c:f>
              <c:numCache>
                <c:formatCode>General</c:formatCode>
                <c:ptCount val="5"/>
                <c:pt idx="0">
                  <c:v>2024</c:v>
                </c:pt>
                <c:pt idx="1">
                  <c:v>2023</c:v>
                </c:pt>
                <c:pt idx="2">
                  <c:v>2022</c:v>
                </c:pt>
                <c:pt idx="3">
                  <c:v>2021</c:v>
                </c:pt>
                <c:pt idx="4">
                  <c:v>2020</c:v>
                </c:pt>
              </c:numCache>
            </c:numRef>
          </c:cat>
          <c:val>
            <c:numRef>
              <c:f>Sheet1!$K$16:$O$16</c:f>
              <c:numCache>
                <c:formatCode>0.00</c:formatCode>
                <c:ptCount val="5"/>
                <c:pt idx="0">
                  <c:v>1.53195064785743</c:v>
                </c:pt>
                <c:pt idx="1">
                  <c:v>1.60629359346688</c:v>
                </c:pt>
                <c:pt idx="2">
                  <c:v>1.56158042804414</c:v>
                </c:pt>
                <c:pt idx="3">
                  <c:v>1.55519473031132</c:v>
                </c:pt>
                <c:pt idx="4">
                  <c:v>1.82075093309565</c:v>
                </c:pt>
              </c:numCache>
            </c:numRef>
          </c:val>
        </c:ser>
        <c:ser>
          <c:idx val="1"/>
          <c:order val="1"/>
          <c:tx>
            <c:strRef>
              <c:f>Sheet1!$J$17</c:f>
              <c:strCache>
                <c:ptCount val="1"/>
                <c:pt idx="0">
                  <c:v>Quick Ratio</c:v>
                </c:pt>
              </c:strCache>
            </c:strRef>
          </c:tx>
          <c:invertIfNegative val="0"/>
          <c:dLbls>
            <c:delete val="1"/>
          </c:dLbls>
          <c:cat>
            <c:numRef>
              <c:f>Sheet1!$K$15:$O$15</c:f>
              <c:numCache>
                <c:formatCode>General</c:formatCode>
                <c:ptCount val="5"/>
                <c:pt idx="0">
                  <c:v>2024</c:v>
                </c:pt>
                <c:pt idx="1">
                  <c:v>2023</c:v>
                </c:pt>
                <c:pt idx="2">
                  <c:v>2022</c:v>
                </c:pt>
                <c:pt idx="3">
                  <c:v>2021</c:v>
                </c:pt>
                <c:pt idx="4">
                  <c:v>2020</c:v>
                </c:pt>
              </c:numCache>
            </c:numRef>
          </c:cat>
          <c:val>
            <c:numRef>
              <c:f>Sheet1!$K$17:$O$17</c:f>
              <c:numCache>
                <c:formatCode>0.00</c:formatCode>
                <c:ptCount val="5"/>
                <c:pt idx="0">
                  <c:v>1.03062713609744</c:v>
                </c:pt>
                <c:pt idx="1">
                  <c:v>1.05851763596197</c:v>
                </c:pt>
                <c:pt idx="2">
                  <c:v>0.914012371057822</c:v>
                </c:pt>
                <c:pt idx="3">
                  <c:v>0.934913071355755</c:v>
                </c:pt>
                <c:pt idx="4">
                  <c:v>1.14986908807309</c:v>
                </c:pt>
              </c:numCache>
            </c:numRef>
          </c:val>
        </c:ser>
        <c:ser>
          <c:idx val="2"/>
          <c:order val="2"/>
          <c:tx>
            <c:strRef>
              <c:f>Sheet1!$J$18</c:f>
              <c:strCache>
                <c:ptCount val="1"/>
                <c:pt idx="0">
                  <c:v>Cash Ratio</c:v>
                </c:pt>
              </c:strCache>
            </c:strRef>
          </c:tx>
          <c:invertIfNegative val="0"/>
          <c:dLbls>
            <c:delete val="1"/>
          </c:dLbls>
          <c:cat>
            <c:numRef>
              <c:f>Sheet1!$K$15:$O$15</c:f>
              <c:numCache>
                <c:formatCode>General</c:formatCode>
                <c:ptCount val="5"/>
                <c:pt idx="0">
                  <c:v>2024</c:v>
                </c:pt>
                <c:pt idx="1">
                  <c:v>2023</c:v>
                </c:pt>
                <c:pt idx="2">
                  <c:v>2022</c:v>
                </c:pt>
                <c:pt idx="3">
                  <c:v>2021</c:v>
                </c:pt>
                <c:pt idx="4">
                  <c:v>2020</c:v>
                </c:pt>
              </c:numCache>
            </c:numRef>
          </c:cat>
          <c:val>
            <c:numRef>
              <c:f>Sheet1!$K$18:$O$18</c:f>
              <c:numCache>
                <c:formatCode>0.00%</c:formatCode>
                <c:ptCount val="5"/>
                <c:pt idx="0">
                  <c:v>0.169201028485511</c:v>
                </c:pt>
                <c:pt idx="1">
                  <c:v>0.265290292153797</c:v>
                </c:pt>
                <c:pt idx="2">
                  <c:v>0.308306347673844</c:v>
                </c:pt>
                <c:pt idx="3">
                  <c:v>0.2805195883517</c:v>
                </c:pt>
                <c:pt idx="4">
                  <c:v>0.318383376970642</c:v>
                </c:pt>
              </c:numCache>
            </c:numRef>
          </c:val>
        </c:ser>
        <c:dLbls>
          <c:showLegendKey val="0"/>
          <c:showVal val="0"/>
          <c:showCatName val="0"/>
          <c:showSerName val="0"/>
          <c:showPercent val="0"/>
          <c:showBubbleSize val="0"/>
        </c:dLbls>
        <c:gapWidth val="150"/>
        <c:axId val="261126400"/>
        <c:axId val="268931456"/>
      </c:barChart>
      <c:catAx>
        <c:axId val="261126400"/>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268931456"/>
        <c:crosses val="autoZero"/>
        <c:auto val="1"/>
        <c:lblAlgn val="ctr"/>
        <c:lblOffset val="100"/>
        <c:noMultiLvlLbl val="0"/>
      </c:catAx>
      <c:valAx>
        <c:axId val="268931456"/>
        <c:scaling>
          <c:orientation val="minMax"/>
        </c:scaling>
        <c:delete val="0"/>
        <c:axPos val="l"/>
        <c:majorGridlines/>
        <c:numFmt formatCode="0.0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261126400"/>
        <c:crosses val="autoZero"/>
        <c:crossBetween val="between"/>
      </c:valAx>
    </c:plotArea>
    <c:legend>
      <c:legendPos val="r"/>
      <c:layout/>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legend>
    <c:plotVisOnly val="1"/>
    <c:dispBlanksAs val="gap"/>
    <c:showDLblsOverMax val="0"/>
    <c:extLst>
      <c:ext uri="{0b15fc19-7d7d-44ad-8c2d-2c3a37ce22c3}">
        <chartProps xmlns="https://web.wps.cn/et/2018/main" chartId="{4ccf6f6d-44cc-4cd3-90e2-08346311b248}"/>
      </c:ext>
    </c:extLst>
  </c:chart>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Sheet1!$J$41</c:f>
              <c:strCache>
                <c:ptCount val="1"/>
                <c:pt idx="0">
                  <c:v>Earnings Per Share (EPS)</c:v>
                </c:pt>
              </c:strCache>
            </c:strRef>
          </c:tx>
          <c:invertIfNegative val="0"/>
          <c:dLbls>
            <c:delete val="1"/>
          </c:dLbls>
          <c:cat>
            <c:numRef>
              <c:f>Sheet1!$K$40:$O$40</c:f>
              <c:numCache>
                <c:formatCode>General</c:formatCode>
                <c:ptCount val="5"/>
                <c:pt idx="0">
                  <c:v>2024</c:v>
                </c:pt>
                <c:pt idx="1">
                  <c:v>2023</c:v>
                </c:pt>
                <c:pt idx="2">
                  <c:v>2022</c:v>
                </c:pt>
                <c:pt idx="3">
                  <c:v>2021</c:v>
                </c:pt>
                <c:pt idx="4">
                  <c:v>2020</c:v>
                </c:pt>
              </c:numCache>
            </c:numRef>
          </c:cat>
          <c:val>
            <c:numRef>
              <c:f>Sheet1!$K$41:$O$41</c:f>
              <c:numCache>
                <c:formatCode>0.00</c:formatCode>
                <c:ptCount val="5"/>
                <c:pt idx="0">
                  <c:v>-93.4980544747082</c:v>
                </c:pt>
                <c:pt idx="1">
                  <c:v>-388.292490118577</c:v>
                </c:pt>
                <c:pt idx="2">
                  <c:v>1.628</c:v>
                </c:pt>
                <c:pt idx="3">
                  <c:v>21.4615384615385</c:v>
                </c:pt>
                <c:pt idx="4">
                  <c:v>158.081967213115</c:v>
                </c:pt>
              </c:numCache>
            </c:numRef>
          </c:val>
        </c:ser>
        <c:ser>
          <c:idx val="1"/>
          <c:order val="1"/>
          <c:tx>
            <c:strRef>
              <c:f>Sheet1!$J$42</c:f>
              <c:strCache>
                <c:ptCount val="1"/>
                <c:pt idx="0">
                  <c:v>Book Value Per Share</c:v>
                </c:pt>
              </c:strCache>
            </c:strRef>
          </c:tx>
          <c:invertIfNegative val="0"/>
          <c:dLbls>
            <c:delete val="1"/>
          </c:dLbls>
          <c:cat>
            <c:numRef>
              <c:f>Sheet1!$K$40:$O$40</c:f>
              <c:numCache>
                <c:formatCode>General</c:formatCode>
                <c:ptCount val="5"/>
                <c:pt idx="0">
                  <c:v>2024</c:v>
                </c:pt>
                <c:pt idx="1">
                  <c:v>2023</c:v>
                </c:pt>
                <c:pt idx="2">
                  <c:v>2022</c:v>
                </c:pt>
                <c:pt idx="3">
                  <c:v>2021</c:v>
                </c:pt>
                <c:pt idx="4">
                  <c:v>2020</c:v>
                </c:pt>
              </c:numCache>
            </c:numRef>
          </c:cat>
          <c:val>
            <c:numRef>
              <c:f>Sheet1!$K$42:$O$42</c:f>
              <c:numCache>
                <c:formatCode>0.00</c:formatCode>
                <c:ptCount val="5"/>
                <c:pt idx="0">
                  <c:v>595.739299610895</c:v>
                </c:pt>
                <c:pt idx="1">
                  <c:v>707.193675889328</c:v>
                </c:pt>
                <c:pt idx="2">
                  <c:v>1073.624</c:v>
                </c:pt>
                <c:pt idx="3">
                  <c:v>1117.2024291498</c:v>
                </c:pt>
                <c:pt idx="4">
                  <c:v>1284.02049180328</c:v>
                </c:pt>
              </c:numCache>
            </c:numRef>
          </c:val>
        </c:ser>
        <c:ser>
          <c:idx val="2"/>
          <c:order val="2"/>
          <c:tx>
            <c:strRef>
              <c:f>Sheet1!$J$43</c:f>
              <c:strCache>
                <c:ptCount val="1"/>
                <c:pt idx="0">
                  <c:v/>
                </c:pt>
              </c:strCache>
            </c:strRef>
          </c:tx>
          <c:invertIfNegative val="0"/>
          <c:dLbls>
            <c:delete val="1"/>
          </c:dLbls>
          <c:cat>
            <c:numRef>
              <c:f>Sheet1!$K$40:$O$40</c:f>
              <c:numCache>
                <c:formatCode>General</c:formatCode>
                <c:ptCount val="5"/>
                <c:pt idx="0">
                  <c:v>2024</c:v>
                </c:pt>
                <c:pt idx="1">
                  <c:v>2023</c:v>
                </c:pt>
                <c:pt idx="2">
                  <c:v>2022</c:v>
                </c:pt>
                <c:pt idx="3">
                  <c:v>2021</c:v>
                </c:pt>
                <c:pt idx="4">
                  <c:v>2020</c:v>
                </c:pt>
              </c:numCache>
            </c:numRef>
          </c:cat>
          <c:val>
            <c:numRef>
              <c:f>Sheet1!$K$43:$O$43</c:f>
              <c:numCache>
                <c:formatCode>General</c:formatCode>
                <c:ptCount val="5"/>
              </c:numCache>
            </c:numRef>
          </c:val>
        </c:ser>
        <c:dLbls>
          <c:showLegendKey val="0"/>
          <c:showVal val="0"/>
          <c:showCatName val="0"/>
          <c:showSerName val="0"/>
          <c:showPercent val="0"/>
          <c:showBubbleSize val="0"/>
        </c:dLbls>
        <c:gapWidth val="150"/>
        <c:axId val="259331584"/>
        <c:axId val="259333120"/>
      </c:barChart>
      <c:catAx>
        <c:axId val="259331584"/>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259333120"/>
        <c:crosses val="autoZero"/>
        <c:auto val="1"/>
        <c:lblAlgn val="ctr"/>
        <c:lblOffset val="100"/>
        <c:noMultiLvlLbl val="0"/>
      </c:catAx>
      <c:valAx>
        <c:axId val="259333120"/>
        <c:scaling>
          <c:orientation val="minMax"/>
        </c:scaling>
        <c:delete val="0"/>
        <c:axPos val="l"/>
        <c:majorGridlines/>
        <c:numFmt formatCode="0.0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259331584"/>
        <c:crosses val="autoZero"/>
        <c:crossBetween val="between"/>
      </c:valAx>
    </c:plotArea>
    <c:legend>
      <c:legendPos val="r"/>
      <c:layout/>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legend>
    <c:plotVisOnly val="1"/>
    <c:dispBlanksAs val="gap"/>
    <c:showDLblsOverMax val="0"/>
    <c:extLst>
      <c:ext uri="{0b15fc19-7d7d-44ad-8c2d-2c3a37ce22c3}">
        <chartProps xmlns="https://web.wps.cn/et/2018/main" chartId="{e0fb762d-3fe6-4cd6-8a3c-f2050201247e}"/>
      </c:ext>
    </c:extLst>
  </c:chart>
  <c:txPr>
    <a:bodyPr/>
    <a:lstStyle/>
    <a:p>
      <a:pPr>
        <a:defRPr lang="en-US"/>
      </a:pPr>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DCE3C2-D309-443C-9ED1-EED0DA352882}">
  <ds:schemaRefs/>
</ds:datastoreItem>
</file>

<file path=docProps/app.xml><?xml version="1.0" encoding="utf-8"?>
<Properties xmlns="http://schemas.openxmlformats.org/officeDocument/2006/extended-properties" xmlns:vt="http://schemas.openxmlformats.org/officeDocument/2006/docPropsVTypes">
  <Template>Normal</Template>
  <Pages>36</Pages>
  <Words>7205</Words>
  <Characters>41073</Characters>
  <Lines>342</Lines>
  <Paragraphs>96</Paragraphs>
  <TotalTime>8</TotalTime>
  <ScaleCrop>false</ScaleCrop>
  <LinksUpToDate>false</LinksUpToDate>
  <CharactersWithSpaces>48182</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2025-11-09T14:35:00Z</dcterms:created>
  <dcterms:modified xsi:type="dcterms:W3CDTF">2025-11-24T01:14:22Z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37C461A348424B6A88A7DB15158853A8_12</vt:lpwstr>
  </property>
</Properties>
</file>