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rebuchet MS" w:cs="Arial Unicode MS" w:hAnsi="Trebuchet MS"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drawing>
          <wp:inline distT="0" distB="0" distL="0" distR="0">
            <wp:extent cx="2877973" cy="104851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2877973" cy="1048512"/>
                    </a:xfrm>
                    <a:prstGeom prst="rect">
                      <a:avLst/>
                    </a:prstGeom>
                    <a:ln w="19050" cap="flat">
                      <a:solidFill>
                        <a:srgbClr val="000000"/>
                      </a:solidFill>
                      <a:prstDash val="solid"/>
                      <a:round/>
                    </a:ln>
                    <a:effectLst/>
                  </pic:spPr>
                </pic:pic>
              </a:graphicData>
            </a:graphic>
          </wp:inline>
        </w:drawing>
      </w:r>
    </w:p>
    <w:p>
      <w:pPr>
        <w:pStyle w:val="Heading"/>
        <w:bidi w:val="0"/>
        <w:spacing w:before="240" w:after="60"/>
        <w:ind w:left="0" w:right="0" w:firstLine="0"/>
        <w:jc w:val="center"/>
        <w:rPr>
          <w:rFonts w:ascii="Arial" w:cs="Arial" w:hAnsi="Arial" w:eastAsia="Arial"/>
          <w:kern w:val="32"/>
          <w:sz w:val="32"/>
          <w:szCs w:val="32"/>
          <w:u w:color="000000"/>
          <w:rtl w:val="0"/>
        </w:rPr>
      </w:pPr>
      <w:r>
        <w:rPr>
          <w:rFonts w:ascii="Arial" w:hAnsi="Arial"/>
          <w:kern w:val="32"/>
          <w:sz w:val="32"/>
          <w:szCs w:val="32"/>
          <w:u w:color="000000"/>
          <w:rtl w:val="0"/>
        </w:rPr>
        <w:t>Undergraduate assignment feedback form</w:t>
      </w:r>
    </w:p>
    <w:p>
      <w:pPr>
        <w:pStyle w:val="Body"/>
        <w:bidi w:val="0"/>
        <w:ind w:left="0" w:right="0" w:firstLine="0"/>
        <w:jc w:val="center"/>
        <w:rPr>
          <w:rFonts w:ascii="Arial" w:cs="Arial" w:hAnsi="Arial" w:eastAsia="Arial"/>
          <w:b w:val="1"/>
          <w:bCs w:val="1"/>
          <w:sz w:val="24"/>
          <w:szCs w:val="24"/>
          <w:u w:color="000000"/>
          <w:rtl w:val="0"/>
        </w:rPr>
      </w:pPr>
      <w:r>
        <w:rPr>
          <w:rFonts w:ascii="Arial" w:hAnsi="Arial"/>
          <w:b w:val="1"/>
          <w:bCs w:val="1"/>
          <w:sz w:val="24"/>
          <w:szCs w:val="24"/>
          <w:u w:color="000000"/>
          <w:rtl w:val="0"/>
        </w:rPr>
        <w:t>(to be completed by marker)</w:t>
      </w:r>
    </w:p>
    <w:p>
      <w:pPr>
        <w:pStyle w:val="Body"/>
        <w:bidi w:val="0"/>
        <w:ind w:left="0" w:right="0" w:firstLine="0"/>
        <w:jc w:val="center"/>
        <w:rPr>
          <w:rFonts w:ascii="Arial" w:cs="Arial" w:hAnsi="Arial" w:eastAsia="Arial"/>
          <w:b w:val="1"/>
          <w:bCs w:val="1"/>
          <w:sz w:val="24"/>
          <w:szCs w:val="24"/>
          <w:u w:color="000000"/>
          <w:rtl w:val="0"/>
        </w:rPr>
      </w:pPr>
    </w:p>
    <w:p>
      <w:pPr>
        <w:pStyle w:val="Heading 3"/>
        <w:pBdr>
          <w:top w:val="nil"/>
          <w:left w:val="nil"/>
          <w:bottom w:val="nil"/>
          <w:right w:val="nil"/>
        </w:pBdr>
        <w:bidi w:val="0"/>
        <w:spacing w:before="0" w:after="0" w:line="240" w:lineRule="auto"/>
        <w:ind w:left="720" w:right="0" w:firstLine="0"/>
        <w:jc w:val="both"/>
        <w:rPr>
          <w:rFonts w:ascii="Trebuchet MS" w:cs="Trebuchet MS" w:hAnsi="Trebuchet MS" w:eastAsia="Trebuchet MS"/>
          <w:b w:val="1"/>
          <w:bCs w:val="1"/>
          <w:spacing w:val="0"/>
          <w:sz w:val="20"/>
          <w:szCs w:val="20"/>
          <w:u w:color="000000"/>
          <w:rtl w:val="0"/>
          <w:lang w:val="en-US"/>
        </w:rPr>
      </w:pPr>
    </w:p>
    <w:tbl>
      <w:tblPr>
        <w:tblW w:w="875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1980"/>
        <w:gridCol w:w="1987"/>
      </w:tblGrid>
      <w:tr>
        <w:tblPrEx>
          <w:shd w:val="clear" w:color="auto" w:fill="ced7e7"/>
        </w:tblPrEx>
        <w:trPr>
          <w:trHeight w:val="57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Student Name:</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 Kirsty Phillips</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rPr>
            </w:r>
          </w:p>
        </w:tc>
      </w:tr>
      <w:tr>
        <w:tblPrEx>
          <w:shd w:val="clear" w:color="auto" w:fill="ced7e7"/>
        </w:tblPrEx>
        <w:trPr>
          <w:trHeight w:val="1130"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Module Code: </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CSEN4006</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Module title: </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Historicising Texts</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Pr>
            </w:r>
          </w:p>
        </w:tc>
        <w:tc>
          <w:tcPr>
            <w:tcW w:type="dxa" w:w="396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Student number:</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 1704246</w:t>
            </w:r>
          </w:p>
        </w:tc>
      </w:tr>
      <w:tr>
        <w:tblPrEx>
          <w:shd w:val="clear" w:color="auto" w:fill="ced7e7"/>
        </w:tblPrEx>
        <w:trPr>
          <w:trHeight w:val="485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For completion by marker:</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Comments:</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r>
          </w:p>
        </w:tc>
      </w:tr>
      <w:tr>
        <w:tblPrEx>
          <w:shd w:val="clear" w:color="auto" w:fill="ced7e7"/>
        </w:tblPrEx>
        <w:trPr>
          <w:trHeight w:val="342" w:hRule="atLeast"/>
        </w:trPr>
        <w:tc>
          <w:tcPr>
            <w:tcW w:type="dxa" w:w="676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Marker</w:t>
            </w:r>
            <w:r>
              <w:rPr>
                <w:rFonts w:ascii="Calibri" w:cs="Calibri" w:hAnsi="Calibri" w:eastAsia="Calibri" w:hint="default"/>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s signature:</w:t>
            </w:r>
          </w:p>
        </w:tc>
        <w:tc>
          <w:tcPr>
            <w:tcW w:type="dxa" w:w="19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Date:</w:t>
            </w:r>
          </w:p>
        </w:tc>
      </w:tr>
      <w:tr>
        <w:tblPrEx>
          <w:shd w:val="clear" w:color="auto" w:fill="ced7e7"/>
        </w:tblPrEx>
        <w:trPr>
          <w:trHeight w:val="85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Provisional mark: </w:t>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tl w:val="0"/>
              </w:rPr>
            </w:pPr>
            <w:r>
              <w:rPr>
                <w:rFonts w:ascii="Calibri" w:cs="Calibri" w:hAnsi="Calibri" w:eastAsia="Calibri"/>
                <w:b w:val="1"/>
                <w:bCs w:val="1"/>
                <w:i w:val="1"/>
                <w:iCs w:val="1"/>
                <w:caps w:val="0"/>
                <w:smallCaps w:val="0"/>
                <w:strike w:val="0"/>
                <w:dstrike w:val="0"/>
                <w:outline w:val="0"/>
                <w:color w:val="000000"/>
                <w:spacing w:val="0"/>
                <w:kern w:val="0"/>
                <w:position w:val="0"/>
                <w:sz w:val="24"/>
                <w:szCs w:val="24"/>
                <w:u w:val="none" w:color="000000"/>
                <w:vertAlign w:val="baseline"/>
                <w:rtl w:val="0"/>
                <w:lang w:val="en-US"/>
              </w:rPr>
              <w:t>NB.</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  All marks are provisional until confirmed by the final examination board. </w:t>
            </w:r>
          </w:p>
        </w:tc>
      </w:tr>
    </w:tbl>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i w:val="1"/>
          <w:iCs w:val="1"/>
          <w:sz w:val="24"/>
          <w:szCs w:val="24"/>
        </w:rPr>
      </w:pPr>
      <w:r>
        <w:rPr>
          <w:sz w:val="24"/>
          <w:szCs w:val="24"/>
          <w:rtl w:val="0"/>
          <w:lang w:val="en-US"/>
        </w:rPr>
        <w:t>2) Analyse Marie</w:t>
      </w:r>
      <w:r>
        <w:rPr>
          <w:sz w:val="24"/>
          <w:szCs w:val="24"/>
          <w:rtl w:val="0"/>
          <w:lang w:val="en-US"/>
        </w:rPr>
        <w:t>’</w:t>
      </w:r>
      <w:r>
        <w:rPr>
          <w:sz w:val="24"/>
          <w:szCs w:val="24"/>
          <w:rtl w:val="0"/>
          <w:lang w:val="en-US"/>
        </w:rPr>
        <w:t xml:space="preserve">s use of </w:t>
      </w:r>
      <w:r>
        <w:rPr>
          <w:i w:val="1"/>
          <w:iCs w:val="1"/>
          <w:sz w:val="24"/>
          <w:szCs w:val="24"/>
          <w:rtl w:val="0"/>
          <w:lang w:val="en-US"/>
        </w:rPr>
        <w:t xml:space="preserve">descriptio </w:t>
      </w:r>
      <w:r>
        <w:rPr>
          <w:sz w:val="24"/>
          <w:szCs w:val="24"/>
          <w:rtl w:val="0"/>
          <w:lang w:val="en-US"/>
        </w:rPr>
        <w:t xml:space="preserve">in AT LEAST THREE </w:t>
      </w:r>
      <w:r>
        <w:rPr>
          <w:i w:val="1"/>
          <w:iCs w:val="1"/>
          <w:sz w:val="24"/>
          <w:szCs w:val="24"/>
          <w:rtl w:val="0"/>
          <w:lang w:val="en-US"/>
        </w:rPr>
        <w:t>lais</w:t>
      </w:r>
    </w:p>
    <w:p>
      <w:pPr>
        <w:pStyle w:val="Body"/>
        <w:spacing w:line="480" w:lineRule="auto"/>
        <w:rPr>
          <w:i w:val="1"/>
          <w:iCs w:val="1"/>
          <w:sz w:val="24"/>
          <w:szCs w:val="24"/>
        </w:rPr>
      </w:pPr>
    </w:p>
    <w:p>
      <w:pPr>
        <w:pStyle w:val="Body"/>
        <w:spacing w:line="480" w:lineRule="auto"/>
        <w:rPr>
          <w:sz w:val="24"/>
          <w:szCs w:val="24"/>
        </w:rPr>
      </w:pPr>
      <w:r>
        <w:rPr>
          <w:sz w:val="24"/>
          <w:szCs w:val="24"/>
          <w:rtl w:val="0"/>
          <w:lang w:val="en-US"/>
        </w:rPr>
        <w:t>Descriptio is constantly used in Marie de France</w:t>
      </w:r>
      <w:r>
        <w:rPr>
          <w:sz w:val="24"/>
          <w:szCs w:val="24"/>
          <w:rtl w:val="0"/>
          <w:lang w:val="en-US"/>
        </w:rPr>
        <w:t>’</w:t>
      </w:r>
      <w:r>
        <w:rPr>
          <w:sz w:val="24"/>
          <w:szCs w:val="24"/>
          <w:rtl w:val="0"/>
          <w:lang w:val="en-US"/>
        </w:rPr>
        <w:t>s lais and serve an important purpose for the reader. The descriptio is used as an emblem or a symbol to jog the readers</w:t>
      </w:r>
      <w:r>
        <w:rPr>
          <w:sz w:val="24"/>
          <w:szCs w:val="24"/>
          <w:rtl w:val="0"/>
          <w:lang w:val="en-US"/>
        </w:rPr>
        <w:t xml:space="preserve">’ </w:t>
      </w:r>
      <w:r>
        <w:rPr>
          <w:sz w:val="24"/>
          <w:szCs w:val="24"/>
          <w:rtl w:val="0"/>
          <w:lang w:val="en-US"/>
        </w:rPr>
        <w:t>memory. The descriptio is usually fairly easy to spot as it is often an object used to move the story along. Lais were commonly told and Marie was one of the first to write them down. The lais all tend to have at least one example of descriptio as the symbol reflects the most memorable part of the story being told. The descriptio often tend to be a part of or relate to one of the themes that run through all of Marie de France</w:t>
      </w:r>
      <w:r>
        <w:rPr>
          <w:sz w:val="24"/>
          <w:szCs w:val="24"/>
          <w:rtl w:val="0"/>
          <w:lang w:val="en-US"/>
        </w:rPr>
        <w:t>’</w:t>
      </w:r>
      <w:r>
        <w:rPr>
          <w:sz w:val="24"/>
          <w:szCs w:val="24"/>
          <w:rtl w:val="0"/>
          <w:lang w:val="en-US"/>
        </w:rPr>
        <w:t>s lais. In almost all of the lais, an issue arrises and depending on the lai, it is either fixed or things fall apart. The descriptio in each lai is extremely important on whether or not the lai is memorable which is why there are different types of descriptio in each lai.</w:t>
      </w:r>
    </w:p>
    <w:p>
      <w:pPr>
        <w:pStyle w:val="Body"/>
        <w:spacing w:line="480" w:lineRule="auto"/>
        <w:rPr>
          <w:sz w:val="24"/>
          <w:szCs w:val="24"/>
        </w:rPr>
      </w:pPr>
    </w:p>
    <w:p>
      <w:pPr>
        <w:pStyle w:val="Body"/>
        <w:spacing w:line="480" w:lineRule="auto"/>
        <w:rPr>
          <w:sz w:val="24"/>
          <w:szCs w:val="24"/>
        </w:rPr>
      </w:pPr>
      <w:r>
        <w:rPr>
          <w:sz w:val="24"/>
          <w:szCs w:val="24"/>
          <w:rtl w:val="0"/>
          <w:lang w:val="en-US"/>
        </w:rPr>
        <w:t>Many of Marie</w:t>
      </w:r>
      <w:r>
        <w:rPr>
          <w:sz w:val="24"/>
          <w:szCs w:val="24"/>
          <w:rtl w:val="0"/>
          <w:lang w:val="en-US"/>
        </w:rPr>
        <w:t>’</w:t>
      </w:r>
      <w:r>
        <w:rPr>
          <w:sz w:val="24"/>
          <w:szCs w:val="24"/>
          <w:rtl w:val="0"/>
          <w:lang w:val="en-US"/>
        </w:rPr>
        <w:t>s lais have a running theme of possessiveness throughout. This is clearly shown by the descriptio that is used in the lai. Descriptio is used to remind the reader of things that may have been missed at first glance. A key feature and descriptio in Guigemar are the murals on the wall in the Lady</w:t>
      </w:r>
      <w:r>
        <w:rPr>
          <w:sz w:val="24"/>
          <w:szCs w:val="24"/>
          <w:rtl w:val="0"/>
          <w:lang w:val="en-US"/>
        </w:rPr>
        <w:t>’</w:t>
      </w:r>
      <w:r>
        <w:rPr>
          <w:sz w:val="24"/>
          <w:szCs w:val="24"/>
          <w:rtl w:val="0"/>
          <w:lang w:val="en-US"/>
        </w:rPr>
        <w:t xml:space="preserve">s chamber. The murals are an example of descriptio while also being a key feature to show the reader that there is possessiveness running through the lai. The murals are an interesting object for descriptio as they begin by reminding you that the Lady is in an enclosed chamber without the Lord although she is guarded day and night. Although the Lord is not there, she is still not free at all and the murals remind the reader of this entire part of the lai. Although this piece of descriptio already shows that there is possessiveness in the lai, the murals themselves are of Venus putting </w:t>
      </w:r>
      <w:r>
        <w:rPr>
          <w:sz w:val="24"/>
          <w:szCs w:val="24"/>
          <w:rtl w:val="0"/>
          <w:lang w:val="en-US"/>
        </w:rPr>
        <w:t>‘</w:t>
      </w:r>
      <w:r>
        <w:rPr>
          <w:sz w:val="24"/>
          <w:szCs w:val="24"/>
          <w:rtl w:val="0"/>
          <w:lang w:val="en-US"/>
        </w:rPr>
        <w:t>The book of Ovid</w:t>
      </w:r>
      <w:r>
        <w:rPr>
          <w:sz w:val="24"/>
          <w:szCs w:val="24"/>
          <w:rtl w:val="0"/>
          <w:lang w:val="en-US"/>
        </w:rPr>
        <w:t xml:space="preserve">’ </w:t>
      </w:r>
      <w:r>
        <w:rPr>
          <w:sz w:val="24"/>
          <w:szCs w:val="24"/>
          <w:rtl w:val="0"/>
          <w:lang w:val="en-US"/>
        </w:rPr>
        <w:t>on a fire. This book is often known as a book of how to control. By putting this on the fire, it shows that Venus does not want to be controlled anymore which is exactly what the Lady feels. It is as though the popular idea of women in Medieval times being controlled by men is being burnt. Guigemar and the Lady have an adulterous relationship behind the Lord</w:t>
      </w:r>
      <w:r>
        <w:rPr>
          <w:sz w:val="24"/>
          <w:szCs w:val="24"/>
          <w:rtl w:val="0"/>
          <w:lang w:val="en-US"/>
        </w:rPr>
        <w:t>’</w:t>
      </w:r>
      <w:r>
        <w:rPr>
          <w:sz w:val="24"/>
          <w:szCs w:val="24"/>
          <w:rtl w:val="0"/>
          <w:lang w:val="en-US"/>
        </w:rPr>
        <w:t>s back and this piece of descriptio shows that the Lady did not want to be controlled by the Lord at all and wanted to live freely for herself. This form of descriptio is important to the story of Guigemar as many of the lais and the descriptio within have a message. In this case, it is that love should be freely given and not controlled by a member of the relationship.</w:t>
      </w:r>
      <w:r>
        <w:rPr>
          <w:sz w:val="24"/>
          <w:szCs w:val="24"/>
          <w:vertAlign w:val="superscript"/>
        </w:rPr>
        <w:footnoteReference w:id="1"/>
      </w:r>
    </w:p>
    <w:p>
      <w:pPr>
        <w:pStyle w:val="Body"/>
        <w:spacing w:line="480" w:lineRule="auto"/>
        <w:rPr>
          <w:sz w:val="24"/>
          <w:szCs w:val="24"/>
        </w:rPr>
      </w:pPr>
    </w:p>
    <w:p>
      <w:pPr>
        <w:pStyle w:val="Body"/>
        <w:spacing w:line="480" w:lineRule="auto"/>
        <w:rPr>
          <w:sz w:val="24"/>
          <w:szCs w:val="24"/>
        </w:rPr>
      </w:pPr>
      <w:r>
        <w:rPr>
          <w:sz w:val="24"/>
          <w:szCs w:val="24"/>
          <w:rtl w:val="0"/>
          <w:lang w:val="en-US"/>
        </w:rPr>
        <w:t>In the lai of Guigemar, the Lady ties a knot in Guigemar</w:t>
      </w:r>
      <w:r>
        <w:rPr>
          <w:sz w:val="24"/>
          <w:szCs w:val="24"/>
          <w:rtl w:val="0"/>
          <w:lang w:val="en-US"/>
        </w:rPr>
        <w:t>’</w:t>
      </w:r>
      <w:r>
        <w:rPr>
          <w:sz w:val="24"/>
          <w:szCs w:val="24"/>
          <w:rtl w:val="0"/>
          <w:lang w:val="en-US"/>
        </w:rPr>
        <w:t>s chemise and he is free if any other lady can untie it. The Lady is also given a chastity belt as she can then be faithful to Guigemar until their deal is over. These two gestures are a part of descriptio and clearly show that neither of the two have freedom. One could argue that Guigemar has more freedom than the Lady as he can still have sexual encounters with a knot in his chemise. Although it is an understandable argument, it was a deal made between the two in question suggesting that they both must have agreed. It seems as though the pair do not have an equal relationship and the Lady is a possession of Guigemar</w:t>
      </w:r>
      <w:r>
        <w:rPr>
          <w:sz w:val="24"/>
          <w:szCs w:val="24"/>
          <w:rtl w:val="0"/>
          <w:lang w:val="en-US"/>
        </w:rPr>
        <w:t>’</w:t>
      </w:r>
      <w:r>
        <w:rPr>
          <w:sz w:val="24"/>
          <w:szCs w:val="24"/>
          <w:rtl w:val="0"/>
          <w:lang w:val="en-US"/>
        </w:rPr>
        <w:t>s as he can control how faithful the Lady is to the relationship whereas the Lady does not restrict Guigemar when it comes to being intimate with other partners. The Lady suggests that Guigemar must be faithful for as long as the knot is in his chemise but she would not know if he was participating in an adulterous relationship within their relationship as she can only take his word for it.</w:t>
      </w:r>
      <w:r>
        <w:rPr>
          <w:sz w:val="24"/>
          <w:szCs w:val="24"/>
          <w:vertAlign w:val="superscript"/>
        </w:rPr>
        <w:footnoteReference w:id="2"/>
      </w:r>
    </w:p>
    <w:p>
      <w:pPr>
        <w:pStyle w:val="Body"/>
        <w:spacing w:line="480" w:lineRule="auto"/>
        <w:rPr>
          <w:sz w:val="24"/>
          <w:szCs w:val="24"/>
        </w:rPr>
      </w:pPr>
    </w:p>
    <w:p>
      <w:pPr>
        <w:pStyle w:val="Body"/>
        <w:spacing w:line="480" w:lineRule="auto"/>
        <w:rPr>
          <w:sz w:val="24"/>
          <w:szCs w:val="24"/>
        </w:rPr>
      </w:pPr>
      <w:r>
        <w:rPr>
          <w:sz w:val="24"/>
          <w:szCs w:val="24"/>
          <w:rtl w:val="0"/>
          <w:lang w:val="en-US"/>
        </w:rPr>
        <w:t>R. T. Pickens states that the lai of Equitan has a good deal in common with Guigemar thematically. This is true as there are also clear signs of possessiveness in Equitan which can be found through descriptio. The rings that are exchanged in Equitan are the form of descriptio that show possessiveness. The rings are exchanged although they are originally associated with marriage and being devoted to a particular person. The descriptio in Equitan shows that the love is seen as more of a deal than as fate as the King hopes to possess the lady although Equitan uses chivalry to get what he wants. Equitan is different to Guigemar who scorns love but eventually finds a person who he claims to love.</w:t>
      </w:r>
      <w:r>
        <w:rPr>
          <w:sz w:val="24"/>
          <w:szCs w:val="24"/>
          <w:vertAlign w:val="superscript"/>
        </w:rPr>
        <w:footnoteReference w:id="3"/>
      </w:r>
      <w:r>
        <w:rPr>
          <w:sz w:val="24"/>
          <w:szCs w:val="24"/>
          <w:rtl w:val="0"/>
          <w:lang w:val="en-US"/>
        </w:rPr>
        <w:t xml:space="preserve"> </w:t>
      </w:r>
    </w:p>
    <w:p>
      <w:pPr>
        <w:pStyle w:val="Body"/>
        <w:spacing w:line="480" w:lineRule="auto"/>
        <w:rPr>
          <w:sz w:val="24"/>
          <w:szCs w:val="24"/>
        </w:rPr>
      </w:pPr>
    </w:p>
    <w:p>
      <w:pPr>
        <w:pStyle w:val="Body"/>
        <w:spacing w:line="480" w:lineRule="auto"/>
        <w:rPr>
          <w:sz w:val="24"/>
          <w:szCs w:val="24"/>
        </w:rPr>
      </w:pPr>
      <w:r>
        <w:rPr>
          <w:sz w:val="24"/>
          <w:szCs w:val="24"/>
          <w:rtl w:val="0"/>
          <w:lang w:val="en-US"/>
        </w:rPr>
        <w:t>Laustic is similar to Guigemar, Equitan and many of the other lais by Marie as it is clear that the Lady is being possessed by the Lord. She is treated as his possession as he questions why she keeps leaving during the night and does not enjoy the answer that she gives about the nightingales. The nightingale in Laustic is a key feature of the entire story and helps the story move along. These are factors of descriptio. The nightingale is killed in Laustic, on the Lord</w:t>
      </w:r>
      <w:r>
        <w:rPr>
          <w:sz w:val="24"/>
          <w:szCs w:val="24"/>
          <w:rtl w:val="0"/>
          <w:lang w:val="en-US"/>
        </w:rPr>
        <w:t>’</w:t>
      </w:r>
      <w:r>
        <w:rPr>
          <w:sz w:val="24"/>
          <w:szCs w:val="24"/>
          <w:rtl w:val="0"/>
          <w:lang w:val="en-US"/>
        </w:rPr>
        <w:t>s request. The Lord killing the nightingale could be an act of power as the Lord attempts to show the Lady that he holds power over her and the routine of her life. By killing the bird, the Lord is seen as a strong man that can get what he wants if it is requested by him. There is a chance that the Lord knows that something else is going on with the Lady and she is not going to listen to the nightingales during the evenings. If this is the case, the Lord may have killed the nightingale as he wanted to show the Lady that if anything adulterous was going on, he could do to her or her beloved, the same thing as he did to the bird. This would show that the Lord is strong and holds power over the Lady once again. The descriptio of a bird could often suggest freedom. It seems as though restricting the bird</w:t>
      </w:r>
      <w:r>
        <w:rPr>
          <w:sz w:val="24"/>
          <w:szCs w:val="24"/>
          <w:rtl w:val="0"/>
          <w:lang w:val="en-US"/>
        </w:rPr>
        <w:t>’</w:t>
      </w:r>
      <w:r>
        <w:rPr>
          <w:sz w:val="24"/>
          <w:szCs w:val="24"/>
          <w:rtl w:val="0"/>
          <w:lang w:val="en-US"/>
        </w:rPr>
        <w:t>s freedom by killing it is almost what he is doing to the Lady. By killing the nightingale, the Lord is showing that he has power over the Lady and can restrict her freedom if he wants to do so. The descriptio of the bird, especially after it is killed is almost a representation of the Lady as she is treated badly as a possession that he has a power over.</w:t>
      </w:r>
      <w:r>
        <w:rPr>
          <w:sz w:val="24"/>
          <w:szCs w:val="24"/>
          <w:vertAlign w:val="superscript"/>
        </w:rPr>
        <w:footnoteReference w:id="4"/>
      </w:r>
    </w:p>
    <w:p>
      <w:pPr>
        <w:pStyle w:val="Body"/>
        <w:spacing w:line="480" w:lineRule="auto"/>
        <w:rPr>
          <w:sz w:val="24"/>
          <w:szCs w:val="24"/>
        </w:rPr>
      </w:pPr>
    </w:p>
    <w:p>
      <w:pPr>
        <w:pStyle w:val="Body"/>
        <w:spacing w:line="480" w:lineRule="auto"/>
        <w:rPr>
          <w:sz w:val="24"/>
          <w:szCs w:val="24"/>
        </w:rPr>
      </w:pPr>
      <w:r>
        <w:rPr>
          <w:sz w:val="24"/>
          <w:szCs w:val="24"/>
          <w:rtl w:val="0"/>
          <w:lang w:val="en-US"/>
        </w:rPr>
        <w:t>Reading Marie</w:t>
      </w:r>
      <w:r>
        <w:rPr>
          <w:sz w:val="24"/>
          <w:szCs w:val="24"/>
          <w:rtl w:val="0"/>
          <w:lang w:val="en-US"/>
        </w:rPr>
        <w:t>’</w:t>
      </w:r>
      <w:r>
        <w:rPr>
          <w:sz w:val="24"/>
          <w:szCs w:val="24"/>
          <w:rtl w:val="0"/>
          <w:lang w:val="en-US"/>
        </w:rPr>
        <w:t>s lais allows the reader to make connections between each individual lai. For example, almost all of the characters whose attitudes and activities Marie agrees with are described as being knights. Each lai also has an element of pain running through it whether it is emotional or physical and whether it is resolved or not. Bisclavret and Le Fresne are both victims of the ruthlessness of the world, but the eponymous characters have a positive ending to their stories.</w:t>
      </w:r>
    </w:p>
    <w:p>
      <w:pPr>
        <w:pStyle w:val="Body"/>
        <w:spacing w:line="480" w:lineRule="auto"/>
        <w:rPr>
          <w:sz w:val="24"/>
          <w:szCs w:val="24"/>
        </w:rPr>
      </w:pPr>
    </w:p>
    <w:p>
      <w:pPr>
        <w:pStyle w:val="Body"/>
        <w:spacing w:line="480" w:lineRule="auto"/>
        <w:rPr>
          <w:sz w:val="24"/>
          <w:szCs w:val="24"/>
        </w:rPr>
      </w:pPr>
      <w:r>
        <w:rPr>
          <w:sz w:val="24"/>
          <w:szCs w:val="24"/>
          <w:rtl w:val="0"/>
          <w:lang w:val="en-US"/>
        </w:rPr>
        <w:t>Le Fresne is a piece where the two items of descriptio - the ring and the brocade, represent the beginning and the end of the piece. Although the ring that is given to Le Fresne at birth represents the fact that she is of a noble and respectable background, it also represents the pain that she has experienced since being neglected from birth and the hurt that she must have felt after discovering tat her identity had been taken away from her as she was not treated as though she was of a noble birth. Le Fresne gives the ring away, although it was the only thing that she had left of her nobility and of her original biological parents. This is a very self-sacrificial thing to do yet must also have really hurt. Although it is the same as having a fresh start, it was also the only thing that Le Fresne had left of her past. It is a very noble thing to do although it must have been painful. Without the descriptio of the ring, the pain would not have been as expressed throughout the lai and the story would not have come full circle from the beginning to end with the brocade and the ring playing the key parts.</w:t>
      </w:r>
      <w:r>
        <w:rPr>
          <w:sz w:val="24"/>
          <w:szCs w:val="24"/>
          <w:vertAlign w:val="superscript"/>
        </w:rPr>
        <w:footnoteReference w:id="5"/>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The lai of Guigemar is full of descriptio throughout the entire thing. The first piece of descriptio we see in the piece is the character going hunting and having an encounter with the hind. The androgynous hind is a key part of the story and is interesting when the reader gets further through the lai. The pain begins as Guigemar strikes the hind and then gets hurt himself. At this point both of them are in physical pain. The hind seems to be mystical as it can speak and tells Guigemar what he can do to feel better physically, making the story move on and the reader knows what to expect further along in that particular lai. Guigemar goes through both physical and emotional pain in his lai. The hind states that Guigemar will only feel better if he is </w:t>
      </w:r>
      <w:r>
        <w:rPr>
          <w:sz w:val="24"/>
          <w:szCs w:val="24"/>
          <w:rtl w:val="0"/>
          <w:lang w:val="en-US"/>
        </w:rPr>
        <w:t>“</w:t>
      </w:r>
      <w:r>
        <w:rPr>
          <w:sz w:val="24"/>
          <w:szCs w:val="24"/>
          <w:rtl w:val="0"/>
          <w:lang w:val="en-US"/>
        </w:rPr>
        <w:t>cured by a woman who will suffer</w:t>
      </w:r>
      <w:r>
        <w:rPr>
          <w:sz w:val="24"/>
          <w:szCs w:val="24"/>
          <w:rtl w:val="0"/>
          <w:lang w:val="en-US"/>
        </w:rPr>
        <w:t xml:space="preserve">…” </w:t>
      </w:r>
      <w:r>
        <w:rPr>
          <w:sz w:val="24"/>
          <w:szCs w:val="24"/>
          <w:rtl w:val="0"/>
          <w:lang w:val="en-US"/>
        </w:rPr>
        <w:t xml:space="preserve">suggesting that his physical pain will not go away until he feels internal and emotional pain due to a woman. Although we discover that Guigemar </w:t>
      </w:r>
      <w:r>
        <w:rPr>
          <w:sz w:val="24"/>
          <w:szCs w:val="24"/>
          <w:rtl w:val="0"/>
          <w:lang w:val="en-US"/>
        </w:rPr>
        <w:t>“</w:t>
      </w:r>
      <w:r>
        <w:rPr>
          <w:sz w:val="24"/>
          <w:szCs w:val="24"/>
          <w:rtl w:val="0"/>
          <w:lang w:val="en-US"/>
        </w:rPr>
        <w:t>scorns love</w:t>
      </w:r>
      <w:r>
        <w:rPr>
          <w:sz w:val="24"/>
          <w:szCs w:val="24"/>
          <w:rtl w:val="0"/>
          <w:lang w:val="en-US"/>
        </w:rPr>
        <w:t xml:space="preserve">” </w:t>
      </w:r>
      <w:r>
        <w:rPr>
          <w:sz w:val="24"/>
          <w:szCs w:val="24"/>
          <w:rtl w:val="0"/>
          <w:lang w:val="en-US"/>
        </w:rPr>
        <w:t>as it states at the beginning of Marie</w:t>
      </w:r>
      <w:r>
        <w:rPr>
          <w:sz w:val="24"/>
          <w:szCs w:val="24"/>
          <w:rtl w:val="0"/>
          <w:lang w:val="en-US"/>
        </w:rPr>
        <w:t>’</w:t>
      </w:r>
      <w:r>
        <w:rPr>
          <w:sz w:val="24"/>
          <w:szCs w:val="24"/>
          <w:rtl w:val="0"/>
          <w:lang w:val="en-US"/>
        </w:rPr>
        <w:t>s lai, he must feel some type of internal pain that he does not have the ability to stay with her for a long time. The hind is a key feature to the story of Guigemar and helps the story move along as well as shaping the story and allowing the reader to understand the quest that Guigemar must go on to feel better and to no longer feel physical hurt. To summarise the descriptio in Guigemar, each piece of descriptio relates to a different episode. For example, the white androgynous hind relates to the hunting episode which may sound out of place to begin but it is the first episode that sends Guigemar on his quest for love. This shows how important descriptio is in each lai. Without the descriptio, the story would be unable to move on and would be incomplete.</w:t>
      </w:r>
      <w:r>
        <w:rPr>
          <w:sz w:val="24"/>
          <w:szCs w:val="24"/>
          <w:vertAlign w:val="superscript"/>
        </w:rPr>
        <w:footnoteReference w:id="6"/>
      </w:r>
    </w:p>
    <w:p>
      <w:pPr>
        <w:pStyle w:val="Body"/>
        <w:spacing w:line="480" w:lineRule="auto"/>
        <w:rPr>
          <w:sz w:val="24"/>
          <w:szCs w:val="24"/>
        </w:rPr>
      </w:pPr>
    </w:p>
    <w:p>
      <w:pPr>
        <w:pStyle w:val="Body"/>
        <w:spacing w:line="480" w:lineRule="auto"/>
        <w:rPr>
          <w:sz w:val="24"/>
          <w:szCs w:val="24"/>
        </w:rPr>
      </w:pPr>
      <w:r>
        <w:rPr>
          <w:sz w:val="24"/>
          <w:szCs w:val="24"/>
          <w:rtl w:val="0"/>
          <w:lang w:val="en-US"/>
        </w:rPr>
        <w:t>In conclusion, descriptio is a part of a lai that is extremely important on whether the reader remembers the lai that they are reading. The descriptio is different in each lai and each object of descriptio is special and unique to the lai in which it is located. Without descriptio, the lais that I have mentioned in this essay would not be as memorable as they are and the lais would have extremely different outcomes. Although the descriptio does the same thing for each lai by making it more memorable for the reader and making everything stand out more in each of the lais, the descriptio is not always easy to notice to the reader at first glance. The readership of the lais may not realise that they are only remembering what is happening in each lai because of the descriptio. Marie seems to have been one of the first people to use descriptio in her writing yet it may have been used by her as the items of the descriptio are the parts of the stories that she would remember most when she heard the lais as they were originally told as stories orally and she was the first person to put it down on paper and write each of the lais in full.</w:t>
      </w:r>
    </w:p>
    <w:p>
      <w:pPr>
        <w:pStyle w:val="Body"/>
        <w:spacing w:line="480" w:lineRule="auto"/>
        <w:rPr>
          <w:b w:val="1"/>
          <w:bCs w:val="1"/>
          <w:u w:val="single"/>
        </w:rPr>
      </w:pPr>
    </w:p>
    <w:p>
      <w:pPr>
        <w:pStyle w:val="Body"/>
        <w:spacing w:line="480" w:lineRule="auto"/>
        <w:rPr>
          <w:b w:val="1"/>
          <w:bCs w:val="1"/>
          <w:u w:val="single"/>
        </w:rPr>
      </w:pPr>
    </w:p>
    <w:p>
      <w:pPr>
        <w:pStyle w:val="Body"/>
        <w:spacing w:line="480" w:lineRule="auto"/>
        <w:rPr>
          <w:b w:val="1"/>
          <w:bCs w:val="1"/>
          <w:u w:val="single"/>
        </w:rPr>
      </w:pPr>
    </w:p>
    <w:p>
      <w:pPr>
        <w:pStyle w:val="Body"/>
        <w:spacing w:line="480" w:lineRule="auto"/>
        <w:rPr>
          <w:b w:val="1"/>
          <w:bCs w:val="1"/>
          <w:u w:val="single"/>
        </w:rPr>
      </w:pPr>
    </w:p>
    <w:p>
      <w:pPr>
        <w:pStyle w:val="Body"/>
        <w:spacing w:line="480" w:lineRule="auto"/>
        <w:rPr>
          <w:b w:val="1"/>
          <w:bCs w:val="1"/>
          <w:u w:val="single"/>
        </w:rPr>
      </w:pPr>
    </w:p>
    <w:p>
      <w:pPr>
        <w:pStyle w:val="Body"/>
        <w:spacing w:line="480" w:lineRule="auto"/>
        <w:rPr>
          <w:b w:val="1"/>
          <w:bCs w:val="1"/>
          <w:u w:val="single"/>
        </w:rPr>
      </w:pPr>
    </w:p>
    <w:p>
      <w:pPr>
        <w:pStyle w:val="Body"/>
        <w:spacing w:line="480" w:lineRule="auto"/>
        <w:rPr>
          <w:b w:val="1"/>
          <w:bCs w:val="1"/>
          <w:u w:val="single"/>
        </w:rPr>
      </w:pPr>
    </w:p>
    <w:p>
      <w:pPr>
        <w:pStyle w:val="Body"/>
        <w:spacing w:line="480" w:lineRule="auto"/>
        <w:rPr>
          <w:b w:val="1"/>
          <w:bCs w:val="1"/>
          <w:u w:val="single"/>
        </w:rPr>
      </w:pPr>
    </w:p>
    <w:p>
      <w:pPr>
        <w:pStyle w:val="Body"/>
        <w:spacing w:line="480" w:lineRule="auto"/>
        <w:rPr>
          <w:b w:val="1"/>
          <w:bCs w:val="1"/>
          <w:u w:val="single"/>
        </w:rPr>
      </w:pPr>
    </w:p>
    <w:p>
      <w:pPr>
        <w:pStyle w:val="Body"/>
        <w:spacing w:line="480" w:lineRule="auto"/>
        <w:rPr>
          <w:b w:val="1"/>
          <w:bCs w:val="1"/>
          <w:u w:val="single"/>
        </w:rPr>
      </w:pPr>
    </w:p>
    <w:p>
      <w:pPr>
        <w:pStyle w:val="Body"/>
        <w:spacing w:line="480" w:lineRule="auto"/>
        <w:rPr>
          <w:b w:val="1"/>
          <w:bCs w:val="1"/>
          <w:u w:val="single"/>
        </w:rPr>
      </w:pPr>
    </w:p>
    <w:p>
      <w:pPr>
        <w:pStyle w:val="Body"/>
        <w:spacing w:line="480" w:lineRule="auto"/>
        <w:rPr>
          <w:b w:val="1"/>
          <w:bCs w:val="1"/>
          <w:u w:val="single"/>
        </w:rPr>
      </w:pPr>
    </w:p>
    <w:p>
      <w:pPr>
        <w:pStyle w:val="Body"/>
        <w:spacing w:line="480" w:lineRule="auto"/>
        <w:rPr>
          <w:b w:val="1"/>
          <w:bCs w:val="1"/>
          <w:u w:val="single"/>
        </w:rPr>
      </w:pPr>
    </w:p>
    <w:p>
      <w:pPr>
        <w:pStyle w:val="Body"/>
        <w:spacing w:line="480" w:lineRule="auto"/>
        <w:rPr>
          <w:b w:val="1"/>
          <w:bCs w:val="1"/>
          <w:u w:val="single"/>
        </w:rPr>
      </w:pPr>
    </w:p>
    <w:p>
      <w:pPr>
        <w:pStyle w:val="Body"/>
        <w:spacing w:line="480" w:lineRule="auto"/>
        <w:rPr>
          <w:b w:val="1"/>
          <w:bCs w:val="1"/>
          <w:u w:val="single"/>
        </w:rPr>
      </w:pPr>
    </w:p>
    <w:p>
      <w:pPr>
        <w:pStyle w:val="Body"/>
        <w:spacing w:line="480" w:lineRule="auto"/>
        <w:rPr>
          <w:b w:val="1"/>
          <w:bCs w:val="1"/>
          <w:u w:val="single"/>
        </w:rPr>
      </w:pPr>
    </w:p>
    <w:p>
      <w:pPr>
        <w:pStyle w:val="Body"/>
        <w:spacing w:line="480" w:lineRule="auto"/>
        <w:rPr>
          <w:b w:val="1"/>
          <w:bCs w:val="1"/>
          <w:u w:val="single"/>
        </w:rPr>
      </w:pPr>
    </w:p>
    <w:p>
      <w:pPr>
        <w:pStyle w:val="Body"/>
        <w:spacing w:line="480" w:lineRule="auto"/>
        <w:rPr>
          <w:b w:val="1"/>
          <w:bCs w:val="1"/>
          <w:u w:val="single"/>
        </w:rPr>
      </w:pPr>
    </w:p>
    <w:p>
      <w:pPr>
        <w:pStyle w:val="Body"/>
        <w:spacing w:line="480" w:lineRule="auto"/>
        <w:rPr>
          <w:b w:val="1"/>
          <w:bCs w:val="1"/>
          <w:u w:val="single"/>
        </w:rPr>
      </w:pPr>
      <w:r>
        <w:rPr>
          <w:b w:val="1"/>
          <w:bCs w:val="1"/>
          <w:u w:val="single"/>
          <w:rtl w:val="0"/>
          <w:lang w:val="en-US"/>
        </w:rPr>
        <w:t>Bibliograhy</w:t>
      </w:r>
    </w:p>
    <w:p>
      <w:pPr>
        <w:pStyle w:val="Body"/>
        <w:spacing w:line="480" w:lineRule="auto"/>
        <w:rPr>
          <w:b w:val="1"/>
          <w:bCs w:val="1"/>
          <w:u w:val="single"/>
        </w:rPr>
      </w:pPr>
    </w:p>
    <w:p>
      <w:pPr>
        <w:pStyle w:val="Body"/>
        <w:spacing w:line="480" w:lineRule="auto"/>
        <w:rPr>
          <w:u w:val="single"/>
        </w:rPr>
      </w:pPr>
      <w:r>
        <w:rPr>
          <w:u w:val="single"/>
          <w:rtl w:val="0"/>
          <w:lang w:val="en-US"/>
        </w:rPr>
        <w:t>Primary sources:</w:t>
      </w:r>
    </w:p>
    <w:p>
      <w:pPr>
        <w:pStyle w:val="Body"/>
        <w:spacing w:line="480" w:lineRule="auto"/>
        <w:rPr>
          <w:u w:val="single"/>
        </w:rPr>
      </w:pPr>
    </w:p>
    <w:p>
      <w:pPr>
        <w:pStyle w:val="Body"/>
        <w:spacing w:line="480" w:lineRule="auto"/>
      </w:pPr>
      <w:r>
        <w:rPr>
          <w:rtl w:val="0"/>
          <w:lang w:val="en-US"/>
        </w:rPr>
        <w:t xml:space="preserve">Burges, Glyn S. et al, </w:t>
      </w:r>
      <w:r>
        <w:rPr>
          <w:i w:val="1"/>
          <w:iCs w:val="1"/>
          <w:rtl w:val="0"/>
          <w:lang w:val="en-US"/>
        </w:rPr>
        <w:t xml:space="preserve">The Lais of Marie de France, </w:t>
      </w:r>
      <w:r>
        <w:rPr>
          <w:rtl w:val="0"/>
          <w:lang w:val="en-US"/>
        </w:rPr>
        <w:t>2nd edn., (Harmondsworth: Penguin 1999 repr. 2003).</w:t>
      </w:r>
    </w:p>
    <w:p>
      <w:pPr>
        <w:pStyle w:val="Body"/>
        <w:spacing w:line="480" w:lineRule="auto"/>
      </w:pPr>
    </w:p>
    <w:p>
      <w:pPr>
        <w:pStyle w:val="Body"/>
        <w:spacing w:line="480" w:lineRule="auto"/>
        <w:rPr>
          <w:u w:val="single"/>
        </w:rPr>
      </w:pPr>
      <w:r>
        <w:rPr>
          <w:u w:val="single"/>
          <w:rtl w:val="0"/>
          <w:lang w:val="en-US"/>
        </w:rPr>
        <w:t>Secondary sources:</w:t>
      </w:r>
    </w:p>
    <w:p>
      <w:pPr>
        <w:pStyle w:val="Body"/>
        <w:spacing w:line="480" w:lineRule="auto"/>
        <w:rPr>
          <w:u w:val="single"/>
        </w:rPr>
      </w:pPr>
    </w:p>
    <w:p>
      <w:pPr>
        <w:pStyle w:val="Body"/>
        <w:spacing w:line="480" w:lineRule="auto"/>
      </w:pPr>
      <w:r>
        <w:rPr>
          <w:rtl w:val="0"/>
          <w:lang w:val="nl-NL"/>
        </w:rPr>
        <w:t>Brewer</w:t>
      </w:r>
      <w:r>
        <w:rPr>
          <w:rtl w:val="0"/>
          <w:lang w:val="en-US"/>
        </w:rPr>
        <w:t xml:space="preserve">, Derek, </w:t>
      </w:r>
      <w:r>
        <w:rPr>
          <w:i w:val="1"/>
          <w:iCs w:val="1"/>
          <w:rtl w:val="0"/>
          <w:lang w:val="en-US"/>
        </w:rPr>
        <w:t xml:space="preserve">Studies in Medieval English Romances </w:t>
      </w:r>
      <w:r>
        <w:rPr>
          <w:rtl w:val="0"/>
          <w:lang w:val="en-US"/>
        </w:rPr>
        <w:t>(Cambridge: Boydell and Brewer Ltd, 1988).</w:t>
      </w:r>
    </w:p>
    <w:p>
      <w:pPr>
        <w:pStyle w:val="Body"/>
        <w:spacing w:line="480" w:lineRule="auto"/>
      </w:pPr>
    </w:p>
    <w:p>
      <w:pPr>
        <w:pStyle w:val="Body"/>
        <w:spacing w:line="480" w:lineRule="auto"/>
      </w:pPr>
      <w:r>
        <w:rPr>
          <w:rtl w:val="0"/>
          <w:lang w:val="en-US"/>
        </w:rPr>
        <w:t>Brook</w:t>
      </w:r>
      <w:r>
        <w:rPr>
          <w:rtl w:val="0"/>
          <w:lang w:val="en-US"/>
        </w:rPr>
        <w:t xml:space="preserve">, Leslie C., </w:t>
      </w:r>
      <w:r>
        <w:rPr>
          <w:rtl w:val="0"/>
          <w:lang w:val="en-US"/>
        </w:rPr>
        <w:t>‘</w:t>
      </w:r>
      <w:r>
        <w:rPr>
          <w:rtl w:val="0"/>
          <w:lang w:val="en-US"/>
        </w:rPr>
        <w:t>Guigemar and the White Hind</w:t>
      </w:r>
      <w:r>
        <w:rPr>
          <w:rtl w:val="0"/>
          <w:lang w:val="en-US"/>
        </w:rPr>
        <w:t>’</w:t>
      </w:r>
      <w:r>
        <w:rPr>
          <w:rtl w:val="0"/>
          <w:lang w:val="en-US"/>
        </w:rPr>
        <w:t xml:space="preserve">, </w:t>
      </w:r>
      <w:r>
        <w:rPr>
          <w:i w:val="1"/>
          <w:iCs w:val="1"/>
          <w:rtl w:val="0"/>
          <w:lang w:val="en-US"/>
        </w:rPr>
        <w:t xml:space="preserve">Medium Aevum, </w:t>
      </w:r>
      <w:r>
        <w:rPr>
          <w:rtl w:val="0"/>
          <w:lang w:val="en-US"/>
        </w:rPr>
        <w:t>56 (1987), 94-101</w:t>
      </w:r>
    </w:p>
    <w:p>
      <w:pPr>
        <w:pStyle w:val="Body"/>
        <w:spacing w:line="480" w:lineRule="auto"/>
      </w:pPr>
    </w:p>
    <w:p>
      <w:pPr>
        <w:pStyle w:val="Body"/>
        <w:spacing w:line="480" w:lineRule="auto"/>
      </w:pPr>
      <w:r>
        <w:rPr>
          <w:rtl w:val="0"/>
          <w:lang w:val="de-DE"/>
        </w:rPr>
        <w:t>Burgess</w:t>
      </w:r>
      <w:r>
        <w:rPr>
          <w:rtl w:val="0"/>
          <w:lang w:val="en-US"/>
        </w:rPr>
        <w:t xml:space="preserve">, Glyn S., </w:t>
      </w:r>
      <w:r>
        <w:rPr>
          <w:i w:val="1"/>
          <w:iCs w:val="1"/>
          <w:rtl w:val="0"/>
          <w:lang w:val="en-US"/>
        </w:rPr>
        <w:t xml:space="preserve">The Lais of Marie de France: Text and Context </w:t>
      </w:r>
      <w:r>
        <w:rPr>
          <w:rtl w:val="0"/>
          <w:lang w:val="en-US"/>
        </w:rPr>
        <w:t>(Manchester: Manchester University Press, 1987).</w:t>
      </w:r>
    </w:p>
    <w:p>
      <w:pPr>
        <w:pStyle w:val="Body"/>
        <w:spacing w:line="480" w:lineRule="auto"/>
      </w:pPr>
    </w:p>
    <w:p>
      <w:pPr>
        <w:pStyle w:val="Body"/>
        <w:spacing w:line="480" w:lineRule="auto"/>
      </w:pPr>
      <w:r>
        <w:rPr>
          <w:rtl w:val="0"/>
          <w:lang w:val="en-US"/>
        </w:rPr>
        <w:t>Carruthers</w:t>
      </w:r>
      <w:r>
        <w:rPr>
          <w:rtl w:val="0"/>
          <w:lang w:val="en-US"/>
        </w:rPr>
        <w:t xml:space="preserve">, Mary, </w:t>
      </w:r>
      <w:r>
        <w:rPr>
          <w:i w:val="1"/>
          <w:iCs w:val="1"/>
          <w:rtl w:val="0"/>
          <w:lang w:val="en-US"/>
        </w:rPr>
        <w:t xml:space="preserve">The Book of Memory, </w:t>
      </w:r>
      <w:r>
        <w:rPr>
          <w:rtl w:val="0"/>
          <w:lang w:val="en-US"/>
        </w:rPr>
        <w:t>2nd end, fully revised and updated (Cambridge: Cambridge University Press 2008).</w:t>
      </w:r>
    </w:p>
    <w:p>
      <w:pPr>
        <w:pStyle w:val="Body"/>
        <w:spacing w:line="480" w:lineRule="auto"/>
      </w:pPr>
    </w:p>
    <w:p>
      <w:pPr>
        <w:pStyle w:val="Body"/>
        <w:spacing w:line="480" w:lineRule="auto"/>
      </w:pPr>
      <w:r>
        <w:rPr>
          <w:rtl w:val="0"/>
          <w:lang w:val="en-US"/>
        </w:rPr>
        <w:t>Marechal,</w:t>
      </w:r>
      <w:r>
        <w:rPr>
          <w:rtl w:val="0"/>
          <w:lang w:val="fr-FR"/>
        </w:rPr>
        <w:t xml:space="preserve"> Chantal A.</w:t>
      </w:r>
      <w:r>
        <w:rPr>
          <w:rtl w:val="0"/>
          <w:lang w:val="en-US"/>
        </w:rPr>
        <w:t xml:space="preserve">, </w:t>
      </w:r>
      <w:r>
        <w:rPr>
          <w:i w:val="1"/>
          <w:iCs w:val="1"/>
          <w:rtl w:val="0"/>
          <w:lang w:val="en-US"/>
        </w:rPr>
        <w:t xml:space="preserve">In Quest of Marie de France: A Twelfth-Century Poet </w:t>
      </w:r>
      <w:r>
        <w:rPr>
          <w:rtl w:val="0"/>
          <w:lang w:val="en-US"/>
        </w:rPr>
        <w:t>(Lampeter: Edwin Mellen Press, 1992).</w:t>
      </w:r>
    </w:p>
    <w:p>
      <w:pPr>
        <w:pStyle w:val="Body"/>
        <w:spacing w:line="480" w:lineRule="auto"/>
      </w:pPr>
    </w:p>
    <w:p>
      <w:pPr>
        <w:pStyle w:val="Body"/>
        <w:spacing w:line="480" w:lineRule="auto"/>
      </w:pPr>
      <w:r>
        <w:rPr>
          <w:rtl w:val="0"/>
          <w:lang w:val="nl-NL"/>
        </w:rPr>
        <w:t>Stevens</w:t>
      </w:r>
      <w:r>
        <w:rPr>
          <w:rtl w:val="0"/>
          <w:lang w:val="en-US"/>
        </w:rPr>
        <w:t xml:space="preserve">, John, </w:t>
      </w:r>
      <w:r>
        <w:rPr>
          <w:i w:val="1"/>
          <w:iCs w:val="1"/>
          <w:rtl w:val="0"/>
          <w:lang w:val="en-US"/>
        </w:rPr>
        <w:t xml:space="preserve">Medieval Romance: Themes and Approaches </w:t>
      </w:r>
      <w:r>
        <w:rPr>
          <w:rtl w:val="0"/>
          <w:lang w:val="en-US"/>
        </w:rPr>
        <w:t>(London: Hutchinson, 1973).</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rebuchet MS">
    <w:charset w:val="00"/>
    <w:family w:val="roman"/>
    <w:pitch w:val="default"/>
  </w:font>
  <w:font w:name="Helvetica">
    <w:charset w:val="00"/>
    <w:family w:val="roman"/>
    <w:pitch w:val="default"/>
  </w:font>
  <w:font w:name="Helvetica Light">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Chantal A. Marechal., </w:t>
      </w:r>
      <w:r>
        <w:rPr>
          <w:rFonts w:cs="Arial Unicode MS" w:eastAsia="Arial Unicode MS"/>
          <w:i w:val="1"/>
          <w:iCs w:val="1"/>
          <w:rtl w:val="0"/>
          <w:lang w:val="en-US"/>
        </w:rPr>
        <w:t xml:space="preserve">In Quest of Marie de France: A Twelfth-Century Poet </w:t>
      </w:r>
      <w:r>
        <w:rPr>
          <w:rFonts w:cs="Arial Unicode MS" w:eastAsia="Arial Unicode MS"/>
          <w:rtl w:val="0"/>
          <w:lang w:val="en-US"/>
        </w:rPr>
        <w:t>(Lampeter: Edwin Mellen Press, 1992).</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John Stevens, </w:t>
      </w:r>
      <w:r>
        <w:rPr>
          <w:rFonts w:cs="Arial Unicode MS" w:eastAsia="Arial Unicode MS"/>
          <w:i w:val="1"/>
          <w:iCs w:val="1"/>
          <w:rtl w:val="0"/>
          <w:lang w:val="en-US"/>
        </w:rPr>
        <w:t xml:space="preserve">Medieval Romance: Themes and Approaches </w:t>
      </w:r>
      <w:r>
        <w:rPr>
          <w:rFonts w:cs="Arial Unicode MS" w:eastAsia="Arial Unicode MS"/>
          <w:rtl w:val="0"/>
          <w:lang w:val="en-US"/>
        </w:rPr>
        <w:t>(London: Hutchinson, 1973).</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Glyn S. Burgess, </w:t>
      </w:r>
      <w:r>
        <w:rPr>
          <w:rFonts w:cs="Arial Unicode MS" w:eastAsia="Arial Unicode MS"/>
          <w:i w:val="1"/>
          <w:iCs w:val="1"/>
          <w:rtl w:val="0"/>
          <w:lang w:val="en-US"/>
        </w:rPr>
        <w:t xml:space="preserve">The Lais of Marie de France: Text and Context </w:t>
      </w:r>
      <w:r>
        <w:rPr>
          <w:rFonts w:cs="Arial Unicode MS" w:eastAsia="Arial Unicode MS"/>
          <w:rtl w:val="0"/>
          <w:lang w:val="en-US"/>
        </w:rPr>
        <w:t>(Manchester: Manchester University Press, 1987).</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Derek Brewer, </w:t>
      </w:r>
      <w:r>
        <w:rPr>
          <w:rFonts w:cs="Arial Unicode MS" w:eastAsia="Arial Unicode MS"/>
          <w:i w:val="1"/>
          <w:iCs w:val="1"/>
          <w:rtl w:val="0"/>
          <w:lang w:val="en-US"/>
        </w:rPr>
        <w:t xml:space="preserve">Studies in Medieval English Romances </w:t>
      </w:r>
      <w:r>
        <w:rPr>
          <w:rFonts w:cs="Arial Unicode MS" w:eastAsia="Arial Unicode MS"/>
          <w:rtl w:val="0"/>
          <w:lang w:val="en-US"/>
        </w:rPr>
        <w:t>(Cambridge: Boydell and Brewer Ltd, 1988).</w:t>
      </w:r>
    </w:p>
  </w:footnote>
  <w:footnote w:id="5">
    <w:p>
      <w:pPr>
        <w:pStyle w:val="Footnote"/>
        <w:bidi w:val="0"/>
      </w:pPr>
      <w:r>
        <w:rPr>
          <w:vertAlign w:val="superscript"/>
        </w:rPr>
        <w:footnoteRef/>
      </w:r>
      <w:r>
        <w:rPr>
          <w:rFonts w:cs="Arial Unicode MS" w:eastAsia="Arial Unicode MS"/>
          <w:rtl w:val="0"/>
          <w:lang w:val="en-US"/>
        </w:rPr>
        <w:t xml:space="preserve"> Mary Carruthers, </w:t>
      </w:r>
      <w:r>
        <w:rPr>
          <w:rFonts w:cs="Arial Unicode MS" w:eastAsia="Arial Unicode MS"/>
          <w:i w:val="1"/>
          <w:iCs w:val="1"/>
          <w:rtl w:val="0"/>
          <w:lang w:val="en-US"/>
        </w:rPr>
        <w:t xml:space="preserve">The Book of Memory, </w:t>
      </w:r>
      <w:r>
        <w:rPr>
          <w:rFonts w:cs="Arial Unicode MS" w:eastAsia="Arial Unicode MS"/>
          <w:rtl w:val="0"/>
          <w:lang w:val="en-US"/>
        </w:rPr>
        <w:t>2nd end, fully revised and updated (Cambridge: Cambridge University Press 2008).</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Leslie C. Brook, </w:t>
      </w:r>
      <w:r>
        <w:rPr>
          <w:rFonts w:cs="Arial Unicode MS" w:eastAsia="Arial Unicode MS" w:hint="default"/>
          <w:rtl w:val="0"/>
          <w:lang w:val="en-US"/>
        </w:rPr>
        <w:t>‘</w:t>
      </w:r>
      <w:r>
        <w:rPr>
          <w:rFonts w:cs="Arial Unicode MS" w:eastAsia="Arial Unicode MS"/>
          <w:rtl w:val="0"/>
          <w:lang w:val="en-US"/>
        </w:rPr>
        <w:t>Guigemar and the White Hind</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 xml:space="preserve">Medium Aevum, </w:t>
      </w:r>
      <w:r>
        <w:rPr>
          <w:rFonts w:cs="Arial Unicode MS" w:eastAsia="Arial Unicode MS"/>
          <w:rtl w:val="0"/>
          <w:lang w:val="en-US"/>
        </w:rPr>
        <w:t>56 (1987), 94-101</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w:cs="Arial Unicode MS" w:hAnsi="Helvetica" w:eastAsia="Arial Unicode MS"/>
      <w:b w:val="1"/>
      <w:bCs w:val="1"/>
      <w:i w:val="0"/>
      <w:iCs w:val="0"/>
      <w:caps w:val="0"/>
      <w:smallCaps w:val="0"/>
      <w:strike w:val="0"/>
      <w:dstrike w:val="0"/>
      <w:outline w:val="0"/>
      <w:color w:val="000000"/>
      <w:spacing w:val="0"/>
      <w:kern w:val="0"/>
      <w:position w:val="0"/>
      <w:sz w:val="36"/>
      <w:szCs w:val="36"/>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2"/>
    </w:pPr>
    <w:rPr>
      <w:rFonts w:ascii="Helvetica Light" w:cs="Helvetica Light" w:hAnsi="Helvetica Light" w:eastAsia="Helvetica Light"/>
      <w:b w:val="0"/>
      <w:bCs w:val="0"/>
      <w:i w:val="0"/>
      <w:iCs w:val="0"/>
      <w:caps w:val="0"/>
      <w:smallCaps w:val="0"/>
      <w:strike w:val="0"/>
      <w:dstrike w:val="0"/>
      <w:outline w:val="0"/>
      <w:color w:val="000000"/>
      <w:spacing w:val="5"/>
      <w:kern w:val="0"/>
      <w:position w:val="0"/>
      <w:sz w:val="28"/>
      <w:szCs w:val="28"/>
      <w:u w:val="none"/>
      <w:vertAlign w:val="baseline"/>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