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1C90BE" w14:textId="77777777" w:rsidR="008F7577" w:rsidRPr="00B64EC3" w:rsidRDefault="00D623FB" w:rsidP="00DC29B7">
      <w:pPr>
        <w:spacing w:after="0" w:line="360" w:lineRule="auto"/>
        <w:rPr>
          <w:sz w:val="24"/>
          <w:szCs w:val="24"/>
        </w:rPr>
      </w:pPr>
      <w:r w:rsidRPr="00B64EC3">
        <w:rPr>
          <w:sz w:val="24"/>
          <w:szCs w:val="24"/>
        </w:rPr>
        <w:t>The purpose of this essay is to critically evaluate the</w:t>
      </w:r>
      <w:r w:rsidR="00A13B6B" w:rsidRPr="00B64EC3">
        <w:rPr>
          <w:sz w:val="24"/>
          <w:szCs w:val="24"/>
        </w:rPr>
        <w:t xml:space="preserve"> use</w:t>
      </w:r>
      <w:r w:rsidRPr="00B64EC3">
        <w:rPr>
          <w:sz w:val="24"/>
          <w:szCs w:val="24"/>
        </w:rPr>
        <w:t xml:space="preserve"> contemporary pedagogies and embedded enhancement themes </w:t>
      </w:r>
      <w:r w:rsidR="00A13B6B" w:rsidRPr="00B64EC3">
        <w:rPr>
          <w:sz w:val="24"/>
          <w:szCs w:val="24"/>
        </w:rPr>
        <w:t xml:space="preserve">in an adult learning environment and the particular methods </w:t>
      </w:r>
      <w:r w:rsidRPr="00B64EC3">
        <w:rPr>
          <w:sz w:val="24"/>
          <w:szCs w:val="24"/>
        </w:rPr>
        <w:t xml:space="preserve">utilised in a micro teaching session delivered on the 26th October 2017. The essay will pay particular attention to how the effective use of contemporary pedagogies and embedded enhancement themes can both support and enhance the students learning experience.  </w:t>
      </w:r>
      <w:r w:rsidR="00013BD6" w:rsidRPr="00B64EC3">
        <w:rPr>
          <w:sz w:val="24"/>
          <w:szCs w:val="24"/>
        </w:rPr>
        <w:t xml:space="preserve">In order to do this the essay will look to answer </w:t>
      </w:r>
      <w:r w:rsidR="008F7577" w:rsidRPr="00B64EC3">
        <w:rPr>
          <w:sz w:val="24"/>
          <w:szCs w:val="24"/>
        </w:rPr>
        <w:t>two</w:t>
      </w:r>
      <w:r w:rsidR="00013BD6" w:rsidRPr="00B64EC3">
        <w:rPr>
          <w:sz w:val="24"/>
          <w:szCs w:val="24"/>
        </w:rPr>
        <w:t xml:space="preserve"> key questions; first what are the differences</w:t>
      </w:r>
      <w:r w:rsidR="008F7577" w:rsidRPr="00B64EC3">
        <w:rPr>
          <w:sz w:val="24"/>
          <w:szCs w:val="24"/>
        </w:rPr>
        <w:t xml:space="preserve"> between pedagogy and andragogy and how do these relate to contemporary pedagogy and</w:t>
      </w:r>
      <w:r w:rsidR="00013BD6" w:rsidRPr="00B64EC3">
        <w:rPr>
          <w:sz w:val="24"/>
          <w:szCs w:val="24"/>
        </w:rPr>
        <w:t xml:space="preserve"> second do the use of contemporary pedagogies</w:t>
      </w:r>
      <w:r w:rsidR="008F7577" w:rsidRPr="00B64EC3">
        <w:rPr>
          <w:sz w:val="24"/>
          <w:szCs w:val="24"/>
        </w:rPr>
        <w:t xml:space="preserve"> or an </w:t>
      </w:r>
      <w:proofErr w:type="spellStart"/>
      <w:r w:rsidR="008F7577" w:rsidRPr="00B64EC3">
        <w:rPr>
          <w:sz w:val="24"/>
          <w:szCs w:val="24"/>
        </w:rPr>
        <w:t>andragogical</w:t>
      </w:r>
      <w:proofErr w:type="spellEnd"/>
      <w:r w:rsidR="008F7577" w:rsidRPr="00B64EC3">
        <w:rPr>
          <w:sz w:val="24"/>
          <w:szCs w:val="24"/>
        </w:rPr>
        <w:t xml:space="preserve"> approach to teaching</w:t>
      </w:r>
      <w:r w:rsidR="00013BD6" w:rsidRPr="00B64EC3">
        <w:rPr>
          <w:sz w:val="24"/>
          <w:szCs w:val="24"/>
        </w:rPr>
        <w:t xml:space="preserve"> </w:t>
      </w:r>
      <w:r w:rsidR="009251EA" w:rsidRPr="00B64EC3">
        <w:rPr>
          <w:sz w:val="24"/>
          <w:szCs w:val="24"/>
        </w:rPr>
        <w:t xml:space="preserve">enhance the delivery and ultimately </w:t>
      </w:r>
      <w:r w:rsidR="00013BD6" w:rsidRPr="00B64EC3">
        <w:rPr>
          <w:sz w:val="24"/>
          <w:szCs w:val="24"/>
        </w:rPr>
        <w:t xml:space="preserve">the learners </w:t>
      </w:r>
      <w:r w:rsidR="00B84B83" w:rsidRPr="00B64EC3">
        <w:rPr>
          <w:sz w:val="24"/>
          <w:szCs w:val="24"/>
        </w:rPr>
        <w:t>understanding of a subject.</w:t>
      </w:r>
      <w:r w:rsidR="00A13B6B" w:rsidRPr="00B64EC3">
        <w:rPr>
          <w:sz w:val="24"/>
          <w:szCs w:val="24"/>
        </w:rPr>
        <w:t xml:space="preserve"> </w:t>
      </w:r>
    </w:p>
    <w:p w14:paraId="08C83772" w14:textId="6BEB3AAC" w:rsidR="003A45D7" w:rsidRPr="00B64EC3" w:rsidRDefault="00A13B6B" w:rsidP="00DC29B7">
      <w:pPr>
        <w:spacing w:after="0" w:line="360" w:lineRule="auto"/>
        <w:rPr>
          <w:sz w:val="24"/>
          <w:szCs w:val="24"/>
        </w:rPr>
      </w:pPr>
      <w:r w:rsidRPr="00B64EC3">
        <w:rPr>
          <w:sz w:val="24"/>
          <w:szCs w:val="24"/>
        </w:rPr>
        <w:t xml:space="preserve">In order to effectively discuss </w:t>
      </w:r>
      <w:r w:rsidR="0085340C" w:rsidRPr="00B64EC3">
        <w:rPr>
          <w:sz w:val="24"/>
          <w:szCs w:val="24"/>
        </w:rPr>
        <w:t>the differences between pedagogy and andragogy it is first necessary to define each term</w:t>
      </w:r>
      <w:r w:rsidR="0080065E" w:rsidRPr="00B64EC3">
        <w:rPr>
          <w:sz w:val="24"/>
          <w:szCs w:val="24"/>
        </w:rPr>
        <w:t xml:space="preserve">. </w:t>
      </w:r>
      <w:r w:rsidR="003A45D7" w:rsidRPr="00B64EC3">
        <w:rPr>
          <w:sz w:val="24"/>
          <w:szCs w:val="24"/>
        </w:rPr>
        <w:t xml:space="preserve">As discussed by Armitage, et al. (2003) there are four broad theories of learning; Behaviourist, Cognitivist Gestalt Theory and Andragogy. The first three theories focus predominantly on the ways children and adolescents learn and generally relate to content rather the process of learning itself. Andragogy, however, is a predominantly humanist approach to learning and focuses on the ways adults learn. In essence adult learning is a life experience designed to support the growth of the individual. </w:t>
      </w:r>
    </w:p>
    <w:p w14:paraId="7A27F71B" w14:textId="0403B6B5" w:rsidR="00237A67" w:rsidRPr="00B64EC3" w:rsidRDefault="0085340C" w:rsidP="00DC29B7">
      <w:pPr>
        <w:spacing w:after="0" w:line="360" w:lineRule="auto"/>
        <w:rPr>
          <w:sz w:val="24"/>
          <w:szCs w:val="24"/>
        </w:rPr>
      </w:pPr>
      <w:r w:rsidRPr="00B64EC3">
        <w:rPr>
          <w:sz w:val="24"/>
          <w:szCs w:val="24"/>
        </w:rPr>
        <w:t xml:space="preserve">Knowles (1990) describes the pedagogical model of education as an ideology that drew its inspiration from the monastic teaching institutions in the twelfth century. In this model the teacher has full responsibility for what is taught, how this will be taught and how learning will be judged. In this case the learner is a passive recipient of information without any previous experience or </w:t>
      </w:r>
      <w:r w:rsidR="0080065E" w:rsidRPr="00B64EC3">
        <w:rPr>
          <w:sz w:val="24"/>
          <w:szCs w:val="24"/>
        </w:rPr>
        <w:t>knowledge that</w:t>
      </w:r>
      <w:r w:rsidRPr="00B64EC3">
        <w:rPr>
          <w:sz w:val="24"/>
          <w:szCs w:val="24"/>
        </w:rPr>
        <w:t xml:space="preserve"> is of value for learning</w:t>
      </w:r>
      <w:r w:rsidR="00237A67" w:rsidRPr="00B64EC3">
        <w:rPr>
          <w:sz w:val="24"/>
          <w:szCs w:val="24"/>
        </w:rPr>
        <w:t xml:space="preserve"> taking place</w:t>
      </w:r>
      <w:r w:rsidRPr="00B64EC3">
        <w:rPr>
          <w:sz w:val="24"/>
          <w:szCs w:val="24"/>
        </w:rPr>
        <w:t>.</w:t>
      </w:r>
      <w:r w:rsidR="00237A67" w:rsidRPr="00B64EC3">
        <w:rPr>
          <w:sz w:val="24"/>
          <w:szCs w:val="24"/>
        </w:rPr>
        <w:t xml:space="preserve"> </w:t>
      </w:r>
      <w:r w:rsidR="003B196C" w:rsidRPr="00B64EC3">
        <w:rPr>
          <w:sz w:val="24"/>
          <w:szCs w:val="24"/>
        </w:rPr>
        <w:t xml:space="preserve">This view of the pedagogical method is supported by Petty (2014) who suggests that younger learners expect their teacher to take control of what is learnt and how it is taught. </w:t>
      </w:r>
      <w:proofErr w:type="spellStart"/>
      <w:r w:rsidR="00AA693C" w:rsidRPr="00B64EC3">
        <w:rPr>
          <w:sz w:val="24"/>
          <w:szCs w:val="24"/>
        </w:rPr>
        <w:t>Denby</w:t>
      </w:r>
      <w:proofErr w:type="spellEnd"/>
      <w:r w:rsidR="00AA693C" w:rsidRPr="00B64EC3">
        <w:rPr>
          <w:sz w:val="24"/>
          <w:szCs w:val="24"/>
        </w:rPr>
        <w:t xml:space="preserve"> (2015)</w:t>
      </w:r>
      <w:r w:rsidRPr="00B64EC3">
        <w:rPr>
          <w:sz w:val="24"/>
          <w:szCs w:val="24"/>
        </w:rPr>
        <w:t xml:space="preserve"> </w:t>
      </w:r>
      <w:r w:rsidR="00AA693C" w:rsidRPr="00B64EC3">
        <w:rPr>
          <w:sz w:val="24"/>
          <w:szCs w:val="24"/>
        </w:rPr>
        <w:t xml:space="preserve">acknowledges that the learners are individuals with a variety of needs but this is discussed in terms of pedagogical strategies for ensuring that the learning being delivered is understood by the pupils. </w:t>
      </w:r>
    </w:p>
    <w:p w14:paraId="751C3B92" w14:textId="43952215" w:rsidR="00E437EE" w:rsidRPr="00B64EC3" w:rsidRDefault="00237A67" w:rsidP="00DC29B7">
      <w:pPr>
        <w:spacing w:after="0" w:line="360" w:lineRule="auto"/>
        <w:rPr>
          <w:sz w:val="24"/>
          <w:szCs w:val="24"/>
        </w:rPr>
      </w:pPr>
      <w:r w:rsidRPr="00B64EC3">
        <w:rPr>
          <w:sz w:val="24"/>
          <w:szCs w:val="24"/>
        </w:rPr>
        <w:t xml:space="preserve">The term Andragogy was first </w:t>
      </w:r>
      <w:r w:rsidR="00755433" w:rsidRPr="00B64EC3">
        <w:rPr>
          <w:sz w:val="24"/>
          <w:szCs w:val="24"/>
        </w:rPr>
        <w:t>popularised</w:t>
      </w:r>
      <w:r w:rsidRPr="00B64EC3">
        <w:rPr>
          <w:sz w:val="24"/>
          <w:szCs w:val="24"/>
        </w:rPr>
        <w:t xml:space="preserve"> in the </w:t>
      </w:r>
      <w:r w:rsidR="00755433" w:rsidRPr="00B64EC3">
        <w:rPr>
          <w:sz w:val="24"/>
          <w:szCs w:val="24"/>
        </w:rPr>
        <w:t>English speaking world</w:t>
      </w:r>
      <w:r w:rsidRPr="00B64EC3">
        <w:rPr>
          <w:sz w:val="24"/>
          <w:szCs w:val="24"/>
        </w:rPr>
        <w:t xml:space="preserve"> by Malcolm Knowles</w:t>
      </w:r>
      <w:r w:rsidR="00755433" w:rsidRPr="00B64EC3">
        <w:rPr>
          <w:sz w:val="24"/>
          <w:szCs w:val="24"/>
        </w:rPr>
        <w:t>,</w:t>
      </w:r>
      <w:r w:rsidRPr="00B64EC3">
        <w:rPr>
          <w:sz w:val="24"/>
          <w:szCs w:val="24"/>
        </w:rPr>
        <w:t xml:space="preserve"> having been introduced to the concept by a Yugoslavian adult education teacher in the 1960’s. </w:t>
      </w:r>
      <w:r w:rsidR="00755433" w:rsidRPr="00B64EC3">
        <w:rPr>
          <w:sz w:val="24"/>
          <w:szCs w:val="24"/>
        </w:rPr>
        <w:t xml:space="preserve">Though the theory was originally developed by a German educator, Alexander </w:t>
      </w:r>
      <w:proofErr w:type="spellStart"/>
      <w:r w:rsidR="00755433" w:rsidRPr="00B64EC3">
        <w:rPr>
          <w:sz w:val="24"/>
          <w:szCs w:val="24"/>
        </w:rPr>
        <w:t>Kapp</w:t>
      </w:r>
      <w:proofErr w:type="spellEnd"/>
      <w:r w:rsidR="00755433" w:rsidRPr="00B64EC3">
        <w:rPr>
          <w:sz w:val="24"/>
          <w:szCs w:val="24"/>
        </w:rPr>
        <w:t xml:space="preserve"> in 1833 </w:t>
      </w:r>
      <w:sdt>
        <w:sdtPr>
          <w:rPr>
            <w:sz w:val="24"/>
            <w:szCs w:val="24"/>
          </w:rPr>
          <w:id w:val="-466276031"/>
          <w:citation/>
        </w:sdtPr>
        <w:sdtEndPr/>
        <w:sdtContent>
          <w:r w:rsidR="00755433" w:rsidRPr="00B64EC3">
            <w:rPr>
              <w:sz w:val="24"/>
              <w:szCs w:val="24"/>
            </w:rPr>
            <w:fldChar w:fldCharType="begin"/>
          </w:r>
          <w:r w:rsidR="00755433" w:rsidRPr="00B64EC3">
            <w:rPr>
              <w:sz w:val="24"/>
              <w:szCs w:val="24"/>
            </w:rPr>
            <w:instrText xml:space="preserve"> CITATION Mar10 \l 2057 </w:instrText>
          </w:r>
          <w:r w:rsidR="00755433" w:rsidRPr="00B64EC3">
            <w:rPr>
              <w:sz w:val="24"/>
              <w:szCs w:val="24"/>
            </w:rPr>
            <w:fldChar w:fldCharType="separate"/>
          </w:r>
          <w:r w:rsidR="00755433" w:rsidRPr="00B64EC3">
            <w:rPr>
              <w:sz w:val="24"/>
              <w:szCs w:val="24"/>
            </w:rPr>
            <w:t>(Smith, 2010)</w:t>
          </w:r>
          <w:r w:rsidR="00755433" w:rsidRPr="00B64EC3">
            <w:rPr>
              <w:sz w:val="24"/>
              <w:szCs w:val="24"/>
            </w:rPr>
            <w:fldChar w:fldCharType="end"/>
          </w:r>
        </w:sdtContent>
      </w:sdt>
      <w:r w:rsidR="00755433" w:rsidRPr="00B64EC3">
        <w:rPr>
          <w:sz w:val="24"/>
          <w:szCs w:val="24"/>
        </w:rPr>
        <w:t xml:space="preserve">. </w:t>
      </w:r>
      <w:r w:rsidR="0085340C" w:rsidRPr="00B64EC3">
        <w:rPr>
          <w:sz w:val="24"/>
          <w:szCs w:val="24"/>
        </w:rPr>
        <w:t xml:space="preserve">Knowles (1990) argues that as an individual matures their capacity for self-direction and need to utilise their own experience in their learning </w:t>
      </w:r>
      <w:r w:rsidR="0085340C" w:rsidRPr="00B64EC3">
        <w:rPr>
          <w:sz w:val="24"/>
          <w:szCs w:val="24"/>
        </w:rPr>
        <w:lastRenderedPageBreak/>
        <w:t xml:space="preserve">increases. He notes </w:t>
      </w:r>
      <w:r w:rsidR="00936D6C" w:rsidRPr="00B64EC3">
        <w:rPr>
          <w:sz w:val="24"/>
          <w:szCs w:val="24"/>
        </w:rPr>
        <w:t xml:space="preserve">six </w:t>
      </w:r>
      <w:r w:rsidR="0085340C" w:rsidRPr="00B64EC3">
        <w:rPr>
          <w:sz w:val="24"/>
          <w:szCs w:val="24"/>
        </w:rPr>
        <w:t xml:space="preserve">assumptions that the </w:t>
      </w:r>
      <w:proofErr w:type="spellStart"/>
      <w:r w:rsidR="0085340C" w:rsidRPr="00B64EC3">
        <w:rPr>
          <w:sz w:val="24"/>
          <w:szCs w:val="24"/>
        </w:rPr>
        <w:t>andragogical</w:t>
      </w:r>
      <w:proofErr w:type="spellEnd"/>
      <w:r w:rsidR="0085340C" w:rsidRPr="00B64EC3">
        <w:rPr>
          <w:sz w:val="24"/>
          <w:szCs w:val="24"/>
        </w:rPr>
        <w:t xml:space="preserve"> model is built upon; </w:t>
      </w:r>
      <w:r w:rsidR="004C129C" w:rsidRPr="00B64EC3">
        <w:rPr>
          <w:sz w:val="24"/>
          <w:szCs w:val="24"/>
        </w:rPr>
        <w:t xml:space="preserve">first a learner’s experience, it is generally expected, in this model, that adult learners will have a significant amount of life experience and that this experience will influence the learning that takes place. Second </w:t>
      </w:r>
      <w:r w:rsidR="00EB1817" w:rsidRPr="00B64EC3">
        <w:rPr>
          <w:sz w:val="24"/>
          <w:szCs w:val="24"/>
        </w:rPr>
        <w:t xml:space="preserve">a learner’s </w:t>
      </w:r>
      <w:r w:rsidR="003A45D7" w:rsidRPr="00B64EC3">
        <w:rPr>
          <w:sz w:val="24"/>
          <w:szCs w:val="24"/>
        </w:rPr>
        <w:t>need to know, this relates to an adult learner</w:t>
      </w:r>
      <w:r w:rsidR="00EB1817" w:rsidRPr="00B64EC3">
        <w:rPr>
          <w:sz w:val="24"/>
          <w:szCs w:val="24"/>
        </w:rPr>
        <w:t>’</w:t>
      </w:r>
      <w:r w:rsidR="003A45D7" w:rsidRPr="00B64EC3">
        <w:rPr>
          <w:sz w:val="24"/>
          <w:szCs w:val="24"/>
        </w:rPr>
        <w:t xml:space="preserve">s desire to understand why they must learn something before being motivated to learn it. </w:t>
      </w:r>
      <w:r w:rsidR="00936D6C" w:rsidRPr="00B64EC3">
        <w:rPr>
          <w:sz w:val="24"/>
          <w:szCs w:val="24"/>
        </w:rPr>
        <w:t>Third a learner’s readiness to learn, this often relates to necessity, an adult learner will often seek out learning experiences in order to resolve issues or develop further. Fourth a</w:t>
      </w:r>
      <w:r w:rsidR="0085340C" w:rsidRPr="00B64EC3">
        <w:rPr>
          <w:sz w:val="24"/>
          <w:szCs w:val="24"/>
        </w:rPr>
        <w:t xml:space="preserve"> learner</w:t>
      </w:r>
      <w:r w:rsidR="00EB1817" w:rsidRPr="00B64EC3">
        <w:rPr>
          <w:sz w:val="24"/>
          <w:szCs w:val="24"/>
        </w:rPr>
        <w:t>’</w:t>
      </w:r>
      <w:r w:rsidR="0085340C" w:rsidRPr="00B64EC3">
        <w:rPr>
          <w:sz w:val="24"/>
          <w:szCs w:val="24"/>
        </w:rPr>
        <w:t xml:space="preserve">s self-concept, </w:t>
      </w:r>
      <w:r w:rsidR="003A45D7" w:rsidRPr="00B64EC3">
        <w:rPr>
          <w:sz w:val="24"/>
          <w:szCs w:val="24"/>
        </w:rPr>
        <w:t xml:space="preserve">adult learners </w:t>
      </w:r>
      <w:r w:rsidR="00EB1817" w:rsidRPr="00B64EC3">
        <w:rPr>
          <w:sz w:val="24"/>
          <w:szCs w:val="24"/>
        </w:rPr>
        <w:t xml:space="preserve">have a deep psychological need to be seen as being responsible for their own decisions and ultimately capable of self-direction. In essence an adult learner will resist any attempt to direct them towards a teacher’s desired outcome. </w:t>
      </w:r>
      <w:r w:rsidR="00936D6C" w:rsidRPr="00B64EC3">
        <w:rPr>
          <w:sz w:val="24"/>
          <w:szCs w:val="24"/>
        </w:rPr>
        <w:t>Fifth the motivation a learner has to learn, the pedagogical method assumes that all motivation for learning is external whereas for many adult learners the most significant motivators for adult learners are internally driven.  And finally t</w:t>
      </w:r>
      <w:r w:rsidR="0085340C" w:rsidRPr="00B64EC3">
        <w:rPr>
          <w:sz w:val="24"/>
          <w:szCs w:val="24"/>
        </w:rPr>
        <w:t>he orientation to learning</w:t>
      </w:r>
      <w:r w:rsidR="00936D6C" w:rsidRPr="00B64EC3">
        <w:rPr>
          <w:sz w:val="24"/>
          <w:szCs w:val="24"/>
        </w:rPr>
        <w:t xml:space="preserve"> which</w:t>
      </w:r>
      <w:r w:rsidR="0085340C" w:rsidRPr="00B64EC3">
        <w:rPr>
          <w:sz w:val="24"/>
          <w:szCs w:val="24"/>
        </w:rPr>
        <w:t xml:space="preserve"> </w:t>
      </w:r>
      <w:r w:rsidR="00EB1817" w:rsidRPr="00B64EC3">
        <w:rPr>
          <w:sz w:val="24"/>
          <w:szCs w:val="24"/>
        </w:rPr>
        <w:t xml:space="preserve">relates </w:t>
      </w:r>
      <w:r w:rsidR="00936D6C" w:rsidRPr="00B64EC3">
        <w:rPr>
          <w:sz w:val="24"/>
          <w:szCs w:val="24"/>
        </w:rPr>
        <w:t xml:space="preserve">to </w:t>
      </w:r>
      <w:r w:rsidR="00A2205C" w:rsidRPr="00B64EC3">
        <w:rPr>
          <w:sz w:val="24"/>
          <w:szCs w:val="24"/>
        </w:rPr>
        <w:t xml:space="preserve">the learning itself unlike in the pedagogical method where most learning is subject based the </w:t>
      </w:r>
      <w:proofErr w:type="spellStart"/>
      <w:r w:rsidR="00A2205C" w:rsidRPr="00B64EC3">
        <w:rPr>
          <w:sz w:val="24"/>
          <w:szCs w:val="24"/>
        </w:rPr>
        <w:t>andragogical</w:t>
      </w:r>
      <w:proofErr w:type="spellEnd"/>
      <w:r w:rsidR="00A2205C" w:rsidRPr="00B64EC3">
        <w:rPr>
          <w:sz w:val="24"/>
          <w:szCs w:val="24"/>
        </w:rPr>
        <w:t xml:space="preserve"> model assumes adult learning is more task or problem solving centred. </w:t>
      </w:r>
      <w:r w:rsidR="00F6480E" w:rsidRPr="00B64EC3">
        <w:rPr>
          <w:sz w:val="24"/>
          <w:szCs w:val="24"/>
        </w:rPr>
        <w:t xml:space="preserve">Armitage, et al. (2003) also suggests that rather than the teacher determining the value of the learning that has taken place, in the </w:t>
      </w:r>
      <w:proofErr w:type="spellStart"/>
      <w:r w:rsidR="00F6480E" w:rsidRPr="00B64EC3">
        <w:rPr>
          <w:sz w:val="24"/>
          <w:szCs w:val="24"/>
        </w:rPr>
        <w:t>andragogical</w:t>
      </w:r>
      <w:proofErr w:type="spellEnd"/>
      <w:r w:rsidR="00F6480E" w:rsidRPr="00B64EC3">
        <w:rPr>
          <w:sz w:val="24"/>
          <w:szCs w:val="24"/>
        </w:rPr>
        <w:t xml:space="preserve"> model the learner is the only one who can effectively determine the success or otherwise of the learning. This view is supported by </w:t>
      </w:r>
      <w:r w:rsidR="00936D6C" w:rsidRPr="00B64EC3">
        <w:rPr>
          <w:sz w:val="24"/>
          <w:szCs w:val="24"/>
        </w:rPr>
        <w:t>Wilson (2014)</w:t>
      </w:r>
      <w:r w:rsidR="00F6480E" w:rsidRPr="00B64EC3">
        <w:rPr>
          <w:sz w:val="24"/>
          <w:szCs w:val="24"/>
        </w:rPr>
        <w:t xml:space="preserve"> who</w:t>
      </w:r>
      <w:r w:rsidR="00936D6C" w:rsidRPr="00B64EC3">
        <w:rPr>
          <w:sz w:val="24"/>
          <w:szCs w:val="24"/>
        </w:rPr>
        <w:t xml:space="preserve"> states that the focus of any session must be the learner and that if a session is effective the learner will ultimately determine the method of learning used and the ultimate direction of the session. </w:t>
      </w:r>
      <w:r w:rsidR="003A45D7" w:rsidRPr="00B64EC3">
        <w:rPr>
          <w:sz w:val="24"/>
          <w:szCs w:val="24"/>
        </w:rPr>
        <w:t>In summary pedagogy is the method with which young learners are taught by a teacher in order to ensure that the teacher’s goals are met</w:t>
      </w:r>
      <w:r w:rsidR="00F6480E" w:rsidRPr="00B64EC3">
        <w:rPr>
          <w:sz w:val="24"/>
          <w:szCs w:val="24"/>
        </w:rPr>
        <w:t>, whereas andragogy is the method where by adult learners are taught and the learner’s goals are met</w:t>
      </w:r>
      <w:r w:rsidR="003A45D7" w:rsidRPr="00B64EC3">
        <w:rPr>
          <w:sz w:val="24"/>
          <w:szCs w:val="24"/>
        </w:rPr>
        <w:t>.</w:t>
      </w:r>
      <w:r w:rsidR="00BE1A23" w:rsidRPr="00B64EC3">
        <w:rPr>
          <w:sz w:val="24"/>
          <w:szCs w:val="24"/>
        </w:rPr>
        <w:t xml:space="preserve"> </w:t>
      </w:r>
    </w:p>
    <w:p w14:paraId="4BD629D9" w14:textId="028ABD2F" w:rsidR="009251EA" w:rsidRPr="00B64EC3" w:rsidRDefault="000A791D" w:rsidP="00DC29B7">
      <w:pPr>
        <w:spacing w:after="0" w:line="360" w:lineRule="auto"/>
        <w:rPr>
          <w:sz w:val="24"/>
          <w:szCs w:val="24"/>
        </w:rPr>
      </w:pPr>
      <w:r w:rsidRPr="00B64EC3">
        <w:rPr>
          <w:sz w:val="24"/>
          <w:szCs w:val="24"/>
        </w:rPr>
        <w:t xml:space="preserve">I had originally </w:t>
      </w:r>
      <w:r w:rsidR="00BE1A23" w:rsidRPr="00B64EC3">
        <w:rPr>
          <w:sz w:val="24"/>
          <w:szCs w:val="24"/>
        </w:rPr>
        <w:t>planned</w:t>
      </w:r>
      <w:r w:rsidRPr="00B64EC3">
        <w:rPr>
          <w:sz w:val="24"/>
          <w:szCs w:val="24"/>
        </w:rPr>
        <w:t xml:space="preserve"> to deliver an introduction to entrepreneurial education</w:t>
      </w:r>
      <w:r w:rsidR="00A30AC4" w:rsidRPr="00B64EC3">
        <w:rPr>
          <w:sz w:val="24"/>
          <w:szCs w:val="24"/>
        </w:rPr>
        <w:t>.</w:t>
      </w:r>
      <w:r w:rsidRPr="00B64EC3">
        <w:rPr>
          <w:sz w:val="24"/>
          <w:szCs w:val="24"/>
        </w:rPr>
        <w:t xml:space="preserve"> </w:t>
      </w:r>
      <w:r w:rsidR="00A30AC4" w:rsidRPr="00B64EC3">
        <w:rPr>
          <w:sz w:val="24"/>
          <w:szCs w:val="24"/>
        </w:rPr>
        <w:t>H</w:t>
      </w:r>
      <w:r w:rsidRPr="00B64EC3">
        <w:rPr>
          <w:sz w:val="24"/>
          <w:szCs w:val="24"/>
        </w:rPr>
        <w:t xml:space="preserve">owever, </w:t>
      </w:r>
      <w:r w:rsidR="00BE1A23" w:rsidRPr="00B64EC3">
        <w:rPr>
          <w:sz w:val="24"/>
          <w:szCs w:val="24"/>
        </w:rPr>
        <w:t xml:space="preserve">in response to </w:t>
      </w:r>
      <w:r w:rsidRPr="00B64EC3">
        <w:rPr>
          <w:sz w:val="24"/>
          <w:szCs w:val="24"/>
        </w:rPr>
        <w:t xml:space="preserve">a </w:t>
      </w:r>
      <w:r w:rsidR="009251EA" w:rsidRPr="00B64EC3">
        <w:rPr>
          <w:sz w:val="24"/>
          <w:szCs w:val="24"/>
        </w:rPr>
        <w:t>discussion and an opinion raised</w:t>
      </w:r>
      <w:r w:rsidRPr="00B64EC3">
        <w:rPr>
          <w:sz w:val="24"/>
          <w:szCs w:val="24"/>
        </w:rPr>
        <w:t xml:space="preserve"> in another member of the cohort</w:t>
      </w:r>
      <w:r w:rsidR="00BE1A23" w:rsidRPr="00B64EC3">
        <w:rPr>
          <w:sz w:val="24"/>
          <w:szCs w:val="24"/>
        </w:rPr>
        <w:t>’</w:t>
      </w:r>
      <w:r w:rsidRPr="00B64EC3">
        <w:rPr>
          <w:sz w:val="24"/>
          <w:szCs w:val="24"/>
        </w:rPr>
        <w:t xml:space="preserve">s </w:t>
      </w:r>
      <w:r w:rsidR="00BE1A23" w:rsidRPr="00B64EC3">
        <w:rPr>
          <w:sz w:val="24"/>
          <w:szCs w:val="24"/>
        </w:rPr>
        <w:t xml:space="preserve">micro teach </w:t>
      </w:r>
      <w:r w:rsidRPr="00B64EC3">
        <w:rPr>
          <w:sz w:val="24"/>
          <w:szCs w:val="24"/>
        </w:rPr>
        <w:t>ses</w:t>
      </w:r>
      <w:r w:rsidR="00BE1A23" w:rsidRPr="00B64EC3">
        <w:rPr>
          <w:sz w:val="24"/>
          <w:szCs w:val="24"/>
        </w:rPr>
        <w:t>sion I changed</w:t>
      </w:r>
      <w:r w:rsidR="00A30AC4" w:rsidRPr="00B64EC3">
        <w:rPr>
          <w:sz w:val="24"/>
          <w:szCs w:val="24"/>
        </w:rPr>
        <w:t xml:space="preserve"> my planned lesson so that the focus was unschooling</w:t>
      </w:r>
      <w:r w:rsidR="00E437EE" w:rsidRPr="00B64EC3">
        <w:rPr>
          <w:sz w:val="24"/>
          <w:szCs w:val="24"/>
        </w:rPr>
        <w:t xml:space="preserve"> (A1, A2, A5, V1)</w:t>
      </w:r>
      <w:r w:rsidR="00A30AC4" w:rsidRPr="00B64EC3">
        <w:rPr>
          <w:sz w:val="24"/>
          <w:szCs w:val="24"/>
        </w:rPr>
        <w:t>.</w:t>
      </w:r>
      <w:r w:rsidR="00BE1A23" w:rsidRPr="00B64EC3">
        <w:rPr>
          <w:sz w:val="24"/>
          <w:szCs w:val="24"/>
        </w:rPr>
        <w:t xml:space="preserve"> </w:t>
      </w:r>
      <w:r w:rsidR="00A30AC4" w:rsidRPr="00B64EC3">
        <w:rPr>
          <w:sz w:val="24"/>
          <w:szCs w:val="24"/>
        </w:rPr>
        <w:t xml:space="preserve">I did this </w:t>
      </w:r>
      <w:r w:rsidR="00BE1A23" w:rsidRPr="00B64EC3">
        <w:rPr>
          <w:sz w:val="24"/>
          <w:szCs w:val="24"/>
        </w:rPr>
        <w:t>as I felt that unschooling was an area that the cohort would enjoy discussing</w:t>
      </w:r>
      <w:r w:rsidR="00A30AC4" w:rsidRPr="00B64EC3">
        <w:rPr>
          <w:sz w:val="24"/>
          <w:szCs w:val="24"/>
        </w:rPr>
        <w:t xml:space="preserve"> and would ultimately benefit the learners by providing them with the opportunity to discuss a different perspective of education that was not based in the classroom</w:t>
      </w:r>
      <w:r w:rsidR="009251EA" w:rsidRPr="00B64EC3">
        <w:rPr>
          <w:sz w:val="24"/>
          <w:szCs w:val="24"/>
        </w:rPr>
        <w:t xml:space="preserve"> or a formal learning environment</w:t>
      </w:r>
      <w:r w:rsidR="00E437EE" w:rsidRPr="00B64EC3">
        <w:rPr>
          <w:sz w:val="24"/>
          <w:szCs w:val="24"/>
        </w:rPr>
        <w:t xml:space="preserve"> (A5, K1, K2, V4,)</w:t>
      </w:r>
      <w:r w:rsidR="00BE1A23" w:rsidRPr="00B64EC3">
        <w:rPr>
          <w:sz w:val="24"/>
          <w:szCs w:val="24"/>
        </w:rPr>
        <w:t xml:space="preserve">. This </w:t>
      </w:r>
      <w:r w:rsidR="00A30AC4" w:rsidRPr="00B64EC3">
        <w:rPr>
          <w:sz w:val="24"/>
          <w:szCs w:val="24"/>
        </w:rPr>
        <w:t xml:space="preserve">change in the planned lesson also allowed a far more </w:t>
      </w:r>
      <w:proofErr w:type="spellStart"/>
      <w:r w:rsidR="00A30AC4" w:rsidRPr="00B64EC3">
        <w:rPr>
          <w:sz w:val="24"/>
          <w:szCs w:val="24"/>
        </w:rPr>
        <w:t>andragogical</w:t>
      </w:r>
      <w:proofErr w:type="spellEnd"/>
      <w:r w:rsidR="00A30AC4" w:rsidRPr="00B64EC3">
        <w:rPr>
          <w:sz w:val="24"/>
          <w:szCs w:val="24"/>
        </w:rPr>
        <w:t xml:space="preserve"> approach to the session as once I had given a small amount of </w:t>
      </w:r>
      <w:r w:rsidR="00A30AC4" w:rsidRPr="00B64EC3">
        <w:rPr>
          <w:sz w:val="24"/>
          <w:szCs w:val="24"/>
        </w:rPr>
        <w:lastRenderedPageBreak/>
        <w:t xml:space="preserve">background information and posed some </w:t>
      </w:r>
      <w:r w:rsidR="00E437EE" w:rsidRPr="00B64EC3">
        <w:rPr>
          <w:sz w:val="24"/>
          <w:szCs w:val="24"/>
        </w:rPr>
        <w:t>discussion points for consideration</w:t>
      </w:r>
      <w:r w:rsidR="00A30AC4" w:rsidRPr="00B64EC3">
        <w:rPr>
          <w:sz w:val="24"/>
          <w:szCs w:val="24"/>
        </w:rPr>
        <w:t xml:space="preserve"> the learners were effectively in charge of the direction the lesson then took</w:t>
      </w:r>
      <w:r w:rsidR="00E437EE" w:rsidRPr="00B64EC3">
        <w:rPr>
          <w:sz w:val="24"/>
          <w:szCs w:val="24"/>
        </w:rPr>
        <w:t xml:space="preserve"> (V3)</w:t>
      </w:r>
      <w:r w:rsidR="00A30AC4" w:rsidRPr="00B64EC3">
        <w:rPr>
          <w:sz w:val="24"/>
          <w:szCs w:val="24"/>
        </w:rPr>
        <w:t>. Based on the learner</w:t>
      </w:r>
      <w:r w:rsidR="005A5FE1" w:rsidRPr="00B64EC3">
        <w:rPr>
          <w:sz w:val="24"/>
          <w:szCs w:val="24"/>
        </w:rPr>
        <w:t>’</w:t>
      </w:r>
      <w:r w:rsidR="00A30AC4" w:rsidRPr="00B64EC3">
        <w:rPr>
          <w:sz w:val="24"/>
          <w:szCs w:val="24"/>
        </w:rPr>
        <w:t xml:space="preserve">s feedback the session was well received and they all learnt a great deal from the session. </w:t>
      </w:r>
    </w:p>
    <w:p w14:paraId="20CA279A" w14:textId="52D3CB2B" w:rsidR="00562758" w:rsidRPr="00B64EC3" w:rsidRDefault="000857BC" w:rsidP="00DC29B7">
      <w:pPr>
        <w:spacing w:after="0" w:line="360" w:lineRule="auto"/>
        <w:rPr>
          <w:sz w:val="24"/>
          <w:szCs w:val="24"/>
        </w:rPr>
      </w:pPr>
      <w:r w:rsidRPr="00B64EC3">
        <w:rPr>
          <w:sz w:val="24"/>
          <w:szCs w:val="24"/>
        </w:rPr>
        <w:t xml:space="preserve">In order to </w:t>
      </w:r>
      <w:r w:rsidR="008F3873" w:rsidRPr="00B64EC3">
        <w:rPr>
          <w:sz w:val="24"/>
          <w:szCs w:val="24"/>
        </w:rPr>
        <w:t>successfully</w:t>
      </w:r>
      <w:r w:rsidRPr="00B64EC3">
        <w:rPr>
          <w:sz w:val="24"/>
          <w:szCs w:val="24"/>
        </w:rPr>
        <w:t xml:space="preserve"> discuss the effectiveness of contemporary pedagogies in enhancing the delivery and ultimately the learners understanding of a subject it is first necessary to define what is meant by a contemporary pedagogy. Unfortunately there is not a single agreed upon definition in common use amongst educational researchers</w:t>
      </w:r>
      <w:r w:rsidR="00F81ACD" w:rsidRPr="00B64EC3">
        <w:rPr>
          <w:sz w:val="24"/>
          <w:szCs w:val="24"/>
        </w:rPr>
        <w:t xml:space="preserve"> and practitioners. H</w:t>
      </w:r>
      <w:r w:rsidRPr="00B64EC3">
        <w:rPr>
          <w:sz w:val="24"/>
          <w:szCs w:val="24"/>
        </w:rPr>
        <w:t>owever</w:t>
      </w:r>
      <w:r w:rsidR="00F81ACD" w:rsidRPr="00B64EC3">
        <w:rPr>
          <w:sz w:val="24"/>
          <w:szCs w:val="24"/>
        </w:rPr>
        <w:t>,</w:t>
      </w:r>
      <w:r w:rsidRPr="00B64EC3">
        <w:rPr>
          <w:sz w:val="24"/>
          <w:szCs w:val="24"/>
        </w:rPr>
        <w:t xml:space="preserve"> as discussed above</w:t>
      </w:r>
      <w:r w:rsidR="00D15C28" w:rsidRPr="00B64EC3">
        <w:rPr>
          <w:sz w:val="24"/>
          <w:szCs w:val="24"/>
        </w:rPr>
        <w:t>,</w:t>
      </w:r>
      <w:r w:rsidRPr="00B64EC3">
        <w:rPr>
          <w:sz w:val="24"/>
          <w:szCs w:val="24"/>
        </w:rPr>
        <w:t xml:space="preserve"> in detail</w:t>
      </w:r>
      <w:r w:rsidR="00D15C28" w:rsidRPr="00B64EC3">
        <w:rPr>
          <w:sz w:val="24"/>
          <w:szCs w:val="24"/>
        </w:rPr>
        <w:t>,</w:t>
      </w:r>
      <w:r w:rsidRPr="00B64EC3">
        <w:rPr>
          <w:sz w:val="24"/>
          <w:szCs w:val="24"/>
        </w:rPr>
        <w:t xml:space="preserve"> </w:t>
      </w:r>
      <w:r w:rsidR="00F81ACD" w:rsidRPr="00B64EC3">
        <w:rPr>
          <w:sz w:val="24"/>
          <w:szCs w:val="24"/>
        </w:rPr>
        <w:t xml:space="preserve">it would be reasonable to expect that a contemporary pedagogy draws its inspiration from an </w:t>
      </w:r>
      <w:proofErr w:type="spellStart"/>
      <w:r w:rsidR="00F81ACD" w:rsidRPr="00B64EC3">
        <w:rPr>
          <w:sz w:val="24"/>
          <w:szCs w:val="24"/>
        </w:rPr>
        <w:t>andragogical</w:t>
      </w:r>
      <w:proofErr w:type="spellEnd"/>
      <w:r w:rsidR="00F81ACD" w:rsidRPr="00B64EC3">
        <w:rPr>
          <w:sz w:val="24"/>
          <w:szCs w:val="24"/>
        </w:rPr>
        <w:t xml:space="preserve"> perspective and </w:t>
      </w:r>
      <w:r w:rsidR="008E50C6" w:rsidRPr="00B64EC3">
        <w:rPr>
          <w:sz w:val="24"/>
          <w:szCs w:val="24"/>
        </w:rPr>
        <w:t>specifically utilises the learner’s prior knowledge in the lesson. It is also reasonable to note that</w:t>
      </w:r>
      <w:r w:rsidR="00D15C28" w:rsidRPr="00B64EC3">
        <w:rPr>
          <w:sz w:val="24"/>
          <w:szCs w:val="24"/>
        </w:rPr>
        <w:t>,</w:t>
      </w:r>
      <w:r w:rsidR="008E50C6" w:rsidRPr="00B64EC3">
        <w:rPr>
          <w:sz w:val="24"/>
          <w:szCs w:val="24"/>
        </w:rPr>
        <w:t xml:space="preserve"> a</w:t>
      </w:r>
      <w:r w:rsidR="00EA5DDE" w:rsidRPr="00B64EC3">
        <w:rPr>
          <w:sz w:val="24"/>
          <w:szCs w:val="24"/>
        </w:rPr>
        <w:t xml:space="preserve">s discussed by </w:t>
      </w:r>
      <w:proofErr w:type="spellStart"/>
      <w:r w:rsidR="00EA5DDE" w:rsidRPr="00B64EC3">
        <w:rPr>
          <w:sz w:val="24"/>
          <w:szCs w:val="24"/>
        </w:rPr>
        <w:t>Daines</w:t>
      </w:r>
      <w:proofErr w:type="spellEnd"/>
      <w:r w:rsidR="00EA5DDE" w:rsidRPr="00B64EC3">
        <w:rPr>
          <w:sz w:val="24"/>
          <w:szCs w:val="24"/>
        </w:rPr>
        <w:t>, et al. (2002)</w:t>
      </w:r>
      <w:r w:rsidR="00D15C28" w:rsidRPr="00B64EC3">
        <w:rPr>
          <w:sz w:val="24"/>
          <w:szCs w:val="24"/>
        </w:rPr>
        <w:t>,</w:t>
      </w:r>
      <w:r w:rsidR="00EA5DDE" w:rsidRPr="00B64EC3">
        <w:rPr>
          <w:sz w:val="24"/>
          <w:szCs w:val="24"/>
        </w:rPr>
        <w:t xml:space="preserve"> in order to effectively engage adult learners it is vital to include them in the decision making processes for their particular area of study. This can include</w:t>
      </w:r>
      <w:r w:rsidR="00C612F8" w:rsidRPr="00B64EC3">
        <w:rPr>
          <w:sz w:val="24"/>
          <w:szCs w:val="24"/>
        </w:rPr>
        <w:t>, amongst others,</w:t>
      </w:r>
      <w:r w:rsidR="00EA5DDE" w:rsidRPr="00B64EC3">
        <w:rPr>
          <w:sz w:val="24"/>
          <w:szCs w:val="24"/>
        </w:rPr>
        <w:t xml:space="preserve"> the aims and objectives for the course, the success criteria </w:t>
      </w:r>
      <w:r w:rsidR="00C612F8" w:rsidRPr="00B64EC3">
        <w:rPr>
          <w:sz w:val="24"/>
          <w:szCs w:val="24"/>
        </w:rPr>
        <w:t>or</w:t>
      </w:r>
      <w:r w:rsidR="00EA5DDE" w:rsidRPr="00B64EC3">
        <w:rPr>
          <w:sz w:val="24"/>
          <w:szCs w:val="24"/>
        </w:rPr>
        <w:t xml:space="preserve"> the method of teaching delivery. </w:t>
      </w:r>
      <w:r w:rsidR="002252ED" w:rsidRPr="00B64EC3">
        <w:rPr>
          <w:sz w:val="24"/>
          <w:szCs w:val="24"/>
        </w:rPr>
        <w:t>For the purpose of this micro teach the area of negotiation that was available was the ultimate direction that the session took</w:t>
      </w:r>
      <w:r w:rsidR="0064120F" w:rsidRPr="00B64EC3">
        <w:rPr>
          <w:sz w:val="24"/>
          <w:szCs w:val="24"/>
        </w:rPr>
        <w:t xml:space="preserve"> (A2, K2, V1, </w:t>
      </w:r>
      <w:proofErr w:type="gramStart"/>
      <w:r w:rsidR="0064120F" w:rsidRPr="00B64EC3">
        <w:rPr>
          <w:sz w:val="24"/>
          <w:szCs w:val="24"/>
        </w:rPr>
        <w:t>V2</w:t>
      </w:r>
      <w:proofErr w:type="gramEnd"/>
      <w:r w:rsidR="0064120F" w:rsidRPr="00B64EC3">
        <w:rPr>
          <w:sz w:val="24"/>
          <w:szCs w:val="24"/>
        </w:rPr>
        <w:t>)</w:t>
      </w:r>
      <w:r w:rsidR="002252ED" w:rsidRPr="00B64EC3">
        <w:rPr>
          <w:sz w:val="24"/>
          <w:szCs w:val="24"/>
        </w:rPr>
        <w:t xml:space="preserve">. </w:t>
      </w:r>
      <w:r w:rsidR="0064120F" w:rsidRPr="00B64EC3">
        <w:rPr>
          <w:sz w:val="24"/>
          <w:szCs w:val="24"/>
        </w:rPr>
        <w:t xml:space="preserve">Hillier (2005) </w:t>
      </w:r>
      <w:r w:rsidR="008E50C6" w:rsidRPr="00B64EC3">
        <w:rPr>
          <w:sz w:val="24"/>
          <w:szCs w:val="24"/>
        </w:rPr>
        <w:t xml:space="preserve">also </w:t>
      </w:r>
      <w:r w:rsidR="0064120F" w:rsidRPr="00B64EC3">
        <w:rPr>
          <w:sz w:val="24"/>
          <w:szCs w:val="24"/>
        </w:rPr>
        <w:t xml:space="preserve">states that </w:t>
      </w:r>
      <w:r w:rsidR="006A7BC4" w:rsidRPr="00B64EC3">
        <w:rPr>
          <w:sz w:val="24"/>
          <w:szCs w:val="24"/>
        </w:rPr>
        <w:t xml:space="preserve">in the same way that there are a multitude of learning styles, there are a number of ways to effectively facilitate learning and that the use of any strategy requires a complex interaction between the tutor and the learners. Minton (2005) supports this view and suggests a continuum of methods </w:t>
      </w:r>
      <w:r w:rsidR="006976F9" w:rsidRPr="00B64EC3">
        <w:rPr>
          <w:sz w:val="24"/>
          <w:szCs w:val="24"/>
        </w:rPr>
        <w:t>that range from l</w:t>
      </w:r>
      <w:r w:rsidR="00A5452F" w:rsidRPr="00B64EC3">
        <w:rPr>
          <w:sz w:val="24"/>
          <w:szCs w:val="24"/>
        </w:rPr>
        <w:t>ecturing where the tutor has total control</w:t>
      </w:r>
      <w:r w:rsidR="008F3873" w:rsidRPr="00B64EC3">
        <w:rPr>
          <w:sz w:val="24"/>
          <w:szCs w:val="24"/>
        </w:rPr>
        <w:t>,</w:t>
      </w:r>
      <w:r w:rsidR="00A5452F" w:rsidRPr="00B64EC3">
        <w:rPr>
          <w:sz w:val="24"/>
          <w:szCs w:val="24"/>
        </w:rPr>
        <w:t xml:space="preserve"> to </w:t>
      </w:r>
      <w:r w:rsidR="00E11DA7" w:rsidRPr="00B64EC3">
        <w:rPr>
          <w:sz w:val="24"/>
          <w:szCs w:val="24"/>
        </w:rPr>
        <w:t>r</w:t>
      </w:r>
      <w:r w:rsidR="00A5452F" w:rsidRPr="00B64EC3">
        <w:rPr>
          <w:sz w:val="24"/>
          <w:szCs w:val="24"/>
        </w:rPr>
        <w:t xml:space="preserve">eal life experience where the learner has total control of the lesson. </w:t>
      </w:r>
      <w:r w:rsidR="00E11DA7" w:rsidRPr="00B64EC3">
        <w:rPr>
          <w:sz w:val="24"/>
          <w:szCs w:val="24"/>
        </w:rPr>
        <w:t xml:space="preserve">Knowles (1990) defined pedagogy from the </w:t>
      </w:r>
      <w:r w:rsidR="00147292" w:rsidRPr="00B64EC3">
        <w:rPr>
          <w:sz w:val="24"/>
          <w:szCs w:val="24"/>
        </w:rPr>
        <w:t>Greek</w:t>
      </w:r>
      <w:r w:rsidR="00E11DA7" w:rsidRPr="00B64EC3">
        <w:rPr>
          <w:sz w:val="24"/>
          <w:szCs w:val="24"/>
        </w:rPr>
        <w:t xml:space="preserve"> roots of the word as leader of children and as discussed above is the method with which a teacher imparts information to a student.  </w:t>
      </w:r>
      <w:r w:rsidR="008E50C6" w:rsidRPr="00B64EC3">
        <w:rPr>
          <w:sz w:val="24"/>
          <w:szCs w:val="24"/>
        </w:rPr>
        <w:t>Based on these statements it is reasonable to define a contemporary pedagogy as a teaching method that involv</w:t>
      </w:r>
      <w:r w:rsidR="00E11DA7" w:rsidRPr="00B64EC3">
        <w:rPr>
          <w:sz w:val="24"/>
          <w:szCs w:val="24"/>
        </w:rPr>
        <w:t>es the students in the planning, execution and success of a lesson, and places the needs of the students at the heart of th</w:t>
      </w:r>
      <w:r w:rsidR="006976F9" w:rsidRPr="00B64EC3">
        <w:rPr>
          <w:sz w:val="24"/>
          <w:szCs w:val="24"/>
        </w:rPr>
        <w:t>at</w:t>
      </w:r>
      <w:r w:rsidR="00E11DA7" w:rsidRPr="00B64EC3">
        <w:rPr>
          <w:sz w:val="24"/>
          <w:szCs w:val="24"/>
        </w:rPr>
        <w:t xml:space="preserve"> lesson</w:t>
      </w:r>
      <w:r w:rsidR="006976F9" w:rsidRPr="00B64EC3">
        <w:rPr>
          <w:sz w:val="24"/>
          <w:szCs w:val="24"/>
        </w:rPr>
        <w:t xml:space="preserve"> when determining and </w:t>
      </w:r>
      <w:r w:rsidR="00147292" w:rsidRPr="00B64EC3">
        <w:rPr>
          <w:sz w:val="24"/>
          <w:szCs w:val="24"/>
        </w:rPr>
        <w:t>executing</w:t>
      </w:r>
      <w:r w:rsidR="006976F9" w:rsidRPr="00B64EC3">
        <w:rPr>
          <w:sz w:val="24"/>
          <w:szCs w:val="24"/>
        </w:rPr>
        <w:t xml:space="preserve"> the method to be utilised</w:t>
      </w:r>
      <w:r w:rsidR="00E11DA7" w:rsidRPr="00B64EC3">
        <w:rPr>
          <w:sz w:val="24"/>
          <w:szCs w:val="24"/>
        </w:rPr>
        <w:t>.</w:t>
      </w:r>
      <w:r w:rsidR="006976F9" w:rsidRPr="00B64EC3">
        <w:rPr>
          <w:sz w:val="24"/>
          <w:szCs w:val="24"/>
        </w:rPr>
        <w:t xml:space="preserve"> The teaching method should include a high degree of student participation and not limit the focus of the session to a narrow teacher defined aim or objective. When utilising a contemporary pedagogy the </w:t>
      </w:r>
      <w:r w:rsidR="00147292" w:rsidRPr="00B64EC3">
        <w:rPr>
          <w:sz w:val="24"/>
          <w:szCs w:val="24"/>
        </w:rPr>
        <w:t>teacher’s</w:t>
      </w:r>
      <w:r w:rsidR="006976F9" w:rsidRPr="00B64EC3">
        <w:rPr>
          <w:sz w:val="24"/>
          <w:szCs w:val="24"/>
        </w:rPr>
        <w:t xml:space="preserve"> role is that of facilitator ensuring that the </w:t>
      </w:r>
      <w:r w:rsidR="00147292" w:rsidRPr="00B64EC3">
        <w:rPr>
          <w:sz w:val="24"/>
          <w:szCs w:val="24"/>
        </w:rPr>
        <w:t>student’s</w:t>
      </w:r>
      <w:r w:rsidR="006976F9" w:rsidRPr="00B64EC3">
        <w:rPr>
          <w:sz w:val="24"/>
          <w:szCs w:val="24"/>
        </w:rPr>
        <w:t xml:space="preserve"> aims and objectives are managed effectively.</w:t>
      </w:r>
      <w:r w:rsidR="0016782D" w:rsidRPr="00B64EC3">
        <w:rPr>
          <w:sz w:val="24"/>
          <w:szCs w:val="24"/>
        </w:rPr>
        <w:t xml:space="preserve"> </w:t>
      </w:r>
    </w:p>
    <w:p w14:paraId="5A14F37D" w14:textId="60BA1BA0" w:rsidR="00771BC3" w:rsidRPr="00B64EC3" w:rsidRDefault="006D2244" w:rsidP="00DC29B7">
      <w:pPr>
        <w:spacing w:after="0" w:line="360" w:lineRule="auto"/>
        <w:rPr>
          <w:sz w:val="24"/>
          <w:szCs w:val="24"/>
        </w:rPr>
      </w:pPr>
      <w:r w:rsidRPr="00B64EC3">
        <w:rPr>
          <w:sz w:val="24"/>
          <w:szCs w:val="24"/>
        </w:rPr>
        <w:t xml:space="preserve">As discussed by Hillier (2005) a purely interactive teaching method such as a discussion will not support a </w:t>
      </w:r>
      <w:r w:rsidR="00147292" w:rsidRPr="00B64EC3">
        <w:rPr>
          <w:sz w:val="24"/>
          <w:szCs w:val="24"/>
        </w:rPr>
        <w:t>student’s</w:t>
      </w:r>
      <w:r w:rsidRPr="00B64EC3">
        <w:rPr>
          <w:sz w:val="24"/>
          <w:szCs w:val="24"/>
        </w:rPr>
        <w:t xml:space="preserve"> learning effectively as they will not be aware of what is required of them and the session will lack focus. </w:t>
      </w:r>
      <w:r w:rsidR="00A5452F" w:rsidRPr="00B64EC3">
        <w:rPr>
          <w:sz w:val="24"/>
          <w:szCs w:val="24"/>
        </w:rPr>
        <w:t xml:space="preserve">In </w:t>
      </w:r>
      <w:r w:rsidR="00771BC3" w:rsidRPr="00B64EC3">
        <w:rPr>
          <w:sz w:val="24"/>
          <w:szCs w:val="24"/>
        </w:rPr>
        <w:t>the case of the</w:t>
      </w:r>
      <w:r w:rsidR="00A5452F" w:rsidRPr="00B64EC3">
        <w:rPr>
          <w:sz w:val="24"/>
          <w:szCs w:val="24"/>
        </w:rPr>
        <w:t xml:space="preserve"> micro teach</w:t>
      </w:r>
      <w:r w:rsidR="00771BC3" w:rsidRPr="00B64EC3">
        <w:rPr>
          <w:sz w:val="24"/>
          <w:szCs w:val="24"/>
        </w:rPr>
        <w:t xml:space="preserve"> that was delivered,</w:t>
      </w:r>
      <w:r w:rsidR="00A5452F" w:rsidRPr="00B64EC3">
        <w:rPr>
          <w:sz w:val="24"/>
          <w:szCs w:val="24"/>
        </w:rPr>
        <w:t xml:space="preserve"> a </w:t>
      </w:r>
      <w:r w:rsidR="00A5452F" w:rsidRPr="00B64EC3">
        <w:rPr>
          <w:sz w:val="24"/>
          <w:szCs w:val="24"/>
        </w:rPr>
        <w:lastRenderedPageBreak/>
        <w:t xml:space="preserve">discussion format was utilised </w:t>
      </w:r>
      <w:r w:rsidR="00771BC3" w:rsidRPr="00B64EC3">
        <w:rPr>
          <w:sz w:val="24"/>
          <w:szCs w:val="24"/>
        </w:rPr>
        <w:t>to allow the cohort to explore their views of the curriculum and the wider educational landscape in the UK</w:t>
      </w:r>
      <w:r w:rsidR="000D5CD4" w:rsidRPr="00B64EC3">
        <w:rPr>
          <w:sz w:val="24"/>
          <w:szCs w:val="24"/>
        </w:rPr>
        <w:t xml:space="preserve">, with minimal input from me (A1, K2, K3, </w:t>
      </w:r>
      <w:proofErr w:type="gramStart"/>
      <w:r w:rsidR="000D5CD4" w:rsidRPr="00B64EC3">
        <w:rPr>
          <w:sz w:val="24"/>
          <w:szCs w:val="24"/>
        </w:rPr>
        <w:t>V1</w:t>
      </w:r>
      <w:proofErr w:type="gramEnd"/>
      <w:r w:rsidR="000D5CD4" w:rsidRPr="00B64EC3">
        <w:rPr>
          <w:sz w:val="24"/>
          <w:szCs w:val="24"/>
        </w:rPr>
        <w:t>).</w:t>
      </w:r>
      <w:r w:rsidR="00771BC3" w:rsidRPr="00B64EC3">
        <w:rPr>
          <w:sz w:val="24"/>
          <w:szCs w:val="24"/>
        </w:rPr>
        <w:t xml:space="preserve">  I p</w:t>
      </w:r>
      <w:r w:rsidR="002252ED" w:rsidRPr="00B64EC3">
        <w:rPr>
          <w:sz w:val="24"/>
          <w:szCs w:val="24"/>
        </w:rPr>
        <w:t xml:space="preserve">rovided </w:t>
      </w:r>
      <w:r w:rsidR="00771BC3" w:rsidRPr="00B64EC3">
        <w:rPr>
          <w:sz w:val="24"/>
          <w:szCs w:val="24"/>
        </w:rPr>
        <w:t xml:space="preserve">the cohort with a </w:t>
      </w:r>
      <w:r w:rsidR="002252ED" w:rsidRPr="00B64EC3">
        <w:rPr>
          <w:sz w:val="24"/>
          <w:szCs w:val="24"/>
        </w:rPr>
        <w:t xml:space="preserve">small amount of background information </w:t>
      </w:r>
      <w:r w:rsidR="00771BC3" w:rsidRPr="00B64EC3">
        <w:rPr>
          <w:sz w:val="24"/>
          <w:szCs w:val="24"/>
        </w:rPr>
        <w:t>through two videos, one that expressed an opinion of the current UK curriculum and its short comings and the second that provided an alternative view of education that the cohort were not immediately familiar with</w:t>
      </w:r>
      <w:r w:rsidR="00484E50" w:rsidRPr="00B64EC3">
        <w:rPr>
          <w:sz w:val="24"/>
          <w:szCs w:val="24"/>
        </w:rPr>
        <w:t xml:space="preserve"> (A2, K2, </w:t>
      </w:r>
      <w:proofErr w:type="gramStart"/>
      <w:r w:rsidR="00484E50" w:rsidRPr="00B64EC3">
        <w:rPr>
          <w:sz w:val="24"/>
          <w:szCs w:val="24"/>
        </w:rPr>
        <w:t>K4</w:t>
      </w:r>
      <w:proofErr w:type="gramEnd"/>
      <w:r w:rsidR="00484E50" w:rsidRPr="00B64EC3">
        <w:rPr>
          <w:sz w:val="24"/>
          <w:szCs w:val="24"/>
        </w:rPr>
        <w:t>)</w:t>
      </w:r>
      <w:r w:rsidR="00771BC3" w:rsidRPr="00B64EC3">
        <w:rPr>
          <w:sz w:val="24"/>
          <w:szCs w:val="24"/>
        </w:rPr>
        <w:t>. This flipped learning approach provided the learners with a small amount of information and allowed them to form a subjective value judgement regarding the relative merits of unschooling. I then asked the cohort to consider this in relation to the benefits and drawbacks specifically considering the needs of the individual, emplo</w:t>
      </w:r>
      <w:r w:rsidR="000D5CD4" w:rsidRPr="00B64EC3">
        <w:rPr>
          <w:sz w:val="24"/>
          <w:szCs w:val="24"/>
        </w:rPr>
        <w:t>yability and society as a whole. From the feedback received this discussion was enjoyed by the participants who all felt comfortable enough expressing an opinion</w:t>
      </w:r>
      <w:r w:rsidR="00484E50" w:rsidRPr="00B64EC3">
        <w:rPr>
          <w:sz w:val="24"/>
          <w:szCs w:val="24"/>
        </w:rPr>
        <w:t xml:space="preserve"> and ultimately gained a significant insight to a method of education many were not aware of</w:t>
      </w:r>
      <w:r w:rsidR="000D5CD4" w:rsidRPr="00B64EC3">
        <w:rPr>
          <w:sz w:val="24"/>
          <w:szCs w:val="24"/>
        </w:rPr>
        <w:t>.</w:t>
      </w:r>
      <w:r w:rsidR="00484E50" w:rsidRPr="00B64EC3">
        <w:rPr>
          <w:sz w:val="24"/>
          <w:szCs w:val="24"/>
        </w:rPr>
        <w:t xml:space="preserve"> </w:t>
      </w:r>
      <w:r w:rsidR="00B75C69" w:rsidRPr="00B64EC3">
        <w:rPr>
          <w:sz w:val="24"/>
          <w:szCs w:val="24"/>
        </w:rPr>
        <w:t xml:space="preserve">Had I delivered the introduction to Entrepreneurial Education as originally planned I would have </w:t>
      </w:r>
      <w:r w:rsidR="00861C81" w:rsidRPr="00B64EC3">
        <w:rPr>
          <w:sz w:val="24"/>
          <w:szCs w:val="24"/>
        </w:rPr>
        <w:t>utilised the 6 thinking hats as designed by De Bono (2000)</w:t>
      </w:r>
      <w:r w:rsidR="00F14C71" w:rsidRPr="00B64EC3">
        <w:rPr>
          <w:sz w:val="24"/>
          <w:szCs w:val="24"/>
        </w:rPr>
        <w:t xml:space="preserve"> whilst this teaching method does have a high degree of student participation it does retain a significant level of teacher control in terms of the planning and execution of the method and as such in hindsight I do not feel it would have been as effective with this group as the discussion that ultimately took place.</w:t>
      </w:r>
      <w:r w:rsidR="00861C81" w:rsidRPr="00B64EC3">
        <w:rPr>
          <w:sz w:val="24"/>
          <w:szCs w:val="24"/>
        </w:rPr>
        <w:t xml:space="preserve"> </w:t>
      </w:r>
      <w:r w:rsidR="00B75C69" w:rsidRPr="00B64EC3">
        <w:rPr>
          <w:sz w:val="24"/>
          <w:szCs w:val="24"/>
        </w:rPr>
        <w:t xml:space="preserve"> </w:t>
      </w:r>
    </w:p>
    <w:p w14:paraId="221734B5" w14:textId="3CA0E73B" w:rsidR="00147292" w:rsidRPr="00B64EC3" w:rsidRDefault="00147292" w:rsidP="00DC29B7">
      <w:pPr>
        <w:spacing w:after="0" w:line="360" w:lineRule="auto"/>
        <w:rPr>
          <w:sz w:val="24"/>
          <w:szCs w:val="24"/>
        </w:rPr>
      </w:pPr>
      <w:r w:rsidRPr="00B64EC3">
        <w:rPr>
          <w:sz w:val="24"/>
          <w:szCs w:val="24"/>
        </w:rPr>
        <w:t xml:space="preserve">Due to the wide variety of contemporary pedagogies available to a practitioner and therefore the extremely diverse way these pedagogies can enhance a learner’s experience, this essay will focus on the discussion format and how this can enhance a student’s learning experience. </w:t>
      </w:r>
      <w:r w:rsidR="00FF7F75" w:rsidRPr="00B64EC3">
        <w:rPr>
          <w:sz w:val="24"/>
          <w:szCs w:val="24"/>
        </w:rPr>
        <w:t xml:space="preserve">Gregson, et al. (2015) suggest that discussion in the learning environment is a Vygotskian learning method as each students development is supported within the discussion by a more knowledgeable other. This more knowledgeable other may not always be the teacher especially in an adult learning setting, however, the discussion will allow the learner to construct their own meaningful interpretation and understanding of the topic at hand. </w:t>
      </w:r>
      <w:r w:rsidRPr="00B64EC3">
        <w:rPr>
          <w:sz w:val="24"/>
          <w:szCs w:val="24"/>
        </w:rPr>
        <w:t>Armitage, et al., (2003)</w:t>
      </w:r>
      <w:r w:rsidR="00DE7BE3" w:rsidRPr="00B64EC3">
        <w:rPr>
          <w:sz w:val="24"/>
          <w:szCs w:val="24"/>
        </w:rPr>
        <w:t xml:space="preserve"> suggest that</w:t>
      </w:r>
      <w:r w:rsidRPr="00B64EC3">
        <w:rPr>
          <w:sz w:val="24"/>
          <w:szCs w:val="24"/>
        </w:rPr>
        <w:t xml:space="preserve"> discussion is largely a Socratic philosophical method of teaching and allows learners to develop a critical understanding of a subject by exploring the areas they are not familiar with. This method does not naturally lend itself to empirical study but allows a rationalist approach that exposes the contradictions in a learner</w:t>
      </w:r>
      <w:r w:rsidR="00DE7BE3" w:rsidRPr="00B64EC3">
        <w:rPr>
          <w:sz w:val="24"/>
          <w:szCs w:val="24"/>
        </w:rPr>
        <w:t>’</w:t>
      </w:r>
      <w:r w:rsidRPr="00B64EC3">
        <w:rPr>
          <w:sz w:val="24"/>
          <w:szCs w:val="24"/>
        </w:rPr>
        <w:t>s knowledge.</w:t>
      </w:r>
      <w:r w:rsidR="00DE7BE3" w:rsidRPr="00B64EC3">
        <w:rPr>
          <w:sz w:val="24"/>
          <w:szCs w:val="24"/>
        </w:rPr>
        <w:t xml:space="preserve"> By utilising the discussion method of teaching an educator can facilitate change within a student’s understanding without appearing to be overbearing or superior, this is especially important if the change the educator is attempting to bring about </w:t>
      </w:r>
      <w:r w:rsidR="00DE7BE3" w:rsidRPr="00B64EC3">
        <w:rPr>
          <w:sz w:val="24"/>
          <w:szCs w:val="24"/>
        </w:rPr>
        <w:lastRenderedPageBreak/>
        <w:t xml:space="preserve">is to a fundamentally held belief of the student’s. </w:t>
      </w:r>
      <w:r w:rsidR="00296E7E" w:rsidRPr="00B64EC3">
        <w:rPr>
          <w:sz w:val="24"/>
          <w:szCs w:val="24"/>
        </w:rPr>
        <w:t xml:space="preserve">Fisher (2013) supports this view of discussion and suggests that discussion can challenge a learner to think more deeply and critically about a subject than other teaching methods. Fisher (2013) also suggests that pupils need to be trained in how to effectively engage in discussions in order for it enhance their learning. This training must include effective questioning, active listening, to be receptive to other viewpoints </w:t>
      </w:r>
      <w:r w:rsidR="00DF400F" w:rsidRPr="00B64EC3">
        <w:rPr>
          <w:sz w:val="24"/>
          <w:szCs w:val="24"/>
        </w:rPr>
        <w:t xml:space="preserve">and exercising good judgement. Whilst Fisher is discussing younger learners these points apply equally to adult learners especially those who may not have experienced regular discussions through their compulsory education. Curzon (2004) states that in order for a discussion to enhance a learners experience it requires a considerable level of skill on the part of the educator to ensure that the students remain on task and to ensure that the pupils collective activity remains high. </w:t>
      </w:r>
      <w:r w:rsidR="008F7577" w:rsidRPr="00B64EC3">
        <w:rPr>
          <w:sz w:val="24"/>
          <w:szCs w:val="24"/>
        </w:rPr>
        <w:t>In this case the educator must</w:t>
      </w:r>
      <w:r w:rsidR="0001789D" w:rsidRPr="00B64EC3">
        <w:rPr>
          <w:sz w:val="24"/>
          <w:szCs w:val="24"/>
        </w:rPr>
        <w:t xml:space="preserve"> also</w:t>
      </w:r>
      <w:r w:rsidR="008F7577" w:rsidRPr="00B64EC3">
        <w:rPr>
          <w:sz w:val="24"/>
          <w:szCs w:val="24"/>
        </w:rPr>
        <w:t xml:space="preserve"> remain aware of the group dynamics and prevent a small number from dominating the discussion to the detriment of the other members. </w:t>
      </w:r>
      <w:r w:rsidR="004916B8" w:rsidRPr="00B64EC3">
        <w:rPr>
          <w:sz w:val="24"/>
          <w:szCs w:val="24"/>
        </w:rPr>
        <w:t xml:space="preserve">Gould (2012) states that whilst the individual participants in a discussion are all exposed to the same arguments and points raised they will all take away their own individual understanding and conclusion, this is especially true for adult </w:t>
      </w:r>
      <w:r w:rsidR="00F71632" w:rsidRPr="00B64EC3">
        <w:rPr>
          <w:sz w:val="24"/>
          <w:szCs w:val="24"/>
        </w:rPr>
        <w:t>learners</w:t>
      </w:r>
      <w:r w:rsidR="004916B8" w:rsidRPr="00B64EC3">
        <w:rPr>
          <w:sz w:val="24"/>
          <w:szCs w:val="24"/>
        </w:rPr>
        <w:t xml:space="preserve"> </w:t>
      </w:r>
      <w:r w:rsidR="00F71632" w:rsidRPr="00B64EC3">
        <w:rPr>
          <w:sz w:val="24"/>
          <w:szCs w:val="24"/>
        </w:rPr>
        <w:t>whose</w:t>
      </w:r>
      <w:r w:rsidR="004916B8" w:rsidRPr="00B64EC3">
        <w:rPr>
          <w:sz w:val="24"/>
          <w:szCs w:val="24"/>
        </w:rPr>
        <w:t xml:space="preserve"> previous experience and values will have coloured their perception of the issues. Reece &amp; Walker (2007) state that in order for a discussion to enhance a learners experience and therefore understanding </w:t>
      </w:r>
      <w:r w:rsidR="00F71632" w:rsidRPr="00B64EC3">
        <w:rPr>
          <w:sz w:val="24"/>
          <w:szCs w:val="24"/>
        </w:rPr>
        <w:t xml:space="preserve">the educator needs to consider not only the participants but also the layout of the teaching space and the time available for the discussion. They suggest that </w:t>
      </w:r>
      <w:r w:rsidR="00280D86" w:rsidRPr="00B64EC3">
        <w:rPr>
          <w:sz w:val="24"/>
          <w:szCs w:val="24"/>
        </w:rPr>
        <w:t>a decentralised circle is the best layout for encouraging participation in a discussion as it removes anyone individual from being the focus. For the purpose of this micro teach amending the room layout was not feasible in the timescales allowed however it must be noted that those on the fringes of the classroom did participate</w:t>
      </w:r>
      <w:r w:rsidR="00F4311E" w:rsidRPr="00B64EC3">
        <w:rPr>
          <w:sz w:val="24"/>
          <w:szCs w:val="24"/>
        </w:rPr>
        <w:t xml:space="preserve"> in the discussion to a </w:t>
      </w:r>
      <w:r w:rsidR="00280D86" w:rsidRPr="00B64EC3">
        <w:rPr>
          <w:sz w:val="24"/>
          <w:szCs w:val="24"/>
        </w:rPr>
        <w:t>less</w:t>
      </w:r>
      <w:r w:rsidR="00F4311E" w:rsidRPr="00B64EC3">
        <w:rPr>
          <w:sz w:val="24"/>
          <w:szCs w:val="24"/>
        </w:rPr>
        <w:t>er degree</w:t>
      </w:r>
      <w:r w:rsidR="00280D86" w:rsidRPr="00B64EC3">
        <w:rPr>
          <w:sz w:val="24"/>
          <w:szCs w:val="24"/>
        </w:rPr>
        <w:t xml:space="preserve"> and in future I would attempt to ensure that the room layout was adjusted accordingly.</w:t>
      </w:r>
      <w:r w:rsidR="00F4311E" w:rsidRPr="00B64EC3">
        <w:rPr>
          <w:sz w:val="24"/>
          <w:szCs w:val="24"/>
        </w:rPr>
        <w:t xml:space="preserve"> Minton (2005) also suggests that a discussion is generally one of the least well managed of all teaching methods as it seems that very little in</w:t>
      </w:r>
      <w:r w:rsidR="00F9211F" w:rsidRPr="00B64EC3">
        <w:rPr>
          <w:sz w:val="24"/>
          <w:szCs w:val="24"/>
        </w:rPr>
        <w:t>put is needed from the educator, however, it is very easy for discussions to be unproductive and even turn into arguments without</w:t>
      </w:r>
      <w:r w:rsidR="00DC29B7" w:rsidRPr="00B64EC3">
        <w:rPr>
          <w:sz w:val="24"/>
          <w:szCs w:val="24"/>
        </w:rPr>
        <w:t xml:space="preserve"> timely</w:t>
      </w:r>
      <w:r w:rsidR="00F9211F" w:rsidRPr="00B64EC3">
        <w:rPr>
          <w:sz w:val="24"/>
          <w:szCs w:val="24"/>
        </w:rPr>
        <w:t xml:space="preserve"> interventions from the teacher. In the case of this micro</w:t>
      </w:r>
      <w:r w:rsidR="00DC29B7" w:rsidRPr="00B64EC3">
        <w:rPr>
          <w:sz w:val="24"/>
          <w:szCs w:val="24"/>
        </w:rPr>
        <w:t xml:space="preserve"> </w:t>
      </w:r>
      <w:r w:rsidR="00F9211F" w:rsidRPr="00B64EC3">
        <w:rPr>
          <w:sz w:val="24"/>
          <w:szCs w:val="24"/>
        </w:rPr>
        <w:t xml:space="preserve">teach the discussion largely remained </w:t>
      </w:r>
      <w:r w:rsidR="00DC29B7" w:rsidRPr="00B64EC3">
        <w:rPr>
          <w:sz w:val="24"/>
          <w:szCs w:val="24"/>
        </w:rPr>
        <w:t>o</w:t>
      </w:r>
      <w:r w:rsidR="00F9211F" w:rsidRPr="00B64EC3">
        <w:rPr>
          <w:sz w:val="24"/>
          <w:szCs w:val="24"/>
        </w:rPr>
        <w:t xml:space="preserve">n topic and </w:t>
      </w:r>
      <w:r w:rsidR="00DC29B7" w:rsidRPr="00B64EC3">
        <w:rPr>
          <w:sz w:val="24"/>
          <w:szCs w:val="24"/>
        </w:rPr>
        <w:t xml:space="preserve">was conducted in a respectful manner by the cohort however I am aware that this may have been due to the artificial nature of the session as opposed to any particular management on my part and will need to be monitored closely in future. </w:t>
      </w:r>
    </w:p>
    <w:p w14:paraId="6A26A58E" w14:textId="7EAC2052" w:rsidR="00E61CF8" w:rsidRPr="00B64EC3" w:rsidRDefault="00011D08" w:rsidP="00DC29B7">
      <w:pPr>
        <w:spacing w:after="0" w:line="360" w:lineRule="auto"/>
        <w:rPr>
          <w:sz w:val="24"/>
          <w:szCs w:val="24"/>
        </w:rPr>
      </w:pPr>
      <w:r w:rsidRPr="00B64EC3">
        <w:rPr>
          <w:sz w:val="24"/>
          <w:szCs w:val="24"/>
        </w:rPr>
        <w:lastRenderedPageBreak/>
        <w:t>In this micro teach an embedded cross cutting theme</w:t>
      </w:r>
      <w:r w:rsidR="00E61CF8" w:rsidRPr="00B64EC3">
        <w:rPr>
          <w:sz w:val="24"/>
          <w:szCs w:val="24"/>
        </w:rPr>
        <w:t xml:space="preserve"> was required.</w:t>
      </w:r>
      <w:r w:rsidRPr="00B64EC3">
        <w:rPr>
          <w:sz w:val="24"/>
          <w:szCs w:val="24"/>
        </w:rPr>
        <w:t xml:space="preserve"> </w:t>
      </w:r>
      <w:r w:rsidRPr="00B64EC3">
        <w:rPr>
          <w:noProof/>
          <w:sz w:val="24"/>
          <w:szCs w:val="24"/>
        </w:rPr>
        <w:t>UNESCO (2017)</w:t>
      </w:r>
      <w:r w:rsidRPr="00B64EC3">
        <w:rPr>
          <w:sz w:val="24"/>
          <w:szCs w:val="24"/>
        </w:rPr>
        <w:t xml:space="preserve"> define cross cutting themes </w:t>
      </w:r>
      <w:r w:rsidR="00E61CF8" w:rsidRPr="00B64EC3">
        <w:rPr>
          <w:sz w:val="24"/>
          <w:szCs w:val="24"/>
        </w:rPr>
        <w:t xml:space="preserve">as </w:t>
      </w:r>
    </w:p>
    <w:p w14:paraId="57273662" w14:textId="03216ACF" w:rsidR="00011D08" w:rsidRPr="00B64EC3" w:rsidRDefault="00E61CF8" w:rsidP="00E61CF8">
      <w:pPr>
        <w:spacing w:line="240" w:lineRule="auto"/>
        <w:ind w:left="851" w:right="1088"/>
        <w:rPr>
          <w:sz w:val="24"/>
          <w:szCs w:val="24"/>
        </w:rPr>
      </w:pPr>
      <w:r w:rsidRPr="00B64EC3">
        <w:rPr>
          <w:sz w:val="24"/>
          <w:szCs w:val="24"/>
        </w:rPr>
        <w:t>‘</w:t>
      </w:r>
      <w:r w:rsidRPr="00B64EC3">
        <w:rPr>
          <w:sz w:val="24"/>
          <w:szCs w:val="24"/>
          <w:shd w:val="clear" w:color="auto" w:fill="FFFFFF"/>
        </w:rPr>
        <w:t>Important curriculum content which is to be covered across subjects (or disciplines or learning areas), rather than being taught and learned in one particular subject. These themes can connect programme content across disciplinary boundaries; enrich the curriculum without overloading it through the introduction of additional teaching subjects; and facilitate interdisciplinary thinking and collaborative learning.</w:t>
      </w:r>
      <w:r w:rsidRPr="00B64EC3">
        <w:rPr>
          <w:sz w:val="24"/>
          <w:szCs w:val="24"/>
          <w:shd w:val="clear" w:color="auto" w:fill="FFFFFF"/>
        </w:rPr>
        <w:t>’</w:t>
      </w:r>
      <w:bookmarkStart w:id="0" w:name="_GoBack"/>
      <w:bookmarkEnd w:id="0"/>
    </w:p>
    <w:p w14:paraId="366C3C98" w14:textId="4918E918" w:rsidR="00011D08" w:rsidRPr="00B64EC3" w:rsidRDefault="00E61CF8" w:rsidP="00E61CF8">
      <w:pPr>
        <w:spacing w:after="0" w:line="360" w:lineRule="auto"/>
        <w:rPr>
          <w:rFonts w:cs="Arial"/>
          <w:color w:val="333333"/>
          <w:sz w:val="24"/>
          <w:szCs w:val="24"/>
        </w:rPr>
      </w:pPr>
      <w:r w:rsidRPr="00B64EC3">
        <w:rPr>
          <w:sz w:val="24"/>
          <w:szCs w:val="24"/>
        </w:rPr>
        <w:t xml:space="preserve">The Welsh Government has determined that the preferred cross cutting themes in Wales include; </w:t>
      </w:r>
      <w:r w:rsidRPr="00B64EC3">
        <w:rPr>
          <w:rFonts w:cs="Arial"/>
          <w:color w:val="333333"/>
          <w:sz w:val="24"/>
          <w:szCs w:val="24"/>
          <w:shd w:val="clear" w:color="auto" w:fill="FFFFFF"/>
        </w:rPr>
        <w:t>sustainable development</w:t>
      </w:r>
      <w:r w:rsidRPr="00B64EC3">
        <w:rPr>
          <w:rFonts w:cs="Arial"/>
          <w:color w:val="333333"/>
          <w:sz w:val="24"/>
          <w:szCs w:val="24"/>
          <w:shd w:val="clear" w:color="auto" w:fill="FFFFFF"/>
        </w:rPr>
        <w:t xml:space="preserve">, </w:t>
      </w:r>
      <w:r w:rsidRPr="00B64EC3">
        <w:rPr>
          <w:rFonts w:cs="Arial"/>
          <w:color w:val="333333"/>
          <w:sz w:val="24"/>
          <w:szCs w:val="24"/>
          <w:shd w:val="clear" w:color="auto" w:fill="FFFFFF"/>
        </w:rPr>
        <w:t>tackling poverty and social exclusion</w:t>
      </w:r>
      <w:r w:rsidRPr="00B64EC3">
        <w:rPr>
          <w:rFonts w:cs="Arial"/>
          <w:color w:val="333333"/>
          <w:sz w:val="24"/>
          <w:szCs w:val="24"/>
          <w:shd w:val="clear" w:color="auto" w:fill="FFFFFF"/>
        </w:rPr>
        <w:t xml:space="preserve">, </w:t>
      </w:r>
      <w:r w:rsidRPr="00B64EC3">
        <w:rPr>
          <w:rFonts w:cs="Arial"/>
          <w:color w:val="333333"/>
          <w:sz w:val="24"/>
          <w:szCs w:val="24"/>
          <w:shd w:val="clear" w:color="auto" w:fill="FFFFFF"/>
        </w:rPr>
        <w:t>equal opportunities and gender mainstreaming</w:t>
      </w:r>
      <w:r w:rsidRPr="00B64EC3">
        <w:rPr>
          <w:rFonts w:cs="Arial"/>
          <w:color w:val="333333"/>
          <w:sz w:val="24"/>
          <w:szCs w:val="24"/>
        </w:rPr>
        <w:t xml:space="preserve"> </w:t>
      </w:r>
      <w:sdt>
        <w:sdtPr>
          <w:rPr>
            <w:rFonts w:cs="Arial"/>
            <w:color w:val="333333"/>
            <w:sz w:val="24"/>
            <w:szCs w:val="24"/>
          </w:rPr>
          <w:id w:val="1242676962"/>
          <w:citation/>
        </w:sdtPr>
        <w:sdtContent>
          <w:r w:rsidRPr="00B64EC3">
            <w:rPr>
              <w:rFonts w:cs="Arial"/>
              <w:color w:val="333333"/>
              <w:sz w:val="24"/>
              <w:szCs w:val="24"/>
            </w:rPr>
            <w:fldChar w:fldCharType="begin"/>
          </w:r>
          <w:r w:rsidRPr="00B64EC3">
            <w:rPr>
              <w:rFonts w:cs="Arial"/>
              <w:color w:val="333333"/>
              <w:sz w:val="24"/>
              <w:szCs w:val="24"/>
            </w:rPr>
            <w:instrText xml:space="preserve"> CITATION Wel17 \l 2057 </w:instrText>
          </w:r>
          <w:r w:rsidRPr="00B64EC3">
            <w:rPr>
              <w:rFonts w:cs="Arial"/>
              <w:color w:val="333333"/>
              <w:sz w:val="24"/>
              <w:szCs w:val="24"/>
            </w:rPr>
            <w:fldChar w:fldCharType="separate"/>
          </w:r>
          <w:r w:rsidRPr="00B64EC3">
            <w:rPr>
              <w:rFonts w:cs="Arial"/>
              <w:noProof/>
              <w:color w:val="333333"/>
              <w:sz w:val="24"/>
              <w:szCs w:val="24"/>
            </w:rPr>
            <w:t>(Welsh Government, 2017)</w:t>
          </w:r>
          <w:r w:rsidRPr="00B64EC3">
            <w:rPr>
              <w:rFonts w:cs="Arial"/>
              <w:color w:val="333333"/>
              <w:sz w:val="24"/>
              <w:szCs w:val="24"/>
            </w:rPr>
            <w:fldChar w:fldCharType="end"/>
          </w:r>
        </w:sdtContent>
      </w:sdt>
      <w:r w:rsidRPr="00B64EC3">
        <w:rPr>
          <w:rFonts w:cs="Arial"/>
          <w:color w:val="333333"/>
          <w:sz w:val="24"/>
          <w:szCs w:val="24"/>
        </w:rPr>
        <w:t xml:space="preserve">. As I changed the focus of the planned micro teach at short notice I had not formalised a cross cutting theme into this particular lesson, however, there are clear links to equal opportunities and social exclusion that can be drawn in the delivered lesson. Had I </w:t>
      </w:r>
      <w:r w:rsidR="00134CB3" w:rsidRPr="00B64EC3">
        <w:rPr>
          <w:rFonts w:cs="Arial"/>
          <w:color w:val="333333"/>
          <w:sz w:val="24"/>
          <w:szCs w:val="24"/>
        </w:rPr>
        <w:t>carried out the lesson on entrepreneurial education as originally planned I had intended the cross cutting theme to be sustainable development as this is an area I have a particular interest in.</w:t>
      </w:r>
    </w:p>
    <w:p w14:paraId="32711C18" w14:textId="26D60AC7" w:rsidR="00134CB3" w:rsidRPr="00B64EC3" w:rsidRDefault="00134CB3" w:rsidP="00E61CF8">
      <w:pPr>
        <w:spacing w:after="0" w:line="360" w:lineRule="auto"/>
        <w:rPr>
          <w:rFonts w:cs="Arial"/>
          <w:color w:val="333333"/>
          <w:sz w:val="24"/>
          <w:szCs w:val="24"/>
        </w:rPr>
      </w:pPr>
      <w:r w:rsidRPr="00B64EC3">
        <w:rPr>
          <w:rFonts w:cs="Arial"/>
          <w:color w:val="333333"/>
          <w:sz w:val="24"/>
          <w:szCs w:val="24"/>
        </w:rPr>
        <w:t xml:space="preserve">In conclusion I feel that this lesson as it was run was particularly effective in introducing the cohort to a new but growing educational model. The cohort were able to challenge their own preconceived ideas of education in a safe, non-judgemental environment and ultimately draw a conclusion that they all agreed on. I did participate in the discussion in order to maintain the flow or to clarify a point raised by the cohort but made a significant effort not to impose my own point of view on the discussion. I do feel that the links to the cross cutting theme could have been more explicit however as this is generally expected to be across a number of topics and should enrich the curriculum this is not a significant issue, however for my own practice I am aware that I need to be more aware of these themes and embed them into my teaching at the beginning of the planning process rather than them being an </w:t>
      </w:r>
      <w:r w:rsidR="004F0744" w:rsidRPr="00B64EC3">
        <w:rPr>
          <w:rFonts w:cs="Arial"/>
          <w:color w:val="333333"/>
          <w:sz w:val="24"/>
          <w:szCs w:val="24"/>
        </w:rPr>
        <w:t>afterthought</w:t>
      </w:r>
      <w:r w:rsidRPr="00B64EC3">
        <w:rPr>
          <w:rFonts w:cs="Arial"/>
          <w:color w:val="333333"/>
          <w:sz w:val="24"/>
          <w:szCs w:val="24"/>
        </w:rPr>
        <w:t xml:space="preserve">. </w:t>
      </w:r>
    </w:p>
    <w:p w14:paraId="687B9CCF" w14:textId="77777777" w:rsidR="00134CB3" w:rsidRDefault="00134CB3" w:rsidP="00E61CF8">
      <w:pPr>
        <w:spacing w:after="0" w:line="360" w:lineRule="auto"/>
        <w:rPr>
          <w:sz w:val="24"/>
          <w:szCs w:val="24"/>
        </w:rPr>
      </w:pPr>
    </w:p>
    <w:p w14:paraId="4525C72A" w14:textId="77777777" w:rsidR="00E61CF8" w:rsidRDefault="00E61CF8" w:rsidP="00DC29B7">
      <w:pPr>
        <w:spacing w:after="0" w:line="360" w:lineRule="auto"/>
        <w:rPr>
          <w:sz w:val="24"/>
          <w:szCs w:val="24"/>
        </w:rPr>
      </w:pPr>
    </w:p>
    <w:p w14:paraId="715D56CD" w14:textId="77777777" w:rsidR="00011D08" w:rsidRDefault="00011D08" w:rsidP="00DC29B7">
      <w:pPr>
        <w:spacing w:after="0" w:line="360" w:lineRule="auto"/>
        <w:rPr>
          <w:sz w:val="24"/>
          <w:szCs w:val="24"/>
        </w:rPr>
      </w:pPr>
    </w:p>
    <w:p w14:paraId="24D7F088" w14:textId="77777777" w:rsidR="00011D08" w:rsidRDefault="00011D08" w:rsidP="00DC29B7">
      <w:pPr>
        <w:spacing w:after="0" w:line="360" w:lineRule="auto"/>
        <w:rPr>
          <w:sz w:val="24"/>
          <w:szCs w:val="24"/>
        </w:rPr>
      </w:pPr>
    </w:p>
    <w:p w14:paraId="0B336734" w14:textId="77777777" w:rsidR="00011D08" w:rsidRDefault="00011D08" w:rsidP="00DC29B7">
      <w:pPr>
        <w:spacing w:after="0" w:line="360" w:lineRule="auto"/>
        <w:rPr>
          <w:sz w:val="24"/>
          <w:szCs w:val="24"/>
        </w:rPr>
      </w:pPr>
    </w:p>
    <w:p w14:paraId="71B193D3" w14:textId="77777777" w:rsidR="007971BA" w:rsidRPr="00F9211F" w:rsidRDefault="007971BA" w:rsidP="00DC29B7">
      <w:pPr>
        <w:spacing w:after="0" w:line="360" w:lineRule="auto"/>
        <w:rPr>
          <w:sz w:val="24"/>
          <w:szCs w:val="24"/>
        </w:rPr>
      </w:pPr>
    </w:p>
    <w:p w14:paraId="2484750E" w14:textId="77777777" w:rsidR="00771BC3" w:rsidRPr="00F9211F" w:rsidRDefault="00771BC3" w:rsidP="00DC29B7">
      <w:pPr>
        <w:spacing w:after="0" w:line="360" w:lineRule="auto"/>
        <w:rPr>
          <w:sz w:val="24"/>
          <w:szCs w:val="24"/>
        </w:rPr>
      </w:pPr>
    </w:p>
    <w:p w14:paraId="41F972B5" w14:textId="77777777" w:rsidR="00C612F8" w:rsidRPr="00F9211F" w:rsidRDefault="00C612F8" w:rsidP="00DC29B7">
      <w:pPr>
        <w:spacing w:after="0" w:line="360" w:lineRule="auto"/>
        <w:rPr>
          <w:sz w:val="24"/>
          <w:szCs w:val="24"/>
        </w:rPr>
      </w:pPr>
    </w:p>
    <w:p w14:paraId="19B26385" w14:textId="77777777" w:rsidR="00C612F8" w:rsidRPr="00F9211F" w:rsidRDefault="00C612F8" w:rsidP="00DC29B7">
      <w:pPr>
        <w:spacing w:after="0" w:line="360" w:lineRule="auto"/>
        <w:rPr>
          <w:sz w:val="24"/>
          <w:szCs w:val="24"/>
        </w:rPr>
      </w:pPr>
    </w:p>
    <w:sdt>
      <w:sdtPr>
        <w:id w:val="-125227795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EC78C8D" w14:textId="7DA5BF6F" w:rsidR="004F0744" w:rsidRDefault="004F0744">
          <w:pPr>
            <w:pStyle w:val="Heading1"/>
          </w:pPr>
          <w:r>
            <w:t>References</w:t>
          </w:r>
        </w:p>
        <w:sdt>
          <w:sdtPr>
            <w:id w:val="-573587230"/>
            <w:bibliography/>
          </w:sdtPr>
          <w:sdtContent>
            <w:p w14:paraId="06031EAE" w14:textId="77777777" w:rsidR="004F0744" w:rsidRDefault="004F0744" w:rsidP="004F0744">
              <w:pPr>
                <w:pStyle w:val="Bibliography"/>
                <w:rPr>
                  <w:noProof/>
                  <w:sz w:val="24"/>
                  <w:szCs w:val="24"/>
                  <w:lang w:val="en-US"/>
                </w:rPr>
              </w:pPr>
              <w:r>
                <w:fldChar w:fldCharType="begin"/>
              </w:r>
              <w:r>
                <w:instrText xml:space="preserve"> BIBLIOGRAPHY </w:instrText>
              </w:r>
              <w:r>
                <w:fldChar w:fldCharType="separate"/>
              </w:r>
              <w:r>
                <w:rPr>
                  <w:noProof/>
                  <w:lang w:val="en-US"/>
                </w:rPr>
                <w:t xml:space="preserve">Armitage, A. et al., 2003. </w:t>
              </w:r>
              <w:r>
                <w:rPr>
                  <w:i/>
                  <w:iCs/>
                  <w:noProof/>
                  <w:lang w:val="en-US"/>
                </w:rPr>
                <w:t xml:space="preserve">Teaching and Training in Post Compulsory Education. </w:t>
              </w:r>
              <w:r>
                <w:rPr>
                  <w:noProof/>
                  <w:lang w:val="en-US"/>
                </w:rPr>
                <w:t>Maidenhead: Open University Press.</w:t>
              </w:r>
            </w:p>
            <w:p w14:paraId="40BC9A97" w14:textId="77777777" w:rsidR="004F0744" w:rsidRDefault="004F0744" w:rsidP="004F0744">
              <w:pPr>
                <w:pStyle w:val="Bibliography"/>
                <w:rPr>
                  <w:noProof/>
                  <w:lang w:val="en-US"/>
                </w:rPr>
              </w:pPr>
              <w:r>
                <w:rPr>
                  <w:noProof/>
                  <w:lang w:val="en-US"/>
                </w:rPr>
                <w:t xml:space="preserve">Bono, E. D., 2000. </w:t>
              </w:r>
              <w:r>
                <w:rPr>
                  <w:i/>
                  <w:iCs/>
                  <w:noProof/>
                  <w:lang w:val="en-US"/>
                </w:rPr>
                <w:t xml:space="preserve">Six Thinking Hats. </w:t>
              </w:r>
              <w:r>
                <w:rPr>
                  <w:noProof/>
                  <w:lang w:val="en-US"/>
                </w:rPr>
                <w:t>London: Penguin.</w:t>
              </w:r>
            </w:p>
            <w:p w14:paraId="1E837CD8" w14:textId="77777777" w:rsidR="004F0744" w:rsidRDefault="004F0744" w:rsidP="004F0744">
              <w:pPr>
                <w:pStyle w:val="Bibliography"/>
                <w:rPr>
                  <w:noProof/>
                  <w:lang w:val="en-US"/>
                </w:rPr>
              </w:pPr>
              <w:r>
                <w:rPr>
                  <w:noProof/>
                  <w:lang w:val="en-US"/>
                </w:rPr>
                <w:t xml:space="preserve">Curzon, L. B., 2004. </w:t>
              </w:r>
              <w:r>
                <w:rPr>
                  <w:i/>
                  <w:iCs/>
                  <w:noProof/>
                  <w:lang w:val="en-US"/>
                </w:rPr>
                <w:t xml:space="preserve">Teaching in Further Education An outline of Principles and Practice. </w:t>
              </w:r>
              <w:r>
                <w:rPr>
                  <w:noProof/>
                  <w:lang w:val="en-US"/>
                </w:rPr>
                <w:t>6th ed. London: Continuum.</w:t>
              </w:r>
            </w:p>
            <w:p w14:paraId="35592E81" w14:textId="77777777" w:rsidR="004F0744" w:rsidRDefault="004F0744" w:rsidP="004F0744">
              <w:pPr>
                <w:pStyle w:val="Bibliography"/>
                <w:rPr>
                  <w:noProof/>
                  <w:lang w:val="en-US"/>
                </w:rPr>
              </w:pPr>
              <w:r>
                <w:rPr>
                  <w:noProof/>
                  <w:lang w:val="en-US"/>
                </w:rPr>
                <w:t xml:space="preserve">Daines, J., Daines, C. &amp; Graham, B., 2002. </w:t>
              </w:r>
              <w:r>
                <w:rPr>
                  <w:i/>
                  <w:iCs/>
                  <w:noProof/>
                  <w:lang w:val="en-US"/>
                </w:rPr>
                <w:t xml:space="preserve">Adult Learning Adult Teaching. </w:t>
              </w:r>
              <w:r>
                <w:rPr>
                  <w:noProof/>
                  <w:lang w:val="en-US"/>
                </w:rPr>
                <w:t>3rd ed. Cardiff: Welsh Academic Press.</w:t>
              </w:r>
            </w:p>
            <w:p w14:paraId="3959E201" w14:textId="77777777" w:rsidR="004F0744" w:rsidRDefault="004F0744" w:rsidP="004F0744">
              <w:pPr>
                <w:pStyle w:val="Bibliography"/>
                <w:rPr>
                  <w:noProof/>
                  <w:lang w:val="en-US"/>
                </w:rPr>
              </w:pPr>
              <w:r>
                <w:rPr>
                  <w:noProof/>
                  <w:lang w:val="en-US"/>
                </w:rPr>
                <w:t xml:space="preserve">Denby, N., 2015. Beginning to understand how young people learn. In: N. Denby, ed. </w:t>
              </w:r>
              <w:r>
                <w:rPr>
                  <w:i/>
                  <w:iCs/>
                  <w:noProof/>
                  <w:lang w:val="en-US"/>
                </w:rPr>
                <w:t xml:space="preserve">Training to Teach. </w:t>
              </w:r>
              <w:r>
                <w:rPr>
                  <w:noProof/>
                  <w:lang w:val="en-US"/>
                </w:rPr>
                <w:t>London: Sage, pp. 154 - 171.</w:t>
              </w:r>
            </w:p>
            <w:p w14:paraId="484023B8" w14:textId="77777777" w:rsidR="004F0744" w:rsidRDefault="004F0744" w:rsidP="004F0744">
              <w:pPr>
                <w:pStyle w:val="Bibliography"/>
                <w:rPr>
                  <w:noProof/>
                  <w:lang w:val="en-US"/>
                </w:rPr>
              </w:pPr>
              <w:r>
                <w:rPr>
                  <w:noProof/>
                  <w:lang w:val="en-US"/>
                </w:rPr>
                <w:t xml:space="preserve">Fisher, R., 2013. </w:t>
              </w:r>
              <w:r>
                <w:rPr>
                  <w:i/>
                  <w:iCs/>
                  <w:noProof/>
                  <w:lang w:val="en-US"/>
                </w:rPr>
                <w:t xml:space="preserve">Teaching Thinking Philosophical Enquiry in the Classroom. </w:t>
              </w:r>
              <w:r>
                <w:rPr>
                  <w:noProof/>
                  <w:lang w:val="en-US"/>
                </w:rPr>
                <w:t>London: Bloomsbury.</w:t>
              </w:r>
            </w:p>
            <w:p w14:paraId="5FA71E23" w14:textId="77777777" w:rsidR="004F0744" w:rsidRDefault="004F0744" w:rsidP="004F0744">
              <w:pPr>
                <w:pStyle w:val="Bibliography"/>
                <w:rPr>
                  <w:noProof/>
                  <w:lang w:val="en-US"/>
                </w:rPr>
              </w:pPr>
              <w:r>
                <w:rPr>
                  <w:noProof/>
                  <w:lang w:val="en-US"/>
                </w:rPr>
                <w:t xml:space="preserve">Gould, J., 2012. </w:t>
              </w:r>
              <w:r>
                <w:rPr>
                  <w:i/>
                  <w:iCs/>
                  <w:noProof/>
                  <w:lang w:val="en-US"/>
                </w:rPr>
                <w:t xml:space="preserve">Learning Theory and Classroom Practice in the Lifelong learning sector. </w:t>
              </w:r>
              <w:r>
                <w:rPr>
                  <w:noProof/>
                  <w:lang w:val="en-US"/>
                </w:rPr>
                <w:t>2nd ed. London: Sage.</w:t>
              </w:r>
            </w:p>
            <w:p w14:paraId="293C0BD1" w14:textId="77777777" w:rsidR="004F0744" w:rsidRDefault="004F0744" w:rsidP="004F0744">
              <w:pPr>
                <w:pStyle w:val="Bibliography"/>
                <w:rPr>
                  <w:noProof/>
                  <w:lang w:val="en-US"/>
                </w:rPr>
              </w:pPr>
              <w:r>
                <w:rPr>
                  <w:noProof/>
                  <w:lang w:val="en-US"/>
                </w:rPr>
                <w:t xml:space="preserve">Gregson, M. et al., 2015. </w:t>
              </w:r>
              <w:r>
                <w:rPr>
                  <w:i/>
                  <w:iCs/>
                  <w:noProof/>
                  <w:lang w:val="en-US"/>
                </w:rPr>
                <w:t xml:space="preserve">Reflective Teaching in further, adult, and vocational education. </w:t>
              </w:r>
              <w:r>
                <w:rPr>
                  <w:noProof/>
                  <w:lang w:val="en-US"/>
                </w:rPr>
                <w:t>4th ed. London: Bloomsbury.</w:t>
              </w:r>
            </w:p>
            <w:p w14:paraId="7F9E285D" w14:textId="77777777" w:rsidR="004F0744" w:rsidRDefault="004F0744" w:rsidP="004F0744">
              <w:pPr>
                <w:pStyle w:val="Bibliography"/>
                <w:rPr>
                  <w:noProof/>
                  <w:lang w:val="en-US"/>
                </w:rPr>
              </w:pPr>
              <w:r>
                <w:rPr>
                  <w:noProof/>
                  <w:lang w:val="en-US"/>
                </w:rPr>
                <w:t xml:space="preserve">Hillier, Y., 2005. </w:t>
              </w:r>
              <w:r>
                <w:rPr>
                  <w:i/>
                  <w:iCs/>
                  <w:noProof/>
                  <w:lang w:val="en-US"/>
                </w:rPr>
                <w:t xml:space="preserve">Reflective Teaching in Further and Adult Education. </w:t>
              </w:r>
              <w:r>
                <w:rPr>
                  <w:noProof/>
                  <w:lang w:val="en-US"/>
                </w:rPr>
                <w:t>2nd ed. London: Continuum.</w:t>
              </w:r>
            </w:p>
            <w:p w14:paraId="717F7703" w14:textId="77777777" w:rsidR="004F0744" w:rsidRDefault="004F0744" w:rsidP="004F0744">
              <w:pPr>
                <w:pStyle w:val="Bibliography"/>
                <w:rPr>
                  <w:noProof/>
                  <w:lang w:val="en-US"/>
                </w:rPr>
              </w:pPr>
              <w:r>
                <w:rPr>
                  <w:noProof/>
                  <w:lang w:val="en-US"/>
                </w:rPr>
                <w:t xml:space="preserve">Knowles, M., 1990. </w:t>
              </w:r>
              <w:r>
                <w:rPr>
                  <w:i/>
                  <w:iCs/>
                  <w:noProof/>
                  <w:lang w:val="en-US"/>
                </w:rPr>
                <w:t xml:space="preserve">The Adult Learner A Neglected Species. </w:t>
              </w:r>
              <w:r>
                <w:rPr>
                  <w:noProof/>
                  <w:lang w:val="en-US"/>
                </w:rPr>
                <w:t>4th ed. Houston: Gulf Publishing.</w:t>
              </w:r>
            </w:p>
            <w:p w14:paraId="4205986A" w14:textId="77777777" w:rsidR="004F0744" w:rsidRDefault="004F0744" w:rsidP="004F0744">
              <w:pPr>
                <w:pStyle w:val="Bibliography"/>
                <w:rPr>
                  <w:noProof/>
                  <w:lang w:val="en-US"/>
                </w:rPr>
              </w:pPr>
              <w:r>
                <w:rPr>
                  <w:noProof/>
                  <w:lang w:val="en-US"/>
                </w:rPr>
                <w:t xml:space="preserve">Minton, D., 2005. </w:t>
              </w:r>
              <w:r>
                <w:rPr>
                  <w:i/>
                  <w:iCs/>
                  <w:noProof/>
                  <w:lang w:val="en-US"/>
                </w:rPr>
                <w:t xml:space="preserve">Teaching Skills In Further and Adult Education. </w:t>
              </w:r>
              <w:r>
                <w:rPr>
                  <w:noProof/>
                  <w:lang w:val="en-US"/>
                </w:rPr>
                <w:t>3rd ed. London: Thomson.</w:t>
              </w:r>
            </w:p>
            <w:p w14:paraId="6BB4EAC1" w14:textId="77777777" w:rsidR="004F0744" w:rsidRDefault="004F0744" w:rsidP="004F0744">
              <w:pPr>
                <w:pStyle w:val="Bibliography"/>
                <w:rPr>
                  <w:noProof/>
                  <w:lang w:val="en-US"/>
                </w:rPr>
              </w:pPr>
              <w:r>
                <w:rPr>
                  <w:noProof/>
                  <w:lang w:val="en-US"/>
                </w:rPr>
                <w:t xml:space="preserve">Petty, G., 2014. </w:t>
              </w:r>
              <w:r>
                <w:rPr>
                  <w:i/>
                  <w:iCs/>
                  <w:noProof/>
                  <w:lang w:val="en-US"/>
                </w:rPr>
                <w:t xml:space="preserve">Teaching today A Practical Guide. </w:t>
              </w:r>
              <w:r>
                <w:rPr>
                  <w:noProof/>
                  <w:lang w:val="en-US"/>
                </w:rPr>
                <w:t>5th ed. Oxford: Oxford University Press.</w:t>
              </w:r>
            </w:p>
            <w:p w14:paraId="169EDC8F" w14:textId="77777777" w:rsidR="004F0744" w:rsidRDefault="004F0744" w:rsidP="004F0744">
              <w:pPr>
                <w:pStyle w:val="Bibliography"/>
                <w:rPr>
                  <w:noProof/>
                  <w:lang w:val="en-US"/>
                </w:rPr>
              </w:pPr>
              <w:r>
                <w:rPr>
                  <w:noProof/>
                  <w:lang w:val="en-US"/>
                </w:rPr>
                <w:t xml:space="preserve">Reece, I. &amp; Walker, S., 2007. </w:t>
              </w:r>
              <w:r>
                <w:rPr>
                  <w:i/>
                  <w:iCs/>
                  <w:noProof/>
                  <w:lang w:val="en-US"/>
                </w:rPr>
                <w:t xml:space="preserve">Teaching, Training &amp; Learning A Practical Guide. </w:t>
              </w:r>
              <w:r>
                <w:rPr>
                  <w:noProof/>
                  <w:lang w:val="en-US"/>
                </w:rPr>
                <w:t>6th ed. Tyne and Wear: Business Education Publishers.</w:t>
              </w:r>
            </w:p>
            <w:p w14:paraId="678029E5" w14:textId="77777777" w:rsidR="004F0744" w:rsidRDefault="004F0744" w:rsidP="004F0744">
              <w:pPr>
                <w:pStyle w:val="Bibliography"/>
                <w:rPr>
                  <w:noProof/>
                  <w:lang w:val="en-US"/>
                </w:rPr>
              </w:pPr>
              <w:r>
                <w:rPr>
                  <w:noProof/>
                  <w:lang w:val="en-US"/>
                </w:rPr>
                <w:t xml:space="preserve">Smith, M. K., 2010. </w:t>
              </w:r>
              <w:r>
                <w:rPr>
                  <w:i/>
                  <w:iCs/>
                  <w:noProof/>
                  <w:lang w:val="en-US"/>
                </w:rPr>
                <w:t xml:space="preserve">Andragogy. </w:t>
              </w:r>
              <w:r>
                <w:rPr>
                  <w:noProof/>
                  <w:lang w:val="en-US"/>
                </w:rPr>
                <w:t xml:space="preserve">[Online] </w:t>
              </w:r>
              <w:r>
                <w:rPr>
                  <w:noProof/>
                  <w:lang w:val="en-US"/>
                </w:rPr>
                <w:br/>
                <w:t xml:space="preserve">Available at: </w:t>
              </w:r>
              <w:r>
                <w:rPr>
                  <w:noProof/>
                  <w:u w:val="single"/>
                  <w:lang w:val="en-US"/>
                </w:rPr>
                <w:t>http://infed.org/mobi/andragogy-what-is-it-and-does-it-help-thinking-about-adult-learning/</w:t>
              </w:r>
              <w:r>
                <w:rPr>
                  <w:noProof/>
                  <w:lang w:val="en-US"/>
                </w:rPr>
                <w:br/>
                <w:t>[Accessed 27 November 2017].</w:t>
              </w:r>
            </w:p>
            <w:p w14:paraId="3AD42F20" w14:textId="77777777" w:rsidR="004F0744" w:rsidRDefault="004F0744" w:rsidP="004F0744">
              <w:pPr>
                <w:pStyle w:val="Bibliography"/>
                <w:rPr>
                  <w:noProof/>
                  <w:lang w:val="en-US"/>
                </w:rPr>
              </w:pPr>
              <w:r>
                <w:rPr>
                  <w:noProof/>
                  <w:lang w:val="en-US"/>
                </w:rPr>
                <w:t xml:space="preserve">UNESCO, 2017. </w:t>
              </w:r>
              <w:r>
                <w:rPr>
                  <w:i/>
                  <w:iCs/>
                  <w:noProof/>
                  <w:lang w:val="en-US"/>
                </w:rPr>
                <w:t xml:space="preserve">Cross Cutting Themes. </w:t>
              </w:r>
              <w:r>
                <w:rPr>
                  <w:noProof/>
                  <w:lang w:val="en-US"/>
                </w:rPr>
                <w:t xml:space="preserve">[Online] </w:t>
              </w:r>
              <w:r>
                <w:rPr>
                  <w:noProof/>
                  <w:lang w:val="en-US"/>
                </w:rPr>
                <w:br/>
                <w:t xml:space="preserve">Available at: </w:t>
              </w:r>
              <w:r>
                <w:rPr>
                  <w:noProof/>
                  <w:u w:val="single"/>
                  <w:lang w:val="en-US"/>
                </w:rPr>
                <w:t>http://www.ibe.unesco.org/en/glossary-curriculum-terminology/c/cross-cutting-themes</w:t>
              </w:r>
              <w:r>
                <w:rPr>
                  <w:noProof/>
                  <w:lang w:val="en-US"/>
                </w:rPr>
                <w:br/>
                <w:t>[Accessed 29 November 2017].</w:t>
              </w:r>
            </w:p>
            <w:p w14:paraId="7920BEE8" w14:textId="77777777" w:rsidR="004F0744" w:rsidRDefault="004F0744" w:rsidP="004F0744">
              <w:pPr>
                <w:pStyle w:val="Bibliography"/>
                <w:rPr>
                  <w:noProof/>
                  <w:lang w:val="en-US"/>
                </w:rPr>
              </w:pPr>
              <w:r>
                <w:rPr>
                  <w:noProof/>
                  <w:lang w:val="en-US"/>
                </w:rPr>
                <w:t xml:space="preserve">Welsh Government, 2017. </w:t>
              </w:r>
              <w:r>
                <w:rPr>
                  <w:i/>
                  <w:iCs/>
                  <w:noProof/>
                  <w:lang w:val="en-US"/>
                </w:rPr>
                <w:t xml:space="preserve">Cross-cutting themes guidance. </w:t>
              </w:r>
              <w:r>
                <w:rPr>
                  <w:noProof/>
                  <w:lang w:val="en-US"/>
                </w:rPr>
                <w:t xml:space="preserve">[Online] </w:t>
              </w:r>
              <w:r>
                <w:rPr>
                  <w:noProof/>
                  <w:lang w:val="en-US"/>
                </w:rPr>
                <w:br/>
                <w:t xml:space="preserve">Available at: </w:t>
              </w:r>
              <w:r>
                <w:rPr>
                  <w:noProof/>
                  <w:u w:val="single"/>
                  <w:lang w:val="en-US"/>
                </w:rPr>
                <w:t>http://gov.wales/funding/eu-funds/2014-2020/wefo-guidance/cross-cutting-guidance/?lang=en</w:t>
              </w:r>
              <w:r>
                <w:rPr>
                  <w:noProof/>
                  <w:lang w:val="en-US"/>
                </w:rPr>
                <w:br/>
                <w:t>[Accessed 29 November 2017].</w:t>
              </w:r>
            </w:p>
            <w:p w14:paraId="7848B3C7" w14:textId="77777777" w:rsidR="004F0744" w:rsidRDefault="004F0744" w:rsidP="004F0744">
              <w:pPr>
                <w:pStyle w:val="Bibliography"/>
                <w:rPr>
                  <w:noProof/>
                  <w:lang w:val="en-US"/>
                </w:rPr>
              </w:pPr>
              <w:r>
                <w:rPr>
                  <w:noProof/>
                  <w:lang w:val="en-US"/>
                </w:rPr>
                <w:lastRenderedPageBreak/>
                <w:t xml:space="preserve">Wilson, L., 2014. </w:t>
              </w:r>
              <w:r>
                <w:rPr>
                  <w:i/>
                  <w:iCs/>
                  <w:noProof/>
                  <w:lang w:val="en-US"/>
                </w:rPr>
                <w:t xml:space="preserve">Practical Teaching A guide to teaching in the education and training sector. </w:t>
              </w:r>
              <w:r>
                <w:rPr>
                  <w:noProof/>
                  <w:lang w:val="en-US"/>
                </w:rPr>
                <w:t>2nd ed. Andover: Cengage Learning.</w:t>
              </w:r>
            </w:p>
            <w:p w14:paraId="3867CB26" w14:textId="1825CFE8" w:rsidR="004F0744" w:rsidRDefault="004F0744" w:rsidP="004F0744">
              <w:r>
                <w:rPr>
                  <w:b/>
                  <w:bCs/>
                  <w:noProof/>
                </w:rPr>
                <w:fldChar w:fldCharType="end"/>
              </w:r>
            </w:p>
          </w:sdtContent>
        </w:sdt>
      </w:sdtContent>
    </w:sdt>
    <w:p w14:paraId="24470807" w14:textId="77777777" w:rsidR="00505F13" w:rsidRPr="00F9211F" w:rsidRDefault="00505F13" w:rsidP="00DC29B7">
      <w:pPr>
        <w:spacing w:after="0" w:line="360" w:lineRule="auto"/>
        <w:rPr>
          <w:sz w:val="24"/>
          <w:szCs w:val="24"/>
        </w:rPr>
      </w:pPr>
    </w:p>
    <w:sectPr w:rsidR="00505F13" w:rsidRPr="00F9211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E100A4" w14:textId="77777777" w:rsidR="004F0744" w:rsidRDefault="004F0744" w:rsidP="004F0744">
      <w:pPr>
        <w:spacing w:after="0" w:line="240" w:lineRule="auto"/>
      </w:pPr>
      <w:r>
        <w:separator/>
      </w:r>
    </w:p>
  </w:endnote>
  <w:endnote w:type="continuationSeparator" w:id="0">
    <w:p w14:paraId="52FA3B93" w14:textId="77777777" w:rsidR="004F0744" w:rsidRDefault="004F0744" w:rsidP="004F0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6174333"/>
      <w:docPartObj>
        <w:docPartGallery w:val="Page Numbers (Bottom of Page)"/>
        <w:docPartUnique/>
      </w:docPartObj>
    </w:sdtPr>
    <w:sdtContent>
      <w:p w14:paraId="07D0C7C0" w14:textId="613B67FF" w:rsidR="004F0744" w:rsidRDefault="004F0744">
        <w:pPr>
          <w:pStyle w:val="Footer"/>
          <w:jc w:val="right"/>
        </w:pPr>
        <w:r>
          <w:t xml:space="preserve">Page | </w:t>
        </w:r>
        <w:r>
          <w:fldChar w:fldCharType="begin"/>
        </w:r>
        <w:r>
          <w:instrText xml:space="preserve"> PAGE   \* MERGEFORMAT </w:instrText>
        </w:r>
        <w:r>
          <w:fldChar w:fldCharType="separate"/>
        </w:r>
        <w:r w:rsidR="00B64EC3">
          <w:rPr>
            <w:noProof/>
          </w:rPr>
          <w:t>8</w:t>
        </w:r>
        <w:r>
          <w:rPr>
            <w:noProof/>
          </w:rPr>
          <w:fldChar w:fldCharType="end"/>
        </w:r>
        <w:r>
          <w:t xml:space="preserve"> </w:t>
        </w:r>
      </w:p>
    </w:sdtContent>
  </w:sdt>
  <w:p w14:paraId="670B3C5D" w14:textId="77777777" w:rsidR="004F0744" w:rsidRDefault="004F07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CE4A2A" w14:textId="77777777" w:rsidR="004F0744" w:rsidRDefault="004F0744" w:rsidP="004F0744">
      <w:pPr>
        <w:spacing w:after="0" w:line="240" w:lineRule="auto"/>
      </w:pPr>
      <w:r>
        <w:separator/>
      </w:r>
    </w:p>
  </w:footnote>
  <w:footnote w:type="continuationSeparator" w:id="0">
    <w:p w14:paraId="48A02DCC" w14:textId="77777777" w:rsidR="004F0744" w:rsidRDefault="004F0744" w:rsidP="004F074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15BF44" w14:textId="358A5733" w:rsidR="004F0744" w:rsidRDefault="004F0744">
    <w:pPr>
      <w:pStyle w:val="Header"/>
    </w:pPr>
    <w:r>
      <w:t>P143604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1773"/>
    <w:rsid w:val="00011D08"/>
    <w:rsid w:val="00013BD6"/>
    <w:rsid w:val="0001789D"/>
    <w:rsid w:val="00080E7A"/>
    <w:rsid w:val="000857BC"/>
    <w:rsid w:val="000A6154"/>
    <w:rsid w:val="000A791D"/>
    <w:rsid w:val="000D5CD4"/>
    <w:rsid w:val="00134CB3"/>
    <w:rsid w:val="00147292"/>
    <w:rsid w:val="0016782D"/>
    <w:rsid w:val="00202F26"/>
    <w:rsid w:val="002252ED"/>
    <w:rsid w:val="00237A67"/>
    <w:rsid w:val="00280D86"/>
    <w:rsid w:val="00296E7E"/>
    <w:rsid w:val="00312EDC"/>
    <w:rsid w:val="00394045"/>
    <w:rsid w:val="00397C7D"/>
    <w:rsid w:val="003A45D7"/>
    <w:rsid w:val="003B196C"/>
    <w:rsid w:val="003F2E5E"/>
    <w:rsid w:val="00484E50"/>
    <w:rsid w:val="004916B8"/>
    <w:rsid w:val="004C129C"/>
    <w:rsid w:val="004F0744"/>
    <w:rsid w:val="00505F13"/>
    <w:rsid w:val="005104B4"/>
    <w:rsid w:val="00562758"/>
    <w:rsid w:val="005A5FE1"/>
    <w:rsid w:val="0064120F"/>
    <w:rsid w:val="00691773"/>
    <w:rsid w:val="006976F9"/>
    <w:rsid w:val="006A7BC4"/>
    <w:rsid w:val="006B4251"/>
    <w:rsid w:val="006D2244"/>
    <w:rsid w:val="00725968"/>
    <w:rsid w:val="00755433"/>
    <w:rsid w:val="00771BC3"/>
    <w:rsid w:val="007971BA"/>
    <w:rsid w:val="007F0CA8"/>
    <w:rsid w:val="0080065E"/>
    <w:rsid w:val="0085340C"/>
    <w:rsid w:val="00861C81"/>
    <w:rsid w:val="008E50C6"/>
    <w:rsid w:val="008F3873"/>
    <w:rsid w:val="008F7577"/>
    <w:rsid w:val="009251EA"/>
    <w:rsid w:val="00936D6C"/>
    <w:rsid w:val="00A13B6B"/>
    <w:rsid w:val="00A2205C"/>
    <w:rsid w:val="00A30AC4"/>
    <w:rsid w:val="00A5452F"/>
    <w:rsid w:val="00A761A5"/>
    <w:rsid w:val="00AA693C"/>
    <w:rsid w:val="00B64EC3"/>
    <w:rsid w:val="00B75C69"/>
    <w:rsid w:val="00B84B83"/>
    <w:rsid w:val="00BE1A23"/>
    <w:rsid w:val="00BF16A0"/>
    <w:rsid w:val="00C612F8"/>
    <w:rsid w:val="00D15C28"/>
    <w:rsid w:val="00D623FB"/>
    <w:rsid w:val="00DC29B7"/>
    <w:rsid w:val="00DE7BE3"/>
    <w:rsid w:val="00DF400F"/>
    <w:rsid w:val="00E11DA7"/>
    <w:rsid w:val="00E437EE"/>
    <w:rsid w:val="00E61CF8"/>
    <w:rsid w:val="00E640C1"/>
    <w:rsid w:val="00E74BAB"/>
    <w:rsid w:val="00EA5DDE"/>
    <w:rsid w:val="00EB1817"/>
    <w:rsid w:val="00EB5B4D"/>
    <w:rsid w:val="00EB6E29"/>
    <w:rsid w:val="00EC3F44"/>
    <w:rsid w:val="00F14C71"/>
    <w:rsid w:val="00F4311E"/>
    <w:rsid w:val="00F6480E"/>
    <w:rsid w:val="00F71632"/>
    <w:rsid w:val="00F81ACD"/>
    <w:rsid w:val="00F9211F"/>
    <w:rsid w:val="00FF7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E85FC"/>
  <w15:chartTrackingRefBased/>
  <w15:docId w15:val="{BB3CC2F0-640F-4DFC-AA65-8C1391F3D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F074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3B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F074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F0744"/>
  </w:style>
  <w:style w:type="paragraph" w:styleId="Header">
    <w:name w:val="header"/>
    <w:basedOn w:val="Normal"/>
    <w:link w:val="HeaderChar"/>
    <w:uiPriority w:val="99"/>
    <w:unhideWhenUsed/>
    <w:rsid w:val="004F07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744"/>
  </w:style>
  <w:style w:type="paragraph" w:styleId="Footer">
    <w:name w:val="footer"/>
    <w:basedOn w:val="Normal"/>
    <w:link w:val="FooterChar"/>
    <w:uiPriority w:val="99"/>
    <w:unhideWhenUsed/>
    <w:rsid w:val="004F07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274072">
      <w:bodyDiv w:val="1"/>
      <w:marLeft w:val="0"/>
      <w:marRight w:val="0"/>
      <w:marTop w:val="0"/>
      <w:marBottom w:val="0"/>
      <w:divBdr>
        <w:top w:val="none" w:sz="0" w:space="0" w:color="auto"/>
        <w:left w:val="none" w:sz="0" w:space="0" w:color="auto"/>
        <w:bottom w:val="none" w:sz="0" w:space="0" w:color="auto"/>
        <w:right w:val="none" w:sz="0" w:space="0" w:color="auto"/>
      </w:divBdr>
    </w:div>
    <w:div w:id="30957642">
      <w:bodyDiv w:val="1"/>
      <w:marLeft w:val="0"/>
      <w:marRight w:val="0"/>
      <w:marTop w:val="0"/>
      <w:marBottom w:val="0"/>
      <w:divBdr>
        <w:top w:val="none" w:sz="0" w:space="0" w:color="auto"/>
        <w:left w:val="none" w:sz="0" w:space="0" w:color="auto"/>
        <w:bottom w:val="none" w:sz="0" w:space="0" w:color="auto"/>
        <w:right w:val="none" w:sz="0" w:space="0" w:color="auto"/>
      </w:divBdr>
    </w:div>
    <w:div w:id="155654871">
      <w:bodyDiv w:val="1"/>
      <w:marLeft w:val="0"/>
      <w:marRight w:val="0"/>
      <w:marTop w:val="0"/>
      <w:marBottom w:val="0"/>
      <w:divBdr>
        <w:top w:val="none" w:sz="0" w:space="0" w:color="auto"/>
        <w:left w:val="none" w:sz="0" w:space="0" w:color="auto"/>
        <w:bottom w:val="none" w:sz="0" w:space="0" w:color="auto"/>
        <w:right w:val="none" w:sz="0" w:space="0" w:color="auto"/>
      </w:divBdr>
    </w:div>
    <w:div w:id="174534690">
      <w:bodyDiv w:val="1"/>
      <w:marLeft w:val="0"/>
      <w:marRight w:val="0"/>
      <w:marTop w:val="0"/>
      <w:marBottom w:val="0"/>
      <w:divBdr>
        <w:top w:val="none" w:sz="0" w:space="0" w:color="auto"/>
        <w:left w:val="none" w:sz="0" w:space="0" w:color="auto"/>
        <w:bottom w:val="none" w:sz="0" w:space="0" w:color="auto"/>
        <w:right w:val="none" w:sz="0" w:space="0" w:color="auto"/>
      </w:divBdr>
    </w:div>
    <w:div w:id="223807048">
      <w:bodyDiv w:val="1"/>
      <w:marLeft w:val="0"/>
      <w:marRight w:val="0"/>
      <w:marTop w:val="0"/>
      <w:marBottom w:val="0"/>
      <w:divBdr>
        <w:top w:val="none" w:sz="0" w:space="0" w:color="auto"/>
        <w:left w:val="none" w:sz="0" w:space="0" w:color="auto"/>
        <w:bottom w:val="none" w:sz="0" w:space="0" w:color="auto"/>
        <w:right w:val="none" w:sz="0" w:space="0" w:color="auto"/>
      </w:divBdr>
    </w:div>
    <w:div w:id="292685525">
      <w:bodyDiv w:val="1"/>
      <w:marLeft w:val="0"/>
      <w:marRight w:val="0"/>
      <w:marTop w:val="0"/>
      <w:marBottom w:val="0"/>
      <w:divBdr>
        <w:top w:val="none" w:sz="0" w:space="0" w:color="auto"/>
        <w:left w:val="none" w:sz="0" w:space="0" w:color="auto"/>
        <w:bottom w:val="none" w:sz="0" w:space="0" w:color="auto"/>
        <w:right w:val="none" w:sz="0" w:space="0" w:color="auto"/>
      </w:divBdr>
    </w:div>
    <w:div w:id="301885259">
      <w:bodyDiv w:val="1"/>
      <w:marLeft w:val="0"/>
      <w:marRight w:val="0"/>
      <w:marTop w:val="0"/>
      <w:marBottom w:val="0"/>
      <w:divBdr>
        <w:top w:val="none" w:sz="0" w:space="0" w:color="auto"/>
        <w:left w:val="none" w:sz="0" w:space="0" w:color="auto"/>
        <w:bottom w:val="none" w:sz="0" w:space="0" w:color="auto"/>
        <w:right w:val="none" w:sz="0" w:space="0" w:color="auto"/>
      </w:divBdr>
    </w:div>
    <w:div w:id="315844387">
      <w:bodyDiv w:val="1"/>
      <w:marLeft w:val="0"/>
      <w:marRight w:val="0"/>
      <w:marTop w:val="0"/>
      <w:marBottom w:val="0"/>
      <w:divBdr>
        <w:top w:val="none" w:sz="0" w:space="0" w:color="auto"/>
        <w:left w:val="none" w:sz="0" w:space="0" w:color="auto"/>
        <w:bottom w:val="none" w:sz="0" w:space="0" w:color="auto"/>
        <w:right w:val="none" w:sz="0" w:space="0" w:color="auto"/>
      </w:divBdr>
    </w:div>
    <w:div w:id="429815454">
      <w:bodyDiv w:val="1"/>
      <w:marLeft w:val="0"/>
      <w:marRight w:val="0"/>
      <w:marTop w:val="0"/>
      <w:marBottom w:val="0"/>
      <w:divBdr>
        <w:top w:val="none" w:sz="0" w:space="0" w:color="auto"/>
        <w:left w:val="none" w:sz="0" w:space="0" w:color="auto"/>
        <w:bottom w:val="none" w:sz="0" w:space="0" w:color="auto"/>
        <w:right w:val="none" w:sz="0" w:space="0" w:color="auto"/>
      </w:divBdr>
    </w:div>
    <w:div w:id="482281229">
      <w:bodyDiv w:val="1"/>
      <w:marLeft w:val="0"/>
      <w:marRight w:val="0"/>
      <w:marTop w:val="0"/>
      <w:marBottom w:val="0"/>
      <w:divBdr>
        <w:top w:val="none" w:sz="0" w:space="0" w:color="auto"/>
        <w:left w:val="none" w:sz="0" w:space="0" w:color="auto"/>
        <w:bottom w:val="none" w:sz="0" w:space="0" w:color="auto"/>
        <w:right w:val="none" w:sz="0" w:space="0" w:color="auto"/>
      </w:divBdr>
    </w:div>
    <w:div w:id="547685311">
      <w:bodyDiv w:val="1"/>
      <w:marLeft w:val="0"/>
      <w:marRight w:val="0"/>
      <w:marTop w:val="0"/>
      <w:marBottom w:val="0"/>
      <w:divBdr>
        <w:top w:val="none" w:sz="0" w:space="0" w:color="auto"/>
        <w:left w:val="none" w:sz="0" w:space="0" w:color="auto"/>
        <w:bottom w:val="none" w:sz="0" w:space="0" w:color="auto"/>
        <w:right w:val="none" w:sz="0" w:space="0" w:color="auto"/>
      </w:divBdr>
    </w:div>
    <w:div w:id="689527777">
      <w:bodyDiv w:val="1"/>
      <w:marLeft w:val="0"/>
      <w:marRight w:val="0"/>
      <w:marTop w:val="0"/>
      <w:marBottom w:val="0"/>
      <w:divBdr>
        <w:top w:val="none" w:sz="0" w:space="0" w:color="auto"/>
        <w:left w:val="none" w:sz="0" w:space="0" w:color="auto"/>
        <w:bottom w:val="none" w:sz="0" w:space="0" w:color="auto"/>
        <w:right w:val="none" w:sz="0" w:space="0" w:color="auto"/>
      </w:divBdr>
    </w:div>
    <w:div w:id="831063838">
      <w:bodyDiv w:val="1"/>
      <w:marLeft w:val="0"/>
      <w:marRight w:val="0"/>
      <w:marTop w:val="0"/>
      <w:marBottom w:val="0"/>
      <w:divBdr>
        <w:top w:val="none" w:sz="0" w:space="0" w:color="auto"/>
        <w:left w:val="none" w:sz="0" w:space="0" w:color="auto"/>
        <w:bottom w:val="none" w:sz="0" w:space="0" w:color="auto"/>
        <w:right w:val="none" w:sz="0" w:space="0" w:color="auto"/>
      </w:divBdr>
    </w:div>
    <w:div w:id="1063333376">
      <w:bodyDiv w:val="1"/>
      <w:marLeft w:val="0"/>
      <w:marRight w:val="0"/>
      <w:marTop w:val="0"/>
      <w:marBottom w:val="0"/>
      <w:divBdr>
        <w:top w:val="none" w:sz="0" w:space="0" w:color="auto"/>
        <w:left w:val="none" w:sz="0" w:space="0" w:color="auto"/>
        <w:bottom w:val="none" w:sz="0" w:space="0" w:color="auto"/>
        <w:right w:val="none" w:sz="0" w:space="0" w:color="auto"/>
      </w:divBdr>
    </w:div>
    <w:div w:id="1088117460">
      <w:bodyDiv w:val="1"/>
      <w:marLeft w:val="0"/>
      <w:marRight w:val="0"/>
      <w:marTop w:val="0"/>
      <w:marBottom w:val="0"/>
      <w:divBdr>
        <w:top w:val="none" w:sz="0" w:space="0" w:color="auto"/>
        <w:left w:val="none" w:sz="0" w:space="0" w:color="auto"/>
        <w:bottom w:val="none" w:sz="0" w:space="0" w:color="auto"/>
        <w:right w:val="none" w:sz="0" w:space="0" w:color="auto"/>
      </w:divBdr>
    </w:div>
    <w:div w:id="1094205679">
      <w:bodyDiv w:val="1"/>
      <w:marLeft w:val="0"/>
      <w:marRight w:val="0"/>
      <w:marTop w:val="0"/>
      <w:marBottom w:val="0"/>
      <w:divBdr>
        <w:top w:val="none" w:sz="0" w:space="0" w:color="auto"/>
        <w:left w:val="none" w:sz="0" w:space="0" w:color="auto"/>
        <w:bottom w:val="none" w:sz="0" w:space="0" w:color="auto"/>
        <w:right w:val="none" w:sz="0" w:space="0" w:color="auto"/>
      </w:divBdr>
    </w:div>
    <w:div w:id="1209224729">
      <w:bodyDiv w:val="1"/>
      <w:marLeft w:val="0"/>
      <w:marRight w:val="0"/>
      <w:marTop w:val="0"/>
      <w:marBottom w:val="0"/>
      <w:divBdr>
        <w:top w:val="none" w:sz="0" w:space="0" w:color="auto"/>
        <w:left w:val="none" w:sz="0" w:space="0" w:color="auto"/>
        <w:bottom w:val="none" w:sz="0" w:space="0" w:color="auto"/>
        <w:right w:val="none" w:sz="0" w:space="0" w:color="auto"/>
      </w:divBdr>
    </w:div>
    <w:div w:id="1394499877">
      <w:bodyDiv w:val="1"/>
      <w:marLeft w:val="0"/>
      <w:marRight w:val="0"/>
      <w:marTop w:val="0"/>
      <w:marBottom w:val="0"/>
      <w:divBdr>
        <w:top w:val="none" w:sz="0" w:space="0" w:color="auto"/>
        <w:left w:val="none" w:sz="0" w:space="0" w:color="auto"/>
        <w:bottom w:val="none" w:sz="0" w:space="0" w:color="auto"/>
        <w:right w:val="none" w:sz="0" w:space="0" w:color="auto"/>
      </w:divBdr>
    </w:div>
    <w:div w:id="1395662889">
      <w:bodyDiv w:val="1"/>
      <w:marLeft w:val="0"/>
      <w:marRight w:val="0"/>
      <w:marTop w:val="0"/>
      <w:marBottom w:val="0"/>
      <w:divBdr>
        <w:top w:val="none" w:sz="0" w:space="0" w:color="auto"/>
        <w:left w:val="none" w:sz="0" w:space="0" w:color="auto"/>
        <w:bottom w:val="none" w:sz="0" w:space="0" w:color="auto"/>
        <w:right w:val="none" w:sz="0" w:space="0" w:color="auto"/>
      </w:divBdr>
    </w:div>
    <w:div w:id="1455558903">
      <w:bodyDiv w:val="1"/>
      <w:marLeft w:val="0"/>
      <w:marRight w:val="0"/>
      <w:marTop w:val="0"/>
      <w:marBottom w:val="0"/>
      <w:divBdr>
        <w:top w:val="none" w:sz="0" w:space="0" w:color="auto"/>
        <w:left w:val="none" w:sz="0" w:space="0" w:color="auto"/>
        <w:bottom w:val="none" w:sz="0" w:space="0" w:color="auto"/>
        <w:right w:val="none" w:sz="0" w:space="0" w:color="auto"/>
      </w:divBdr>
    </w:div>
    <w:div w:id="1572694669">
      <w:bodyDiv w:val="1"/>
      <w:marLeft w:val="0"/>
      <w:marRight w:val="0"/>
      <w:marTop w:val="0"/>
      <w:marBottom w:val="0"/>
      <w:divBdr>
        <w:top w:val="none" w:sz="0" w:space="0" w:color="auto"/>
        <w:left w:val="none" w:sz="0" w:space="0" w:color="auto"/>
        <w:bottom w:val="none" w:sz="0" w:space="0" w:color="auto"/>
        <w:right w:val="none" w:sz="0" w:space="0" w:color="auto"/>
      </w:divBdr>
    </w:div>
    <w:div w:id="1612472326">
      <w:bodyDiv w:val="1"/>
      <w:marLeft w:val="0"/>
      <w:marRight w:val="0"/>
      <w:marTop w:val="0"/>
      <w:marBottom w:val="0"/>
      <w:divBdr>
        <w:top w:val="none" w:sz="0" w:space="0" w:color="auto"/>
        <w:left w:val="none" w:sz="0" w:space="0" w:color="auto"/>
        <w:bottom w:val="none" w:sz="0" w:space="0" w:color="auto"/>
        <w:right w:val="none" w:sz="0" w:space="0" w:color="auto"/>
      </w:divBdr>
    </w:div>
    <w:div w:id="1649746592">
      <w:bodyDiv w:val="1"/>
      <w:marLeft w:val="0"/>
      <w:marRight w:val="0"/>
      <w:marTop w:val="0"/>
      <w:marBottom w:val="0"/>
      <w:divBdr>
        <w:top w:val="none" w:sz="0" w:space="0" w:color="auto"/>
        <w:left w:val="none" w:sz="0" w:space="0" w:color="auto"/>
        <w:bottom w:val="none" w:sz="0" w:space="0" w:color="auto"/>
        <w:right w:val="none" w:sz="0" w:space="0" w:color="auto"/>
      </w:divBdr>
    </w:div>
    <w:div w:id="1689216746">
      <w:bodyDiv w:val="1"/>
      <w:marLeft w:val="0"/>
      <w:marRight w:val="0"/>
      <w:marTop w:val="0"/>
      <w:marBottom w:val="0"/>
      <w:divBdr>
        <w:top w:val="none" w:sz="0" w:space="0" w:color="auto"/>
        <w:left w:val="none" w:sz="0" w:space="0" w:color="auto"/>
        <w:bottom w:val="none" w:sz="0" w:space="0" w:color="auto"/>
        <w:right w:val="none" w:sz="0" w:space="0" w:color="auto"/>
      </w:divBdr>
    </w:div>
    <w:div w:id="1811357756">
      <w:bodyDiv w:val="1"/>
      <w:marLeft w:val="0"/>
      <w:marRight w:val="0"/>
      <w:marTop w:val="0"/>
      <w:marBottom w:val="0"/>
      <w:divBdr>
        <w:top w:val="none" w:sz="0" w:space="0" w:color="auto"/>
        <w:left w:val="none" w:sz="0" w:space="0" w:color="auto"/>
        <w:bottom w:val="none" w:sz="0" w:space="0" w:color="auto"/>
        <w:right w:val="none" w:sz="0" w:space="0" w:color="auto"/>
      </w:divBdr>
    </w:div>
    <w:div w:id="2005474847">
      <w:bodyDiv w:val="1"/>
      <w:marLeft w:val="0"/>
      <w:marRight w:val="0"/>
      <w:marTop w:val="0"/>
      <w:marBottom w:val="0"/>
      <w:divBdr>
        <w:top w:val="none" w:sz="0" w:space="0" w:color="auto"/>
        <w:left w:val="none" w:sz="0" w:space="0" w:color="auto"/>
        <w:bottom w:val="none" w:sz="0" w:space="0" w:color="auto"/>
        <w:right w:val="none" w:sz="0" w:space="0" w:color="auto"/>
      </w:divBdr>
    </w:div>
    <w:div w:id="2107580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And03</b:Tag>
    <b:SourceType>Book</b:SourceType>
    <b:Guid>{0C9DAAF7-32C2-48C4-871E-FDA7258D1C2E}</b:Guid>
    <b:Author>
      <b:Author>
        <b:NameList>
          <b:Person>
            <b:Last>Armitage</b:Last>
            <b:First>Andy</b:First>
          </b:Person>
          <b:Person>
            <b:Last>Bryant</b:Last>
            <b:First>Robin</b:First>
          </b:Person>
          <b:Person>
            <b:Last>Dunnill</b:Last>
            <b:First>Richard</b:First>
          </b:Person>
          <b:Person>
            <b:Last>Mandy Renwick</b:Last>
            <b:First>Dennis</b:First>
            <b:Middle>Hayes</b:Middle>
          </b:Person>
          <b:Person>
            <b:Last>Hudson</b:Last>
            <b:First>Alan</b:First>
          </b:Person>
          <b:Person>
            <b:Last>Kent</b:Last>
            <b:First>Janis</b:First>
          </b:Person>
          <b:Person>
            <b:Last>Lawes</b:Last>
            <b:First>Shirley</b:First>
          </b:Person>
        </b:NameList>
      </b:Author>
    </b:Author>
    <b:Title>Teaching and Training in Post Compulsory Education</b:Title>
    <b:Year>2003</b:Year>
    <b:City>Maidenhead</b:City>
    <b:Publisher>Open University Press</b:Publisher>
    <b:RefOrder>3</b:RefOrder>
  </b:Source>
  <b:Source>
    <b:Tag>Kno90</b:Tag>
    <b:SourceType>Book</b:SourceType>
    <b:Guid>{C21D1627-40A9-4A56-B326-A4CEF113EF92}</b:Guid>
    <b:Author>
      <b:Author>
        <b:NameList>
          <b:Person>
            <b:Last>Knowles</b:Last>
            <b:First>Malcolm</b:First>
          </b:Person>
        </b:NameList>
      </b:Author>
    </b:Author>
    <b:Title>The Adult Learner A Neglected Species</b:Title>
    <b:Year>1990</b:Year>
    <b:City>Houston</b:City>
    <b:Publisher>Gulf Publishing</b:Publisher>
    <b:Edition>4th</b:Edition>
    <b:RefOrder>4</b:RefOrder>
  </b:Source>
  <b:Source>
    <b:Tag>Geo14</b:Tag>
    <b:SourceType>Book</b:SourceType>
    <b:Guid>{A5BB1833-EBB3-4895-ADFA-99FB58185CC3}</b:Guid>
    <b:Author>
      <b:Author>
        <b:NameList>
          <b:Person>
            <b:Last>Petty</b:Last>
            <b:First>Geoff</b:First>
          </b:Person>
        </b:NameList>
      </b:Author>
    </b:Author>
    <b:Title>Teaching today A Practical Guide</b:Title>
    <b:Year>2014</b:Year>
    <b:City>Oxford</b:City>
    <b:Publisher>Oxford University Press</b:Publisher>
    <b:Edition>5th</b:Edition>
    <b:RefOrder>5</b:RefOrder>
  </b:Source>
  <b:Source>
    <b:Tag>Den15</b:Tag>
    <b:SourceType>BookSection</b:SourceType>
    <b:Guid>{22ADD593-2201-4A2B-A724-0BC76402CFEB}</b:Guid>
    <b:Author>
      <b:Author>
        <b:NameList>
          <b:Person>
            <b:Last>Denby</b:Last>
            <b:First>Neil</b:First>
          </b:Person>
        </b:NameList>
      </b:Author>
      <b:Editor>
        <b:NameList>
          <b:Person>
            <b:Last>Denby</b:Last>
            <b:First>Neil</b:First>
          </b:Person>
        </b:NameList>
      </b:Editor>
    </b:Author>
    <b:Title>Beginning to understand how young people learn</b:Title>
    <b:Year>2015</b:Year>
    <b:City>London</b:City>
    <b:Publisher>Sage</b:Publisher>
    <b:BookTitle>Training to Teach</b:BookTitle>
    <b:Pages>154 - 171</b:Pages>
    <b:RefOrder>6</b:RefOrder>
  </b:Source>
  <b:Source>
    <b:Tag>Lin14</b:Tag>
    <b:SourceType>Book</b:SourceType>
    <b:Guid>{C66CFACB-BEEA-4C20-883B-031BA50F714E}</b:Guid>
    <b:Title>Practical Teaching A guide to teaching in the education and training sector</b:Title>
    <b:Year>2014</b:Year>
    <b:City>Andover</b:City>
    <b:Publisher>Cengage Learning</b:Publisher>
    <b:Author>
      <b:Author>
        <b:NameList>
          <b:Person>
            <b:Last>Wilson</b:Last>
            <b:First>Linda</b:First>
          </b:Person>
        </b:NameList>
      </b:Author>
    </b:Author>
    <b:Edition>2nd</b:Edition>
    <b:RefOrder>7</b:RefOrder>
  </b:Source>
  <b:Source>
    <b:Tag>Mar10</b:Tag>
    <b:SourceType>InternetSite</b:SourceType>
    <b:Guid>{11079E79-B4F2-4F5D-B1B2-683465643CF3}</b:Guid>
    <b:Title>Andragogy</b:Title>
    <b:Year>2010</b:Year>
    <b:Author>
      <b:Author>
        <b:NameList>
          <b:Person>
            <b:Last>Smith</b:Last>
            <b:First>Mark</b:First>
            <b:Middle>K</b:Middle>
          </b:Person>
        </b:NameList>
      </b:Author>
    </b:Author>
    <b:YearAccessed>2017</b:YearAccessed>
    <b:MonthAccessed>November</b:MonthAccessed>
    <b:DayAccessed>27</b:DayAccessed>
    <b:URL>http://infed.org/mobi/andragogy-what-is-it-and-does-it-help-thinking-about-adult-learning/</b:URL>
    <b:RefOrder>1</b:RefOrder>
  </b:Source>
  <b:Source>
    <b:Tag>Joh02</b:Tag>
    <b:SourceType>Book</b:SourceType>
    <b:Guid>{D517F3F3-1F30-44B6-8467-96A3E91C6086}</b:Guid>
    <b:Title>Adult Learning Adult Teaching</b:Title>
    <b:Year>2002</b:Year>
    <b:Author>
      <b:Author>
        <b:NameList>
          <b:Person>
            <b:Last>Daines</b:Last>
            <b:First>John</b:First>
          </b:Person>
          <b:Person>
            <b:Last>Daines</b:Last>
            <b:First>Carolyn</b:First>
          </b:Person>
          <b:Person>
            <b:Last>Graham</b:Last>
            <b:First>Brian</b:First>
          </b:Person>
        </b:NameList>
      </b:Author>
    </b:Author>
    <b:City>Cardiff</b:City>
    <b:Publisher>Welsh Academic Press</b:Publisher>
    <b:Edition>3rd</b:Edition>
    <b:RefOrder>8</b:RefOrder>
  </b:Source>
  <b:Source>
    <b:Tag>Yvo05</b:Tag>
    <b:SourceType>Book</b:SourceType>
    <b:Guid>{C174D972-01DE-4438-9589-B69F359FB4FD}</b:Guid>
    <b:Author>
      <b:Author>
        <b:NameList>
          <b:Person>
            <b:Last>Hillier</b:Last>
            <b:First>Yvonne</b:First>
          </b:Person>
        </b:NameList>
      </b:Author>
    </b:Author>
    <b:Title>Reflective Teaching in Further and Adult Education</b:Title>
    <b:Year>2005</b:Year>
    <b:City>London</b:City>
    <b:Publisher>Continuum</b:Publisher>
    <b:Edition>2nd</b:Edition>
    <b:RefOrder>9</b:RefOrder>
  </b:Source>
  <b:Source>
    <b:Tag>Dav05</b:Tag>
    <b:SourceType>Book</b:SourceType>
    <b:Guid>{AEC24C97-9AAD-44C2-A245-0ABAB8BD9AEC}</b:Guid>
    <b:Author>
      <b:Author>
        <b:NameList>
          <b:Person>
            <b:Last>Minton</b:Last>
            <b:First>David</b:First>
          </b:Person>
        </b:NameList>
      </b:Author>
    </b:Author>
    <b:Title>Teaching Skills In Further and Adult Education</b:Title>
    <b:Year>2005</b:Year>
    <b:City>London</b:City>
    <b:Publisher>Thomson</b:Publisher>
    <b:Edition>3rd</b:Edition>
    <b:RefOrder>10</b:RefOrder>
  </b:Source>
  <b:Source>
    <b:Tag>Edw00</b:Tag>
    <b:SourceType>Book</b:SourceType>
    <b:Guid>{CC544CBB-AAE0-4CAB-B2AE-331978537D6D}</b:Guid>
    <b:Author>
      <b:Author>
        <b:NameList>
          <b:Person>
            <b:Last>Bono</b:Last>
            <b:First>Edward</b:First>
            <b:Middle>De</b:Middle>
          </b:Person>
        </b:NameList>
      </b:Author>
    </b:Author>
    <b:Title>Six Thinking Hats</b:Title>
    <b:Year>2000</b:Year>
    <b:City>London</b:City>
    <b:Publisher>Penguin</b:Publisher>
    <b:RefOrder>11</b:RefOrder>
  </b:Source>
  <b:Source>
    <b:Tag>Mar15</b:Tag>
    <b:SourceType>Book</b:SourceType>
    <b:Guid>{9A0F7E0B-2705-4688-B3EE-1DE21EBEF999}</b:Guid>
    <b:Author>
      <b:Author>
        <b:NameList>
          <b:Person>
            <b:Last>Gregson</b:Last>
            <b:First>Margaret</b:First>
          </b:Person>
          <b:Person>
            <b:Last>Hillier</b:Last>
            <b:First>Yvonne</b:First>
          </b:Person>
          <b:Person>
            <b:Last>Biesta</b:Last>
            <b:First>Gert</b:First>
          </b:Person>
          <b:Person>
            <b:Last>Duncan</b:Last>
            <b:First>Sam</b:First>
          </b:Person>
          <b:Person>
            <b:Last>Lawrence Nixon</b:Last>
            <b:First>Trish</b:First>
            <b:Middle>Spedding</b:Middle>
          </b:Person>
          <b:Person>
            <b:Last>Wakeling</b:Last>
            <b:First>Paul</b:First>
          </b:Person>
        </b:NameList>
      </b:Author>
    </b:Author>
    <b:Title>Reflective Teaching in further, adult, and vocational education</b:Title>
    <b:Year>2015</b:Year>
    <b:City>London</b:City>
    <b:Publisher>Bloomsbury</b:Publisher>
    <b:Edition>4th</b:Edition>
    <b:RefOrder>12</b:RefOrder>
  </b:Source>
  <b:Source>
    <b:Tag>Rob13</b:Tag>
    <b:SourceType>Book</b:SourceType>
    <b:Guid>{3F7FC97D-B5D6-4056-A9B1-7ED6F5FB9188}</b:Guid>
    <b:Author>
      <b:Author>
        <b:NameList>
          <b:Person>
            <b:Last>Fisher</b:Last>
            <b:First>Robert</b:First>
          </b:Person>
        </b:NameList>
      </b:Author>
    </b:Author>
    <b:Title>Teaching Thinking Philosophical Enquiry in the Classroom</b:Title>
    <b:Year>2013</b:Year>
    <b:City>London</b:City>
    <b:Publisher>Bloomsbury</b:Publisher>
    <b:RefOrder>13</b:RefOrder>
  </b:Source>
  <b:Source>
    <b:Tag>LBC04</b:Tag>
    <b:SourceType>Book</b:SourceType>
    <b:Guid>{1D02C374-B46A-4E46-9434-AB641FEDB7C5}</b:Guid>
    <b:Author>
      <b:Author>
        <b:NameList>
          <b:Person>
            <b:Last>Curzon</b:Last>
            <b:First>L.</b:First>
            <b:Middle>B.</b:Middle>
          </b:Person>
        </b:NameList>
      </b:Author>
    </b:Author>
    <b:Title>Teaching in Further Education An outline of Principles and Practice</b:Title>
    <b:Year>2004</b:Year>
    <b:City>London</b:City>
    <b:Publisher>Continuum</b:Publisher>
    <b:Edition>6th</b:Edition>
    <b:RefOrder>14</b:RefOrder>
  </b:Source>
  <b:Source>
    <b:Tag>Jim12</b:Tag>
    <b:SourceType>Book</b:SourceType>
    <b:Guid>{042484B1-5AC6-4195-9111-7025FEDACCB8}</b:Guid>
    <b:Author>
      <b:Author>
        <b:NameList>
          <b:Person>
            <b:Last>Gould</b:Last>
            <b:First>Jim</b:First>
          </b:Person>
        </b:NameList>
      </b:Author>
    </b:Author>
    <b:Title>Learning Theory and Classroom Practice in the Lifelong learning sector</b:Title>
    <b:Year>2012</b:Year>
    <b:City>London</b:City>
    <b:Publisher>Sage</b:Publisher>
    <b:Edition>2nd</b:Edition>
    <b:RefOrder>15</b:RefOrder>
  </b:Source>
  <b:Source>
    <b:Tag>Ian07</b:Tag>
    <b:SourceType>Book</b:SourceType>
    <b:Guid>{8651A96E-B7CB-43D9-8D7F-B8B8F10FA19F}</b:Guid>
    <b:Author>
      <b:Author>
        <b:NameList>
          <b:Person>
            <b:Last>Reece</b:Last>
            <b:First>Ian</b:First>
          </b:Person>
          <b:Person>
            <b:Last>Walker</b:Last>
            <b:First>Stephen</b:First>
          </b:Person>
        </b:NameList>
      </b:Author>
    </b:Author>
    <b:Title>Teaching, Training &amp; Learning A Practical Guide</b:Title>
    <b:Year>2007</b:Year>
    <b:City>Tyne and Wear</b:City>
    <b:Publisher>Business Education Publishers</b:Publisher>
    <b:Edition>6th</b:Edition>
    <b:RefOrder>16</b:RefOrder>
  </b:Source>
  <b:Source>
    <b:Tag>UNE17</b:Tag>
    <b:SourceType>InternetSite</b:SourceType>
    <b:Guid>{1A84CB18-8959-44FB-950C-4D788BB5AF5A}</b:Guid>
    <b:Title>Cross Cutting Themes</b:Title>
    <b:Year>2017</b:Year>
    <b:Author>
      <b:Author>
        <b:Corporate>UNESCO</b:Corporate>
      </b:Author>
    </b:Author>
    <b:YearAccessed>2017</b:YearAccessed>
    <b:MonthAccessed>November</b:MonthAccessed>
    <b:DayAccessed>29</b:DayAccessed>
    <b:URL>http://www.ibe.unesco.org/en/glossary-curriculum-terminology/c/cross-cutting-themes</b:URL>
    <b:RefOrder>17</b:RefOrder>
  </b:Source>
  <b:Source>
    <b:Tag>Wel17</b:Tag>
    <b:SourceType>InternetSite</b:SourceType>
    <b:Guid>{6C4F397E-96D8-4693-B075-71F95545A236}</b:Guid>
    <b:Author>
      <b:Author>
        <b:Corporate>Welsh Government</b:Corporate>
      </b:Author>
    </b:Author>
    <b:Title>Cross-cutting themes guidance</b:Title>
    <b:Year>2017</b:Year>
    <b:YearAccessed>2017</b:YearAccessed>
    <b:MonthAccessed>November</b:MonthAccessed>
    <b:DayAccessed>29</b:DayAccessed>
    <b:URL>http://gov.wales/funding/eu-funds/2014-2020/wefo-guidance/cross-cutting-guidance/?lang=en</b:URL>
    <b:RefOrder>2</b:RefOrder>
  </b:Source>
</b:Sources>
</file>

<file path=customXml/itemProps1.xml><?xml version="1.0" encoding="utf-8"?>
<ds:datastoreItem xmlns:ds="http://schemas.openxmlformats.org/officeDocument/2006/customXml" ds:itemID="{0AF886FF-CF9D-4BB1-B347-0A786DF94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1061</TotalTime>
  <Pages>8</Pages>
  <Words>2743</Words>
  <Characters>15639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 (P143604)</dc:creator>
  <cp:keywords/>
  <dc:description/>
  <cp:lastModifiedBy>Ross Phillips (P143604)</cp:lastModifiedBy>
  <cp:revision>18</cp:revision>
  <dcterms:created xsi:type="dcterms:W3CDTF">2017-11-16T12:06:00Z</dcterms:created>
  <dcterms:modified xsi:type="dcterms:W3CDTF">2017-11-29T11:18:00Z</dcterms:modified>
</cp:coreProperties>
</file>