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sdt>
      <w:sdtPr>
        <w:id w:val="-2067023674"/>
        <w:docPartObj>
          <w:docPartGallery w:val="Cover Pages"/>
          <w:docPartUnique/>
        </w:docPartObj>
      </w:sdtPr>
      <w:sdtContent>
        <w:p w14:paraId="7ADBD54B" w14:textId="77777777" w:rsidR="00AF18C1" w:rsidRDefault="00AF18C1" w:rsidP="00AF18C1">
          <w:pPr>
            <w:spacing w:after="60" w:line="360" w:lineRule="auto"/>
            <w:jc w:val="both"/>
          </w:pPr>
        </w:p>
        <w:p w14:paraId="5E928BF1" w14:textId="77777777" w:rsidR="00AF18C1" w:rsidRDefault="00AF18C1" w:rsidP="00AF18C1">
          <w:pPr>
            <w:spacing w:after="280" w:line="360" w:lineRule="auto"/>
            <w:jc w:val="both"/>
          </w:pPr>
          <w:r w:rsidRPr="00964953">
            <w:rPr>
              <w:noProof/>
            </w:rPr>
            <w:drawing>
              <wp:inline distT="0" distB="0" distL="0" distR="0" wp14:anchorId="20E3489E" wp14:editId="4A658F65">
                <wp:extent cx="5867400" cy="2724150"/>
                <wp:effectExtent l="0" t="0" r="0" b="0"/>
                <wp:docPr id="1078154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205320" name="Picture 1"/>
                        <pic:cNvPicPr/>
                      </pic:nvPicPr>
                      <pic:blipFill>
                        <a:blip r:embed="rId4">
                          <a:extLst>
                            <a:ext uri="{28A0092B-C50C-407E-A947-70E740481C1C}">
                              <a14:useLocalDpi xmlns:a14="http://schemas.microsoft.com/office/drawing/2010/main" val="0"/>
                            </a:ext>
                          </a:extLst>
                        </a:blip>
                        <a:stretch>
                          <a:fillRect/>
                        </a:stretch>
                      </pic:blipFill>
                      <pic:spPr>
                        <a:xfrm>
                          <a:off x="0" y="0"/>
                          <a:ext cx="5910781" cy="2744291"/>
                        </a:xfrm>
                        <a:prstGeom prst="rect">
                          <a:avLst/>
                        </a:prstGeom>
                      </pic:spPr>
                    </pic:pic>
                  </a:graphicData>
                </a:graphic>
              </wp:inline>
            </w:drawing>
          </w:r>
        </w:p>
        <w:p w14:paraId="370F7365" w14:textId="77777777" w:rsidR="00AF18C1" w:rsidRPr="0006028E" w:rsidRDefault="00AF18C1" w:rsidP="00AF18C1">
          <w:pPr>
            <w:jc w:val="center"/>
            <w:rPr>
              <w:b/>
              <w:bCs/>
              <w:sz w:val="32"/>
              <w:szCs w:val="32"/>
            </w:rPr>
          </w:pPr>
        </w:p>
        <w:p w14:paraId="66CAB12C" w14:textId="77777777" w:rsidR="00AF18C1" w:rsidRPr="00AF18C1" w:rsidRDefault="00AF18C1" w:rsidP="00AF18C1">
          <w:pPr>
            <w:jc w:val="center"/>
            <w:rPr>
              <w:rFonts w:ascii="Cambria" w:hAnsi="Cambria"/>
              <w:b/>
              <w:bCs/>
              <w:sz w:val="32"/>
              <w:szCs w:val="32"/>
            </w:rPr>
          </w:pPr>
          <w:r w:rsidRPr="00AF18C1">
            <w:rPr>
              <w:rFonts w:ascii="Cambria" w:hAnsi="Cambria"/>
              <w:b/>
              <w:bCs/>
              <w:sz w:val="32"/>
              <w:szCs w:val="32"/>
            </w:rPr>
            <w:t>Program: Master of Business Administration</w:t>
          </w:r>
        </w:p>
        <w:p w14:paraId="08FBC9C4" w14:textId="77777777" w:rsidR="00AF18C1" w:rsidRPr="00AF18C1" w:rsidRDefault="00AF18C1" w:rsidP="00AF18C1">
          <w:pPr>
            <w:rPr>
              <w:rFonts w:ascii="Cambria" w:hAnsi="Cambria"/>
              <w:b/>
              <w:bCs/>
              <w:sz w:val="28"/>
              <w:szCs w:val="28"/>
            </w:rPr>
          </w:pPr>
          <w:r w:rsidRPr="00AF18C1">
            <w:rPr>
              <w:rFonts w:ascii="Cambria" w:hAnsi="Cambria"/>
              <w:b/>
              <w:bCs/>
              <w:sz w:val="32"/>
              <w:szCs w:val="32"/>
            </w:rPr>
            <w:t xml:space="preserve">         </w:t>
          </w:r>
          <w:r w:rsidRPr="00AF18C1">
            <w:rPr>
              <w:rFonts w:ascii="Cambria" w:hAnsi="Cambria"/>
              <w:b/>
              <w:bCs/>
              <w:sz w:val="28"/>
              <w:szCs w:val="28"/>
            </w:rPr>
            <w:t>Module Name and Code : Financial Management  (LCMB7002)</w:t>
          </w:r>
        </w:p>
        <w:p w14:paraId="3E782371" w14:textId="77777777" w:rsidR="00AF18C1" w:rsidRPr="00AF18C1" w:rsidRDefault="00AF18C1" w:rsidP="00AF18C1">
          <w:pPr>
            <w:jc w:val="center"/>
            <w:rPr>
              <w:b/>
              <w:bCs/>
              <w:sz w:val="32"/>
              <w:szCs w:val="32"/>
            </w:rPr>
          </w:pPr>
        </w:p>
        <w:p w14:paraId="21F48B95" w14:textId="77777777" w:rsidR="00AF18C1" w:rsidRPr="00AF18C1" w:rsidRDefault="00AF18C1" w:rsidP="00AF18C1">
          <w:pPr>
            <w:jc w:val="center"/>
            <w:rPr>
              <w:rFonts w:ascii="Cambria" w:hAnsi="Cambria"/>
              <w:b/>
              <w:bCs/>
              <w:sz w:val="32"/>
              <w:szCs w:val="32"/>
            </w:rPr>
          </w:pPr>
          <w:r w:rsidRPr="00AF18C1">
            <w:rPr>
              <w:rFonts w:ascii="Cambria" w:hAnsi="Cambria"/>
              <w:b/>
              <w:bCs/>
              <w:sz w:val="32"/>
              <w:szCs w:val="32"/>
            </w:rPr>
            <w:t xml:space="preserve">Assessment Title : Individual Report - Financial Performance and Management </w:t>
          </w:r>
        </w:p>
        <w:p w14:paraId="3D9B8B53" w14:textId="77777777" w:rsidR="00AF18C1" w:rsidRPr="00AF18C1" w:rsidRDefault="00AF18C1" w:rsidP="00AF18C1">
          <w:pPr>
            <w:jc w:val="center"/>
            <w:rPr>
              <w:rFonts w:ascii="Cambria" w:hAnsi="Cambria"/>
              <w:b/>
              <w:bCs/>
              <w:sz w:val="32"/>
              <w:szCs w:val="32"/>
            </w:rPr>
          </w:pPr>
          <w:r w:rsidRPr="00AF18C1">
            <w:rPr>
              <w:rFonts w:ascii="Cambria" w:hAnsi="Cambria"/>
              <w:b/>
              <w:bCs/>
              <w:sz w:val="32"/>
              <w:szCs w:val="32"/>
            </w:rPr>
            <w:t>Selected Company : Tesla, Inc. ( NASDAQ: TSLA )</w:t>
          </w:r>
        </w:p>
        <w:p w14:paraId="133CD1D6" w14:textId="77777777" w:rsidR="00AF18C1" w:rsidRPr="00AF18C1" w:rsidRDefault="00AF18C1" w:rsidP="00AF18C1">
          <w:pPr>
            <w:jc w:val="center"/>
            <w:rPr>
              <w:b/>
              <w:bCs/>
              <w:sz w:val="32"/>
              <w:szCs w:val="32"/>
            </w:rPr>
          </w:pPr>
        </w:p>
        <w:p w14:paraId="1F4ABAB0" w14:textId="77777777" w:rsidR="00AF18C1" w:rsidRPr="0006028E" w:rsidRDefault="00AF18C1" w:rsidP="00AF18C1">
          <w:pPr>
            <w:jc w:val="center"/>
            <w:rPr>
              <w:rFonts w:ascii="Cambria" w:hAnsi="Cambria"/>
              <w:b/>
              <w:bCs/>
              <w:sz w:val="32"/>
              <w:szCs w:val="32"/>
            </w:rPr>
          </w:pPr>
          <w:r w:rsidRPr="0006028E">
            <w:rPr>
              <w:rFonts w:ascii="Cambria" w:hAnsi="Cambria"/>
              <w:b/>
              <w:bCs/>
              <w:sz w:val="32"/>
              <w:szCs w:val="32"/>
            </w:rPr>
            <w:t xml:space="preserve">Lecturer Name: </w:t>
          </w:r>
          <w:r>
            <w:rPr>
              <w:rFonts w:ascii="Cambria" w:hAnsi="Cambria"/>
              <w:b/>
              <w:bCs/>
              <w:sz w:val="32"/>
              <w:szCs w:val="32"/>
            </w:rPr>
            <w:t>Shengfeng Mei</w:t>
          </w:r>
        </w:p>
        <w:p w14:paraId="10E8B168" w14:textId="77777777" w:rsidR="00AF18C1" w:rsidRPr="0006028E" w:rsidRDefault="00AF18C1" w:rsidP="00AF18C1">
          <w:pPr>
            <w:jc w:val="center"/>
            <w:rPr>
              <w:rFonts w:ascii="Cambria" w:hAnsi="Cambria"/>
              <w:b/>
              <w:bCs/>
              <w:sz w:val="32"/>
              <w:szCs w:val="32"/>
            </w:rPr>
          </w:pPr>
          <w:r w:rsidRPr="0006028E">
            <w:rPr>
              <w:rFonts w:ascii="Cambria" w:hAnsi="Cambria"/>
              <w:b/>
              <w:bCs/>
              <w:sz w:val="32"/>
              <w:szCs w:val="32"/>
            </w:rPr>
            <w:t>Student Name: Hari Mohan Singh</w:t>
          </w:r>
        </w:p>
        <w:p w14:paraId="49EA907D" w14:textId="77777777" w:rsidR="00AF18C1" w:rsidRPr="0006028E" w:rsidRDefault="00AF18C1" w:rsidP="00AF18C1">
          <w:pPr>
            <w:jc w:val="center"/>
            <w:rPr>
              <w:rFonts w:ascii="Cambria" w:hAnsi="Cambria"/>
              <w:b/>
              <w:bCs/>
              <w:sz w:val="32"/>
              <w:szCs w:val="32"/>
            </w:rPr>
          </w:pPr>
          <w:r w:rsidRPr="0006028E">
            <w:rPr>
              <w:rFonts w:ascii="Cambria" w:hAnsi="Cambria"/>
              <w:b/>
              <w:bCs/>
              <w:sz w:val="32"/>
              <w:szCs w:val="32"/>
            </w:rPr>
            <w:t>Student ID: 2506569</w:t>
          </w:r>
        </w:p>
        <w:p w14:paraId="46B5DD9B" w14:textId="77777777" w:rsidR="00AF18C1" w:rsidRPr="0006028E" w:rsidRDefault="00AF18C1" w:rsidP="00AF18C1">
          <w:pPr>
            <w:jc w:val="center"/>
            <w:rPr>
              <w:rFonts w:ascii="Cambria" w:hAnsi="Cambria"/>
              <w:b/>
              <w:bCs/>
              <w:sz w:val="32"/>
              <w:szCs w:val="32"/>
            </w:rPr>
          </w:pPr>
          <w:r w:rsidRPr="0006028E">
            <w:rPr>
              <w:rFonts w:ascii="Cambria" w:hAnsi="Cambria"/>
              <w:b/>
              <w:bCs/>
              <w:sz w:val="32"/>
              <w:szCs w:val="32"/>
            </w:rPr>
            <w:t xml:space="preserve">Word Count: </w:t>
          </w:r>
          <w:r>
            <w:rPr>
              <w:rFonts w:ascii="Cambria" w:hAnsi="Cambria"/>
              <w:b/>
              <w:bCs/>
              <w:sz w:val="32"/>
              <w:szCs w:val="32"/>
            </w:rPr>
            <w:t>6254</w:t>
          </w:r>
        </w:p>
        <w:p w14:paraId="4A03671D" w14:textId="38CE0A0E" w:rsidR="00AF18C1" w:rsidRPr="0006028E" w:rsidRDefault="004D2CA9" w:rsidP="00AF18C1">
          <w:pPr>
            <w:jc w:val="center"/>
            <w:rPr>
              <w:rFonts w:ascii="Cambria" w:hAnsi="Cambria"/>
              <w:b/>
              <w:bCs/>
              <w:sz w:val="32"/>
              <w:szCs w:val="32"/>
            </w:rPr>
          </w:pPr>
          <w:r>
            <w:rPr>
              <w:rFonts w:ascii="Cambria" w:hAnsi="Cambria"/>
              <w:b/>
              <w:bCs/>
              <w:sz w:val="32"/>
              <w:szCs w:val="32"/>
            </w:rPr>
            <w:t>Date of Submission: 24/04/2026</w:t>
          </w:r>
        </w:p>
        <w:p w14:paraId="7F979B46" w14:textId="77777777" w:rsidR="00AF18C1" w:rsidRPr="0006028E" w:rsidRDefault="00AF18C1" w:rsidP="00AF18C1">
          <w:pPr>
            <w:spacing w:after="60" w:line="360" w:lineRule="auto"/>
            <w:jc w:val="both"/>
            <w:rPr>
              <w:rFonts w:ascii="Cambria" w:hAnsi="Cambria"/>
              <w:sz w:val="32"/>
              <w:szCs w:val="32"/>
            </w:rPr>
          </w:pPr>
        </w:p>
        <w:p w14:paraId="762CC12A" w14:textId="77777777" w:rsidR="00AF18C1" w:rsidRDefault="00AF18C1" w:rsidP="00AF18C1">
          <w:pPr>
            <w:spacing w:after="60" w:line="360" w:lineRule="auto"/>
            <w:jc w:val="both"/>
          </w:pPr>
        </w:p>
        <w:p w14:paraId="0B767424" w14:textId="2DFB6876" w:rsidR="00AF18C1" w:rsidRDefault="00AF18C1">
          <w:r>
            <w:rPr>
              <w:noProof/>
            </w:rPr>
            <mc:AlternateContent>
              <mc:Choice Requires="wpg">
                <w:drawing>
                  <wp:anchor distT="0" distB="0" distL="114300" distR="114300" simplePos="0" relativeHeight="251659264" behindDoc="1" locked="0" layoutInCell="1" allowOverlap="1" wp14:anchorId="5A52471E" wp14:editId="217F3306">
                    <wp:simplePos x="0" y="0"/>
                    <wp:positionH relativeFrom="page">
                      <wp:align>center</wp:align>
                    </wp:positionH>
                    <wp:positionV relativeFrom="page">
                      <wp:align>center</wp:align>
                    </wp:positionV>
                    <wp:extent cx="6858000" cy="9144000"/>
                    <wp:effectExtent l="0" t="0" r="2540" b="635"/>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1D5B86FF" w14:textId="77777777" w:rsidR="00AF18C1" w:rsidRDefault="00AF18C1">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showingPlcHdr/>
                                    <w:dataBinding w:prefixMappings="xmlns:ns0='http://purl.org/dc/elements/1.1/' xmlns:ns1='http://schemas.openxmlformats.org/package/2006/metadata/core-properties' " w:xpath="/ns1:coreProperties[1]/ns0:title[1]" w:storeItemID="{6C3C8BC8-F283-45AE-878A-BAB7291924A1}"/>
                                    <w:text/>
                                  </w:sdtPr>
                                  <w:sdtContent>
                                    <w:p w14:paraId="28BC6CAB" w14:textId="4AC202F7" w:rsidR="00AF18C1" w:rsidRDefault="00AF18C1">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     </w:t>
                                      </w:r>
                                    </w:p>
                                  </w:sdtContent>
                                </w:sdt>
                                <w:sdt>
                                  <w:sdtPr>
                                    <w:rPr>
                                      <w:color w:val="4472C4"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Content>
                                    <w:p w14:paraId="5FA1A360" w14:textId="51A74D82" w:rsidR="00AF18C1" w:rsidRDefault="00AF18C1">
                                      <w:pPr>
                                        <w:pStyle w:val="NoSpacing"/>
                                        <w:spacing w:before="120"/>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A52471E" id="Group 64"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1D5B86FF" w14:textId="77777777" w:rsidR="00AF18C1" w:rsidRDefault="00AF18C1">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showingPlcHdr/>
                              <w:dataBinding w:prefixMappings="xmlns:ns0='http://purl.org/dc/elements/1.1/' xmlns:ns1='http://schemas.openxmlformats.org/package/2006/metadata/core-properties' " w:xpath="/ns1:coreProperties[1]/ns0:title[1]" w:storeItemID="{6C3C8BC8-F283-45AE-878A-BAB7291924A1}"/>
                              <w:text/>
                            </w:sdtPr>
                            <w:sdtContent>
                              <w:p w14:paraId="28BC6CAB" w14:textId="4AC202F7" w:rsidR="00AF18C1" w:rsidRDefault="00AF18C1">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     </w:t>
                                </w:r>
                              </w:p>
                            </w:sdtContent>
                          </w:sdt>
                          <w:sdt>
                            <w:sdtPr>
                              <w:rPr>
                                <w:color w:val="4472C4"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Content>
                              <w:p w14:paraId="5FA1A360" w14:textId="51A74D82" w:rsidR="00AF18C1" w:rsidRDefault="00AF18C1">
                                <w:pPr>
                                  <w:pStyle w:val="NoSpacing"/>
                                  <w:spacing w:before="120"/>
                                  <w:rPr>
                                    <w:color w:val="4472C4" w:themeColor="accent1"/>
                                    <w:sz w:val="36"/>
                                    <w:szCs w:val="36"/>
                                  </w:rPr>
                                </w:pPr>
                                <w:r>
                                  <w:rPr>
                                    <w:color w:val="4472C4" w:themeColor="accent1"/>
                                    <w:sz w:val="36"/>
                                    <w:szCs w:val="36"/>
                                  </w:rPr>
                                  <w:t xml:space="preserve">     </w:t>
                                </w:r>
                              </w:p>
                            </w:sdtContent>
                          </w:sdt>
                        </w:txbxContent>
                      </v:textbox>
                    </v:shape>
                    <w10:wrap anchorx="page" anchory="page"/>
                  </v:group>
                </w:pict>
              </mc:Fallback>
            </mc:AlternateContent>
          </w:r>
        </w:p>
        <w:p w14:paraId="53940C59" w14:textId="432B7FA8" w:rsidR="00AF18C1" w:rsidRDefault="00AF18C1">
          <w:pPr>
            <w:spacing w:after="160" w:line="259" w:lineRule="auto"/>
          </w:pPr>
          <w:r>
            <w:br w:type="page"/>
          </w:r>
        </w:p>
      </w:sdtContent>
    </w:sdt>
    <w:sdt>
      <w:sdtPr>
        <w:rPr>
          <w:rFonts w:ascii="Arial" w:eastAsia="Arial" w:hAnsi="Arial" w:cs="Arial"/>
          <w:color w:val="auto"/>
          <w:sz w:val="24"/>
          <w:szCs w:val="24"/>
          <w:lang w:val="en-GB"/>
        </w:rPr>
        <w:id w:val="744840322"/>
        <w:docPartObj>
          <w:docPartGallery w:val="Table of Contents"/>
          <w:docPartUnique/>
        </w:docPartObj>
      </w:sdtPr>
      <w:sdtEndPr>
        <w:rPr>
          <w:b/>
          <w:bCs/>
        </w:rPr>
      </w:sdtEndPr>
      <w:sdtContent>
        <w:p w14:paraId="2EC52E10" w14:textId="77777777" w:rsidR="00AF18C1" w:rsidRPr="00E45A73" w:rsidRDefault="00AF18C1" w:rsidP="00AF18C1">
          <w:pPr>
            <w:pStyle w:val="TOCHeading"/>
            <w:rPr>
              <w:rFonts w:ascii="Century" w:hAnsi="Century"/>
              <w:b/>
              <w:bCs/>
              <w:sz w:val="28"/>
              <w:szCs w:val="28"/>
              <w:u w:val="single"/>
            </w:rPr>
          </w:pPr>
          <w:r w:rsidRPr="00E45A73">
            <w:rPr>
              <w:rFonts w:ascii="Century" w:hAnsi="Century"/>
              <w:b/>
              <w:bCs/>
              <w:sz w:val="28"/>
              <w:szCs w:val="28"/>
              <w:u w:val="single"/>
              <w:lang w:val="en-GB"/>
            </w:rPr>
            <w:t>Contents</w:t>
          </w:r>
        </w:p>
        <w:p w14:paraId="5D84FB0B" w14:textId="77777777" w:rsidR="00AF18C1" w:rsidRPr="00122FA7" w:rsidRDefault="00AF18C1" w:rsidP="00AF18C1">
          <w:pPr>
            <w:pStyle w:val="TOC1"/>
            <w:tabs>
              <w:tab w:val="right" w:leader="dot" w:pos="9736"/>
            </w:tabs>
            <w:rPr>
              <w:rFonts w:ascii="Century" w:hAnsi="Century"/>
              <w:noProof/>
            </w:rPr>
          </w:pPr>
          <w:r w:rsidRPr="00122FA7">
            <w:rPr>
              <w:rFonts w:ascii="Century" w:hAnsi="Century"/>
            </w:rPr>
            <w:fldChar w:fldCharType="begin"/>
          </w:r>
          <w:r w:rsidRPr="00122FA7">
            <w:rPr>
              <w:rFonts w:ascii="Century" w:hAnsi="Century"/>
            </w:rPr>
            <w:instrText xml:space="preserve"> TOC \o "1-3" \h \z \u </w:instrText>
          </w:r>
          <w:r w:rsidRPr="00122FA7">
            <w:rPr>
              <w:rFonts w:ascii="Century" w:hAnsi="Century"/>
            </w:rPr>
            <w:fldChar w:fldCharType="separate"/>
          </w:r>
          <w:hyperlink w:anchor="_Toc227673229" w:history="1">
            <w:r w:rsidRPr="00122FA7">
              <w:rPr>
                <w:rStyle w:val="Hyperlink"/>
                <w:rFonts w:ascii="Century" w:hAnsi="Century"/>
                <w:noProof/>
              </w:rPr>
              <w:t>Executive Summary</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_Toc227673229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3</w:t>
            </w:r>
            <w:r w:rsidRPr="00122FA7">
              <w:rPr>
                <w:rFonts w:ascii="Century" w:hAnsi="Century"/>
                <w:noProof/>
                <w:webHidden/>
              </w:rPr>
              <w:fldChar w:fldCharType="end"/>
            </w:r>
          </w:hyperlink>
        </w:p>
        <w:p w14:paraId="519FD007" w14:textId="77777777" w:rsidR="00AF18C1" w:rsidRPr="00122FA7" w:rsidRDefault="00AF18C1" w:rsidP="00AF18C1">
          <w:pPr>
            <w:pStyle w:val="TOC1"/>
            <w:tabs>
              <w:tab w:val="right" w:leader="dot" w:pos="9736"/>
            </w:tabs>
            <w:rPr>
              <w:rFonts w:ascii="Century" w:hAnsi="Century"/>
              <w:noProof/>
            </w:rPr>
          </w:pPr>
          <w:hyperlink w:anchor="_Toc227673230" w:history="1">
            <w:r w:rsidRPr="00122FA7">
              <w:rPr>
                <w:rStyle w:val="Hyperlink"/>
                <w:rFonts w:ascii="Century" w:hAnsi="Century"/>
                <w:noProof/>
              </w:rPr>
              <w:t>1. Financial Health Check</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_Toc227673230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4</w:t>
            </w:r>
            <w:r w:rsidRPr="00122FA7">
              <w:rPr>
                <w:rFonts w:ascii="Century" w:hAnsi="Century"/>
                <w:noProof/>
                <w:webHidden/>
              </w:rPr>
              <w:fldChar w:fldCharType="end"/>
            </w:r>
          </w:hyperlink>
        </w:p>
        <w:p w14:paraId="7AFC801F" w14:textId="77777777" w:rsidR="00AF18C1" w:rsidRPr="00122FA7" w:rsidRDefault="00AF18C1" w:rsidP="00AF18C1">
          <w:pPr>
            <w:pStyle w:val="TOC2"/>
            <w:tabs>
              <w:tab w:val="right" w:leader="dot" w:pos="9736"/>
            </w:tabs>
            <w:rPr>
              <w:rFonts w:ascii="Century" w:hAnsi="Century"/>
              <w:noProof/>
            </w:rPr>
          </w:pPr>
          <w:hyperlink w:anchor="_Toc227673231" w:history="1">
            <w:r w:rsidRPr="00122FA7">
              <w:rPr>
                <w:rStyle w:val="Hyperlink"/>
                <w:rFonts w:ascii="Century" w:hAnsi="Century"/>
                <w:noProof/>
              </w:rPr>
              <w:t>1.1 Company Overview and Context</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_Toc227673231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4</w:t>
            </w:r>
            <w:r w:rsidRPr="00122FA7">
              <w:rPr>
                <w:rFonts w:ascii="Century" w:hAnsi="Century"/>
                <w:noProof/>
                <w:webHidden/>
              </w:rPr>
              <w:fldChar w:fldCharType="end"/>
            </w:r>
          </w:hyperlink>
        </w:p>
        <w:p w14:paraId="43CC0E76" w14:textId="77777777" w:rsidR="00AF18C1" w:rsidRPr="00122FA7" w:rsidRDefault="00AF18C1" w:rsidP="00AF18C1">
          <w:pPr>
            <w:pStyle w:val="TOC2"/>
            <w:tabs>
              <w:tab w:val="right" w:leader="dot" w:pos="9736"/>
            </w:tabs>
            <w:rPr>
              <w:rFonts w:ascii="Century" w:hAnsi="Century"/>
              <w:noProof/>
            </w:rPr>
          </w:pPr>
          <w:hyperlink w:anchor="_Toc227673232" w:history="1">
            <w:r w:rsidRPr="00122FA7">
              <w:rPr>
                <w:rStyle w:val="Hyperlink"/>
                <w:rFonts w:ascii="Century" w:hAnsi="Century"/>
                <w:noProof/>
              </w:rPr>
              <w:t>1.2 Five-Year Financial Statements Summary</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_Toc227673232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5</w:t>
            </w:r>
            <w:r w:rsidRPr="00122FA7">
              <w:rPr>
                <w:rFonts w:ascii="Century" w:hAnsi="Century"/>
                <w:noProof/>
                <w:webHidden/>
              </w:rPr>
              <w:fldChar w:fldCharType="end"/>
            </w:r>
          </w:hyperlink>
        </w:p>
        <w:p w14:paraId="06539F9C" w14:textId="77777777" w:rsidR="00AF18C1" w:rsidRPr="00122FA7" w:rsidRDefault="00AF18C1" w:rsidP="00AF18C1">
          <w:pPr>
            <w:pStyle w:val="TOC2"/>
            <w:tabs>
              <w:tab w:val="right" w:leader="dot" w:pos="9736"/>
            </w:tabs>
            <w:rPr>
              <w:rFonts w:ascii="Century" w:hAnsi="Century"/>
              <w:noProof/>
            </w:rPr>
          </w:pPr>
          <w:hyperlink w:anchor="_Toc227673233" w:history="1">
            <w:r w:rsidRPr="00122FA7">
              <w:rPr>
                <w:rStyle w:val="Hyperlink"/>
                <w:rFonts w:ascii="Century" w:hAnsi="Century"/>
                <w:noProof/>
              </w:rPr>
              <w:t>1.3 Comprehensive Ratio Analysis</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_Toc227673233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6</w:t>
            </w:r>
            <w:r w:rsidRPr="00122FA7">
              <w:rPr>
                <w:rFonts w:ascii="Century" w:hAnsi="Century"/>
                <w:noProof/>
                <w:webHidden/>
              </w:rPr>
              <w:fldChar w:fldCharType="end"/>
            </w:r>
          </w:hyperlink>
        </w:p>
        <w:p w14:paraId="511ED5E0" w14:textId="77777777" w:rsidR="00AF18C1" w:rsidRPr="00122FA7" w:rsidRDefault="00AF18C1" w:rsidP="00AF18C1">
          <w:pPr>
            <w:pStyle w:val="TOC3"/>
            <w:tabs>
              <w:tab w:val="right" w:leader="dot" w:pos="9736"/>
            </w:tabs>
            <w:rPr>
              <w:rFonts w:ascii="Century" w:hAnsi="Century"/>
              <w:noProof/>
            </w:rPr>
          </w:pPr>
          <w:hyperlink w:anchor="_Toc227673234" w:history="1">
            <w:r w:rsidRPr="00122FA7">
              <w:rPr>
                <w:rStyle w:val="Hyperlink"/>
                <w:rFonts w:ascii="Century" w:hAnsi="Century"/>
                <w:noProof/>
              </w:rPr>
              <w:t>1.3.1 Profitability Ratios</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_Toc227673234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6</w:t>
            </w:r>
            <w:r w:rsidRPr="00122FA7">
              <w:rPr>
                <w:rFonts w:ascii="Century" w:hAnsi="Century"/>
                <w:noProof/>
                <w:webHidden/>
              </w:rPr>
              <w:fldChar w:fldCharType="end"/>
            </w:r>
          </w:hyperlink>
        </w:p>
        <w:p w14:paraId="26FFC0AD" w14:textId="77777777" w:rsidR="00AF18C1" w:rsidRPr="00122FA7" w:rsidRDefault="00AF18C1" w:rsidP="00AF18C1">
          <w:pPr>
            <w:pStyle w:val="TOC3"/>
            <w:tabs>
              <w:tab w:val="right" w:leader="dot" w:pos="9736"/>
            </w:tabs>
            <w:rPr>
              <w:rFonts w:ascii="Century" w:hAnsi="Century"/>
              <w:noProof/>
            </w:rPr>
          </w:pPr>
          <w:hyperlink w:anchor="_Toc227673235" w:history="1">
            <w:r w:rsidRPr="00122FA7">
              <w:rPr>
                <w:rStyle w:val="Hyperlink"/>
                <w:rFonts w:ascii="Century" w:hAnsi="Century"/>
                <w:noProof/>
              </w:rPr>
              <w:t>1.3.2 Liquidity Ratios</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_Toc227673235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8</w:t>
            </w:r>
            <w:r w:rsidRPr="00122FA7">
              <w:rPr>
                <w:rFonts w:ascii="Century" w:hAnsi="Century"/>
                <w:noProof/>
                <w:webHidden/>
              </w:rPr>
              <w:fldChar w:fldCharType="end"/>
            </w:r>
          </w:hyperlink>
        </w:p>
        <w:p w14:paraId="3C8F7F92" w14:textId="77777777" w:rsidR="00AF18C1" w:rsidRPr="00122FA7" w:rsidRDefault="00AF18C1" w:rsidP="00AF18C1">
          <w:pPr>
            <w:pStyle w:val="TOC3"/>
            <w:tabs>
              <w:tab w:val="right" w:leader="dot" w:pos="9736"/>
            </w:tabs>
            <w:rPr>
              <w:rFonts w:ascii="Century" w:hAnsi="Century"/>
              <w:noProof/>
            </w:rPr>
          </w:pPr>
          <w:hyperlink w:anchor="_Toc227673236" w:history="1">
            <w:r w:rsidRPr="00122FA7">
              <w:rPr>
                <w:rStyle w:val="Hyperlink"/>
                <w:rFonts w:ascii="Century" w:hAnsi="Century"/>
                <w:noProof/>
              </w:rPr>
              <w:t>1.3.3 Efficiency Ratios</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_Toc227673236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9</w:t>
            </w:r>
            <w:r w:rsidRPr="00122FA7">
              <w:rPr>
                <w:rFonts w:ascii="Century" w:hAnsi="Century"/>
                <w:noProof/>
                <w:webHidden/>
              </w:rPr>
              <w:fldChar w:fldCharType="end"/>
            </w:r>
          </w:hyperlink>
        </w:p>
        <w:p w14:paraId="681DCBE5" w14:textId="77777777" w:rsidR="00AF18C1" w:rsidRPr="00122FA7" w:rsidRDefault="00AF18C1" w:rsidP="00AF18C1">
          <w:pPr>
            <w:pStyle w:val="TOC2"/>
            <w:tabs>
              <w:tab w:val="right" w:leader="dot" w:pos="9736"/>
            </w:tabs>
            <w:rPr>
              <w:rFonts w:ascii="Century" w:hAnsi="Century"/>
              <w:noProof/>
            </w:rPr>
          </w:pPr>
          <w:hyperlink w:anchor="_Toc227673237" w:history="1">
            <w:r w:rsidRPr="00122FA7">
              <w:rPr>
                <w:rStyle w:val="Hyperlink"/>
                <w:rFonts w:ascii="Century" w:hAnsi="Century"/>
                <w:noProof/>
              </w:rPr>
              <w:t>1.4 Trends, Strengths, and Strategic Threats</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_Toc227673237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11</w:t>
            </w:r>
            <w:r w:rsidRPr="00122FA7">
              <w:rPr>
                <w:rFonts w:ascii="Century" w:hAnsi="Century"/>
                <w:noProof/>
                <w:webHidden/>
              </w:rPr>
              <w:fldChar w:fldCharType="end"/>
            </w:r>
          </w:hyperlink>
        </w:p>
        <w:p w14:paraId="5A23F172" w14:textId="77777777" w:rsidR="00AF18C1" w:rsidRPr="00122FA7" w:rsidRDefault="00AF18C1" w:rsidP="00AF18C1">
          <w:pPr>
            <w:pStyle w:val="TOC1"/>
            <w:tabs>
              <w:tab w:val="right" w:leader="dot" w:pos="9736"/>
            </w:tabs>
            <w:rPr>
              <w:rFonts w:ascii="Century" w:hAnsi="Century"/>
              <w:noProof/>
            </w:rPr>
          </w:pPr>
          <w:hyperlink w:anchor="_Toc227673238" w:history="1">
            <w:r w:rsidRPr="00122FA7">
              <w:rPr>
                <w:rStyle w:val="Hyperlink"/>
                <w:rFonts w:ascii="Century" w:hAnsi="Century"/>
                <w:noProof/>
              </w:rPr>
              <w:t>2. Working Capital Management Analysis</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_Toc227673238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13</w:t>
            </w:r>
            <w:r w:rsidRPr="00122FA7">
              <w:rPr>
                <w:rFonts w:ascii="Century" w:hAnsi="Century"/>
                <w:noProof/>
                <w:webHidden/>
              </w:rPr>
              <w:fldChar w:fldCharType="end"/>
            </w:r>
          </w:hyperlink>
        </w:p>
        <w:p w14:paraId="2FF299C7" w14:textId="77777777" w:rsidR="00AF18C1" w:rsidRPr="00122FA7" w:rsidRDefault="00AF18C1" w:rsidP="00AF18C1">
          <w:pPr>
            <w:pStyle w:val="TOC2"/>
            <w:tabs>
              <w:tab w:val="right" w:leader="dot" w:pos="9736"/>
            </w:tabs>
            <w:rPr>
              <w:rFonts w:ascii="Century" w:hAnsi="Century"/>
              <w:noProof/>
            </w:rPr>
          </w:pPr>
          <w:hyperlink w:anchor="_Toc227673239" w:history="1">
            <w:r w:rsidRPr="00122FA7">
              <w:rPr>
                <w:rStyle w:val="Hyperlink"/>
                <w:rFonts w:ascii="Century" w:hAnsi="Century"/>
                <w:noProof/>
              </w:rPr>
              <w:t>2.1 The Cash Operating Cycle: Theoretical Framework and Application</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_Toc227673239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13</w:t>
            </w:r>
            <w:r w:rsidRPr="00122FA7">
              <w:rPr>
                <w:rFonts w:ascii="Century" w:hAnsi="Century"/>
                <w:noProof/>
                <w:webHidden/>
              </w:rPr>
              <w:fldChar w:fldCharType="end"/>
            </w:r>
          </w:hyperlink>
        </w:p>
        <w:p w14:paraId="09022856" w14:textId="77777777" w:rsidR="00AF18C1" w:rsidRPr="00122FA7" w:rsidRDefault="00AF18C1" w:rsidP="00AF18C1">
          <w:pPr>
            <w:pStyle w:val="TOC2"/>
            <w:tabs>
              <w:tab w:val="right" w:leader="dot" w:pos="9736"/>
            </w:tabs>
            <w:rPr>
              <w:rFonts w:ascii="Century" w:hAnsi="Century"/>
              <w:noProof/>
            </w:rPr>
          </w:pPr>
          <w:hyperlink w:anchor="_Toc227673240" w:history="1">
            <w:r w:rsidRPr="00122FA7">
              <w:rPr>
                <w:rStyle w:val="Hyperlink"/>
                <w:rFonts w:ascii="Century" w:hAnsi="Century"/>
                <w:noProof/>
              </w:rPr>
              <w:t>2.2 Strategies to Improve Liquidity Through Working Capital Reforms</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_Toc227673240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14</w:t>
            </w:r>
            <w:r w:rsidRPr="00122FA7">
              <w:rPr>
                <w:rFonts w:ascii="Century" w:hAnsi="Century"/>
                <w:noProof/>
                <w:webHidden/>
              </w:rPr>
              <w:fldChar w:fldCharType="end"/>
            </w:r>
          </w:hyperlink>
        </w:p>
        <w:p w14:paraId="32D211D5" w14:textId="77777777" w:rsidR="00AF18C1" w:rsidRPr="00122FA7" w:rsidRDefault="00AF18C1" w:rsidP="00AF18C1">
          <w:pPr>
            <w:pStyle w:val="TOC2"/>
            <w:tabs>
              <w:tab w:val="right" w:leader="dot" w:pos="9736"/>
            </w:tabs>
            <w:rPr>
              <w:rFonts w:ascii="Century" w:hAnsi="Century"/>
              <w:noProof/>
            </w:rPr>
          </w:pPr>
          <w:hyperlink w:anchor="_Toc227673241" w:history="1">
            <w:r w:rsidRPr="00122FA7">
              <w:rPr>
                <w:rStyle w:val="Hyperlink"/>
                <w:rFonts w:ascii="Century" w:hAnsi="Century"/>
                <w:noProof/>
              </w:rPr>
              <w:t>2.3 Short-Term vs Long-Term Financing Options</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_Toc227673241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14</w:t>
            </w:r>
            <w:r w:rsidRPr="00122FA7">
              <w:rPr>
                <w:rFonts w:ascii="Century" w:hAnsi="Century"/>
                <w:noProof/>
                <w:webHidden/>
              </w:rPr>
              <w:fldChar w:fldCharType="end"/>
            </w:r>
          </w:hyperlink>
        </w:p>
        <w:p w14:paraId="4002E0C3" w14:textId="77777777" w:rsidR="00AF18C1" w:rsidRPr="00122FA7" w:rsidRDefault="00AF18C1" w:rsidP="00AF18C1">
          <w:pPr>
            <w:pStyle w:val="TOC1"/>
            <w:tabs>
              <w:tab w:val="right" w:leader="dot" w:pos="9736"/>
            </w:tabs>
            <w:rPr>
              <w:rFonts w:ascii="Century" w:hAnsi="Century"/>
              <w:noProof/>
            </w:rPr>
          </w:pPr>
          <w:hyperlink w:anchor="_Toc227673242" w:history="1">
            <w:r w:rsidRPr="00122FA7">
              <w:rPr>
                <w:rStyle w:val="Hyperlink"/>
                <w:rFonts w:ascii="Century" w:hAnsi="Century"/>
                <w:noProof/>
              </w:rPr>
              <w:t>3. Strategic Financial Restructuring Plan</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_Toc227673242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16</w:t>
            </w:r>
            <w:r w:rsidRPr="00122FA7">
              <w:rPr>
                <w:rFonts w:ascii="Century" w:hAnsi="Century"/>
                <w:noProof/>
                <w:webHidden/>
              </w:rPr>
              <w:fldChar w:fldCharType="end"/>
            </w:r>
          </w:hyperlink>
        </w:p>
        <w:p w14:paraId="49755E26" w14:textId="77777777" w:rsidR="00AF18C1" w:rsidRPr="00122FA7" w:rsidRDefault="00AF18C1" w:rsidP="00AF18C1">
          <w:pPr>
            <w:pStyle w:val="TOC2"/>
            <w:tabs>
              <w:tab w:val="right" w:leader="dot" w:pos="9736"/>
            </w:tabs>
            <w:rPr>
              <w:rFonts w:ascii="Century" w:hAnsi="Century"/>
              <w:noProof/>
            </w:rPr>
          </w:pPr>
          <w:hyperlink w:anchor="_Toc227673243" w:history="1">
            <w:r w:rsidRPr="00122FA7">
              <w:rPr>
                <w:rStyle w:val="Hyperlink"/>
                <w:rFonts w:ascii="Century" w:hAnsi="Century"/>
                <w:noProof/>
              </w:rPr>
              <w:t>3.1 Context and Rationale for Restructuring</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_Toc227673243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16</w:t>
            </w:r>
            <w:r w:rsidRPr="00122FA7">
              <w:rPr>
                <w:rFonts w:ascii="Century" w:hAnsi="Century"/>
                <w:noProof/>
                <w:webHidden/>
              </w:rPr>
              <w:fldChar w:fldCharType="end"/>
            </w:r>
          </w:hyperlink>
        </w:p>
        <w:p w14:paraId="36A9B252" w14:textId="77777777" w:rsidR="00AF18C1" w:rsidRPr="00122FA7" w:rsidRDefault="00AF18C1" w:rsidP="00AF18C1">
          <w:pPr>
            <w:pStyle w:val="TOC3"/>
            <w:tabs>
              <w:tab w:val="right" w:leader="dot" w:pos="9736"/>
            </w:tabs>
            <w:rPr>
              <w:rFonts w:ascii="Century" w:hAnsi="Century"/>
              <w:noProof/>
            </w:rPr>
          </w:pPr>
          <w:hyperlink w:anchor="_Toc227673244" w:history="1">
            <w:r w:rsidRPr="00122FA7">
              <w:rPr>
                <w:rStyle w:val="Hyperlink"/>
                <w:rFonts w:ascii="Century" w:hAnsi="Century"/>
                <w:noProof/>
              </w:rPr>
              <w:t>3.2 Option 1: Divestiture of SolarCity/Residential Solar Assets</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_Toc227673244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16</w:t>
            </w:r>
            <w:r w:rsidRPr="00122FA7">
              <w:rPr>
                <w:rFonts w:ascii="Century" w:hAnsi="Century"/>
                <w:noProof/>
                <w:webHidden/>
              </w:rPr>
              <w:fldChar w:fldCharType="end"/>
            </w:r>
          </w:hyperlink>
        </w:p>
        <w:p w14:paraId="272AB773" w14:textId="77777777" w:rsidR="00AF18C1" w:rsidRPr="00122FA7" w:rsidRDefault="00AF18C1" w:rsidP="00AF18C1">
          <w:pPr>
            <w:pStyle w:val="TOC3"/>
            <w:tabs>
              <w:tab w:val="right" w:leader="dot" w:pos="9736"/>
            </w:tabs>
            <w:rPr>
              <w:rFonts w:ascii="Century" w:hAnsi="Century"/>
              <w:noProof/>
            </w:rPr>
          </w:pPr>
          <w:hyperlink w:anchor="_Toc227673245" w:history="1">
            <w:r w:rsidRPr="00122FA7">
              <w:rPr>
                <w:rStyle w:val="Hyperlink"/>
                <w:rFonts w:ascii="Century" w:hAnsi="Century"/>
                <w:noProof/>
              </w:rPr>
              <w:t>3.3 Option 2: Partial Spin-Off or IPO of Tesla Energy Division</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_Toc227673245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16</w:t>
            </w:r>
            <w:r w:rsidRPr="00122FA7">
              <w:rPr>
                <w:rFonts w:ascii="Century" w:hAnsi="Century"/>
                <w:noProof/>
                <w:webHidden/>
              </w:rPr>
              <w:fldChar w:fldCharType="end"/>
            </w:r>
          </w:hyperlink>
        </w:p>
        <w:p w14:paraId="2CCC9171" w14:textId="77777777" w:rsidR="00AF18C1" w:rsidRPr="00122FA7" w:rsidRDefault="00AF18C1" w:rsidP="00AF18C1">
          <w:pPr>
            <w:pStyle w:val="TOC3"/>
            <w:tabs>
              <w:tab w:val="right" w:leader="dot" w:pos="9736"/>
            </w:tabs>
            <w:rPr>
              <w:rFonts w:ascii="Century" w:hAnsi="Century"/>
              <w:noProof/>
            </w:rPr>
          </w:pPr>
          <w:hyperlink w:anchor="_Toc227673246" w:history="1">
            <w:r w:rsidRPr="00122FA7">
              <w:rPr>
                <w:rStyle w:val="Hyperlink"/>
                <w:rFonts w:ascii="Century" w:hAnsi="Century"/>
                <w:noProof/>
              </w:rPr>
              <w:t>3.4 Option 3: Strategic Joint Venture for FSD and AI Monetisation</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_Toc227673246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17</w:t>
            </w:r>
            <w:r w:rsidRPr="00122FA7">
              <w:rPr>
                <w:rFonts w:ascii="Century" w:hAnsi="Century"/>
                <w:noProof/>
                <w:webHidden/>
              </w:rPr>
              <w:fldChar w:fldCharType="end"/>
            </w:r>
          </w:hyperlink>
        </w:p>
        <w:p w14:paraId="3EF46DA6" w14:textId="77777777" w:rsidR="00AF18C1" w:rsidRPr="00122FA7" w:rsidRDefault="00AF18C1" w:rsidP="00AF18C1">
          <w:pPr>
            <w:pStyle w:val="TOC2"/>
            <w:tabs>
              <w:tab w:val="right" w:leader="dot" w:pos="9736"/>
            </w:tabs>
            <w:rPr>
              <w:rFonts w:ascii="Century" w:hAnsi="Century"/>
              <w:noProof/>
            </w:rPr>
          </w:pPr>
          <w:hyperlink w:anchor="_Toc227673247" w:history="1">
            <w:r w:rsidRPr="00122FA7">
              <w:rPr>
                <w:rStyle w:val="Hyperlink"/>
                <w:rFonts w:ascii="Century" w:hAnsi="Century"/>
                <w:noProof/>
              </w:rPr>
              <w:t>3.5 Impact Analysis and Recommended Restructuring Path</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_Toc227673247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18</w:t>
            </w:r>
            <w:r w:rsidRPr="00122FA7">
              <w:rPr>
                <w:rFonts w:ascii="Century" w:hAnsi="Century"/>
                <w:noProof/>
                <w:webHidden/>
              </w:rPr>
              <w:fldChar w:fldCharType="end"/>
            </w:r>
          </w:hyperlink>
        </w:p>
        <w:p w14:paraId="421F4BBA" w14:textId="77777777" w:rsidR="00AF18C1" w:rsidRPr="00122FA7" w:rsidRDefault="00AF18C1" w:rsidP="00AF18C1">
          <w:pPr>
            <w:pStyle w:val="TOC2"/>
            <w:tabs>
              <w:tab w:val="right" w:leader="dot" w:pos="9736"/>
            </w:tabs>
            <w:rPr>
              <w:rFonts w:ascii="Century" w:hAnsi="Century"/>
              <w:noProof/>
            </w:rPr>
          </w:pPr>
          <w:hyperlink w:anchor="_Toc227673248" w:history="1">
            <w:r w:rsidRPr="00122FA7">
              <w:rPr>
                <w:rStyle w:val="Hyperlink"/>
                <w:rFonts w:ascii="Century" w:hAnsi="Century"/>
                <w:noProof/>
              </w:rPr>
              <w:t>3.6 International and Ethical Considerations</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_Toc227673248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18</w:t>
            </w:r>
            <w:r w:rsidRPr="00122FA7">
              <w:rPr>
                <w:rFonts w:ascii="Century" w:hAnsi="Century"/>
                <w:noProof/>
                <w:webHidden/>
              </w:rPr>
              <w:fldChar w:fldCharType="end"/>
            </w:r>
          </w:hyperlink>
        </w:p>
        <w:p w14:paraId="45A8F0EB" w14:textId="77777777" w:rsidR="00AF18C1" w:rsidRPr="00122FA7" w:rsidRDefault="00AF18C1" w:rsidP="00AF18C1">
          <w:pPr>
            <w:pStyle w:val="TOC1"/>
            <w:tabs>
              <w:tab w:val="right" w:leader="dot" w:pos="9736"/>
            </w:tabs>
            <w:rPr>
              <w:rFonts w:ascii="Century" w:hAnsi="Century"/>
              <w:noProof/>
            </w:rPr>
          </w:pPr>
          <w:hyperlink w:anchor="_Toc227673249" w:history="1">
            <w:r w:rsidRPr="00122FA7">
              <w:rPr>
                <w:rStyle w:val="Hyperlink"/>
                <w:rFonts w:ascii="Century" w:hAnsi="Century"/>
                <w:noProof/>
              </w:rPr>
              <w:t>4. Investment Appraisal and Capital Budgeting</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_Toc227673249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20</w:t>
            </w:r>
            <w:r w:rsidRPr="00122FA7">
              <w:rPr>
                <w:rFonts w:ascii="Century" w:hAnsi="Century"/>
                <w:noProof/>
                <w:webHidden/>
              </w:rPr>
              <w:fldChar w:fldCharType="end"/>
            </w:r>
          </w:hyperlink>
        </w:p>
        <w:p w14:paraId="7D2F32BF" w14:textId="77777777" w:rsidR="00AF18C1" w:rsidRPr="00122FA7" w:rsidRDefault="00AF18C1" w:rsidP="00AF18C1">
          <w:pPr>
            <w:pStyle w:val="TOC2"/>
            <w:tabs>
              <w:tab w:val="right" w:leader="dot" w:pos="9736"/>
            </w:tabs>
            <w:rPr>
              <w:rFonts w:ascii="Century" w:hAnsi="Century"/>
              <w:noProof/>
            </w:rPr>
          </w:pPr>
          <w:hyperlink w:anchor="_Toc227673250" w:history="1">
            <w:r w:rsidRPr="00122FA7">
              <w:rPr>
                <w:rStyle w:val="Hyperlink"/>
                <w:rFonts w:ascii="Century" w:hAnsi="Century"/>
                <w:noProof/>
              </w:rPr>
              <w:t>4.1 Project Overview, Assumptions, and Methodology</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_Toc227673250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20</w:t>
            </w:r>
            <w:r w:rsidRPr="00122FA7">
              <w:rPr>
                <w:rFonts w:ascii="Century" w:hAnsi="Century"/>
                <w:noProof/>
                <w:webHidden/>
              </w:rPr>
              <w:fldChar w:fldCharType="end"/>
            </w:r>
          </w:hyperlink>
        </w:p>
        <w:p w14:paraId="16BABF40" w14:textId="77777777" w:rsidR="00AF18C1" w:rsidRPr="00122FA7" w:rsidRDefault="00AF18C1" w:rsidP="00AF18C1">
          <w:pPr>
            <w:pStyle w:val="TOC2"/>
            <w:tabs>
              <w:tab w:val="right" w:leader="dot" w:pos="9736"/>
            </w:tabs>
            <w:rPr>
              <w:rFonts w:ascii="Century" w:hAnsi="Century"/>
              <w:noProof/>
            </w:rPr>
          </w:pPr>
          <w:hyperlink w:anchor="_Toc227673251" w:history="1">
            <w:r w:rsidRPr="00122FA7">
              <w:rPr>
                <w:rStyle w:val="Hyperlink"/>
                <w:rFonts w:ascii="Century" w:hAnsi="Century"/>
                <w:noProof/>
              </w:rPr>
              <w:t>4.2 Detailed Investment Appraisal Calculations</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_Toc227673251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20</w:t>
            </w:r>
            <w:r w:rsidRPr="00122FA7">
              <w:rPr>
                <w:rFonts w:ascii="Century" w:hAnsi="Century"/>
                <w:noProof/>
                <w:webHidden/>
              </w:rPr>
              <w:fldChar w:fldCharType="end"/>
            </w:r>
          </w:hyperlink>
        </w:p>
        <w:p w14:paraId="1547C974" w14:textId="77777777" w:rsidR="00AF18C1" w:rsidRPr="00122FA7" w:rsidRDefault="00AF18C1" w:rsidP="00AF18C1">
          <w:pPr>
            <w:pStyle w:val="TOC3"/>
            <w:tabs>
              <w:tab w:val="right" w:leader="dot" w:pos="9736"/>
            </w:tabs>
            <w:rPr>
              <w:rFonts w:ascii="Century" w:hAnsi="Century"/>
              <w:noProof/>
            </w:rPr>
          </w:pPr>
          <w:hyperlink w:anchor="_Toc227673252" w:history="1">
            <w:r w:rsidRPr="00122FA7">
              <w:rPr>
                <w:rStyle w:val="Hyperlink"/>
                <w:rFonts w:ascii="Century" w:hAnsi="Century"/>
                <w:noProof/>
              </w:rPr>
              <w:t>4.2.1 Net Present Value (NPV)</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_Toc227673252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21</w:t>
            </w:r>
            <w:r w:rsidRPr="00122FA7">
              <w:rPr>
                <w:rFonts w:ascii="Century" w:hAnsi="Century"/>
                <w:noProof/>
                <w:webHidden/>
              </w:rPr>
              <w:fldChar w:fldCharType="end"/>
            </w:r>
          </w:hyperlink>
        </w:p>
        <w:p w14:paraId="7E081A63" w14:textId="77777777" w:rsidR="00AF18C1" w:rsidRPr="00122FA7" w:rsidRDefault="00AF18C1" w:rsidP="00AF18C1">
          <w:pPr>
            <w:pStyle w:val="TOC3"/>
            <w:tabs>
              <w:tab w:val="right" w:leader="dot" w:pos="9736"/>
            </w:tabs>
            <w:rPr>
              <w:rFonts w:ascii="Century" w:hAnsi="Century"/>
              <w:noProof/>
            </w:rPr>
          </w:pPr>
          <w:hyperlink w:anchor="_Toc227673253" w:history="1">
            <w:r w:rsidRPr="00122FA7">
              <w:rPr>
                <w:rStyle w:val="Hyperlink"/>
                <w:rFonts w:ascii="Century" w:hAnsi="Century"/>
                <w:noProof/>
              </w:rPr>
              <w:t>4.2.2 Accounting Rate of Return (ARR)</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_Toc227673253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21</w:t>
            </w:r>
            <w:r w:rsidRPr="00122FA7">
              <w:rPr>
                <w:rFonts w:ascii="Century" w:hAnsi="Century"/>
                <w:noProof/>
                <w:webHidden/>
              </w:rPr>
              <w:fldChar w:fldCharType="end"/>
            </w:r>
          </w:hyperlink>
        </w:p>
        <w:p w14:paraId="17E95176" w14:textId="77777777" w:rsidR="00AF18C1" w:rsidRPr="00122FA7" w:rsidRDefault="00AF18C1" w:rsidP="00AF18C1">
          <w:pPr>
            <w:pStyle w:val="TOC3"/>
            <w:tabs>
              <w:tab w:val="right" w:leader="dot" w:pos="9736"/>
            </w:tabs>
            <w:rPr>
              <w:rFonts w:ascii="Century" w:hAnsi="Century"/>
              <w:noProof/>
            </w:rPr>
          </w:pPr>
          <w:hyperlink w:anchor="_Toc227673254" w:history="1">
            <w:r w:rsidRPr="00122FA7">
              <w:rPr>
                <w:rStyle w:val="Hyperlink"/>
                <w:rFonts w:ascii="Century" w:hAnsi="Century"/>
                <w:noProof/>
              </w:rPr>
              <w:t>4.2.3 Payback Period (PBP)</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_Toc227673254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22</w:t>
            </w:r>
            <w:r w:rsidRPr="00122FA7">
              <w:rPr>
                <w:rFonts w:ascii="Century" w:hAnsi="Century"/>
                <w:noProof/>
                <w:webHidden/>
              </w:rPr>
              <w:fldChar w:fldCharType="end"/>
            </w:r>
          </w:hyperlink>
        </w:p>
        <w:p w14:paraId="6CE6DB54" w14:textId="77777777" w:rsidR="00AF18C1" w:rsidRPr="00122FA7" w:rsidRDefault="00AF18C1" w:rsidP="00AF18C1">
          <w:pPr>
            <w:pStyle w:val="TOC3"/>
            <w:tabs>
              <w:tab w:val="right" w:leader="dot" w:pos="9736"/>
            </w:tabs>
            <w:rPr>
              <w:rFonts w:ascii="Century" w:hAnsi="Century"/>
              <w:noProof/>
            </w:rPr>
          </w:pPr>
          <w:hyperlink w:anchor="_Toc227673255" w:history="1">
            <w:r w:rsidRPr="00122FA7">
              <w:rPr>
                <w:rStyle w:val="Hyperlink"/>
                <w:rFonts w:ascii="Century" w:hAnsi="Century"/>
                <w:noProof/>
              </w:rPr>
              <w:t>4.2.4 Profitability Index (PI) and Internal Rate of Return (IRR)</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_Toc227673255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22</w:t>
            </w:r>
            <w:r w:rsidRPr="00122FA7">
              <w:rPr>
                <w:rFonts w:ascii="Century" w:hAnsi="Century"/>
                <w:noProof/>
                <w:webHidden/>
              </w:rPr>
              <w:fldChar w:fldCharType="end"/>
            </w:r>
          </w:hyperlink>
        </w:p>
        <w:p w14:paraId="6F791FF2" w14:textId="77777777" w:rsidR="00AF18C1" w:rsidRPr="00122FA7" w:rsidRDefault="00AF18C1" w:rsidP="00AF18C1">
          <w:pPr>
            <w:pStyle w:val="TOC2"/>
            <w:tabs>
              <w:tab w:val="right" w:leader="dot" w:pos="9736"/>
            </w:tabs>
            <w:rPr>
              <w:rFonts w:ascii="Century" w:hAnsi="Century"/>
              <w:noProof/>
            </w:rPr>
          </w:pPr>
          <w:hyperlink w:anchor="_Toc227673256" w:history="1">
            <w:r w:rsidRPr="00122FA7">
              <w:rPr>
                <w:rStyle w:val="Hyperlink"/>
                <w:rFonts w:ascii="Century" w:hAnsi="Century"/>
                <w:noProof/>
              </w:rPr>
              <w:t>4.3 Project Recommendation and Strategic Justification</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_Toc227673256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24</w:t>
            </w:r>
            <w:r w:rsidRPr="00122FA7">
              <w:rPr>
                <w:rFonts w:ascii="Century" w:hAnsi="Century"/>
                <w:noProof/>
                <w:webHidden/>
              </w:rPr>
              <w:fldChar w:fldCharType="end"/>
            </w:r>
          </w:hyperlink>
        </w:p>
        <w:p w14:paraId="14CB7FA0" w14:textId="77777777" w:rsidR="00AF18C1" w:rsidRPr="00122FA7" w:rsidRDefault="00AF18C1" w:rsidP="00AF18C1">
          <w:pPr>
            <w:pStyle w:val="TOC2"/>
            <w:tabs>
              <w:tab w:val="right" w:leader="dot" w:pos="9736"/>
            </w:tabs>
            <w:rPr>
              <w:rFonts w:ascii="Century" w:hAnsi="Century"/>
              <w:noProof/>
            </w:rPr>
          </w:pPr>
          <w:hyperlink w:anchor="_Toc227673257" w:history="1">
            <w:r w:rsidRPr="00122FA7">
              <w:rPr>
                <w:rStyle w:val="Hyperlink"/>
                <w:rFonts w:ascii="Century" w:hAnsi="Century"/>
                <w:noProof/>
              </w:rPr>
              <w:t>4.4 Capital Rationing Analysis: Optimal Investment Portfolio</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_Toc227673257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25</w:t>
            </w:r>
            <w:r w:rsidRPr="00122FA7">
              <w:rPr>
                <w:rFonts w:ascii="Century" w:hAnsi="Century"/>
                <w:noProof/>
                <w:webHidden/>
              </w:rPr>
              <w:fldChar w:fldCharType="end"/>
            </w:r>
          </w:hyperlink>
        </w:p>
        <w:p w14:paraId="5DEBE894" w14:textId="77777777" w:rsidR="00AF18C1" w:rsidRPr="00122FA7" w:rsidRDefault="00AF18C1" w:rsidP="00AF18C1">
          <w:pPr>
            <w:pStyle w:val="TOC1"/>
            <w:tabs>
              <w:tab w:val="right" w:leader="dot" w:pos="9736"/>
            </w:tabs>
            <w:rPr>
              <w:rFonts w:ascii="Century" w:hAnsi="Century"/>
              <w:noProof/>
            </w:rPr>
          </w:pPr>
          <w:hyperlink w:anchor="_Toc227673258" w:history="1">
            <w:r w:rsidRPr="00122FA7">
              <w:rPr>
                <w:rStyle w:val="Hyperlink"/>
                <w:rFonts w:ascii="Century" w:hAnsi="Century"/>
                <w:noProof/>
              </w:rPr>
              <w:t>5. Conclusion</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_Toc227673258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26</w:t>
            </w:r>
            <w:r w:rsidRPr="00122FA7">
              <w:rPr>
                <w:rFonts w:ascii="Century" w:hAnsi="Century"/>
                <w:noProof/>
                <w:webHidden/>
              </w:rPr>
              <w:fldChar w:fldCharType="end"/>
            </w:r>
          </w:hyperlink>
        </w:p>
        <w:p w14:paraId="3E464C3C" w14:textId="77777777" w:rsidR="00AF18C1" w:rsidRPr="00122FA7" w:rsidRDefault="00AF18C1" w:rsidP="00AF18C1">
          <w:pPr>
            <w:pStyle w:val="TOC1"/>
            <w:tabs>
              <w:tab w:val="right" w:leader="dot" w:pos="9736"/>
            </w:tabs>
            <w:rPr>
              <w:rFonts w:ascii="Century" w:hAnsi="Century"/>
              <w:noProof/>
            </w:rPr>
          </w:pPr>
          <w:hyperlink w:anchor="_Toc227673259" w:history="1">
            <w:r w:rsidRPr="00122FA7">
              <w:rPr>
                <w:rStyle w:val="Hyperlink"/>
                <w:rFonts w:ascii="Century" w:hAnsi="Century"/>
                <w:noProof/>
              </w:rPr>
              <w:t>References</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_Toc227673259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27</w:t>
            </w:r>
            <w:r w:rsidRPr="00122FA7">
              <w:rPr>
                <w:rFonts w:ascii="Century" w:hAnsi="Century"/>
                <w:noProof/>
                <w:webHidden/>
              </w:rPr>
              <w:fldChar w:fldCharType="end"/>
            </w:r>
          </w:hyperlink>
        </w:p>
        <w:p w14:paraId="29E764CD" w14:textId="77777777" w:rsidR="00AF18C1" w:rsidRPr="00122FA7" w:rsidRDefault="00AF18C1" w:rsidP="00AF18C1">
          <w:pPr>
            <w:pStyle w:val="TOC1"/>
            <w:tabs>
              <w:tab w:val="right" w:leader="dot" w:pos="9736"/>
            </w:tabs>
            <w:rPr>
              <w:rFonts w:ascii="Century" w:hAnsi="Century"/>
              <w:noProof/>
            </w:rPr>
          </w:pPr>
          <w:hyperlink w:anchor="_Toc227673260" w:history="1">
            <w:r w:rsidRPr="00122FA7">
              <w:rPr>
                <w:rStyle w:val="Hyperlink"/>
                <w:rFonts w:ascii="Century" w:hAnsi="Century"/>
                <w:noProof/>
              </w:rPr>
              <w:t>Appendices</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_Toc227673260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29</w:t>
            </w:r>
            <w:r w:rsidRPr="00122FA7">
              <w:rPr>
                <w:rFonts w:ascii="Century" w:hAnsi="Century"/>
                <w:noProof/>
                <w:webHidden/>
              </w:rPr>
              <w:fldChar w:fldCharType="end"/>
            </w:r>
          </w:hyperlink>
        </w:p>
        <w:p w14:paraId="2D12DF7F" w14:textId="77777777" w:rsidR="00AF18C1" w:rsidRPr="00122FA7" w:rsidRDefault="00AF18C1" w:rsidP="00AF18C1">
          <w:pPr>
            <w:pStyle w:val="TOC2"/>
            <w:tabs>
              <w:tab w:val="right" w:leader="dot" w:pos="9736"/>
            </w:tabs>
            <w:rPr>
              <w:rFonts w:ascii="Century" w:hAnsi="Century"/>
              <w:noProof/>
            </w:rPr>
          </w:pPr>
          <w:hyperlink w:anchor="_Toc227673261" w:history="1">
            <w:r w:rsidRPr="00122FA7">
              <w:rPr>
                <w:rStyle w:val="Hyperlink"/>
                <w:rFonts w:ascii="Century" w:hAnsi="Century"/>
                <w:noProof/>
              </w:rPr>
              <w:t>Appendix A: Consolidated Financial Ratio Reference Table</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_Toc227673261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29</w:t>
            </w:r>
            <w:r w:rsidRPr="00122FA7">
              <w:rPr>
                <w:rFonts w:ascii="Century" w:hAnsi="Century"/>
                <w:noProof/>
                <w:webHidden/>
              </w:rPr>
              <w:fldChar w:fldCharType="end"/>
            </w:r>
          </w:hyperlink>
        </w:p>
        <w:p w14:paraId="4814C881" w14:textId="77777777" w:rsidR="00AF18C1" w:rsidRPr="00122FA7" w:rsidRDefault="00AF18C1" w:rsidP="00AF18C1">
          <w:pPr>
            <w:pStyle w:val="TOC2"/>
            <w:tabs>
              <w:tab w:val="right" w:leader="dot" w:pos="9736"/>
            </w:tabs>
            <w:rPr>
              <w:rFonts w:ascii="Century" w:hAnsi="Century"/>
              <w:noProof/>
            </w:rPr>
          </w:pPr>
          <w:hyperlink w:anchor="_Toc227673262" w:history="1">
            <w:r w:rsidRPr="00122FA7">
              <w:rPr>
                <w:rStyle w:val="Hyperlink"/>
                <w:rFonts w:ascii="Century" w:hAnsi="Century"/>
                <w:noProof/>
              </w:rPr>
              <w:t>Appendix B: Investment Appraisal — Full Calculation Workings</w:t>
            </w:r>
            <w:r w:rsidRPr="00122FA7">
              <w:rPr>
                <w:rFonts w:ascii="Century" w:hAnsi="Century"/>
                <w:noProof/>
                <w:webHidden/>
              </w:rPr>
              <w:tab/>
            </w:r>
            <w:r w:rsidRPr="00122FA7">
              <w:rPr>
                <w:rFonts w:ascii="Century" w:hAnsi="Century"/>
                <w:noProof/>
                <w:webHidden/>
              </w:rPr>
              <w:fldChar w:fldCharType="begin"/>
            </w:r>
            <w:r w:rsidRPr="00122FA7">
              <w:rPr>
                <w:rFonts w:ascii="Century" w:hAnsi="Century"/>
                <w:noProof/>
                <w:webHidden/>
              </w:rPr>
              <w:instrText xml:space="preserve"> PAGEREF _Toc227673262 \h </w:instrText>
            </w:r>
            <w:r w:rsidRPr="00122FA7">
              <w:rPr>
                <w:rFonts w:ascii="Century" w:hAnsi="Century"/>
                <w:noProof/>
                <w:webHidden/>
              </w:rPr>
            </w:r>
            <w:r w:rsidRPr="00122FA7">
              <w:rPr>
                <w:rFonts w:ascii="Century" w:hAnsi="Century"/>
                <w:noProof/>
                <w:webHidden/>
              </w:rPr>
              <w:fldChar w:fldCharType="separate"/>
            </w:r>
            <w:r w:rsidRPr="00122FA7">
              <w:rPr>
                <w:rFonts w:ascii="Century" w:hAnsi="Century"/>
                <w:noProof/>
                <w:webHidden/>
              </w:rPr>
              <w:t>29</w:t>
            </w:r>
            <w:r w:rsidRPr="00122FA7">
              <w:rPr>
                <w:rFonts w:ascii="Century" w:hAnsi="Century"/>
                <w:noProof/>
                <w:webHidden/>
              </w:rPr>
              <w:fldChar w:fldCharType="end"/>
            </w:r>
          </w:hyperlink>
        </w:p>
        <w:p w14:paraId="605CCDA2" w14:textId="77777777" w:rsidR="00AF18C1" w:rsidRDefault="00AF18C1" w:rsidP="00AF18C1">
          <w:pPr>
            <w:rPr>
              <w:b/>
              <w:bCs/>
              <w:lang w:val="en-GB"/>
            </w:rPr>
          </w:pPr>
          <w:r w:rsidRPr="00122FA7">
            <w:rPr>
              <w:rFonts w:ascii="Century" w:hAnsi="Century"/>
              <w:b/>
              <w:bCs/>
              <w:lang w:val="en-GB"/>
            </w:rPr>
            <w:fldChar w:fldCharType="end"/>
          </w:r>
        </w:p>
      </w:sdtContent>
    </w:sdt>
    <w:p w14:paraId="1FD847FB" w14:textId="77777777" w:rsidR="00AF18C1" w:rsidRPr="00E45A73" w:rsidRDefault="00AF18C1" w:rsidP="00AF18C1">
      <w:pPr>
        <w:pStyle w:val="Heading1"/>
        <w:spacing w:line="360" w:lineRule="auto"/>
        <w:jc w:val="both"/>
        <w:rPr>
          <w:rFonts w:ascii="Cambria" w:hAnsi="Cambria"/>
          <w:b/>
          <w:bCs/>
          <w:sz w:val="28"/>
          <w:szCs w:val="28"/>
          <w:u w:val="single"/>
        </w:rPr>
      </w:pPr>
      <w:bookmarkStart w:id="0" w:name="_Toc227673229"/>
      <w:r w:rsidRPr="00E45A73">
        <w:rPr>
          <w:rFonts w:ascii="Cambria" w:hAnsi="Cambria"/>
          <w:b/>
          <w:bCs/>
          <w:sz w:val="28"/>
          <w:szCs w:val="28"/>
          <w:u w:val="single"/>
        </w:rPr>
        <w:lastRenderedPageBreak/>
        <w:t>Executive Summary</w:t>
      </w:r>
      <w:bookmarkEnd w:id="0"/>
    </w:p>
    <w:p w14:paraId="474E1E48" w14:textId="77777777" w:rsidR="00AF18C1" w:rsidRPr="00E45A73" w:rsidRDefault="00AF18C1" w:rsidP="00AF18C1">
      <w:pPr>
        <w:spacing w:after="140" w:line="360" w:lineRule="auto"/>
        <w:jc w:val="both"/>
        <w:rPr>
          <w:rFonts w:ascii="Century" w:hAnsi="Century"/>
        </w:rPr>
      </w:pPr>
      <w:r w:rsidRPr="00E45A73">
        <w:rPr>
          <w:rFonts w:ascii="Century" w:hAnsi="Century"/>
          <w:color w:val="000000"/>
        </w:rPr>
        <w:t>This report presents a comprehensive financial analysis of Tesla, Inc. (NASDAQ: TSLA), the world's most prominent electric vehicle (EV) and clean energy technology company. Appointed as Chief Financial Officer (CFO), this analysis investigates Tesla's financial performance across five fiscal years from 2020 to 2024, critically evaluates structural weaknesses, and proposes a robust strategic financial restructuring plan supported by rigorous investment appraisal.</w:t>
      </w:r>
    </w:p>
    <w:p w14:paraId="1AEC8F8B" w14:textId="77777777" w:rsidR="00AF18C1" w:rsidRPr="00E45A73" w:rsidRDefault="00AF18C1" w:rsidP="00AF18C1">
      <w:pPr>
        <w:spacing w:after="140" w:line="360" w:lineRule="auto"/>
        <w:jc w:val="both"/>
        <w:rPr>
          <w:rFonts w:ascii="Century" w:hAnsi="Century"/>
        </w:rPr>
      </w:pPr>
      <w:r w:rsidRPr="00E45A73">
        <w:rPr>
          <w:rFonts w:ascii="Century" w:hAnsi="Century"/>
          <w:color w:val="000000"/>
        </w:rPr>
        <w:t>Tesla has demonstrated extraordinary revenue growth, expanding from $31.5 billion in 2020 to $97.7 billion in 2024 — a compound annual growth rate (CAGR) of approximately 32.6%. However, this headline growth masks deteriorating profitability: gross margins declined from a peak of 25.6% in 2022 to 17.9% in 2024, operating margins fell from 16.8% to 7.2%, and net income halved from $15.0 billion (2023) to $7.1 billion (2024), driven by aggressive price competition from Chinese manufacturers, particularly BYD, and escalating capital expenditure in Gigafactory expansion and AI infrastructure.</w:t>
      </w:r>
    </w:p>
    <w:p w14:paraId="004B83BE" w14:textId="77777777" w:rsidR="00AF18C1" w:rsidRPr="00E45A73" w:rsidRDefault="00AF18C1" w:rsidP="00AF18C1">
      <w:pPr>
        <w:spacing w:after="140" w:line="360" w:lineRule="auto"/>
        <w:jc w:val="both"/>
        <w:rPr>
          <w:rFonts w:ascii="Century" w:hAnsi="Century"/>
        </w:rPr>
      </w:pPr>
      <w:r w:rsidRPr="00E45A73">
        <w:rPr>
          <w:rFonts w:ascii="Century" w:hAnsi="Century"/>
          <w:color w:val="000000"/>
        </w:rPr>
        <w:t>Key strategic findings include: (1) Tesla's balance sheet remains exceptionally strong with $36.56 billion cash, low debt-to-equity of 0.19, and a current ratio of 2.02; (2) The Energy Generation and Storage segment represents Tesla's fastest-growing and highest-margin business, warranting strategic separation; (3) The Cash Operating Cycle remains negative at -12 days, indicating superior working capital management, although this advantage is narrowing; and (4) Project C is the recommended standalone investment (NPV: £11.87M, IRR: 19.1%), with the B+C combination (£23.47M NPV) representing the optimal capital-rationed portfolio under a £100 million budget constraint.</w:t>
      </w:r>
    </w:p>
    <w:p w14:paraId="5A36F82E" w14:textId="28E79275" w:rsidR="00AF18C1" w:rsidRPr="00E45A73" w:rsidRDefault="00AF18C1" w:rsidP="00AF18C1">
      <w:pPr>
        <w:pStyle w:val="Heading1"/>
        <w:spacing w:line="360" w:lineRule="auto"/>
        <w:jc w:val="both"/>
        <w:rPr>
          <w:rFonts w:ascii="Cambria" w:hAnsi="Cambria"/>
          <w:b/>
          <w:bCs/>
          <w:sz w:val="32"/>
          <w:szCs w:val="32"/>
        </w:rPr>
      </w:pPr>
      <w:bookmarkStart w:id="1" w:name="_Toc227673230"/>
      <w:r w:rsidRPr="00E45A73">
        <w:rPr>
          <w:rFonts w:ascii="Cambria" w:hAnsi="Cambria"/>
          <w:b/>
          <w:bCs/>
          <w:sz w:val="32"/>
          <w:szCs w:val="32"/>
        </w:rPr>
        <w:t xml:space="preserve">1. </w:t>
      </w:r>
      <w:r w:rsidRPr="00E45A73">
        <w:rPr>
          <w:rFonts w:ascii="Cambria" w:hAnsi="Cambria"/>
          <w:b/>
          <w:bCs/>
          <w:sz w:val="32"/>
          <w:szCs w:val="32"/>
          <w:u w:val="single"/>
        </w:rPr>
        <w:t>Financial Health Check</w:t>
      </w:r>
      <w:bookmarkEnd w:id="1"/>
    </w:p>
    <w:p w14:paraId="09DBED42" w14:textId="77777777" w:rsidR="00AF18C1" w:rsidRPr="00E45A73" w:rsidRDefault="00AF18C1" w:rsidP="00AF18C1">
      <w:pPr>
        <w:pStyle w:val="Heading2"/>
        <w:spacing w:line="360" w:lineRule="auto"/>
        <w:jc w:val="both"/>
        <w:rPr>
          <w:rFonts w:ascii="Cambria" w:hAnsi="Cambria"/>
          <w:b/>
          <w:bCs/>
          <w:sz w:val="28"/>
          <w:szCs w:val="28"/>
        </w:rPr>
      </w:pPr>
      <w:bookmarkStart w:id="2" w:name="_Toc227673231"/>
      <w:r w:rsidRPr="00E45A73">
        <w:rPr>
          <w:rFonts w:ascii="Cambria" w:hAnsi="Cambria"/>
          <w:b/>
          <w:bCs/>
          <w:sz w:val="28"/>
          <w:szCs w:val="28"/>
        </w:rPr>
        <w:t>1.1 Company Overview and Context</w:t>
      </w:r>
      <w:bookmarkEnd w:id="2"/>
    </w:p>
    <w:p w14:paraId="5529A9B5"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 xml:space="preserve">Tesla, Inc. was incorporated in July 2003 by Martin Eberhard and Marc Tarpenning in San Carlos, California. The most notable figure in the growth path of the company became Elon Musk, who joined the company as a Chairman of the </w:t>
      </w:r>
      <w:r w:rsidRPr="00E45A73">
        <w:rPr>
          <w:rFonts w:ascii="Century" w:hAnsi="Century"/>
          <w:lang w:val="en-US"/>
        </w:rPr>
        <w:lastRenderedPageBreak/>
        <w:t>Board in 2004 and became its Chief Executive Officer. Tesla is based today in Austin, Texas, and is an integrated sustainable energy company the mission of which is to hasten the transition of the world to sustainable energy (Tesla, 2025).</w:t>
      </w:r>
    </w:p>
    <w:p w14:paraId="3A606F74"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Tesla has three main segments of business that reportable. During the first quarter, the Automotive segment, the largest part of the company with approximately 77.1 billion (78.9% of total revenue) in 2024, includes the design, manufacture and sale of electric vehicles such as the Model S, Model 3, Model X, Model Y, Cybertruck and Semi. Second, the Energy Generation and Storage division, which generated $10.1 billion (10.3) in 2024, includes the Powerwall, Powerpack, and Megapack battery storage products, solar roof and solar panel installations. Third, the Services and Other category, which covers 10.5 billion (10.7 percent), covers vehicle servicing, non-warranty after sales repairs, retail merchandise, and the Supercharger system.</w:t>
      </w:r>
    </w:p>
    <w:p w14:paraId="20A081CB"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Tesla has a worldwide manufacturing presence that includes Gigafactory Nevada (battery cells and energy storage), Fremont Factory (California, Model S/X/3/Y), Gigafactory Shanghai (China, Model 3/Y), Gigafactory Berlin-Brandenburg (Germany, Model Y), and Gigafactory Texas (Austin, Cybertruck, Model Y). It employs around 125,665 full-time workers as of December 2024, and 140,473 at the end of 2023, and the strategic headcount reduction of about 10% implemented in April 2024 aligns with the goal of cost efficiency.</w:t>
      </w:r>
    </w:p>
    <w:p w14:paraId="48A01B9E" w14:textId="0E559991" w:rsidR="00AF18C1" w:rsidRPr="00E45A73" w:rsidRDefault="00AF18C1" w:rsidP="00AF18C1">
      <w:pPr>
        <w:spacing w:line="360" w:lineRule="auto"/>
        <w:jc w:val="both"/>
        <w:rPr>
          <w:rFonts w:ascii="Century" w:hAnsi="Century"/>
          <w:lang w:val="en-US"/>
        </w:rPr>
      </w:pPr>
      <w:r w:rsidRPr="00E45A73">
        <w:rPr>
          <w:rFonts w:ascii="Century" w:hAnsi="Century"/>
          <w:lang w:val="en-US"/>
        </w:rPr>
        <w:t>The context of the EV industry at large is fundamental in understanding the financial performance of Tesla. The worldwide sales of EVs were around 17.1 million vehicles in 2024 (IEA, 2025), but Tesla sold 1.79 million vehicles, which is a drop of about 1 year-on-year, the first drop in vehicle deliveries since 2020. This was on a background of price competition: BYD produced 4.27 million NEVs in 2024, establishing itself as the largest manufacturer of EVs by volumes in the world. The strategic price cuts of 15-25% of Tesla models between 2022 and 2024 maintained market share at the cost of fully reducing the margins a trade-off that will be the focus of the restructuring proposals in Section 3.</w:t>
      </w:r>
    </w:p>
    <w:p w14:paraId="7DCFD392" w14:textId="0E559991" w:rsidR="00AF18C1" w:rsidRPr="00E45A73" w:rsidRDefault="00AF18C1" w:rsidP="00AF18C1">
      <w:pPr>
        <w:pStyle w:val="Heading2"/>
        <w:spacing w:line="360" w:lineRule="auto"/>
        <w:jc w:val="both"/>
        <w:rPr>
          <w:rFonts w:ascii="Cambria" w:hAnsi="Cambria"/>
          <w:b/>
          <w:bCs/>
          <w:sz w:val="28"/>
          <w:szCs w:val="28"/>
          <w:u w:val="single"/>
        </w:rPr>
      </w:pPr>
      <w:bookmarkStart w:id="3" w:name="_Toc227673232"/>
      <w:r w:rsidRPr="00E45A73">
        <w:rPr>
          <w:rFonts w:ascii="Cambria" w:hAnsi="Cambria"/>
          <w:b/>
          <w:bCs/>
          <w:sz w:val="28"/>
          <w:szCs w:val="28"/>
          <w:u w:val="single"/>
        </w:rPr>
        <w:lastRenderedPageBreak/>
        <w:t>1.2 Five-Year Financial Statements Summary</w:t>
      </w:r>
      <w:bookmarkEnd w:id="3"/>
    </w:p>
    <w:p w14:paraId="3056E46A"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The consolidated data of Tesla on the income statement and balance sheet are summarized in the following tables based on the annual report on Form 10-K submitted to the US Securities and Exchange Commission (SEC) by Tesla on fiscal years 2020 to 2024. All future ratio analysis and strategic suggestions are based on these statements.</w:t>
      </w:r>
    </w:p>
    <w:p w14:paraId="10859572" w14:textId="77777777" w:rsidR="00AF18C1" w:rsidRPr="00E45A73" w:rsidRDefault="00AF18C1" w:rsidP="00AF18C1">
      <w:pPr>
        <w:spacing w:before="200" w:after="80" w:line="360" w:lineRule="auto"/>
        <w:jc w:val="both"/>
        <w:rPr>
          <w:rFonts w:ascii="Century" w:hAnsi="Century"/>
        </w:rPr>
      </w:pPr>
      <w:r w:rsidRPr="00E45A73">
        <w:rPr>
          <w:rFonts w:ascii="Century" w:hAnsi="Century"/>
          <w:b/>
          <w:bCs/>
          <w:color w:val="003087"/>
        </w:rPr>
        <w:t>Table 1.1: Tesla Consolidated Income Statement Summary 2020–2024 (USD Billions)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0"/>
        <w:gridCol w:w="1345"/>
        <w:gridCol w:w="1345"/>
        <w:gridCol w:w="1345"/>
        <w:gridCol w:w="1345"/>
        <w:gridCol w:w="1346"/>
      </w:tblGrid>
      <w:tr w:rsidR="00AF18C1" w:rsidRPr="00E45A73" w14:paraId="50BB41D9" w14:textId="77777777" w:rsidTr="00A1471F">
        <w:tc>
          <w:tcPr>
            <w:tcW w:w="23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6FC2EF35"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Metric (USD $B)</w:t>
            </w:r>
          </w:p>
        </w:tc>
        <w:tc>
          <w:tcPr>
            <w:tcW w:w="134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245FB852"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2020</w:t>
            </w:r>
          </w:p>
        </w:tc>
        <w:tc>
          <w:tcPr>
            <w:tcW w:w="134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072EE335"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2021</w:t>
            </w:r>
          </w:p>
        </w:tc>
        <w:tc>
          <w:tcPr>
            <w:tcW w:w="134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2CCF0B52"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2022</w:t>
            </w:r>
          </w:p>
        </w:tc>
        <w:tc>
          <w:tcPr>
            <w:tcW w:w="134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1DF222EE"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2023</w:t>
            </w:r>
          </w:p>
        </w:tc>
        <w:tc>
          <w:tcPr>
            <w:tcW w:w="1346"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6D32CBA4"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2024</w:t>
            </w:r>
          </w:p>
        </w:tc>
      </w:tr>
      <w:tr w:rsidR="00AF18C1" w:rsidRPr="00E45A73" w14:paraId="6B17C758" w14:textId="77777777" w:rsidTr="00A1471F">
        <w:tc>
          <w:tcPr>
            <w:tcW w:w="23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AD9F1A2"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Total Revenue</w:t>
            </w:r>
          </w:p>
        </w:tc>
        <w:tc>
          <w:tcPr>
            <w:tcW w:w="13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617987C" w14:textId="77777777" w:rsidR="00AF18C1" w:rsidRPr="00E45A73" w:rsidRDefault="00AF18C1" w:rsidP="00A1471F">
            <w:pPr>
              <w:spacing w:line="360" w:lineRule="auto"/>
              <w:jc w:val="both"/>
              <w:rPr>
                <w:rFonts w:ascii="Century" w:hAnsi="Century"/>
              </w:rPr>
            </w:pPr>
            <w:r w:rsidRPr="00E45A73">
              <w:rPr>
                <w:rFonts w:ascii="Century" w:hAnsi="Century"/>
                <w:color w:val="000000"/>
              </w:rPr>
              <w:t>$31.54</w:t>
            </w:r>
          </w:p>
        </w:tc>
        <w:tc>
          <w:tcPr>
            <w:tcW w:w="13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241B592" w14:textId="77777777" w:rsidR="00AF18C1" w:rsidRPr="00E45A73" w:rsidRDefault="00AF18C1" w:rsidP="00A1471F">
            <w:pPr>
              <w:spacing w:line="360" w:lineRule="auto"/>
              <w:jc w:val="both"/>
              <w:rPr>
                <w:rFonts w:ascii="Century" w:hAnsi="Century"/>
              </w:rPr>
            </w:pPr>
            <w:r w:rsidRPr="00E45A73">
              <w:rPr>
                <w:rFonts w:ascii="Century" w:hAnsi="Century"/>
                <w:color w:val="000000"/>
              </w:rPr>
              <w:t>$53.82</w:t>
            </w:r>
          </w:p>
        </w:tc>
        <w:tc>
          <w:tcPr>
            <w:tcW w:w="13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DDF8ACB" w14:textId="77777777" w:rsidR="00AF18C1" w:rsidRPr="00E45A73" w:rsidRDefault="00AF18C1" w:rsidP="00A1471F">
            <w:pPr>
              <w:spacing w:line="360" w:lineRule="auto"/>
              <w:jc w:val="both"/>
              <w:rPr>
                <w:rFonts w:ascii="Century" w:hAnsi="Century"/>
              </w:rPr>
            </w:pPr>
            <w:r w:rsidRPr="00E45A73">
              <w:rPr>
                <w:rFonts w:ascii="Century" w:hAnsi="Century"/>
                <w:color w:val="000000"/>
              </w:rPr>
              <w:t>$81.46</w:t>
            </w:r>
          </w:p>
        </w:tc>
        <w:tc>
          <w:tcPr>
            <w:tcW w:w="13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3DC3EAC" w14:textId="77777777" w:rsidR="00AF18C1" w:rsidRPr="00E45A73" w:rsidRDefault="00AF18C1" w:rsidP="00A1471F">
            <w:pPr>
              <w:spacing w:line="360" w:lineRule="auto"/>
              <w:jc w:val="both"/>
              <w:rPr>
                <w:rFonts w:ascii="Century" w:hAnsi="Century"/>
              </w:rPr>
            </w:pPr>
            <w:r w:rsidRPr="00E45A73">
              <w:rPr>
                <w:rFonts w:ascii="Century" w:hAnsi="Century"/>
                <w:color w:val="000000"/>
              </w:rPr>
              <w:t>$96.77</w:t>
            </w:r>
          </w:p>
        </w:tc>
        <w:tc>
          <w:tcPr>
            <w:tcW w:w="134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35D3DC7" w14:textId="77777777" w:rsidR="00AF18C1" w:rsidRPr="00E45A73" w:rsidRDefault="00AF18C1" w:rsidP="00A1471F">
            <w:pPr>
              <w:spacing w:line="360" w:lineRule="auto"/>
              <w:jc w:val="both"/>
              <w:rPr>
                <w:rFonts w:ascii="Century" w:hAnsi="Century"/>
              </w:rPr>
            </w:pPr>
            <w:r w:rsidRPr="00E45A73">
              <w:rPr>
                <w:rFonts w:ascii="Century" w:hAnsi="Century"/>
                <w:color w:val="000000"/>
              </w:rPr>
              <w:t>$97.69</w:t>
            </w:r>
          </w:p>
        </w:tc>
      </w:tr>
      <w:tr w:rsidR="00AF18C1" w:rsidRPr="00E45A73" w14:paraId="13116D9B" w14:textId="77777777" w:rsidTr="00A1471F">
        <w:tc>
          <w:tcPr>
            <w:tcW w:w="23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A4762D3" w14:textId="77777777" w:rsidR="00AF18C1" w:rsidRPr="00E45A73" w:rsidRDefault="00AF18C1" w:rsidP="00A1471F">
            <w:pPr>
              <w:spacing w:line="360" w:lineRule="auto"/>
              <w:jc w:val="both"/>
              <w:rPr>
                <w:rFonts w:ascii="Century" w:hAnsi="Century"/>
              </w:rPr>
            </w:pPr>
            <w:r w:rsidRPr="00E45A73">
              <w:rPr>
                <w:rFonts w:ascii="Century" w:hAnsi="Century"/>
                <w:color w:val="000000"/>
              </w:rPr>
              <w:t>Cost of Revenue</w:t>
            </w:r>
          </w:p>
        </w:tc>
        <w:tc>
          <w:tcPr>
            <w:tcW w:w="13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FA6E2D6" w14:textId="77777777" w:rsidR="00AF18C1" w:rsidRPr="00E45A73" w:rsidRDefault="00AF18C1" w:rsidP="00A1471F">
            <w:pPr>
              <w:spacing w:line="360" w:lineRule="auto"/>
              <w:jc w:val="both"/>
              <w:rPr>
                <w:rFonts w:ascii="Century" w:hAnsi="Century"/>
              </w:rPr>
            </w:pPr>
            <w:r w:rsidRPr="00E45A73">
              <w:rPr>
                <w:rFonts w:ascii="Century" w:hAnsi="Century"/>
                <w:color w:val="000000"/>
              </w:rPr>
              <w:t>$24.91</w:t>
            </w:r>
          </w:p>
        </w:tc>
        <w:tc>
          <w:tcPr>
            <w:tcW w:w="13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0590FB2" w14:textId="77777777" w:rsidR="00AF18C1" w:rsidRPr="00E45A73" w:rsidRDefault="00AF18C1" w:rsidP="00A1471F">
            <w:pPr>
              <w:spacing w:line="360" w:lineRule="auto"/>
              <w:jc w:val="both"/>
              <w:rPr>
                <w:rFonts w:ascii="Century" w:hAnsi="Century"/>
              </w:rPr>
            </w:pPr>
            <w:r w:rsidRPr="00E45A73">
              <w:rPr>
                <w:rFonts w:ascii="Century" w:hAnsi="Century"/>
                <w:color w:val="000000"/>
              </w:rPr>
              <w:t>$40.22</w:t>
            </w:r>
          </w:p>
        </w:tc>
        <w:tc>
          <w:tcPr>
            <w:tcW w:w="13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3BC057E" w14:textId="77777777" w:rsidR="00AF18C1" w:rsidRPr="00E45A73" w:rsidRDefault="00AF18C1" w:rsidP="00A1471F">
            <w:pPr>
              <w:spacing w:line="360" w:lineRule="auto"/>
              <w:jc w:val="both"/>
              <w:rPr>
                <w:rFonts w:ascii="Century" w:hAnsi="Century"/>
              </w:rPr>
            </w:pPr>
            <w:r w:rsidRPr="00E45A73">
              <w:rPr>
                <w:rFonts w:ascii="Century" w:hAnsi="Century"/>
                <w:color w:val="000000"/>
              </w:rPr>
              <w:t>$60.61</w:t>
            </w:r>
          </w:p>
        </w:tc>
        <w:tc>
          <w:tcPr>
            <w:tcW w:w="13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F2B86EA" w14:textId="77777777" w:rsidR="00AF18C1" w:rsidRPr="00E45A73" w:rsidRDefault="00AF18C1" w:rsidP="00A1471F">
            <w:pPr>
              <w:spacing w:line="360" w:lineRule="auto"/>
              <w:jc w:val="both"/>
              <w:rPr>
                <w:rFonts w:ascii="Century" w:hAnsi="Century"/>
              </w:rPr>
            </w:pPr>
            <w:r w:rsidRPr="00E45A73">
              <w:rPr>
                <w:rFonts w:ascii="Century" w:hAnsi="Century"/>
                <w:color w:val="000000"/>
              </w:rPr>
              <w:t>$79.11</w:t>
            </w:r>
          </w:p>
        </w:tc>
        <w:tc>
          <w:tcPr>
            <w:tcW w:w="134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3E3BE89" w14:textId="77777777" w:rsidR="00AF18C1" w:rsidRPr="00E45A73" w:rsidRDefault="00AF18C1" w:rsidP="00A1471F">
            <w:pPr>
              <w:spacing w:line="360" w:lineRule="auto"/>
              <w:jc w:val="both"/>
              <w:rPr>
                <w:rFonts w:ascii="Century" w:hAnsi="Century"/>
              </w:rPr>
            </w:pPr>
            <w:r w:rsidRPr="00E45A73">
              <w:rPr>
                <w:rFonts w:ascii="Century" w:hAnsi="Century"/>
                <w:color w:val="000000"/>
              </w:rPr>
              <w:t>$80.24</w:t>
            </w:r>
          </w:p>
        </w:tc>
      </w:tr>
      <w:tr w:rsidR="00AF18C1" w:rsidRPr="00E45A73" w14:paraId="083CDB21" w14:textId="77777777" w:rsidTr="00A1471F">
        <w:tc>
          <w:tcPr>
            <w:tcW w:w="23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EA69300"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Gross Profit</w:t>
            </w:r>
          </w:p>
        </w:tc>
        <w:tc>
          <w:tcPr>
            <w:tcW w:w="13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762299C" w14:textId="77777777" w:rsidR="00AF18C1" w:rsidRPr="00E45A73" w:rsidRDefault="00AF18C1" w:rsidP="00A1471F">
            <w:pPr>
              <w:spacing w:line="360" w:lineRule="auto"/>
              <w:jc w:val="both"/>
              <w:rPr>
                <w:rFonts w:ascii="Century" w:hAnsi="Century"/>
              </w:rPr>
            </w:pPr>
            <w:r w:rsidRPr="00E45A73">
              <w:rPr>
                <w:rFonts w:ascii="Century" w:hAnsi="Century"/>
                <w:color w:val="000000"/>
              </w:rPr>
              <w:t>$6.63</w:t>
            </w:r>
          </w:p>
        </w:tc>
        <w:tc>
          <w:tcPr>
            <w:tcW w:w="13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BE331DF" w14:textId="77777777" w:rsidR="00AF18C1" w:rsidRPr="00E45A73" w:rsidRDefault="00AF18C1" w:rsidP="00A1471F">
            <w:pPr>
              <w:spacing w:line="360" w:lineRule="auto"/>
              <w:jc w:val="both"/>
              <w:rPr>
                <w:rFonts w:ascii="Century" w:hAnsi="Century"/>
              </w:rPr>
            </w:pPr>
            <w:r w:rsidRPr="00E45A73">
              <w:rPr>
                <w:rFonts w:ascii="Century" w:hAnsi="Century"/>
                <w:color w:val="000000"/>
              </w:rPr>
              <w:t>$13.61</w:t>
            </w:r>
          </w:p>
        </w:tc>
        <w:tc>
          <w:tcPr>
            <w:tcW w:w="13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5FCF694" w14:textId="77777777" w:rsidR="00AF18C1" w:rsidRPr="00E45A73" w:rsidRDefault="00AF18C1" w:rsidP="00A1471F">
            <w:pPr>
              <w:spacing w:line="360" w:lineRule="auto"/>
              <w:jc w:val="both"/>
              <w:rPr>
                <w:rFonts w:ascii="Century" w:hAnsi="Century"/>
              </w:rPr>
            </w:pPr>
            <w:r w:rsidRPr="00E45A73">
              <w:rPr>
                <w:rFonts w:ascii="Century" w:hAnsi="Century"/>
                <w:color w:val="000000"/>
              </w:rPr>
              <w:t>$20.85</w:t>
            </w:r>
          </w:p>
        </w:tc>
        <w:tc>
          <w:tcPr>
            <w:tcW w:w="13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48C58F0" w14:textId="77777777" w:rsidR="00AF18C1" w:rsidRPr="00E45A73" w:rsidRDefault="00AF18C1" w:rsidP="00A1471F">
            <w:pPr>
              <w:spacing w:line="360" w:lineRule="auto"/>
              <w:jc w:val="both"/>
              <w:rPr>
                <w:rFonts w:ascii="Century" w:hAnsi="Century"/>
              </w:rPr>
            </w:pPr>
            <w:r w:rsidRPr="00E45A73">
              <w:rPr>
                <w:rFonts w:ascii="Century" w:hAnsi="Century"/>
                <w:color w:val="000000"/>
              </w:rPr>
              <w:t>$17.66</w:t>
            </w:r>
          </w:p>
        </w:tc>
        <w:tc>
          <w:tcPr>
            <w:tcW w:w="134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73CF2D6" w14:textId="77777777" w:rsidR="00AF18C1" w:rsidRPr="00E45A73" w:rsidRDefault="00AF18C1" w:rsidP="00A1471F">
            <w:pPr>
              <w:spacing w:line="360" w:lineRule="auto"/>
              <w:jc w:val="both"/>
              <w:rPr>
                <w:rFonts w:ascii="Century" w:hAnsi="Century"/>
              </w:rPr>
            </w:pPr>
            <w:r w:rsidRPr="00E45A73">
              <w:rPr>
                <w:rFonts w:ascii="Century" w:hAnsi="Century"/>
                <w:color w:val="000000"/>
              </w:rPr>
              <w:t>$17.45</w:t>
            </w:r>
          </w:p>
        </w:tc>
      </w:tr>
      <w:tr w:rsidR="00AF18C1" w:rsidRPr="00E45A73" w14:paraId="28E9D267" w14:textId="77777777" w:rsidTr="00A1471F">
        <w:tc>
          <w:tcPr>
            <w:tcW w:w="23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1AF3D3C" w14:textId="77777777" w:rsidR="00AF18C1" w:rsidRPr="00E45A73" w:rsidRDefault="00AF18C1" w:rsidP="00A1471F">
            <w:pPr>
              <w:spacing w:line="360" w:lineRule="auto"/>
              <w:jc w:val="both"/>
              <w:rPr>
                <w:rFonts w:ascii="Century" w:hAnsi="Century"/>
              </w:rPr>
            </w:pPr>
            <w:r w:rsidRPr="00E45A73">
              <w:rPr>
                <w:rFonts w:ascii="Century" w:hAnsi="Century"/>
                <w:color w:val="000000"/>
              </w:rPr>
              <w:t>Operating Expenses</w:t>
            </w:r>
          </w:p>
        </w:tc>
        <w:tc>
          <w:tcPr>
            <w:tcW w:w="13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ACCDBC5" w14:textId="77777777" w:rsidR="00AF18C1" w:rsidRPr="00E45A73" w:rsidRDefault="00AF18C1" w:rsidP="00A1471F">
            <w:pPr>
              <w:spacing w:line="360" w:lineRule="auto"/>
              <w:jc w:val="both"/>
              <w:rPr>
                <w:rFonts w:ascii="Century" w:hAnsi="Century"/>
              </w:rPr>
            </w:pPr>
            <w:r w:rsidRPr="00E45A73">
              <w:rPr>
                <w:rFonts w:ascii="Century" w:hAnsi="Century"/>
                <w:color w:val="000000"/>
              </w:rPr>
              <w:t>$4.64</w:t>
            </w:r>
          </w:p>
        </w:tc>
        <w:tc>
          <w:tcPr>
            <w:tcW w:w="13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017FE85" w14:textId="77777777" w:rsidR="00AF18C1" w:rsidRPr="00E45A73" w:rsidRDefault="00AF18C1" w:rsidP="00A1471F">
            <w:pPr>
              <w:spacing w:line="360" w:lineRule="auto"/>
              <w:jc w:val="both"/>
              <w:rPr>
                <w:rFonts w:ascii="Century" w:hAnsi="Century"/>
              </w:rPr>
            </w:pPr>
            <w:r w:rsidRPr="00E45A73">
              <w:rPr>
                <w:rFonts w:ascii="Century" w:hAnsi="Century"/>
                <w:color w:val="000000"/>
              </w:rPr>
              <w:t>$7.08</w:t>
            </w:r>
          </w:p>
        </w:tc>
        <w:tc>
          <w:tcPr>
            <w:tcW w:w="13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38BE1A6" w14:textId="77777777" w:rsidR="00AF18C1" w:rsidRPr="00E45A73" w:rsidRDefault="00AF18C1" w:rsidP="00A1471F">
            <w:pPr>
              <w:spacing w:line="360" w:lineRule="auto"/>
              <w:jc w:val="both"/>
              <w:rPr>
                <w:rFonts w:ascii="Century" w:hAnsi="Century"/>
              </w:rPr>
            </w:pPr>
            <w:r w:rsidRPr="00E45A73">
              <w:rPr>
                <w:rFonts w:ascii="Century" w:hAnsi="Century"/>
                <w:color w:val="000000"/>
              </w:rPr>
              <w:t>$7.20</w:t>
            </w:r>
          </w:p>
        </w:tc>
        <w:tc>
          <w:tcPr>
            <w:tcW w:w="13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85C7307" w14:textId="77777777" w:rsidR="00AF18C1" w:rsidRPr="00E45A73" w:rsidRDefault="00AF18C1" w:rsidP="00A1471F">
            <w:pPr>
              <w:spacing w:line="360" w:lineRule="auto"/>
              <w:jc w:val="both"/>
              <w:rPr>
                <w:rFonts w:ascii="Century" w:hAnsi="Century"/>
              </w:rPr>
            </w:pPr>
            <w:r w:rsidRPr="00E45A73">
              <w:rPr>
                <w:rFonts w:ascii="Century" w:hAnsi="Century"/>
                <w:color w:val="000000"/>
              </w:rPr>
              <w:t>$8.77</w:t>
            </w:r>
          </w:p>
        </w:tc>
        <w:tc>
          <w:tcPr>
            <w:tcW w:w="134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DB58CDD" w14:textId="77777777" w:rsidR="00AF18C1" w:rsidRPr="00E45A73" w:rsidRDefault="00AF18C1" w:rsidP="00A1471F">
            <w:pPr>
              <w:spacing w:line="360" w:lineRule="auto"/>
              <w:jc w:val="both"/>
              <w:rPr>
                <w:rFonts w:ascii="Century" w:hAnsi="Century"/>
              </w:rPr>
            </w:pPr>
            <w:r w:rsidRPr="00E45A73">
              <w:rPr>
                <w:rFonts w:ascii="Century" w:hAnsi="Century"/>
                <w:color w:val="000000"/>
              </w:rPr>
              <w:t>$10.37</w:t>
            </w:r>
          </w:p>
        </w:tc>
      </w:tr>
      <w:tr w:rsidR="00AF18C1" w:rsidRPr="00E45A73" w14:paraId="4F2BEACD" w14:textId="77777777" w:rsidTr="00A1471F">
        <w:tc>
          <w:tcPr>
            <w:tcW w:w="23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D398446"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Operating Income (EBIT)</w:t>
            </w:r>
          </w:p>
        </w:tc>
        <w:tc>
          <w:tcPr>
            <w:tcW w:w="13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2943684" w14:textId="77777777" w:rsidR="00AF18C1" w:rsidRPr="00E45A73" w:rsidRDefault="00AF18C1" w:rsidP="00A1471F">
            <w:pPr>
              <w:spacing w:line="360" w:lineRule="auto"/>
              <w:jc w:val="both"/>
              <w:rPr>
                <w:rFonts w:ascii="Century" w:hAnsi="Century"/>
              </w:rPr>
            </w:pPr>
            <w:r w:rsidRPr="00E45A73">
              <w:rPr>
                <w:rFonts w:ascii="Century" w:hAnsi="Century"/>
                <w:color w:val="000000"/>
              </w:rPr>
              <w:t>$1.99</w:t>
            </w:r>
          </w:p>
        </w:tc>
        <w:tc>
          <w:tcPr>
            <w:tcW w:w="13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AFC2B8F" w14:textId="77777777" w:rsidR="00AF18C1" w:rsidRPr="00E45A73" w:rsidRDefault="00AF18C1" w:rsidP="00A1471F">
            <w:pPr>
              <w:spacing w:line="360" w:lineRule="auto"/>
              <w:jc w:val="both"/>
              <w:rPr>
                <w:rFonts w:ascii="Century" w:hAnsi="Century"/>
              </w:rPr>
            </w:pPr>
            <w:r w:rsidRPr="00E45A73">
              <w:rPr>
                <w:rFonts w:ascii="Century" w:hAnsi="Century"/>
                <w:color w:val="000000"/>
              </w:rPr>
              <w:t>$6.52</w:t>
            </w:r>
          </w:p>
        </w:tc>
        <w:tc>
          <w:tcPr>
            <w:tcW w:w="13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7200357" w14:textId="77777777" w:rsidR="00AF18C1" w:rsidRPr="00E45A73" w:rsidRDefault="00AF18C1" w:rsidP="00A1471F">
            <w:pPr>
              <w:spacing w:line="360" w:lineRule="auto"/>
              <w:jc w:val="both"/>
              <w:rPr>
                <w:rFonts w:ascii="Century" w:hAnsi="Century"/>
              </w:rPr>
            </w:pPr>
            <w:r w:rsidRPr="00E45A73">
              <w:rPr>
                <w:rFonts w:ascii="Century" w:hAnsi="Century"/>
                <w:color w:val="000000"/>
              </w:rPr>
              <w:t>$13.66</w:t>
            </w:r>
          </w:p>
        </w:tc>
        <w:tc>
          <w:tcPr>
            <w:tcW w:w="13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22CD3C8" w14:textId="77777777" w:rsidR="00AF18C1" w:rsidRPr="00E45A73" w:rsidRDefault="00AF18C1" w:rsidP="00A1471F">
            <w:pPr>
              <w:spacing w:line="360" w:lineRule="auto"/>
              <w:jc w:val="both"/>
              <w:rPr>
                <w:rFonts w:ascii="Century" w:hAnsi="Century"/>
              </w:rPr>
            </w:pPr>
            <w:r w:rsidRPr="00E45A73">
              <w:rPr>
                <w:rFonts w:ascii="Century" w:hAnsi="Century"/>
                <w:color w:val="000000"/>
              </w:rPr>
              <w:t>$8.89</w:t>
            </w:r>
          </w:p>
        </w:tc>
        <w:tc>
          <w:tcPr>
            <w:tcW w:w="134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CC57BD1" w14:textId="77777777" w:rsidR="00AF18C1" w:rsidRPr="00E45A73" w:rsidRDefault="00AF18C1" w:rsidP="00A1471F">
            <w:pPr>
              <w:spacing w:line="360" w:lineRule="auto"/>
              <w:jc w:val="both"/>
              <w:rPr>
                <w:rFonts w:ascii="Century" w:hAnsi="Century"/>
              </w:rPr>
            </w:pPr>
            <w:r w:rsidRPr="00E45A73">
              <w:rPr>
                <w:rFonts w:ascii="Century" w:hAnsi="Century"/>
                <w:color w:val="000000"/>
              </w:rPr>
              <w:t>$7.08</w:t>
            </w:r>
          </w:p>
        </w:tc>
      </w:tr>
      <w:tr w:rsidR="00AF18C1" w:rsidRPr="00E45A73" w14:paraId="66262907" w14:textId="77777777" w:rsidTr="00A1471F">
        <w:tc>
          <w:tcPr>
            <w:tcW w:w="2300"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62DB8733"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Net Income (GAAP)</w:t>
            </w:r>
          </w:p>
        </w:tc>
        <w:tc>
          <w:tcPr>
            <w:tcW w:w="1345"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1ADE895E" w14:textId="77777777" w:rsidR="00AF18C1" w:rsidRPr="00E45A73" w:rsidRDefault="00AF18C1" w:rsidP="00A1471F">
            <w:pPr>
              <w:spacing w:line="360" w:lineRule="auto"/>
              <w:jc w:val="both"/>
              <w:rPr>
                <w:rFonts w:ascii="Century" w:hAnsi="Century"/>
              </w:rPr>
            </w:pPr>
            <w:r w:rsidRPr="00E45A73">
              <w:rPr>
                <w:rFonts w:ascii="Century" w:hAnsi="Century"/>
                <w:color w:val="000000"/>
              </w:rPr>
              <w:t>$0.72</w:t>
            </w:r>
          </w:p>
        </w:tc>
        <w:tc>
          <w:tcPr>
            <w:tcW w:w="1345"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6648ACD1" w14:textId="77777777" w:rsidR="00AF18C1" w:rsidRPr="00E45A73" w:rsidRDefault="00AF18C1" w:rsidP="00A1471F">
            <w:pPr>
              <w:spacing w:line="360" w:lineRule="auto"/>
              <w:jc w:val="both"/>
              <w:rPr>
                <w:rFonts w:ascii="Century" w:hAnsi="Century"/>
              </w:rPr>
            </w:pPr>
            <w:r w:rsidRPr="00E45A73">
              <w:rPr>
                <w:rFonts w:ascii="Century" w:hAnsi="Century"/>
                <w:color w:val="000000"/>
              </w:rPr>
              <w:t>$5.52</w:t>
            </w:r>
          </w:p>
        </w:tc>
        <w:tc>
          <w:tcPr>
            <w:tcW w:w="1345"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0D1ACDAF" w14:textId="77777777" w:rsidR="00AF18C1" w:rsidRPr="00E45A73" w:rsidRDefault="00AF18C1" w:rsidP="00A1471F">
            <w:pPr>
              <w:spacing w:line="360" w:lineRule="auto"/>
              <w:jc w:val="both"/>
              <w:rPr>
                <w:rFonts w:ascii="Century" w:hAnsi="Century"/>
              </w:rPr>
            </w:pPr>
            <w:r w:rsidRPr="00E45A73">
              <w:rPr>
                <w:rFonts w:ascii="Century" w:hAnsi="Century"/>
                <w:color w:val="000000"/>
              </w:rPr>
              <w:t>$12.56</w:t>
            </w:r>
          </w:p>
        </w:tc>
        <w:tc>
          <w:tcPr>
            <w:tcW w:w="1345"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58515A6F" w14:textId="77777777" w:rsidR="00AF18C1" w:rsidRPr="00E45A73" w:rsidRDefault="00AF18C1" w:rsidP="00A1471F">
            <w:pPr>
              <w:spacing w:line="360" w:lineRule="auto"/>
              <w:jc w:val="both"/>
              <w:rPr>
                <w:rFonts w:ascii="Century" w:hAnsi="Century"/>
              </w:rPr>
            </w:pPr>
            <w:r w:rsidRPr="00E45A73">
              <w:rPr>
                <w:rFonts w:ascii="Century" w:hAnsi="Century"/>
                <w:color w:val="000000"/>
              </w:rPr>
              <w:t>$15.00</w:t>
            </w:r>
          </w:p>
        </w:tc>
        <w:tc>
          <w:tcPr>
            <w:tcW w:w="1346"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44074671" w14:textId="77777777" w:rsidR="00AF18C1" w:rsidRPr="00E45A73" w:rsidRDefault="00AF18C1" w:rsidP="00A1471F">
            <w:pPr>
              <w:spacing w:line="360" w:lineRule="auto"/>
              <w:jc w:val="both"/>
              <w:rPr>
                <w:rFonts w:ascii="Century" w:hAnsi="Century"/>
              </w:rPr>
            </w:pPr>
            <w:r w:rsidRPr="00E45A73">
              <w:rPr>
                <w:rFonts w:ascii="Century" w:hAnsi="Century"/>
                <w:color w:val="000000"/>
              </w:rPr>
              <w:t>$7.13</w:t>
            </w:r>
          </w:p>
        </w:tc>
      </w:tr>
      <w:tr w:rsidR="00AF18C1" w:rsidRPr="00E45A73" w14:paraId="40FB638A" w14:textId="77777777" w:rsidTr="00A1471F">
        <w:tc>
          <w:tcPr>
            <w:tcW w:w="23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100D26C" w14:textId="77777777" w:rsidR="00AF18C1" w:rsidRPr="00E45A73" w:rsidRDefault="00AF18C1" w:rsidP="00A1471F">
            <w:pPr>
              <w:spacing w:line="360" w:lineRule="auto"/>
              <w:jc w:val="both"/>
              <w:rPr>
                <w:rFonts w:ascii="Century" w:hAnsi="Century"/>
              </w:rPr>
            </w:pPr>
            <w:r w:rsidRPr="00E45A73">
              <w:rPr>
                <w:rFonts w:ascii="Century" w:hAnsi="Century"/>
                <w:color w:val="000000"/>
              </w:rPr>
              <w:t>EBITDA</w:t>
            </w:r>
          </w:p>
        </w:tc>
        <w:tc>
          <w:tcPr>
            <w:tcW w:w="13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795741D" w14:textId="77777777" w:rsidR="00AF18C1" w:rsidRPr="00E45A73" w:rsidRDefault="00AF18C1" w:rsidP="00A1471F">
            <w:pPr>
              <w:spacing w:line="360" w:lineRule="auto"/>
              <w:jc w:val="both"/>
              <w:rPr>
                <w:rFonts w:ascii="Century" w:hAnsi="Century"/>
              </w:rPr>
            </w:pPr>
            <w:r w:rsidRPr="00E45A73">
              <w:rPr>
                <w:rFonts w:ascii="Century" w:hAnsi="Century"/>
                <w:color w:val="000000"/>
              </w:rPr>
              <w:t>$5.82</w:t>
            </w:r>
          </w:p>
        </w:tc>
        <w:tc>
          <w:tcPr>
            <w:tcW w:w="13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B94788B" w14:textId="77777777" w:rsidR="00AF18C1" w:rsidRPr="00E45A73" w:rsidRDefault="00AF18C1" w:rsidP="00A1471F">
            <w:pPr>
              <w:spacing w:line="360" w:lineRule="auto"/>
              <w:jc w:val="both"/>
              <w:rPr>
                <w:rFonts w:ascii="Century" w:hAnsi="Century"/>
              </w:rPr>
            </w:pPr>
            <w:r w:rsidRPr="00E45A73">
              <w:rPr>
                <w:rFonts w:ascii="Century" w:hAnsi="Century"/>
                <w:color w:val="000000"/>
              </w:rPr>
              <w:t>$11.62</w:t>
            </w:r>
          </w:p>
        </w:tc>
        <w:tc>
          <w:tcPr>
            <w:tcW w:w="13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9E137A6" w14:textId="77777777" w:rsidR="00AF18C1" w:rsidRPr="00E45A73" w:rsidRDefault="00AF18C1" w:rsidP="00A1471F">
            <w:pPr>
              <w:spacing w:line="360" w:lineRule="auto"/>
              <w:jc w:val="both"/>
              <w:rPr>
                <w:rFonts w:ascii="Century" w:hAnsi="Century"/>
              </w:rPr>
            </w:pPr>
            <w:r w:rsidRPr="00E45A73">
              <w:rPr>
                <w:rFonts w:ascii="Century" w:hAnsi="Century"/>
                <w:color w:val="000000"/>
              </w:rPr>
              <w:t>$19.19</w:t>
            </w:r>
          </w:p>
        </w:tc>
        <w:tc>
          <w:tcPr>
            <w:tcW w:w="13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020BC43" w14:textId="77777777" w:rsidR="00AF18C1" w:rsidRPr="00E45A73" w:rsidRDefault="00AF18C1" w:rsidP="00A1471F">
            <w:pPr>
              <w:spacing w:line="360" w:lineRule="auto"/>
              <w:jc w:val="both"/>
              <w:rPr>
                <w:rFonts w:ascii="Century" w:hAnsi="Century"/>
              </w:rPr>
            </w:pPr>
            <w:r w:rsidRPr="00E45A73">
              <w:rPr>
                <w:rFonts w:ascii="Century" w:hAnsi="Century"/>
                <w:color w:val="000000"/>
              </w:rPr>
              <w:t>$16.63</w:t>
            </w:r>
          </w:p>
        </w:tc>
        <w:tc>
          <w:tcPr>
            <w:tcW w:w="134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2E331D3" w14:textId="77777777" w:rsidR="00AF18C1" w:rsidRPr="00E45A73" w:rsidRDefault="00AF18C1" w:rsidP="00A1471F">
            <w:pPr>
              <w:spacing w:line="360" w:lineRule="auto"/>
              <w:jc w:val="both"/>
              <w:rPr>
                <w:rFonts w:ascii="Century" w:hAnsi="Century"/>
              </w:rPr>
            </w:pPr>
            <w:r w:rsidRPr="00E45A73">
              <w:rPr>
                <w:rFonts w:ascii="Century" w:hAnsi="Century"/>
                <w:color w:val="000000"/>
              </w:rPr>
              <w:t>$14.71</w:t>
            </w:r>
          </w:p>
        </w:tc>
      </w:tr>
      <w:tr w:rsidR="00AF18C1" w:rsidRPr="00E45A73" w14:paraId="398CA0E8" w14:textId="77777777" w:rsidTr="00A1471F">
        <w:tc>
          <w:tcPr>
            <w:tcW w:w="23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7267097" w14:textId="77777777" w:rsidR="00AF18C1" w:rsidRPr="00E45A73" w:rsidRDefault="00AF18C1" w:rsidP="00A1471F">
            <w:pPr>
              <w:spacing w:line="360" w:lineRule="auto"/>
              <w:jc w:val="both"/>
              <w:rPr>
                <w:rFonts w:ascii="Century" w:hAnsi="Century"/>
              </w:rPr>
            </w:pPr>
            <w:r w:rsidRPr="00E45A73">
              <w:rPr>
                <w:rFonts w:ascii="Century" w:hAnsi="Century"/>
                <w:color w:val="000000"/>
              </w:rPr>
              <w:t>YoY Revenue Growth (%)</w:t>
            </w:r>
          </w:p>
        </w:tc>
        <w:tc>
          <w:tcPr>
            <w:tcW w:w="13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8BA00F5" w14:textId="77777777" w:rsidR="00AF18C1" w:rsidRPr="00E45A73" w:rsidRDefault="00AF18C1" w:rsidP="00A1471F">
            <w:pPr>
              <w:spacing w:line="360" w:lineRule="auto"/>
              <w:jc w:val="both"/>
              <w:rPr>
                <w:rFonts w:ascii="Century" w:hAnsi="Century"/>
              </w:rPr>
            </w:pPr>
            <w:r w:rsidRPr="00E45A73">
              <w:rPr>
                <w:rFonts w:ascii="Century" w:hAnsi="Century"/>
                <w:color w:val="000000"/>
              </w:rPr>
              <w:t>28.3%</w:t>
            </w:r>
          </w:p>
        </w:tc>
        <w:tc>
          <w:tcPr>
            <w:tcW w:w="13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2C3A85F" w14:textId="77777777" w:rsidR="00AF18C1" w:rsidRPr="00E45A73" w:rsidRDefault="00AF18C1" w:rsidP="00A1471F">
            <w:pPr>
              <w:spacing w:line="360" w:lineRule="auto"/>
              <w:jc w:val="both"/>
              <w:rPr>
                <w:rFonts w:ascii="Century" w:hAnsi="Century"/>
              </w:rPr>
            </w:pPr>
            <w:r w:rsidRPr="00E45A73">
              <w:rPr>
                <w:rFonts w:ascii="Century" w:hAnsi="Century"/>
                <w:color w:val="000000"/>
              </w:rPr>
              <w:t>70.7%</w:t>
            </w:r>
          </w:p>
        </w:tc>
        <w:tc>
          <w:tcPr>
            <w:tcW w:w="13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71F1788" w14:textId="77777777" w:rsidR="00AF18C1" w:rsidRPr="00E45A73" w:rsidRDefault="00AF18C1" w:rsidP="00A1471F">
            <w:pPr>
              <w:spacing w:line="360" w:lineRule="auto"/>
              <w:jc w:val="both"/>
              <w:rPr>
                <w:rFonts w:ascii="Century" w:hAnsi="Century"/>
              </w:rPr>
            </w:pPr>
            <w:r w:rsidRPr="00E45A73">
              <w:rPr>
                <w:rFonts w:ascii="Century" w:hAnsi="Century"/>
                <w:color w:val="000000"/>
              </w:rPr>
              <w:t>51.4%</w:t>
            </w:r>
          </w:p>
        </w:tc>
        <w:tc>
          <w:tcPr>
            <w:tcW w:w="13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ED6A023" w14:textId="77777777" w:rsidR="00AF18C1" w:rsidRPr="00E45A73" w:rsidRDefault="00AF18C1" w:rsidP="00A1471F">
            <w:pPr>
              <w:spacing w:line="360" w:lineRule="auto"/>
              <w:jc w:val="both"/>
              <w:rPr>
                <w:rFonts w:ascii="Century" w:hAnsi="Century"/>
              </w:rPr>
            </w:pPr>
            <w:r w:rsidRPr="00E45A73">
              <w:rPr>
                <w:rFonts w:ascii="Century" w:hAnsi="Century"/>
                <w:color w:val="000000"/>
              </w:rPr>
              <w:t>18.8%</w:t>
            </w:r>
          </w:p>
        </w:tc>
        <w:tc>
          <w:tcPr>
            <w:tcW w:w="134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ACA2F7C" w14:textId="77777777" w:rsidR="00AF18C1" w:rsidRPr="00E45A73" w:rsidRDefault="00AF18C1" w:rsidP="00A1471F">
            <w:pPr>
              <w:spacing w:line="360" w:lineRule="auto"/>
              <w:jc w:val="both"/>
              <w:rPr>
                <w:rFonts w:ascii="Century" w:hAnsi="Century"/>
              </w:rPr>
            </w:pPr>
            <w:r w:rsidRPr="00E45A73">
              <w:rPr>
                <w:rFonts w:ascii="Century" w:hAnsi="Century"/>
                <w:color w:val="000000"/>
              </w:rPr>
              <w:t>0.95%</w:t>
            </w:r>
          </w:p>
        </w:tc>
      </w:tr>
    </w:tbl>
    <w:p w14:paraId="6305BDAB" w14:textId="77777777" w:rsidR="00AF18C1" w:rsidRPr="00E45A73" w:rsidRDefault="00AF18C1" w:rsidP="00AF18C1">
      <w:pPr>
        <w:spacing w:after="60" w:line="360" w:lineRule="auto"/>
        <w:jc w:val="both"/>
        <w:rPr>
          <w:rFonts w:ascii="Century" w:hAnsi="Century"/>
        </w:rPr>
      </w:pPr>
    </w:p>
    <w:p w14:paraId="6E4A3DB5" w14:textId="77777777" w:rsidR="00AF18C1" w:rsidRPr="00E45A73" w:rsidRDefault="00AF18C1" w:rsidP="00AF18C1">
      <w:pPr>
        <w:spacing w:before="200" w:after="80" w:line="360" w:lineRule="auto"/>
        <w:jc w:val="both"/>
        <w:rPr>
          <w:rFonts w:ascii="Century" w:hAnsi="Century"/>
        </w:rPr>
      </w:pPr>
      <w:r w:rsidRPr="00E45A73">
        <w:rPr>
          <w:rFonts w:ascii="Century" w:hAnsi="Century"/>
          <w:b/>
          <w:bCs/>
          <w:color w:val="003087"/>
        </w:rPr>
        <w:t>Table 1.2: Tesla Consolidated Balance Sheet Summary 2020–2024 (USD Billions)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1305"/>
        <w:gridCol w:w="1305"/>
        <w:gridCol w:w="1305"/>
        <w:gridCol w:w="1305"/>
        <w:gridCol w:w="1306"/>
      </w:tblGrid>
      <w:tr w:rsidR="00AF18C1" w:rsidRPr="00E45A73" w14:paraId="1D115E0B"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312E3ADF"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Metric (USD $B)</w:t>
            </w: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55954910"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2020</w:t>
            </w: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5B20D2A9"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2021</w:t>
            </w: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153E9429"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2022</w:t>
            </w: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1CC6988D"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2023</w:t>
            </w:r>
          </w:p>
        </w:tc>
        <w:tc>
          <w:tcPr>
            <w:tcW w:w="1306"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09D720C8"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2024</w:t>
            </w:r>
          </w:p>
        </w:tc>
      </w:tr>
      <w:tr w:rsidR="00AF18C1" w:rsidRPr="00E45A73" w14:paraId="297C5AD1"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E51871D"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Cash &amp; Equivalents</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8B94970" w14:textId="77777777" w:rsidR="00AF18C1" w:rsidRPr="00E45A73" w:rsidRDefault="00AF18C1" w:rsidP="00A1471F">
            <w:pPr>
              <w:spacing w:line="360" w:lineRule="auto"/>
              <w:jc w:val="both"/>
              <w:rPr>
                <w:rFonts w:ascii="Century" w:hAnsi="Century"/>
              </w:rPr>
            </w:pPr>
            <w:r w:rsidRPr="00E45A73">
              <w:rPr>
                <w:rFonts w:ascii="Century" w:hAnsi="Century"/>
                <w:color w:val="000000"/>
              </w:rPr>
              <w:t>$19.38</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74328B9" w14:textId="77777777" w:rsidR="00AF18C1" w:rsidRPr="00E45A73" w:rsidRDefault="00AF18C1" w:rsidP="00A1471F">
            <w:pPr>
              <w:spacing w:line="360" w:lineRule="auto"/>
              <w:jc w:val="both"/>
              <w:rPr>
                <w:rFonts w:ascii="Century" w:hAnsi="Century"/>
              </w:rPr>
            </w:pPr>
            <w:r w:rsidRPr="00E45A73">
              <w:rPr>
                <w:rFonts w:ascii="Century" w:hAnsi="Century"/>
                <w:color w:val="000000"/>
              </w:rPr>
              <w:t>$17.58</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67E35A5" w14:textId="77777777" w:rsidR="00AF18C1" w:rsidRPr="00E45A73" w:rsidRDefault="00AF18C1" w:rsidP="00A1471F">
            <w:pPr>
              <w:spacing w:line="360" w:lineRule="auto"/>
              <w:jc w:val="both"/>
              <w:rPr>
                <w:rFonts w:ascii="Century" w:hAnsi="Century"/>
              </w:rPr>
            </w:pPr>
            <w:r w:rsidRPr="00E45A73">
              <w:rPr>
                <w:rFonts w:ascii="Century" w:hAnsi="Century"/>
                <w:color w:val="000000"/>
              </w:rPr>
              <w:t>$22.19</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2DCDF1E" w14:textId="77777777" w:rsidR="00AF18C1" w:rsidRPr="00E45A73" w:rsidRDefault="00AF18C1" w:rsidP="00A1471F">
            <w:pPr>
              <w:spacing w:line="360" w:lineRule="auto"/>
              <w:jc w:val="both"/>
              <w:rPr>
                <w:rFonts w:ascii="Century" w:hAnsi="Century"/>
              </w:rPr>
            </w:pPr>
            <w:r w:rsidRPr="00E45A73">
              <w:rPr>
                <w:rFonts w:ascii="Century" w:hAnsi="Century"/>
                <w:color w:val="000000"/>
              </w:rPr>
              <w:t>$29.09</w:t>
            </w:r>
          </w:p>
        </w:tc>
        <w:tc>
          <w:tcPr>
            <w:tcW w:w="130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E687C7C" w14:textId="77777777" w:rsidR="00AF18C1" w:rsidRPr="00E45A73" w:rsidRDefault="00AF18C1" w:rsidP="00A1471F">
            <w:pPr>
              <w:spacing w:line="360" w:lineRule="auto"/>
              <w:jc w:val="both"/>
              <w:rPr>
                <w:rFonts w:ascii="Century" w:hAnsi="Century"/>
              </w:rPr>
            </w:pPr>
            <w:r w:rsidRPr="00E45A73">
              <w:rPr>
                <w:rFonts w:ascii="Century" w:hAnsi="Century"/>
                <w:color w:val="000000"/>
              </w:rPr>
              <w:t>$36.56</w:t>
            </w:r>
          </w:p>
        </w:tc>
      </w:tr>
      <w:tr w:rsidR="00AF18C1" w:rsidRPr="00E45A73" w14:paraId="795D33EF"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2B4DF7E" w14:textId="77777777" w:rsidR="00AF18C1" w:rsidRPr="00E45A73" w:rsidRDefault="00AF18C1" w:rsidP="00A1471F">
            <w:pPr>
              <w:spacing w:line="360" w:lineRule="auto"/>
              <w:jc w:val="both"/>
              <w:rPr>
                <w:rFonts w:ascii="Century" w:hAnsi="Century"/>
              </w:rPr>
            </w:pPr>
            <w:r w:rsidRPr="00E45A73">
              <w:rPr>
                <w:rFonts w:ascii="Century" w:hAnsi="Century"/>
                <w:color w:val="000000"/>
              </w:rPr>
              <w:lastRenderedPageBreak/>
              <w:t>Total Current Assets</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FEE96E7" w14:textId="77777777" w:rsidR="00AF18C1" w:rsidRPr="00E45A73" w:rsidRDefault="00AF18C1" w:rsidP="00A1471F">
            <w:pPr>
              <w:spacing w:line="360" w:lineRule="auto"/>
              <w:jc w:val="both"/>
              <w:rPr>
                <w:rFonts w:ascii="Century" w:hAnsi="Century"/>
              </w:rPr>
            </w:pPr>
            <w:r w:rsidRPr="00E45A73">
              <w:rPr>
                <w:rFonts w:ascii="Century" w:hAnsi="Century"/>
                <w:color w:val="000000"/>
              </w:rPr>
              <w:t>$26.72</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F1FE340" w14:textId="77777777" w:rsidR="00AF18C1" w:rsidRPr="00E45A73" w:rsidRDefault="00AF18C1" w:rsidP="00A1471F">
            <w:pPr>
              <w:spacing w:line="360" w:lineRule="auto"/>
              <w:jc w:val="both"/>
              <w:rPr>
                <w:rFonts w:ascii="Century" w:hAnsi="Century"/>
              </w:rPr>
            </w:pPr>
            <w:r w:rsidRPr="00E45A73">
              <w:rPr>
                <w:rFonts w:ascii="Century" w:hAnsi="Century"/>
                <w:color w:val="000000"/>
              </w:rPr>
              <w:t>$27.10</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55DE518" w14:textId="77777777" w:rsidR="00AF18C1" w:rsidRPr="00E45A73" w:rsidRDefault="00AF18C1" w:rsidP="00A1471F">
            <w:pPr>
              <w:spacing w:line="360" w:lineRule="auto"/>
              <w:jc w:val="both"/>
              <w:rPr>
                <w:rFonts w:ascii="Century" w:hAnsi="Century"/>
              </w:rPr>
            </w:pPr>
            <w:r w:rsidRPr="00E45A73">
              <w:rPr>
                <w:rFonts w:ascii="Century" w:hAnsi="Century"/>
                <w:color w:val="000000"/>
              </w:rPr>
              <w:t>$40.92</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E2A9133" w14:textId="77777777" w:rsidR="00AF18C1" w:rsidRPr="00E45A73" w:rsidRDefault="00AF18C1" w:rsidP="00A1471F">
            <w:pPr>
              <w:spacing w:line="360" w:lineRule="auto"/>
              <w:jc w:val="both"/>
              <w:rPr>
                <w:rFonts w:ascii="Century" w:hAnsi="Century"/>
              </w:rPr>
            </w:pPr>
            <w:r w:rsidRPr="00E45A73">
              <w:rPr>
                <w:rFonts w:ascii="Century" w:hAnsi="Century"/>
                <w:color w:val="000000"/>
              </w:rPr>
              <w:t>$49.62</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211364E" w14:textId="77777777" w:rsidR="00AF18C1" w:rsidRPr="00E45A73" w:rsidRDefault="00AF18C1" w:rsidP="00A1471F">
            <w:pPr>
              <w:spacing w:line="360" w:lineRule="auto"/>
              <w:jc w:val="both"/>
              <w:rPr>
                <w:rFonts w:ascii="Century" w:hAnsi="Century"/>
              </w:rPr>
            </w:pPr>
            <w:r w:rsidRPr="00E45A73">
              <w:rPr>
                <w:rFonts w:ascii="Century" w:hAnsi="Century"/>
                <w:color w:val="000000"/>
              </w:rPr>
              <w:t>$60.90</w:t>
            </w:r>
          </w:p>
        </w:tc>
      </w:tr>
      <w:tr w:rsidR="00AF18C1" w:rsidRPr="00E45A73" w14:paraId="2A7DABEF"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79E63B8"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Total Assets</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264421D" w14:textId="77777777" w:rsidR="00AF18C1" w:rsidRPr="00E45A73" w:rsidRDefault="00AF18C1" w:rsidP="00A1471F">
            <w:pPr>
              <w:spacing w:line="360" w:lineRule="auto"/>
              <w:jc w:val="both"/>
              <w:rPr>
                <w:rFonts w:ascii="Century" w:hAnsi="Century"/>
              </w:rPr>
            </w:pPr>
            <w:r w:rsidRPr="00E45A73">
              <w:rPr>
                <w:rFonts w:ascii="Century" w:hAnsi="Century"/>
                <w:color w:val="000000"/>
              </w:rPr>
              <w:t>$52.15</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B493C2F" w14:textId="77777777" w:rsidR="00AF18C1" w:rsidRPr="00E45A73" w:rsidRDefault="00AF18C1" w:rsidP="00A1471F">
            <w:pPr>
              <w:spacing w:line="360" w:lineRule="auto"/>
              <w:jc w:val="both"/>
              <w:rPr>
                <w:rFonts w:ascii="Century" w:hAnsi="Century"/>
              </w:rPr>
            </w:pPr>
            <w:r w:rsidRPr="00E45A73">
              <w:rPr>
                <w:rFonts w:ascii="Century" w:hAnsi="Century"/>
                <w:color w:val="000000"/>
              </w:rPr>
              <w:t>$62.13</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396B543" w14:textId="77777777" w:rsidR="00AF18C1" w:rsidRPr="00E45A73" w:rsidRDefault="00AF18C1" w:rsidP="00A1471F">
            <w:pPr>
              <w:spacing w:line="360" w:lineRule="auto"/>
              <w:jc w:val="both"/>
              <w:rPr>
                <w:rFonts w:ascii="Century" w:hAnsi="Century"/>
              </w:rPr>
            </w:pPr>
            <w:r w:rsidRPr="00E45A73">
              <w:rPr>
                <w:rFonts w:ascii="Century" w:hAnsi="Century"/>
                <w:color w:val="000000"/>
              </w:rPr>
              <w:t>$82.34</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7B48B2E" w14:textId="77777777" w:rsidR="00AF18C1" w:rsidRPr="00E45A73" w:rsidRDefault="00AF18C1" w:rsidP="00A1471F">
            <w:pPr>
              <w:spacing w:line="360" w:lineRule="auto"/>
              <w:jc w:val="both"/>
              <w:rPr>
                <w:rFonts w:ascii="Century" w:hAnsi="Century"/>
              </w:rPr>
            </w:pPr>
            <w:r w:rsidRPr="00E45A73">
              <w:rPr>
                <w:rFonts w:ascii="Century" w:hAnsi="Century"/>
                <w:color w:val="000000"/>
              </w:rPr>
              <w:t>$106.62</w:t>
            </w:r>
          </w:p>
        </w:tc>
        <w:tc>
          <w:tcPr>
            <w:tcW w:w="130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44C3442" w14:textId="77777777" w:rsidR="00AF18C1" w:rsidRPr="00E45A73" w:rsidRDefault="00AF18C1" w:rsidP="00A1471F">
            <w:pPr>
              <w:spacing w:line="360" w:lineRule="auto"/>
              <w:jc w:val="both"/>
              <w:rPr>
                <w:rFonts w:ascii="Century" w:hAnsi="Century"/>
              </w:rPr>
            </w:pPr>
            <w:r w:rsidRPr="00E45A73">
              <w:rPr>
                <w:rFonts w:ascii="Century" w:hAnsi="Century"/>
                <w:color w:val="000000"/>
              </w:rPr>
              <w:t>$122.07</w:t>
            </w:r>
          </w:p>
        </w:tc>
      </w:tr>
      <w:tr w:rsidR="00AF18C1" w:rsidRPr="00E45A73" w14:paraId="081BA37B"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239AF4A" w14:textId="77777777" w:rsidR="00AF18C1" w:rsidRPr="00E45A73" w:rsidRDefault="00AF18C1" w:rsidP="00A1471F">
            <w:pPr>
              <w:spacing w:line="360" w:lineRule="auto"/>
              <w:jc w:val="both"/>
              <w:rPr>
                <w:rFonts w:ascii="Century" w:hAnsi="Century"/>
              </w:rPr>
            </w:pPr>
            <w:r w:rsidRPr="00E45A73">
              <w:rPr>
                <w:rFonts w:ascii="Century" w:hAnsi="Century"/>
                <w:color w:val="000000"/>
              </w:rPr>
              <w:t>Total Current Liabilities</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A067DF3" w14:textId="77777777" w:rsidR="00AF18C1" w:rsidRPr="00E45A73" w:rsidRDefault="00AF18C1" w:rsidP="00A1471F">
            <w:pPr>
              <w:spacing w:line="360" w:lineRule="auto"/>
              <w:jc w:val="both"/>
              <w:rPr>
                <w:rFonts w:ascii="Century" w:hAnsi="Century"/>
              </w:rPr>
            </w:pPr>
            <w:r w:rsidRPr="00E45A73">
              <w:rPr>
                <w:rFonts w:ascii="Century" w:hAnsi="Century"/>
                <w:color w:val="000000"/>
              </w:rPr>
              <w:t>$14.23</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61ACBD7" w14:textId="77777777" w:rsidR="00AF18C1" w:rsidRPr="00E45A73" w:rsidRDefault="00AF18C1" w:rsidP="00A1471F">
            <w:pPr>
              <w:spacing w:line="360" w:lineRule="auto"/>
              <w:jc w:val="both"/>
              <w:rPr>
                <w:rFonts w:ascii="Century" w:hAnsi="Century"/>
              </w:rPr>
            </w:pPr>
            <w:r w:rsidRPr="00E45A73">
              <w:rPr>
                <w:rFonts w:ascii="Century" w:hAnsi="Century"/>
                <w:color w:val="000000"/>
              </w:rPr>
              <w:t>$19.71</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D0AB48D" w14:textId="77777777" w:rsidR="00AF18C1" w:rsidRPr="00E45A73" w:rsidRDefault="00AF18C1" w:rsidP="00A1471F">
            <w:pPr>
              <w:spacing w:line="360" w:lineRule="auto"/>
              <w:jc w:val="both"/>
              <w:rPr>
                <w:rFonts w:ascii="Century" w:hAnsi="Century"/>
              </w:rPr>
            </w:pPr>
            <w:r w:rsidRPr="00E45A73">
              <w:rPr>
                <w:rFonts w:ascii="Century" w:hAnsi="Century"/>
                <w:color w:val="000000"/>
              </w:rPr>
              <w:t>$26.71</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EBD369A" w14:textId="77777777" w:rsidR="00AF18C1" w:rsidRPr="00E45A73" w:rsidRDefault="00AF18C1" w:rsidP="00A1471F">
            <w:pPr>
              <w:spacing w:line="360" w:lineRule="auto"/>
              <w:jc w:val="both"/>
              <w:rPr>
                <w:rFonts w:ascii="Century" w:hAnsi="Century"/>
              </w:rPr>
            </w:pPr>
            <w:r w:rsidRPr="00E45A73">
              <w:rPr>
                <w:rFonts w:ascii="Century" w:hAnsi="Century"/>
                <w:color w:val="000000"/>
              </w:rPr>
              <w:t>$28.75</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BE48051" w14:textId="77777777" w:rsidR="00AF18C1" w:rsidRPr="00E45A73" w:rsidRDefault="00AF18C1" w:rsidP="00A1471F">
            <w:pPr>
              <w:spacing w:line="360" w:lineRule="auto"/>
              <w:jc w:val="both"/>
              <w:rPr>
                <w:rFonts w:ascii="Century" w:hAnsi="Century"/>
              </w:rPr>
            </w:pPr>
            <w:r w:rsidRPr="00E45A73">
              <w:rPr>
                <w:rFonts w:ascii="Century" w:hAnsi="Century"/>
                <w:color w:val="000000"/>
              </w:rPr>
              <w:t>$30.15</w:t>
            </w:r>
          </w:p>
        </w:tc>
      </w:tr>
      <w:tr w:rsidR="00AF18C1" w:rsidRPr="00E45A73" w14:paraId="0D74FF21"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75B697F" w14:textId="77777777" w:rsidR="00AF18C1" w:rsidRPr="00E45A73" w:rsidRDefault="00AF18C1" w:rsidP="00A1471F">
            <w:pPr>
              <w:spacing w:line="360" w:lineRule="auto"/>
              <w:jc w:val="both"/>
              <w:rPr>
                <w:rFonts w:ascii="Century" w:hAnsi="Century"/>
              </w:rPr>
            </w:pPr>
            <w:r w:rsidRPr="00E45A73">
              <w:rPr>
                <w:rFonts w:ascii="Century" w:hAnsi="Century"/>
                <w:color w:val="000000"/>
              </w:rPr>
              <w:t>Total Liabilities</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8EAEF5F" w14:textId="77777777" w:rsidR="00AF18C1" w:rsidRPr="00E45A73" w:rsidRDefault="00AF18C1" w:rsidP="00A1471F">
            <w:pPr>
              <w:spacing w:line="360" w:lineRule="auto"/>
              <w:jc w:val="both"/>
              <w:rPr>
                <w:rFonts w:ascii="Century" w:hAnsi="Century"/>
              </w:rPr>
            </w:pPr>
            <w:r w:rsidRPr="00E45A73">
              <w:rPr>
                <w:rFonts w:ascii="Century" w:hAnsi="Century"/>
                <w:color w:val="000000"/>
              </w:rPr>
              <w:t>$28.57</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7EDFF3A" w14:textId="77777777" w:rsidR="00AF18C1" w:rsidRPr="00E45A73" w:rsidRDefault="00AF18C1" w:rsidP="00A1471F">
            <w:pPr>
              <w:spacing w:line="360" w:lineRule="auto"/>
              <w:jc w:val="both"/>
              <w:rPr>
                <w:rFonts w:ascii="Century" w:hAnsi="Century"/>
              </w:rPr>
            </w:pPr>
            <w:r w:rsidRPr="00E45A73">
              <w:rPr>
                <w:rFonts w:ascii="Century" w:hAnsi="Century"/>
                <w:color w:val="000000"/>
              </w:rPr>
              <w:t>$30.55</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0654DAE" w14:textId="77777777" w:rsidR="00AF18C1" w:rsidRPr="00E45A73" w:rsidRDefault="00AF18C1" w:rsidP="00A1471F">
            <w:pPr>
              <w:spacing w:line="360" w:lineRule="auto"/>
              <w:jc w:val="both"/>
              <w:rPr>
                <w:rFonts w:ascii="Century" w:hAnsi="Century"/>
              </w:rPr>
            </w:pPr>
            <w:r w:rsidRPr="00E45A73">
              <w:rPr>
                <w:rFonts w:ascii="Century" w:hAnsi="Century"/>
                <w:color w:val="000000"/>
              </w:rPr>
              <w:t>$36.44</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961DE7C" w14:textId="77777777" w:rsidR="00AF18C1" w:rsidRPr="00E45A73" w:rsidRDefault="00AF18C1" w:rsidP="00A1471F">
            <w:pPr>
              <w:spacing w:line="360" w:lineRule="auto"/>
              <w:jc w:val="both"/>
              <w:rPr>
                <w:rFonts w:ascii="Century" w:hAnsi="Century"/>
              </w:rPr>
            </w:pPr>
            <w:r w:rsidRPr="00E45A73">
              <w:rPr>
                <w:rFonts w:ascii="Century" w:hAnsi="Century"/>
                <w:color w:val="000000"/>
              </w:rPr>
              <w:t>$43.01</w:t>
            </w:r>
          </w:p>
        </w:tc>
        <w:tc>
          <w:tcPr>
            <w:tcW w:w="130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AA0FF74" w14:textId="77777777" w:rsidR="00AF18C1" w:rsidRPr="00E45A73" w:rsidRDefault="00AF18C1" w:rsidP="00A1471F">
            <w:pPr>
              <w:spacing w:line="360" w:lineRule="auto"/>
              <w:jc w:val="both"/>
              <w:rPr>
                <w:rFonts w:ascii="Century" w:hAnsi="Century"/>
              </w:rPr>
            </w:pPr>
            <w:r w:rsidRPr="00E45A73">
              <w:rPr>
                <w:rFonts w:ascii="Century" w:hAnsi="Century"/>
                <w:color w:val="000000"/>
              </w:rPr>
              <w:t>$48.39</w:t>
            </w:r>
          </w:p>
        </w:tc>
      </w:tr>
    </w:tbl>
    <w:p w14:paraId="05CD7012" w14:textId="77777777" w:rsidR="00AF18C1" w:rsidRPr="00E45A73" w:rsidRDefault="00AF18C1" w:rsidP="00AF18C1">
      <w:pPr>
        <w:spacing w:before="160" w:after="80" w:line="360" w:lineRule="auto"/>
        <w:jc w:val="both"/>
        <w:rPr>
          <w:rFonts w:ascii="Century" w:hAnsi="Century"/>
        </w:rPr>
      </w:pPr>
      <w:r w:rsidRPr="00E45A73">
        <w:rPr>
          <w:rFonts w:ascii="Century" w:hAnsi="Century"/>
          <w:noProof/>
        </w:rPr>
        <w:drawing>
          <wp:inline distT="0" distB="0" distL="0" distR="0" wp14:anchorId="39B4D1B4" wp14:editId="68DDAA46">
            <wp:extent cx="5667375" cy="3019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5667375" cy="3019425"/>
                    </a:xfrm>
                    <a:prstGeom prst="rect">
                      <a:avLst/>
                    </a:prstGeom>
                  </pic:spPr>
                </pic:pic>
              </a:graphicData>
            </a:graphic>
          </wp:inline>
        </w:drawing>
      </w:r>
    </w:p>
    <w:p w14:paraId="355110C5" w14:textId="77777777" w:rsidR="00AF18C1" w:rsidRPr="00E45A73" w:rsidRDefault="00AF18C1" w:rsidP="00AF18C1">
      <w:pPr>
        <w:spacing w:after="200" w:line="360" w:lineRule="auto"/>
        <w:jc w:val="both"/>
        <w:rPr>
          <w:rFonts w:ascii="Century" w:hAnsi="Century"/>
        </w:rPr>
      </w:pPr>
      <w:r w:rsidRPr="00E45A73">
        <w:rPr>
          <w:rFonts w:ascii="Century" w:hAnsi="Century"/>
          <w:color w:val="555555"/>
        </w:rPr>
        <w:t>Figure 1.1: Tesla Revenue vs Net Income 2020–2024. Source: Tesla Annual Reports 10-K (2020–2024)</w:t>
      </w:r>
    </w:p>
    <w:p w14:paraId="01FD322F" w14:textId="77777777" w:rsidR="00AF18C1" w:rsidRPr="00E45A73" w:rsidRDefault="00AF18C1" w:rsidP="00AF18C1">
      <w:pPr>
        <w:spacing w:after="60" w:line="360" w:lineRule="auto"/>
        <w:jc w:val="both"/>
        <w:rPr>
          <w:rFonts w:ascii="Century" w:hAnsi="Century"/>
        </w:rPr>
      </w:pPr>
    </w:p>
    <w:p w14:paraId="697AD5AA" w14:textId="77777777" w:rsidR="00AF18C1" w:rsidRPr="00E45A73" w:rsidRDefault="00AF18C1" w:rsidP="00AF18C1">
      <w:pPr>
        <w:pStyle w:val="Heading2"/>
        <w:spacing w:line="360" w:lineRule="auto"/>
        <w:jc w:val="both"/>
        <w:rPr>
          <w:rFonts w:ascii="Cambria" w:hAnsi="Cambria"/>
          <w:b/>
          <w:bCs/>
          <w:sz w:val="24"/>
          <w:szCs w:val="24"/>
        </w:rPr>
      </w:pPr>
      <w:bookmarkStart w:id="4" w:name="_Toc227673233"/>
      <w:r w:rsidRPr="00E45A73">
        <w:rPr>
          <w:rFonts w:ascii="Cambria" w:hAnsi="Cambria"/>
          <w:b/>
          <w:bCs/>
          <w:sz w:val="24"/>
          <w:szCs w:val="24"/>
        </w:rPr>
        <w:t>1.3 Comprehensive Ratio Analysis</w:t>
      </w:r>
      <w:bookmarkEnd w:id="4"/>
    </w:p>
    <w:p w14:paraId="2863DB7D" w14:textId="77777777" w:rsidR="00AF18C1" w:rsidRPr="00E45A73" w:rsidRDefault="00AF18C1" w:rsidP="00AF18C1">
      <w:pPr>
        <w:pStyle w:val="Heading3"/>
        <w:spacing w:line="360" w:lineRule="auto"/>
        <w:jc w:val="both"/>
        <w:rPr>
          <w:rFonts w:ascii="Cambria" w:hAnsi="Cambria"/>
          <w:b/>
          <w:bCs/>
          <w:sz w:val="24"/>
          <w:szCs w:val="24"/>
        </w:rPr>
      </w:pPr>
      <w:bookmarkStart w:id="5" w:name="_Toc227673234"/>
      <w:r w:rsidRPr="00E45A73">
        <w:rPr>
          <w:rFonts w:ascii="Cambria" w:hAnsi="Cambria"/>
          <w:b/>
          <w:bCs/>
          <w:sz w:val="24"/>
          <w:szCs w:val="24"/>
        </w:rPr>
        <w:t>1.3.1 Profitability Ratios</w:t>
      </w:r>
      <w:bookmarkEnd w:id="5"/>
    </w:p>
    <w:p w14:paraId="19E81724"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 xml:space="preserve">Profitability ratios determine how a firm can make profits concerning its revenue, assets and equity. The profitability story of Tesla over the next five years is that of a skyrocketing spurt, followed by a significant decline. The gross profit margin improved to 25.6% in 2022, the highest in history, due to the advantages of Gigafactory scale economies and increased average selling prices of the Model Y and Model 3, but dropped dramatically to 17.9% in 2024. This 780 basis point decline after peak can be largely explained by three factors: (i) aggressive list price </w:t>
      </w:r>
      <w:r w:rsidRPr="00E45A73">
        <w:rPr>
          <w:rFonts w:ascii="Century" w:hAnsi="Century"/>
          <w:lang w:val="en-US"/>
        </w:rPr>
        <w:lastRenderedPageBreak/>
        <w:t>cuts averaging 17% across model variants between late 2022 and 2024 to drive demand in the face of increasing inventory, (ii) high lithium carbonate and battery-cell prices in 20222023, and (iii) the cost of production ramps relating to the</w:t>
      </w:r>
    </w:p>
    <w:p w14:paraId="77CC738D"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The important metric of the Tesla ability to turn shareholder capital into profit is Return on Equity (ROE). The highest ROE that Tesla has ever achieved was 28.2% in 2022, and this is one of the highest in the global automotive industry; this indicates the time of the maximum profitability with yet rather moderate equity balances. ROE as of 2024 (9.8) was significantly lower than in 2022 (12.56B) due to a reduction in net income (7.13B vs 12.56B) and a much larger equity base (72.91B vs 44.70B) as a result of retained earnings accumulation. The 2023 ROE of 24.0% was overstated by a one time 5.93 billion non-cash tax benefit through the release of a deferred tax asset valuation allowance. Return on Assets (ROA) also dropped by 15.3% (2022) to 5.8% (2024), which means that the fast-growing asset base of Tesla, reaching 122.07 billion, does not provide the company with the correspondingly greater earnings (Damodaran, 2024).</w:t>
      </w:r>
    </w:p>
    <w:p w14:paraId="7979E041" w14:textId="77777777" w:rsidR="00AF18C1" w:rsidRPr="00E45A73" w:rsidRDefault="00AF18C1" w:rsidP="00AF18C1">
      <w:pPr>
        <w:spacing w:before="200" w:after="80" w:line="360" w:lineRule="auto"/>
        <w:jc w:val="both"/>
        <w:rPr>
          <w:rFonts w:ascii="Century" w:hAnsi="Century"/>
        </w:rPr>
      </w:pPr>
      <w:r w:rsidRPr="00E45A73">
        <w:rPr>
          <w:rFonts w:ascii="Century" w:hAnsi="Century"/>
          <w:b/>
          <w:bCs/>
          <w:color w:val="003087"/>
        </w:rPr>
        <w:t>Table 1.3: Tesla Profitability Ratios 2020–2024</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1245"/>
        <w:gridCol w:w="1245"/>
        <w:gridCol w:w="1245"/>
        <w:gridCol w:w="1245"/>
        <w:gridCol w:w="1246"/>
      </w:tblGrid>
      <w:tr w:rsidR="00AF18C1" w:rsidRPr="00E45A73" w14:paraId="640D03F1"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539D1D84"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Profitability Ratio</w:t>
            </w:r>
          </w:p>
        </w:tc>
        <w:tc>
          <w:tcPr>
            <w:tcW w:w="124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4D822D30"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2020</w:t>
            </w:r>
          </w:p>
        </w:tc>
        <w:tc>
          <w:tcPr>
            <w:tcW w:w="124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160C7B48"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2021</w:t>
            </w:r>
          </w:p>
        </w:tc>
        <w:tc>
          <w:tcPr>
            <w:tcW w:w="124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77E241C2"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2022</w:t>
            </w:r>
          </w:p>
        </w:tc>
        <w:tc>
          <w:tcPr>
            <w:tcW w:w="124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3E01B00E"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2023</w:t>
            </w:r>
          </w:p>
        </w:tc>
        <w:tc>
          <w:tcPr>
            <w:tcW w:w="1246"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61CBD73C"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2024</w:t>
            </w:r>
          </w:p>
        </w:tc>
      </w:tr>
      <w:tr w:rsidR="00AF18C1" w:rsidRPr="00E45A73" w14:paraId="38F7E350"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25D2B03"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Gross Profit Margin (%)</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B47F299" w14:textId="77777777" w:rsidR="00AF18C1" w:rsidRPr="00E45A73" w:rsidRDefault="00AF18C1" w:rsidP="00A1471F">
            <w:pPr>
              <w:spacing w:line="360" w:lineRule="auto"/>
              <w:jc w:val="both"/>
              <w:rPr>
                <w:rFonts w:ascii="Century" w:hAnsi="Century"/>
              </w:rPr>
            </w:pPr>
            <w:r w:rsidRPr="00E45A73">
              <w:rPr>
                <w:rFonts w:ascii="Century" w:hAnsi="Century"/>
                <w:color w:val="000000"/>
              </w:rPr>
              <w:t>21.0%</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232AFA0" w14:textId="77777777" w:rsidR="00AF18C1" w:rsidRPr="00E45A73" w:rsidRDefault="00AF18C1" w:rsidP="00A1471F">
            <w:pPr>
              <w:spacing w:line="360" w:lineRule="auto"/>
              <w:jc w:val="both"/>
              <w:rPr>
                <w:rFonts w:ascii="Century" w:hAnsi="Century"/>
              </w:rPr>
            </w:pPr>
            <w:r w:rsidRPr="00E45A73">
              <w:rPr>
                <w:rFonts w:ascii="Century" w:hAnsi="Century"/>
                <w:color w:val="000000"/>
              </w:rPr>
              <w:t>25.3%</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D885102" w14:textId="77777777" w:rsidR="00AF18C1" w:rsidRPr="00E45A73" w:rsidRDefault="00AF18C1" w:rsidP="00A1471F">
            <w:pPr>
              <w:spacing w:line="360" w:lineRule="auto"/>
              <w:jc w:val="both"/>
              <w:rPr>
                <w:rFonts w:ascii="Century" w:hAnsi="Century"/>
              </w:rPr>
            </w:pPr>
            <w:r w:rsidRPr="00E45A73">
              <w:rPr>
                <w:rFonts w:ascii="Century" w:hAnsi="Century"/>
                <w:color w:val="000000"/>
              </w:rPr>
              <w:t>25.6%</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198A94D" w14:textId="77777777" w:rsidR="00AF18C1" w:rsidRPr="00E45A73" w:rsidRDefault="00AF18C1" w:rsidP="00A1471F">
            <w:pPr>
              <w:spacing w:line="360" w:lineRule="auto"/>
              <w:jc w:val="both"/>
              <w:rPr>
                <w:rFonts w:ascii="Century" w:hAnsi="Century"/>
              </w:rPr>
            </w:pPr>
            <w:r w:rsidRPr="00E45A73">
              <w:rPr>
                <w:rFonts w:ascii="Century" w:hAnsi="Century"/>
                <w:color w:val="000000"/>
              </w:rPr>
              <w:t>18.2%</w:t>
            </w:r>
          </w:p>
        </w:tc>
        <w:tc>
          <w:tcPr>
            <w:tcW w:w="124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8A3A4D8" w14:textId="77777777" w:rsidR="00AF18C1" w:rsidRPr="00E45A73" w:rsidRDefault="00AF18C1" w:rsidP="00A1471F">
            <w:pPr>
              <w:spacing w:line="360" w:lineRule="auto"/>
              <w:jc w:val="both"/>
              <w:rPr>
                <w:rFonts w:ascii="Century" w:hAnsi="Century"/>
              </w:rPr>
            </w:pPr>
            <w:r w:rsidRPr="00E45A73">
              <w:rPr>
                <w:rFonts w:ascii="Century" w:hAnsi="Century"/>
                <w:color w:val="000000"/>
              </w:rPr>
              <w:t>17.9%</w:t>
            </w:r>
          </w:p>
        </w:tc>
      </w:tr>
      <w:tr w:rsidR="00AF18C1" w:rsidRPr="00E45A73" w14:paraId="46C63096"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8D83CD2" w14:textId="77777777" w:rsidR="00AF18C1" w:rsidRPr="00E45A73" w:rsidRDefault="00AF18C1" w:rsidP="00A1471F">
            <w:pPr>
              <w:spacing w:line="360" w:lineRule="auto"/>
              <w:jc w:val="both"/>
              <w:rPr>
                <w:rFonts w:ascii="Century" w:hAnsi="Century"/>
              </w:rPr>
            </w:pPr>
            <w:r w:rsidRPr="00E45A73">
              <w:rPr>
                <w:rFonts w:ascii="Century" w:hAnsi="Century"/>
                <w:color w:val="000000"/>
              </w:rPr>
              <w:t>Operating Profit Margin (%)</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AA20614" w14:textId="77777777" w:rsidR="00AF18C1" w:rsidRPr="00E45A73" w:rsidRDefault="00AF18C1" w:rsidP="00A1471F">
            <w:pPr>
              <w:spacing w:line="360" w:lineRule="auto"/>
              <w:jc w:val="both"/>
              <w:rPr>
                <w:rFonts w:ascii="Century" w:hAnsi="Century"/>
              </w:rPr>
            </w:pPr>
            <w:r w:rsidRPr="00E45A73">
              <w:rPr>
                <w:rFonts w:ascii="Century" w:hAnsi="Century"/>
                <w:color w:val="000000"/>
              </w:rPr>
              <w:t>6.3%</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4CFF32C" w14:textId="77777777" w:rsidR="00AF18C1" w:rsidRPr="00E45A73" w:rsidRDefault="00AF18C1" w:rsidP="00A1471F">
            <w:pPr>
              <w:spacing w:line="360" w:lineRule="auto"/>
              <w:jc w:val="both"/>
              <w:rPr>
                <w:rFonts w:ascii="Century" w:hAnsi="Century"/>
              </w:rPr>
            </w:pPr>
            <w:r w:rsidRPr="00E45A73">
              <w:rPr>
                <w:rFonts w:ascii="Century" w:hAnsi="Century"/>
                <w:color w:val="000000"/>
              </w:rPr>
              <w:t>12.1%</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8B0CAE1" w14:textId="77777777" w:rsidR="00AF18C1" w:rsidRPr="00E45A73" w:rsidRDefault="00AF18C1" w:rsidP="00A1471F">
            <w:pPr>
              <w:spacing w:line="360" w:lineRule="auto"/>
              <w:jc w:val="both"/>
              <w:rPr>
                <w:rFonts w:ascii="Century" w:hAnsi="Century"/>
              </w:rPr>
            </w:pPr>
            <w:r w:rsidRPr="00E45A73">
              <w:rPr>
                <w:rFonts w:ascii="Century" w:hAnsi="Century"/>
                <w:color w:val="000000"/>
              </w:rPr>
              <w:t>16.8%</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1640928" w14:textId="77777777" w:rsidR="00AF18C1" w:rsidRPr="00E45A73" w:rsidRDefault="00AF18C1" w:rsidP="00A1471F">
            <w:pPr>
              <w:spacing w:line="360" w:lineRule="auto"/>
              <w:jc w:val="both"/>
              <w:rPr>
                <w:rFonts w:ascii="Century" w:hAnsi="Century"/>
              </w:rPr>
            </w:pPr>
            <w:r w:rsidRPr="00E45A73">
              <w:rPr>
                <w:rFonts w:ascii="Century" w:hAnsi="Century"/>
                <w:color w:val="000000"/>
              </w:rPr>
              <w:t>9.2%</w:t>
            </w:r>
          </w:p>
        </w:tc>
        <w:tc>
          <w:tcPr>
            <w:tcW w:w="124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5C02131" w14:textId="77777777" w:rsidR="00AF18C1" w:rsidRPr="00E45A73" w:rsidRDefault="00AF18C1" w:rsidP="00A1471F">
            <w:pPr>
              <w:spacing w:line="360" w:lineRule="auto"/>
              <w:jc w:val="both"/>
              <w:rPr>
                <w:rFonts w:ascii="Century" w:hAnsi="Century"/>
              </w:rPr>
            </w:pPr>
            <w:r w:rsidRPr="00E45A73">
              <w:rPr>
                <w:rFonts w:ascii="Century" w:hAnsi="Century"/>
                <w:color w:val="000000"/>
              </w:rPr>
              <w:t>7.2%</w:t>
            </w:r>
          </w:p>
        </w:tc>
      </w:tr>
      <w:tr w:rsidR="00AF18C1" w:rsidRPr="00E45A73" w14:paraId="0CC6CD45"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C42D7E3"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Net Profit Margin (%)</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B6100CB" w14:textId="77777777" w:rsidR="00AF18C1" w:rsidRPr="00E45A73" w:rsidRDefault="00AF18C1" w:rsidP="00A1471F">
            <w:pPr>
              <w:spacing w:line="360" w:lineRule="auto"/>
              <w:jc w:val="both"/>
              <w:rPr>
                <w:rFonts w:ascii="Century" w:hAnsi="Century"/>
              </w:rPr>
            </w:pPr>
            <w:r w:rsidRPr="00E45A73">
              <w:rPr>
                <w:rFonts w:ascii="Century" w:hAnsi="Century"/>
                <w:color w:val="000000"/>
              </w:rPr>
              <w:t>2.3%</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3686A14" w14:textId="77777777" w:rsidR="00AF18C1" w:rsidRPr="00E45A73" w:rsidRDefault="00AF18C1" w:rsidP="00A1471F">
            <w:pPr>
              <w:spacing w:line="360" w:lineRule="auto"/>
              <w:jc w:val="both"/>
              <w:rPr>
                <w:rFonts w:ascii="Century" w:hAnsi="Century"/>
              </w:rPr>
            </w:pPr>
            <w:r w:rsidRPr="00E45A73">
              <w:rPr>
                <w:rFonts w:ascii="Century" w:hAnsi="Century"/>
                <w:color w:val="000000"/>
              </w:rPr>
              <w:t>10.3%</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7BA3E55" w14:textId="77777777" w:rsidR="00AF18C1" w:rsidRPr="00E45A73" w:rsidRDefault="00AF18C1" w:rsidP="00A1471F">
            <w:pPr>
              <w:spacing w:line="360" w:lineRule="auto"/>
              <w:jc w:val="both"/>
              <w:rPr>
                <w:rFonts w:ascii="Century" w:hAnsi="Century"/>
              </w:rPr>
            </w:pPr>
            <w:r w:rsidRPr="00E45A73">
              <w:rPr>
                <w:rFonts w:ascii="Century" w:hAnsi="Century"/>
                <w:color w:val="000000"/>
              </w:rPr>
              <w:t>15.4%</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EF61E25" w14:textId="77777777" w:rsidR="00AF18C1" w:rsidRPr="00E45A73" w:rsidRDefault="00AF18C1" w:rsidP="00A1471F">
            <w:pPr>
              <w:spacing w:line="360" w:lineRule="auto"/>
              <w:jc w:val="both"/>
              <w:rPr>
                <w:rFonts w:ascii="Century" w:hAnsi="Century"/>
              </w:rPr>
            </w:pPr>
            <w:r w:rsidRPr="00E45A73">
              <w:rPr>
                <w:rFonts w:ascii="Century" w:hAnsi="Century"/>
                <w:color w:val="000000"/>
              </w:rPr>
              <w:t>15.5%</w:t>
            </w:r>
          </w:p>
        </w:tc>
        <w:tc>
          <w:tcPr>
            <w:tcW w:w="124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2EF2E0E" w14:textId="77777777" w:rsidR="00AF18C1" w:rsidRPr="00E45A73" w:rsidRDefault="00AF18C1" w:rsidP="00A1471F">
            <w:pPr>
              <w:spacing w:line="360" w:lineRule="auto"/>
              <w:jc w:val="both"/>
              <w:rPr>
                <w:rFonts w:ascii="Century" w:hAnsi="Century"/>
              </w:rPr>
            </w:pPr>
            <w:r w:rsidRPr="00E45A73">
              <w:rPr>
                <w:rFonts w:ascii="Century" w:hAnsi="Century"/>
                <w:color w:val="000000"/>
              </w:rPr>
              <w:t>7.3%</w:t>
            </w:r>
          </w:p>
        </w:tc>
      </w:tr>
      <w:tr w:rsidR="00AF18C1" w:rsidRPr="00E45A73" w14:paraId="548FC78D"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1BD7F0C" w14:textId="77777777" w:rsidR="00AF18C1" w:rsidRPr="00E45A73" w:rsidRDefault="00AF18C1" w:rsidP="00A1471F">
            <w:pPr>
              <w:spacing w:line="360" w:lineRule="auto"/>
              <w:jc w:val="both"/>
              <w:rPr>
                <w:rFonts w:ascii="Century" w:hAnsi="Century"/>
              </w:rPr>
            </w:pPr>
            <w:r w:rsidRPr="00E45A73">
              <w:rPr>
                <w:rFonts w:ascii="Century" w:hAnsi="Century"/>
                <w:color w:val="000000"/>
              </w:rPr>
              <w:t>EBITDA Margin (%)</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DBFC4EE" w14:textId="77777777" w:rsidR="00AF18C1" w:rsidRPr="00E45A73" w:rsidRDefault="00AF18C1" w:rsidP="00A1471F">
            <w:pPr>
              <w:spacing w:line="360" w:lineRule="auto"/>
              <w:jc w:val="both"/>
              <w:rPr>
                <w:rFonts w:ascii="Century" w:hAnsi="Century"/>
              </w:rPr>
            </w:pPr>
            <w:r w:rsidRPr="00E45A73">
              <w:rPr>
                <w:rFonts w:ascii="Century" w:hAnsi="Century"/>
                <w:color w:val="000000"/>
              </w:rPr>
              <w:t>18.4%</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0F2A292" w14:textId="77777777" w:rsidR="00AF18C1" w:rsidRPr="00E45A73" w:rsidRDefault="00AF18C1" w:rsidP="00A1471F">
            <w:pPr>
              <w:spacing w:line="360" w:lineRule="auto"/>
              <w:jc w:val="both"/>
              <w:rPr>
                <w:rFonts w:ascii="Century" w:hAnsi="Century"/>
              </w:rPr>
            </w:pPr>
            <w:r w:rsidRPr="00E45A73">
              <w:rPr>
                <w:rFonts w:ascii="Century" w:hAnsi="Century"/>
                <w:color w:val="000000"/>
              </w:rPr>
              <w:t>21.6%</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7539926" w14:textId="77777777" w:rsidR="00AF18C1" w:rsidRPr="00E45A73" w:rsidRDefault="00AF18C1" w:rsidP="00A1471F">
            <w:pPr>
              <w:spacing w:line="360" w:lineRule="auto"/>
              <w:jc w:val="both"/>
              <w:rPr>
                <w:rFonts w:ascii="Century" w:hAnsi="Century"/>
              </w:rPr>
            </w:pPr>
            <w:r w:rsidRPr="00E45A73">
              <w:rPr>
                <w:rFonts w:ascii="Century" w:hAnsi="Century"/>
                <w:color w:val="000000"/>
              </w:rPr>
              <w:t>23.6%</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D27260A" w14:textId="77777777" w:rsidR="00AF18C1" w:rsidRPr="00E45A73" w:rsidRDefault="00AF18C1" w:rsidP="00A1471F">
            <w:pPr>
              <w:spacing w:line="360" w:lineRule="auto"/>
              <w:jc w:val="both"/>
              <w:rPr>
                <w:rFonts w:ascii="Century" w:hAnsi="Century"/>
              </w:rPr>
            </w:pPr>
            <w:r w:rsidRPr="00E45A73">
              <w:rPr>
                <w:rFonts w:ascii="Century" w:hAnsi="Century"/>
                <w:color w:val="000000"/>
              </w:rPr>
              <w:t>17.2%</w:t>
            </w:r>
          </w:p>
        </w:tc>
        <w:tc>
          <w:tcPr>
            <w:tcW w:w="124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1EB224E" w14:textId="77777777" w:rsidR="00AF18C1" w:rsidRPr="00E45A73" w:rsidRDefault="00AF18C1" w:rsidP="00A1471F">
            <w:pPr>
              <w:spacing w:line="360" w:lineRule="auto"/>
              <w:jc w:val="both"/>
              <w:rPr>
                <w:rFonts w:ascii="Century" w:hAnsi="Century"/>
              </w:rPr>
            </w:pPr>
            <w:r w:rsidRPr="00E45A73">
              <w:rPr>
                <w:rFonts w:ascii="Century" w:hAnsi="Century"/>
                <w:color w:val="000000"/>
              </w:rPr>
              <w:t>15.1%</w:t>
            </w:r>
          </w:p>
        </w:tc>
      </w:tr>
      <w:tr w:rsidR="00AF18C1" w:rsidRPr="00E45A73" w14:paraId="7B43BF78"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AE7556C"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Return on Equity – ROE (%)</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7C4EAFA" w14:textId="77777777" w:rsidR="00AF18C1" w:rsidRPr="00E45A73" w:rsidRDefault="00AF18C1" w:rsidP="00A1471F">
            <w:pPr>
              <w:spacing w:line="360" w:lineRule="auto"/>
              <w:jc w:val="both"/>
              <w:rPr>
                <w:rFonts w:ascii="Century" w:hAnsi="Century"/>
              </w:rPr>
            </w:pPr>
            <w:r w:rsidRPr="00E45A73">
              <w:rPr>
                <w:rFonts w:ascii="Century" w:hAnsi="Century"/>
                <w:color w:val="000000"/>
              </w:rPr>
              <w:t>2.3%</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8772B06" w14:textId="77777777" w:rsidR="00AF18C1" w:rsidRPr="00E45A73" w:rsidRDefault="00AF18C1" w:rsidP="00A1471F">
            <w:pPr>
              <w:spacing w:line="360" w:lineRule="auto"/>
              <w:jc w:val="both"/>
              <w:rPr>
                <w:rFonts w:ascii="Century" w:hAnsi="Century"/>
              </w:rPr>
            </w:pPr>
            <w:r w:rsidRPr="00E45A73">
              <w:rPr>
                <w:rFonts w:ascii="Century" w:hAnsi="Century"/>
                <w:color w:val="000000"/>
              </w:rPr>
              <w:t>18.3%</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EBA537A" w14:textId="77777777" w:rsidR="00AF18C1" w:rsidRPr="00E45A73" w:rsidRDefault="00AF18C1" w:rsidP="00A1471F">
            <w:pPr>
              <w:spacing w:line="360" w:lineRule="auto"/>
              <w:jc w:val="both"/>
              <w:rPr>
                <w:rFonts w:ascii="Century" w:hAnsi="Century"/>
              </w:rPr>
            </w:pPr>
            <w:r w:rsidRPr="00E45A73">
              <w:rPr>
                <w:rFonts w:ascii="Century" w:hAnsi="Century"/>
                <w:color w:val="000000"/>
              </w:rPr>
              <w:t>28.2%</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D216867" w14:textId="77777777" w:rsidR="00AF18C1" w:rsidRPr="00E45A73" w:rsidRDefault="00AF18C1" w:rsidP="00A1471F">
            <w:pPr>
              <w:spacing w:line="360" w:lineRule="auto"/>
              <w:jc w:val="both"/>
              <w:rPr>
                <w:rFonts w:ascii="Century" w:hAnsi="Century"/>
              </w:rPr>
            </w:pPr>
            <w:r w:rsidRPr="00E45A73">
              <w:rPr>
                <w:rFonts w:ascii="Century" w:hAnsi="Century"/>
                <w:color w:val="000000"/>
              </w:rPr>
              <w:t>24.0%</w:t>
            </w:r>
          </w:p>
        </w:tc>
        <w:tc>
          <w:tcPr>
            <w:tcW w:w="124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5AF25A4" w14:textId="77777777" w:rsidR="00AF18C1" w:rsidRPr="00E45A73" w:rsidRDefault="00AF18C1" w:rsidP="00A1471F">
            <w:pPr>
              <w:spacing w:line="360" w:lineRule="auto"/>
              <w:jc w:val="both"/>
              <w:rPr>
                <w:rFonts w:ascii="Century" w:hAnsi="Century"/>
              </w:rPr>
            </w:pPr>
            <w:r w:rsidRPr="00E45A73">
              <w:rPr>
                <w:rFonts w:ascii="Century" w:hAnsi="Century"/>
                <w:color w:val="000000"/>
              </w:rPr>
              <w:t>9.8%</w:t>
            </w:r>
          </w:p>
        </w:tc>
      </w:tr>
      <w:tr w:rsidR="00AF18C1" w:rsidRPr="00E45A73" w14:paraId="77619237"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11555F4" w14:textId="77777777" w:rsidR="00AF18C1" w:rsidRPr="00E45A73" w:rsidRDefault="00AF18C1" w:rsidP="00A1471F">
            <w:pPr>
              <w:spacing w:line="360" w:lineRule="auto"/>
              <w:jc w:val="both"/>
              <w:rPr>
                <w:rFonts w:ascii="Century" w:hAnsi="Century"/>
              </w:rPr>
            </w:pPr>
            <w:r w:rsidRPr="00E45A73">
              <w:rPr>
                <w:rFonts w:ascii="Century" w:hAnsi="Century"/>
                <w:color w:val="000000"/>
              </w:rPr>
              <w:t>Return on Assets – ROA (%)</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A8F591E" w14:textId="77777777" w:rsidR="00AF18C1" w:rsidRPr="00E45A73" w:rsidRDefault="00AF18C1" w:rsidP="00A1471F">
            <w:pPr>
              <w:spacing w:line="360" w:lineRule="auto"/>
              <w:jc w:val="both"/>
              <w:rPr>
                <w:rFonts w:ascii="Century" w:hAnsi="Century"/>
              </w:rPr>
            </w:pPr>
            <w:r w:rsidRPr="00E45A73">
              <w:rPr>
                <w:rFonts w:ascii="Century" w:hAnsi="Century"/>
                <w:color w:val="000000"/>
              </w:rPr>
              <w:t>1.4%</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85AA7E5" w14:textId="77777777" w:rsidR="00AF18C1" w:rsidRPr="00E45A73" w:rsidRDefault="00AF18C1" w:rsidP="00A1471F">
            <w:pPr>
              <w:spacing w:line="360" w:lineRule="auto"/>
              <w:jc w:val="both"/>
              <w:rPr>
                <w:rFonts w:ascii="Century" w:hAnsi="Century"/>
              </w:rPr>
            </w:pPr>
            <w:r w:rsidRPr="00E45A73">
              <w:rPr>
                <w:rFonts w:ascii="Century" w:hAnsi="Century"/>
                <w:color w:val="000000"/>
              </w:rPr>
              <w:t>8.9%</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8E7C76B" w14:textId="77777777" w:rsidR="00AF18C1" w:rsidRPr="00E45A73" w:rsidRDefault="00AF18C1" w:rsidP="00A1471F">
            <w:pPr>
              <w:spacing w:line="360" w:lineRule="auto"/>
              <w:jc w:val="both"/>
              <w:rPr>
                <w:rFonts w:ascii="Century" w:hAnsi="Century"/>
              </w:rPr>
            </w:pPr>
            <w:r w:rsidRPr="00E45A73">
              <w:rPr>
                <w:rFonts w:ascii="Century" w:hAnsi="Century"/>
                <w:color w:val="000000"/>
              </w:rPr>
              <w:t>15.3%</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EDA3BCC" w14:textId="77777777" w:rsidR="00AF18C1" w:rsidRPr="00E45A73" w:rsidRDefault="00AF18C1" w:rsidP="00A1471F">
            <w:pPr>
              <w:spacing w:line="360" w:lineRule="auto"/>
              <w:jc w:val="both"/>
              <w:rPr>
                <w:rFonts w:ascii="Century" w:hAnsi="Century"/>
              </w:rPr>
            </w:pPr>
            <w:r w:rsidRPr="00E45A73">
              <w:rPr>
                <w:rFonts w:ascii="Century" w:hAnsi="Century"/>
                <w:color w:val="000000"/>
              </w:rPr>
              <w:t>14.1%</w:t>
            </w:r>
          </w:p>
        </w:tc>
        <w:tc>
          <w:tcPr>
            <w:tcW w:w="124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534D87A" w14:textId="77777777" w:rsidR="00AF18C1" w:rsidRPr="00E45A73" w:rsidRDefault="00AF18C1" w:rsidP="00A1471F">
            <w:pPr>
              <w:spacing w:line="360" w:lineRule="auto"/>
              <w:jc w:val="both"/>
              <w:rPr>
                <w:rFonts w:ascii="Century" w:hAnsi="Century"/>
              </w:rPr>
            </w:pPr>
            <w:r w:rsidRPr="00E45A73">
              <w:rPr>
                <w:rFonts w:ascii="Century" w:hAnsi="Century"/>
                <w:color w:val="000000"/>
              </w:rPr>
              <w:t>5.8%</w:t>
            </w:r>
          </w:p>
        </w:tc>
      </w:tr>
      <w:tr w:rsidR="00AF18C1" w:rsidRPr="00E45A73" w14:paraId="5B27B74A"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5333646" w14:textId="77777777" w:rsidR="00AF18C1" w:rsidRPr="00E45A73" w:rsidRDefault="00AF18C1" w:rsidP="00A1471F">
            <w:pPr>
              <w:spacing w:line="360" w:lineRule="auto"/>
              <w:jc w:val="both"/>
              <w:rPr>
                <w:rFonts w:ascii="Century" w:hAnsi="Century"/>
              </w:rPr>
            </w:pPr>
            <w:r w:rsidRPr="00E45A73">
              <w:rPr>
                <w:rFonts w:ascii="Century" w:hAnsi="Century"/>
                <w:color w:val="000000"/>
              </w:rPr>
              <w:lastRenderedPageBreak/>
              <w:t>ROCE (%)</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8B603A8" w14:textId="77777777" w:rsidR="00AF18C1" w:rsidRPr="00E45A73" w:rsidRDefault="00AF18C1" w:rsidP="00A1471F">
            <w:pPr>
              <w:spacing w:line="360" w:lineRule="auto"/>
              <w:jc w:val="both"/>
              <w:rPr>
                <w:rFonts w:ascii="Century" w:hAnsi="Century"/>
              </w:rPr>
            </w:pPr>
            <w:r w:rsidRPr="00E45A73">
              <w:rPr>
                <w:rFonts w:ascii="Century" w:hAnsi="Century"/>
                <w:color w:val="000000"/>
              </w:rPr>
              <w:t>5.3%</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9B710FC" w14:textId="77777777" w:rsidR="00AF18C1" w:rsidRPr="00E45A73" w:rsidRDefault="00AF18C1" w:rsidP="00A1471F">
            <w:pPr>
              <w:spacing w:line="360" w:lineRule="auto"/>
              <w:jc w:val="both"/>
              <w:rPr>
                <w:rFonts w:ascii="Century" w:hAnsi="Century"/>
              </w:rPr>
            </w:pPr>
            <w:r w:rsidRPr="00E45A73">
              <w:rPr>
                <w:rFonts w:ascii="Century" w:hAnsi="Century"/>
                <w:color w:val="000000"/>
              </w:rPr>
              <w:t>15.4%</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F135BED" w14:textId="77777777" w:rsidR="00AF18C1" w:rsidRPr="00E45A73" w:rsidRDefault="00AF18C1" w:rsidP="00A1471F">
            <w:pPr>
              <w:spacing w:line="360" w:lineRule="auto"/>
              <w:jc w:val="both"/>
              <w:rPr>
                <w:rFonts w:ascii="Century" w:hAnsi="Century"/>
              </w:rPr>
            </w:pPr>
            <w:r w:rsidRPr="00E45A73">
              <w:rPr>
                <w:rFonts w:ascii="Century" w:hAnsi="Century"/>
                <w:color w:val="000000"/>
              </w:rPr>
              <w:t>24.6%</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4BA7EC5" w14:textId="77777777" w:rsidR="00AF18C1" w:rsidRPr="00E45A73" w:rsidRDefault="00AF18C1" w:rsidP="00A1471F">
            <w:pPr>
              <w:spacing w:line="360" w:lineRule="auto"/>
              <w:jc w:val="both"/>
              <w:rPr>
                <w:rFonts w:ascii="Century" w:hAnsi="Century"/>
              </w:rPr>
            </w:pPr>
            <w:r w:rsidRPr="00E45A73">
              <w:rPr>
                <w:rFonts w:ascii="Century" w:hAnsi="Century"/>
                <w:color w:val="000000"/>
              </w:rPr>
              <w:t>11.4%</w:t>
            </w:r>
          </w:p>
        </w:tc>
        <w:tc>
          <w:tcPr>
            <w:tcW w:w="124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19E2614" w14:textId="77777777" w:rsidR="00AF18C1" w:rsidRPr="00E45A73" w:rsidRDefault="00AF18C1" w:rsidP="00A1471F">
            <w:pPr>
              <w:spacing w:line="360" w:lineRule="auto"/>
              <w:jc w:val="both"/>
              <w:rPr>
                <w:rFonts w:ascii="Century" w:hAnsi="Century"/>
              </w:rPr>
            </w:pPr>
            <w:r w:rsidRPr="00E45A73">
              <w:rPr>
                <w:rFonts w:ascii="Century" w:hAnsi="Century"/>
                <w:color w:val="000000"/>
              </w:rPr>
              <w:t>7.6%</w:t>
            </w:r>
          </w:p>
        </w:tc>
      </w:tr>
    </w:tbl>
    <w:p w14:paraId="1DAF6CA0" w14:textId="77777777" w:rsidR="00AF18C1" w:rsidRPr="00E45A73" w:rsidRDefault="00AF18C1" w:rsidP="00AF18C1">
      <w:pPr>
        <w:spacing w:after="60" w:line="360" w:lineRule="auto"/>
        <w:jc w:val="both"/>
        <w:rPr>
          <w:rFonts w:ascii="Century" w:hAnsi="Century"/>
        </w:rPr>
      </w:pPr>
    </w:p>
    <w:p w14:paraId="6DE6E853" w14:textId="77777777" w:rsidR="00AF18C1" w:rsidRPr="00E45A73" w:rsidRDefault="00AF18C1" w:rsidP="00AF18C1">
      <w:pPr>
        <w:spacing w:before="160" w:after="80" w:line="360" w:lineRule="auto"/>
        <w:jc w:val="both"/>
        <w:rPr>
          <w:rFonts w:ascii="Century" w:hAnsi="Century"/>
        </w:rPr>
      </w:pPr>
      <w:r w:rsidRPr="00E45A73">
        <w:rPr>
          <w:rFonts w:ascii="Century" w:hAnsi="Century"/>
          <w:noProof/>
        </w:rPr>
        <w:drawing>
          <wp:inline distT="0" distB="0" distL="0" distR="0" wp14:anchorId="1ADA2F00" wp14:editId="3F49D83C">
            <wp:extent cx="5667375" cy="2924175"/>
            <wp:effectExtent l="0" t="0" r="0" b="0"/>
            <wp:docPr id="2074668106" name="Picture 2074668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5667375" cy="2924175"/>
                    </a:xfrm>
                    <a:prstGeom prst="rect">
                      <a:avLst/>
                    </a:prstGeom>
                  </pic:spPr>
                </pic:pic>
              </a:graphicData>
            </a:graphic>
          </wp:inline>
        </w:drawing>
      </w:r>
    </w:p>
    <w:p w14:paraId="4E6BACD1" w14:textId="77777777" w:rsidR="00AF18C1" w:rsidRPr="00E45A73" w:rsidRDefault="00AF18C1" w:rsidP="00AF18C1">
      <w:pPr>
        <w:spacing w:after="200" w:line="360" w:lineRule="auto"/>
        <w:jc w:val="both"/>
        <w:rPr>
          <w:rFonts w:ascii="Century" w:hAnsi="Century"/>
        </w:rPr>
      </w:pPr>
      <w:r w:rsidRPr="00E45A73">
        <w:rPr>
          <w:rFonts w:ascii="Century" w:hAnsi="Century"/>
          <w:color w:val="555555"/>
        </w:rPr>
        <w:t>Figure 1.2: Tesla Profitability Margins 2020–2024. Source: Tesla Annual Reports 10-K</w:t>
      </w:r>
    </w:p>
    <w:p w14:paraId="13D1A0B9" w14:textId="77777777" w:rsidR="00AF18C1" w:rsidRPr="00E45A73" w:rsidRDefault="00AF18C1" w:rsidP="00AF18C1">
      <w:pPr>
        <w:spacing w:before="160" w:after="80" w:line="360" w:lineRule="auto"/>
        <w:jc w:val="both"/>
        <w:rPr>
          <w:rFonts w:ascii="Century" w:hAnsi="Century"/>
        </w:rPr>
      </w:pPr>
      <w:r w:rsidRPr="00E45A73">
        <w:rPr>
          <w:rFonts w:ascii="Century" w:hAnsi="Century"/>
          <w:noProof/>
        </w:rPr>
        <w:drawing>
          <wp:inline distT="0" distB="0" distL="0" distR="0" wp14:anchorId="0EF94958" wp14:editId="0C7F7CC1">
            <wp:extent cx="5667375" cy="2924175"/>
            <wp:effectExtent l="0" t="0" r="0" b="0"/>
            <wp:docPr id="712582616" name="Picture 71258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667375" cy="2924175"/>
                    </a:xfrm>
                    <a:prstGeom prst="rect">
                      <a:avLst/>
                    </a:prstGeom>
                  </pic:spPr>
                </pic:pic>
              </a:graphicData>
            </a:graphic>
          </wp:inline>
        </w:drawing>
      </w:r>
    </w:p>
    <w:p w14:paraId="6C0FA807" w14:textId="77777777" w:rsidR="00AF18C1" w:rsidRPr="00E45A73" w:rsidRDefault="00AF18C1" w:rsidP="00AF18C1">
      <w:pPr>
        <w:spacing w:after="200" w:line="360" w:lineRule="auto"/>
        <w:jc w:val="both"/>
        <w:rPr>
          <w:rFonts w:ascii="Century" w:hAnsi="Century"/>
        </w:rPr>
      </w:pPr>
      <w:r w:rsidRPr="00E45A73">
        <w:rPr>
          <w:rFonts w:ascii="Century" w:hAnsi="Century"/>
          <w:color w:val="555555"/>
        </w:rPr>
        <w:t>Figure 1.3: Tesla ROE vs ROA 2020–2024. Source: Tesla Annual Reports 10-K</w:t>
      </w:r>
    </w:p>
    <w:p w14:paraId="2FAE180B" w14:textId="77777777" w:rsidR="00AF18C1" w:rsidRPr="00E45A73" w:rsidRDefault="00AF18C1" w:rsidP="00AF18C1">
      <w:pPr>
        <w:spacing w:after="60" w:line="360" w:lineRule="auto"/>
        <w:jc w:val="both"/>
        <w:rPr>
          <w:rFonts w:ascii="Century" w:hAnsi="Century"/>
        </w:rPr>
      </w:pPr>
    </w:p>
    <w:p w14:paraId="44DD2F71" w14:textId="77777777" w:rsidR="00AF18C1" w:rsidRPr="00E45A73" w:rsidRDefault="00AF18C1" w:rsidP="00AF18C1">
      <w:pPr>
        <w:pStyle w:val="Heading3"/>
        <w:spacing w:line="360" w:lineRule="auto"/>
        <w:jc w:val="both"/>
        <w:rPr>
          <w:rFonts w:ascii="Cambria" w:hAnsi="Cambria"/>
          <w:b/>
          <w:bCs/>
          <w:szCs w:val="28"/>
        </w:rPr>
      </w:pPr>
      <w:bookmarkStart w:id="6" w:name="_Toc227673235"/>
      <w:r w:rsidRPr="00E45A73">
        <w:rPr>
          <w:rFonts w:ascii="Cambria" w:hAnsi="Cambria"/>
          <w:b/>
          <w:bCs/>
          <w:szCs w:val="28"/>
        </w:rPr>
        <w:lastRenderedPageBreak/>
        <w:t>1.3.2 Liquidity Ratios</w:t>
      </w:r>
      <w:bookmarkEnd w:id="6"/>
    </w:p>
    <w:p w14:paraId="7471ECE5"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Liquidity ratios assess the capacity of a business to fulfill its temporary commitments with the help of the most liquid assets of the business. Manufacturing companies have a current ratio of 1.5 and above which is normally considered to be healthy since the company has an adequate current buffer of current assets and current liabilities. The current ratio of Tesla has been on an upward trend since 1.38 in 2021 (due to the intensive use of capital in the construction of Gigafactory Berlin and Texas) to 2.02 in 2024, the highest level compared to the five-year range. This change is a sign of how the cash and short-term investments on the balance sheet have greatly improved, as it increased by $7.47 billion in 2024 alone. The current ratio that does not include inventories in the current assets stood at 1.61 in 2024 (as compared to 1.05 in 2022), and this fact confirms that Tesla does not rely on turning inventory to cash to improve its liquidity position. This difference is especially significant to Tesla since the Cybertruck and the increased production runs of the new Model 3 have been increasing inventory levels temporarily in 2022 -2023.</w:t>
      </w:r>
    </w:p>
    <w:p w14:paraId="519A0E24" w14:textId="77777777" w:rsidR="00AF18C1" w:rsidRPr="00E45A73" w:rsidRDefault="00AF18C1" w:rsidP="00AF18C1">
      <w:pPr>
        <w:spacing w:before="200" w:after="80" w:line="360" w:lineRule="auto"/>
        <w:jc w:val="both"/>
        <w:rPr>
          <w:rFonts w:ascii="Century" w:hAnsi="Century"/>
        </w:rPr>
      </w:pPr>
      <w:r w:rsidRPr="00E45A73">
        <w:rPr>
          <w:rFonts w:ascii="Century" w:hAnsi="Century"/>
          <w:b/>
          <w:bCs/>
          <w:color w:val="003087"/>
        </w:rPr>
        <w:t>Table 1.4: Tesla Liquidity Ratios 2020–2024</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1245"/>
        <w:gridCol w:w="1245"/>
        <w:gridCol w:w="1245"/>
        <w:gridCol w:w="1245"/>
        <w:gridCol w:w="1246"/>
      </w:tblGrid>
      <w:tr w:rsidR="00AF18C1" w:rsidRPr="00E45A73" w14:paraId="5EE6F313"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1E1D6C26"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Liquidity Ratio</w:t>
            </w:r>
          </w:p>
        </w:tc>
        <w:tc>
          <w:tcPr>
            <w:tcW w:w="124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69CAA4F3"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2020</w:t>
            </w:r>
          </w:p>
        </w:tc>
        <w:tc>
          <w:tcPr>
            <w:tcW w:w="124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1E26F27E"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2021</w:t>
            </w:r>
          </w:p>
        </w:tc>
        <w:tc>
          <w:tcPr>
            <w:tcW w:w="124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57319B0C"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2022</w:t>
            </w:r>
          </w:p>
        </w:tc>
        <w:tc>
          <w:tcPr>
            <w:tcW w:w="124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2515FBF2"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2023</w:t>
            </w:r>
          </w:p>
        </w:tc>
        <w:tc>
          <w:tcPr>
            <w:tcW w:w="1246"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576F2B8F"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2024</w:t>
            </w:r>
          </w:p>
        </w:tc>
      </w:tr>
      <w:tr w:rsidR="00AF18C1" w:rsidRPr="00E45A73" w14:paraId="3929F91B"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D080FD8"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Current Ratio</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954B98C" w14:textId="77777777" w:rsidR="00AF18C1" w:rsidRPr="00E45A73" w:rsidRDefault="00AF18C1" w:rsidP="00A1471F">
            <w:pPr>
              <w:spacing w:line="360" w:lineRule="auto"/>
              <w:jc w:val="both"/>
              <w:rPr>
                <w:rFonts w:ascii="Century" w:hAnsi="Century"/>
              </w:rPr>
            </w:pPr>
            <w:r w:rsidRPr="00E45A73">
              <w:rPr>
                <w:rFonts w:ascii="Century" w:hAnsi="Century"/>
                <w:color w:val="000000"/>
              </w:rPr>
              <w:t>1.88</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25EEECC" w14:textId="77777777" w:rsidR="00AF18C1" w:rsidRPr="00E45A73" w:rsidRDefault="00AF18C1" w:rsidP="00A1471F">
            <w:pPr>
              <w:spacing w:line="360" w:lineRule="auto"/>
              <w:jc w:val="both"/>
              <w:rPr>
                <w:rFonts w:ascii="Century" w:hAnsi="Century"/>
              </w:rPr>
            </w:pPr>
            <w:r w:rsidRPr="00E45A73">
              <w:rPr>
                <w:rFonts w:ascii="Century" w:hAnsi="Century"/>
                <w:color w:val="000000"/>
              </w:rPr>
              <w:t>1.38</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EFBF820" w14:textId="77777777" w:rsidR="00AF18C1" w:rsidRPr="00E45A73" w:rsidRDefault="00AF18C1" w:rsidP="00A1471F">
            <w:pPr>
              <w:spacing w:line="360" w:lineRule="auto"/>
              <w:jc w:val="both"/>
              <w:rPr>
                <w:rFonts w:ascii="Century" w:hAnsi="Century"/>
              </w:rPr>
            </w:pPr>
            <w:r w:rsidRPr="00E45A73">
              <w:rPr>
                <w:rFonts w:ascii="Century" w:hAnsi="Century"/>
                <w:color w:val="000000"/>
              </w:rPr>
              <w:t>1.53</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36AD2AB" w14:textId="77777777" w:rsidR="00AF18C1" w:rsidRPr="00E45A73" w:rsidRDefault="00AF18C1" w:rsidP="00A1471F">
            <w:pPr>
              <w:spacing w:line="360" w:lineRule="auto"/>
              <w:jc w:val="both"/>
              <w:rPr>
                <w:rFonts w:ascii="Century" w:hAnsi="Century"/>
              </w:rPr>
            </w:pPr>
            <w:r w:rsidRPr="00E45A73">
              <w:rPr>
                <w:rFonts w:ascii="Century" w:hAnsi="Century"/>
                <w:color w:val="000000"/>
              </w:rPr>
              <w:t>1.73</w:t>
            </w:r>
          </w:p>
        </w:tc>
        <w:tc>
          <w:tcPr>
            <w:tcW w:w="124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420CB74" w14:textId="77777777" w:rsidR="00AF18C1" w:rsidRPr="00E45A73" w:rsidRDefault="00AF18C1" w:rsidP="00A1471F">
            <w:pPr>
              <w:spacing w:line="360" w:lineRule="auto"/>
              <w:jc w:val="both"/>
              <w:rPr>
                <w:rFonts w:ascii="Century" w:hAnsi="Century"/>
              </w:rPr>
            </w:pPr>
            <w:r w:rsidRPr="00E45A73">
              <w:rPr>
                <w:rFonts w:ascii="Century" w:hAnsi="Century"/>
                <w:color w:val="000000"/>
              </w:rPr>
              <w:t>2.02</w:t>
            </w:r>
          </w:p>
        </w:tc>
      </w:tr>
      <w:tr w:rsidR="00AF18C1" w:rsidRPr="00E45A73" w14:paraId="5AD035CA"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A466417" w14:textId="77777777" w:rsidR="00AF18C1" w:rsidRPr="00E45A73" w:rsidRDefault="00AF18C1" w:rsidP="00A1471F">
            <w:pPr>
              <w:spacing w:line="360" w:lineRule="auto"/>
              <w:jc w:val="both"/>
              <w:rPr>
                <w:rFonts w:ascii="Century" w:hAnsi="Century"/>
              </w:rPr>
            </w:pPr>
            <w:r w:rsidRPr="00E45A73">
              <w:rPr>
                <w:rFonts w:ascii="Century" w:hAnsi="Century"/>
                <w:color w:val="000000"/>
              </w:rPr>
              <w:t>Quick Ratio</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97A93AF" w14:textId="77777777" w:rsidR="00AF18C1" w:rsidRPr="00E45A73" w:rsidRDefault="00AF18C1" w:rsidP="00A1471F">
            <w:pPr>
              <w:spacing w:line="360" w:lineRule="auto"/>
              <w:jc w:val="both"/>
              <w:rPr>
                <w:rFonts w:ascii="Century" w:hAnsi="Century"/>
              </w:rPr>
            </w:pPr>
            <w:r w:rsidRPr="00E45A73">
              <w:rPr>
                <w:rFonts w:ascii="Century" w:hAnsi="Century"/>
                <w:color w:val="000000"/>
              </w:rPr>
              <w:t>1.59</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E806570" w14:textId="77777777" w:rsidR="00AF18C1" w:rsidRPr="00E45A73" w:rsidRDefault="00AF18C1" w:rsidP="00A1471F">
            <w:pPr>
              <w:spacing w:line="360" w:lineRule="auto"/>
              <w:jc w:val="both"/>
              <w:rPr>
                <w:rFonts w:ascii="Century" w:hAnsi="Century"/>
              </w:rPr>
            </w:pPr>
            <w:r w:rsidRPr="00E45A73">
              <w:rPr>
                <w:rFonts w:ascii="Century" w:hAnsi="Century"/>
                <w:color w:val="000000"/>
              </w:rPr>
              <w:t>1.08</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EC02A63" w14:textId="77777777" w:rsidR="00AF18C1" w:rsidRPr="00E45A73" w:rsidRDefault="00AF18C1" w:rsidP="00A1471F">
            <w:pPr>
              <w:spacing w:line="360" w:lineRule="auto"/>
              <w:jc w:val="both"/>
              <w:rPr>
                <w:rFonts w:ascii="Century" w:hAnsi="Century"/>
              </w:rPr>
            </w:pPr>
            <w:r w:rsidRPr="00E45A73">
              <w:rPr>
                <w:rFonts w:ascii="Century" w:hAnsi="Century"/>
                <w:color w:val="000000"/>
              </w:rPr>
              <w:t>1.05</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D271AB7" w14:textId="77777777" w:rsidR="00AF18C1" w:rsidRPr="00E45A73" w:rsidRDefault="00AF18C1" w:rsidP="00A1471F">
            <w:pPr>
              <w:spacing w:line="360" w:lineRule="auto"/>
              <w:jc w:val="both"/>
              <w:rPr>
                <w:rFonts w:ascii="Century" w:hAnsi="Century"/>
              </w:rPr>
            </w:pPr>
            <w:r w:rsidRPr="00E45A73">
              <w:rPr>
                <w:rFonts w:ascii="Century" w:hAnsi="Century"/>
                <w:color w:val="000000"/>
              </w:rPr>
              <w:t>1.25</w:t>
            </w:r>
          </w:p>
        </w:tc>
        <w:tc>
          <w:tcPr>
            <w:tcW w:w="124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038B6F9" w14:textId="77777777" w:rsidR="00AF18C1" w:rsidRPr="00E45A73" w:rsidRDefault="00AF18C1" w:rsidP="00A1471F">
            <w:pPr>
              <w:spacing w:line="360" w:lineRule="auto"/>
              <w:jc w:val="both"/>
              <w:rPr>
                <w:rFonts w:ascii="Century" w:hAnsi="Century"/>
              </w:rPr>
            </w:pPr>
            <w:r w:rsidRPr="00E45A73">
              <w:rPr>
                <w:rFonts w:ascii="Century" w:hAnsi="Century"/>
                <w:color w:val="000000"/>
              </w:rPr>
              <w:t>1.61</w:t>
            </w:r>
          </w:p>
        </w:tc>
      </w:tr>
      <w:tr w:rsidR="00AF18C1" w:rsidRPr="00E45A73" w14:paraId="787006E0"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0AC5D3B" w14:textId="77777777" w:rsidR="00AF18C1" w:rsidRPr="00E45A73" w:rsidRDefault="00AF18C1" w:rsidP="00A1471F">
            <w:pPr>
              <w:spacing w:line="360" w:lineRule="auto"/>
              <w:jc w:val="both"/>
              <w:rPr>
                <w:rFonts w:ascii="Century" w:hAnsi="Century"/>
              </w:rPr>
            </w:pPr>
            <w:r w:rsidRPr="00E45A73">
              <w:rPr>
                <w:rFonts w:ascii="Century" w:hAnsi="Century"/>
                <w:color w:val="000000"/>
              </w:rPr>
              <w:t>Cash Ratio</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F81418D" w14:textId="77777777" w:rsidR="00AF18C1" w:rsidRPr="00E45A73" w:rsidRDefault="00AF18C1" w:rsidP="00A1471F">
            <w:pPr>
              <w:spacing w:line="360" w:lineRule="auto"/>
              <w:jc w:val="both"/>
              <w:rPr>
                <w:rFonts w:ascii="Century" w:hAnsi="Century"/>
              </w:rPr>
            </w:pPr>
            <w:r w:rsidRPr="00E45A73">
              <w:rPr>
                <w:rFonts w:ascii="Century" w:hAnsi="Century"/>
                <w:color w:val="000000"/>
              </w:rPr>
              <w:t>1.36</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CBCA300" w14:textId="77777777" w:rsidR="00AF18C1" w:rsidRPr="00E45A73" w:rsidRDefault="00AF18C1" w:rsidP="00A1471F">
            <w:pPr>
              <w:spacing w:line="360" w:lineRule="auto"/>
              <w:jc w:val="both"/>
              <w:rPr>
                <w:rFonts w:ascii="Century" w:hAnsi="Century"/>
              </w:rPr>
            </w:pPr>
            <w:r w:rsidRPr="00E45A73">
              <w:rPr>
                <w:rFonts w:ascii="Century" w:hAnsi="Century"/>
                <w:color w:val="000000"/>
              </w:rPr>
              <w:t>0.89</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BC62837" w14:textId="77777777" w:rsidR="00AF18C1" w:rsidRPr="00E45A73" w:rsidRDefault="00AF18C1" w:rsidP="00A1471F">
            <w:pPr>
              <w:spacing w:line="360" w:lineRule="auto"/>
              <w:jc w:val="both"/>
              <w:rPr>
                <w:rFonts w:ascii="Century" w:hAnsi="Century"/>
              </w:rPr>
            </w:pPr>
            <w:r w:rsidRPr="00E45A73">
              <w:rPr>
                <w:rFonts w:ascii="Century" w:hAnsi="Century"/>
                <w:color w:val="000000"/>
              </w:rPr>
              <w:t>0.61</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C01B16D" w14:textId="77777777" w:rsidR="00AF18C1" w:rsidRPr="00E45A73" w:rsidRDefault="00AF18C1" w:rsidP="00A1471F">
            <w:pPr>
              <w:spacing w:line="360" w:lineRule="auto"/>
              <w:jc w:val="both"/>
              <w:rPr>
                <w:rFonts w:ascii="Century" w:hAnsi="Century"/>
              </w:rPr>
            </w:pPr>
            <w:r w:rsidRPr="00E45A73">
              <w:rPr>
                <w:rFonts w:ascii="Century" w:hAnsi="Century"/>
                <w:color w:val="000000"/>
              </w:rPr>
              <w:t>0.57</w:t>
            </w:r>
          </w:p>
        </w:tc>
        <w:tc>
          <w:tcPr>
            <w:tcW w:w="124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8008EB8" w14:textId="77777777" w:rsidR="00AF18C1" w:rsidRPr="00E45A73" w:rsidRDefault="00AF18C1" w:rsidP="00A1471F">
            <w:pPr>
              <w:spacing w:line="360" w:lineRule="auto"/>
              <w:jc w:val="both"/>
              <w:rPr>
                <w:rFonts w:ascii="Century" w:hAnsi="Century"/>
              </w:rPr>
            </w:pPr>
            <w:r w:rsidRPr="00E45A73">
              <w:rPr>
                <w:rFonts w:ascii="Century" w:hAnsi="Century"/>
                <w:color w:val="000000"/>
              </w:rPr>
              <w:t>0.57</w:t>
            </w:r>
          </w:p>
        </w:tc>
      </w:tr>
      <w:tr w:rsidR="00AF18C1" w:rsidRPr="00E45A73" w14:paraId="2D4F97A3"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CC4BE00" w14:textId="77777777" w:rsidR="00AF18C1" w:rsidRPr="00E45A73" w:rsidRDefault="00AF18C1" w:rsidP="00A1471F">
            <w:pPr>
              <w:spacing w:line="360" w:lineRule="auto"/>
              <w:jc w:val="both"/>
              <w:rPr>
                <w:rFonts w:ascii="Century" w:hAnsi="Century"/>
              </w:rPr>
            </w:pPr>
            <w:r w:rsidRPr="00E45A73">
              <w:rPr>
                <w:rFonts w:ascii="Century" w:hAnsi="Century"/>
                <w:color w:val="000000"/>
              </w:rPr>
              <w:t>Operating CF Ratio</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2BA054E" w14:textId="77777777" w:rsidR="00AF18C1" w:rsidRPr="00E45A73" w:rsidRDefault="00AF18C1" w:rsidP="00A1471F">
            <w:pPr>
              <w:spacing w:line="360" w:lineRule="auto"/>
              <w:jc w:val="both"/>
              <w:rPr>
                <w:rFonts w:ascii="Century" w:hAnsi="Century"/>
              </w:rPr>
            </w:pPr>
            <w:r w:rsidRPr="00E45A73">
              <w:rPr>
                <w:rFonts w:ascii="Century" w:hAnsi="Century"/>
                <w:color w:val="000000"/>
              </w:rPr>
              <w:t>0.42</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56A4C30" w14:textId="77777777" w:rsidR="00AF18C1" w:rsidRPr="00E45A73" w:rsidRDefault="00AF18C1" w:rsidP="00A1471F">
            <w:pPr>
              <w:spacing w:line="360" w:lineRule="auto"/>
              <w:jc w:val="both"/>
              <w:rPr>
                <w:rFonts w:ascii="Century" w:hAnsi="Century"/>
              </w:rPr>
            </w:pPr>
            <w:r w:rsidRPr="00E45A73">
              <w:rPr>
                <w:rFonts w:ascii="Century" w:hAnsi="Century"/>
                <w:color w:val="000000"/>
              </w:rPr>
              <w:t>0.55</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9F9B8E2" w14:textId="77777777" w:rsidR="00AF18C1" w:rsidRPr="00E45A73" w:rsidRDefault="00AF18C1" w:rsidP="00A1471F">
            <w:pPr>
              <w:spacing w:line="360" w:lineRule="auto"/>
              <w:jc w:val="both"/>
              <w:rPr>
                <w:rFonts w:ascii="Century" w:hAnsi="Century"/>
              </w:rPr>
            </w:pPr>
            <w:r w:rsidRPr="00E45A73">
              <w:rPr>
                <w:rFonts w:ascii="Century" w:hAnsi="Century"/>
                <w:color w:val="000000"/>
              </w:rPr>
              <w:t>0.58</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C36A213" w14:textId="77777777" w:rsidR="00AF18C1" w:rsidRPr="00E45A73" w:rsidRDefault="00AF18C1" w:rsidP="00A1471F">
            <w:pPr>
              <w:spacing w:line="360" w:lineRule="auto"/>
              <w:jc w:val="both"/>
              <w:rPr>
                <w:rFonts w:ascii="Century" w:hAnsi="Century"/>
              </w:rPr>
            </w:pPr>
            <w:r w:rsidRPr="00E45A73">
              <w:rPr>
                <w:rFonts w:ascii="Century" w:hAnsi="Century"/>
                <w:color w:val="000000"/>
              </w:rPr>
              <w:t>0.46</w:t>
            </w:r>
          </w:p>
        </w:tc>
        <w:tc>
          <w:tcPr>
            <w:tcW w:w="124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6F482ED" w14:textId="77777777" w:rsidR="00AF18C1" w:rsidRPr="00E45A73" w:rsidRDefault="00AF18C1" w:rsidP="00A1471F">
            <w:pPr>
              <w:spacing w:line="360" w:lineRule="auto"/>
              <w:jc w:val="both"/>
              <w:rPr>
                <w:rFonts w:ascii="Century" w:hAnsi="Century"/>
              </w:rPr>
            </w:pPr>
            <w:r w:rsidRPr="00E45A73">
              <w:rPr>
                <w:rFonts w:ascii="Century" w:hAnsi="Century"/>
                <w:color w:val="000000"/>
              </w:rPr>
              <w:t>0.46</w:t>
            </w:r>
          </w:p>
        </w:tc>
      </w:tr>
    </w:tbl>
    <w:p w14:paraId="61792460" w14:textId="77777777" w:rsidR="00AF18C1" w:rsidRPr="00E45A73" w:rsidRDefault="00AF18C1" w:rsidP="00AF18C1">
      <w:pPr>
        <w:spacing w:after="60" w:line="360" w:lineRule="auto"/>
        <w:jc w:val="both"/>
        <w:rPr>
          <w:rFonts w:ascii="Century" w:hAnsi="Century"/>
        </w:rPr>
      </w:pPr>
    </w:p>
    <w:p w14:paraId="7F7560BF" w14:textId="77777777" w:rsidR="00AF18C1" w:rsidRPr="00E45A73" w:rsidRDefault="00AF18C1" w:rsidP="00AF18C1">
      <w:pPr>
        <w:spacing w:before="160" w:after="80" w:line="360" w:lineRule="auto"/>
        <w:jc w:val="both"/>
        <w:rPr>
          <w:rFonts w:ascii="Century" w:hAnsi="Century"/>
        </w:rPr>
      </w:pPr>
      <w:r w:rsidRPr="00E45A73">
        <w:rPr>
          <w:rFonts w:ascii="Century" w:hAnsi="Century"/>
          <w:noProof/>
        </w:rPr>
        <w:lastRenderedPageBreak/>
        <w:drawing>
          <wp:inline distT="0" distB="0" distL="0" distR="0" wp14:anchorId="11E1AC0B" wp14:editId="1991D0C1">
            <wp:extent cx="5667375" cy="2924175"/>
            <wp:effectExtent l="0" t="0" r="0" b="0"/>
            <wp:docPr id="1554866240" name="Picture 1554866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667375" cy="2924175"/>
                    </a:xfrm>
                    <a:prstGeom prst="rect">
                      <a:avLst/>
                    </a:prstGeom>
                  </pic:spPr>
                </pic:pic>
              </a:graphicData>
            </a:graphic>
          </wp:inline>
        </w:drawing>
      </w:r>
    </w:p>
    <w:p w14:paraId="550D727A" w14:textId="77777777" w:rsidR="00AF18C1" w:rsidRPr="00E45A73" w:rsidRDefault="00AF18C1" w:rsidP="00AF18C1">
      <w:pPr>
        <w:spacing w:after="200" w:line="360" w:lineRule="auto"/>
        <w:jc w:val="both"/>
        <w:rPr>
          <w:rFonts w:ascii="Century" w:hAnsi="Century"/>
        </w:rPr>
      </w:pPr>
      <w:r w:rsidRPr="00E45A73">
        <w:rPr>
          <w:rFonts w:ascii="Century" w:hAnsi="Century"/>
          <w:color w:val="555555"/>
        </w:rPr>
        <w:t>Figure 1.4: Tesla Liquidity Ratios 2020–2024. Source: Tesla Annual Reports 10-K</w:t>
      </w:r>
    </w:p>
    <w:p w14:paraId="7FED8C28" w14:textId="77777777" w:rsidR="00AF18C1" w:rsidRPr="00E45A73" w:rsidRDefault="00AF18C1" w:rsidP="00AF18C1">
      <w:pPr>
        <w:spacing w:after="60" w:line="360" w:lineRule="auto"/>
        <w:jc w:val="both"/>
        <w:rPr>
          <w:rFonts w:ascii="Cambria" w:hAnsi="Cambria"/>
          <w:b/>
          <w:bCs/>
          <w:sz w:val="28"/>
          <w:szCs w:val="28"/>
        </w:rPr>
      </w:pPr>
    </w:p>
    <w:p w14:paraId="5726D291" w14:textId="77777777" w:rsidR="00AF18C1" w:rsidRPr="00E45A73" w:rsidRDefault="00AF18C1" w:rsidP="00AF18C1">
      <w:pPr>
        <w:pStyle w:val="Heading3"/>
        <w:spacing w:line="360" w:lineRule="auto"/>
        <w:jc w:val="both"/>
        <w:rPr>
          <w:rFonts w:ascii="Cambria" w:hAnsi="Cambria"/>
          <w:b/>
          <w:bCs/>
          <w:szCs w:val="28"/>
        </w:rPr>
      </w:pPr>
      <w:bookmarkStart w:id="7" w:name="_Toc227673236"/>
      <w:r w:rsidRPr="00E45A73">
        <w:rPr>
          <w:rFonts w:ascii="Cambria" w:hAnsi="Cambria"/>
          <w:b/>
          <w:bCs/>
          <w:szCs w:val="28"/>
        </w:rPr>
        <w:t>1.3.3 Efficiency Ratios</w:t>
      </w:r>
      <w:bookmarkEnd w:id="7"/>
    </w:p>
    <w:p w14:paraId="0768DE38"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 xml:space="preserve">Efficiency ratios are used to determine the utilisation of assets by Tesla to earn revenue. The asset turnover increased as much as 0.60 in 2020 to 0.99 in 2022, which means that Tesla was earning almost one dollar of revenue per dollar of total assets - very efficient in a capital-intensive manufacturer. The minor drop to 0.80 in 2024 is a result of the massive growth of the asset base in terms of Gigafactory investments (11.34 billion in CapEx in 2024 alone) that has yet to be converted to revenue growth in similar proportions. The Days Inventory Outstanding (DIO) rose significantly by 40 days in 2020 to 17 days in 2023, which is a good indication of the advantage. </w:t>
      </w:r>
    </w:p>
    <w:p w14:paraId="5D21C024" w14:textId="77777777" w:rsidR="00AF18C1" w:rsidRPr="00E45A73" w:rsidRDefault="00AF18C1" w:rsidP="00AF18C1">
      <w:pPr>
        <w:spacing w:before="200" w:after="80" w:line="360" w:lineRule="auto"/>
        <w:jc w:val="both"/>
        <w:rPr>
          <w:rFonts w:ascii="Century" w:hAnsi="Century"/>
        </w:rPr>
      </w:pPr>
      <w:r w:rsidRPr="00E45A73">
        <w:rPr>
          <w:rFonts w:ascii="Century" w:hAnsi="Century"/>
          <w:b/>
          <w:bCs/>
          <w:color w:val="003087"/>
        </w:rPr>
        <w:t>Table 1.5: Tesla Efficiency &amp; Gearing Ratios 2020–2024</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1245"/>
        <w:gridCol w:w="1245"/>
        <w:gridCol w:w="1245"/>
        <w:gridCol w:w="1245"/>
        <w:gridCol w:w="1246"/>
      </w:tblGrid>
      <w:tr w:rsidR="00AF18C1" w:rsidRPr="00E45A73" w14:paraId="0C7ACE88"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72D50EF3"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Efficiency / Gearing Ratio</w:t>
            </w:r>
          </w:p>
        </w:tc>
        <w:tc>
          <w:tcPr>
            <w:tcW w:w="124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72AB735D"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2020</w:t>
            </w:r>
          </w:p>
        </w:tc>
        <w:tc>
          <w:tcPr>
            <w:tcW w:w="124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3675B6FD"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2021</w:t>
            </w:r>
          </w:p>
        </w:tc>
        <w:tc>
          <w:tcPr>
            <w:tcW w:w="124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5CF9D9A8"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2022</w:t>
            </w:r>
          </w:p>
        </w:tc>
        <w:tc>
          <w:tcPr>
            <w:tcW w:w="124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781FE263"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2023</w:t>
            </w:r>
          </w:p>
        </w:tc>
        <w:tc>
          <w:tcPr>
            <w:tcW w:w="1246"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7A3CE06E"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2024</w:t>
            </w:r>
          </w:p>
        </w:tc>
      </w:tr>
      <w:tr w:rsidR="00AF18C1" w:rsidRPr="00E45A73" w14:paraId="36E50301"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E51E08A"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Asset Turnover (x)</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62003A0" w14:textId="77777777" w:rsidR="00AF18C1" w:rsidRPr="00E45A73" w:rsidRDefault="00AF18C1" w:rsidP="00A1471F">
            <w:pPr>
              <w:spacing w:line="360" w:lineRule="auto"/>
              <w:jc w:val="both"/>
              <w:rPr>
                <w:rFonts w:ascii="Century" w:hAnsi="Century"/>
              </w:rPr>
            </w:pPr>
            <w:r w:rsidRPr="00E45A73">
              <w:rPr>
                <w:rFonts w:ascii="Century" w:hAnsi="Century"/>
                <w:color w:val="000000"/>
              </w:rPr>
              <w:t>0.60</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537BD69" w14:textId="77777777" w:rsidR="00AF18C1" w:rsidRPr="00E45A73" w:rsidRDefault="00AF18C1" w:rsidP="00A1471F">
            <w:pPr>
              <w:spacing w:line="360" w:lineRule="auto"/>
              <w:jc w:val="both"/>
              <w:rPr>
                <w:rFonts w:ascii="Century" w:hAnsi="Century"/>
              </w:rPr>
            </w:pPr>
            <w:r w:rsidRPr="00E45A73">
              <w:rPr>
                <w:rFonts w:ascii="Century" w:hAnsi="Century"/>
                <w:color w:val="000000"/>
              </w:rPr>
              <w:t>0.87</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66A2609" w14:textId="77777777" w:rsidR="00AF18C1" w:rsidRPr="00E45A73" w:rsidRDefault="00AF18C1" w:rsidP="00A1471F">
            <w:pPr>
              <w:spacing w:line="360" w:lineRule="auto"/>
              <w:jc w:val="both"/>
              <w:rPr>
                <w:rFonts w:ascii="Century" w:hAnsi="Century"/>
              </w:rPr>
            </w:pPr>
            <w:r w:rsidRPr="00E45A73">
              <w:rPr>
                <w:rFonts w:ascii="Century" w:hAnsi="Century"/>
                <w:color w:val="000000"/>
              </w:rPr>
              <w:t>0.99</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141E64A" w14:textId="77777777" w:rsidR="00AF18C1" w:rsidRPr="00E45A73" w:rsidRDefault="00AF18C1" w:rsidP="00A1471F">
            <w:pPr>
              <w:spacing w:line="360" w:lineRule="auto"/>
              <w:jc w:val="both"/>
              <w:rPr>
                <w:rFonts w:ascii="Century" w:hAnsi="Century"/>
              </w:rPr>
            </w:pPr>
            <w:r w:rsidRPr="00E45A73">
              <w:rPr>
                <w:rFonts w:ascii="Century" w:hAnsi="Century"/>
                <w:color w:val="000000"/>
              </w:rPr>
              <w:t>0.91</w:t>
            </w:r>
          </w:p>
        </w:tc>
        <w:tc>
          <w:tcPr>
            <w:tcW w:w="124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82C4F24" w14:textId="77777777" w:rsidR="00AF18C1" w:rsidRPr="00E45A73" w:rsidRDefault="00AF18C1" w:rsidP="00A1471F">
            <w:pPr>
              <w:spacing w:line="360" w:lineRule="auto"/>
              <w:jc w:val="both"/>
              <w:rPr>
                <w:rFonts w:ascii="Century" w:hAnsi="Century"/>
              </w:rPr>
            </w:pPr>
            <w:r w:rsidRPr="00E45A73">
              <w:rPr>
                <w:rFonts w:ascii="Century" w:hAnsi="Century"/>
                <w:color w:val="000000"/>
              </w:rPr>
              <w:t>0.80</w:t>
            </w:r>
          </w:p>
        </w:tc>
      </w:tr>
      <w:tr w:rsidR="00AF18C1" w:rsidRPr="00E45A73" w14:paraId="033C64C9"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AB10406" w14:textId="77777777" w:rsidR="00AF18C1" w:rsidRPr="00E45A73" w:rsidRDefault="00AF18C1" w:rsidP="00A1471F">
            <w:pPr>
              <w:spacing w:line="360" w:lineRule="auto"/>
              <w:jc w:val="both"/>
              <w:rPr>
                <w:rFonts w:ascii="Century" w:hAnsi="Century"/>
              </w:rPr>
            </w:pPr>
            <w:r w:rsidRPr="00E45A73">
              <w:rPr>
                <w:rFonts w:ascii="Century" w:hAnsi="Century"/>
                <w:color w:val="000000"/>
              </w:rPr>
              <w:t>Inventory Turnover (x)</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3F418AC" w14:textId="77777777" w:rsidR="00AF18C1" w:rsidRPr="00E45A73" w:rsidRDefault="00AF18C1" w:rsidP="00A1471F">
            <w:pPr>
              <w:spacing w:line="360" w:lineRule="auto"/>
              <w:jc w:val="both"/>
              <w:rPr>
                <w:rFonts w:ascii="Century" w:hAnsi="Century"/>
              </w:rPr>
            </w:pPr>
            <w:r w:rsidRPr="00E45A73">
              <w:rPr>
                <w:rFonts w:ascii="Century" w:hAnsi="Century"/>
                <w:color w:val="000000"/>
              </w:rPr>
              <w:t>9.1</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66344B2" w14:textId="77777777" w:rsidR="00AF18C1" w:rsidRPr="00E45A73" w:rsidRDefault="00AF18C1" w:rsidP="00A1471F">
            <w:pPr>
              <w:spacing w:line="360" w:lineRule="auto"/>
              <w:jc w:val="both"/>
              <w:rPr>
                <w:rFonts w:ascii="Century" w:hAnsi="Century"/>
              </w:rPr>
            </w:pPr>
            <w:r w:rsidRPr="00E45A73">
              <w:rPr>
                <w:rFonts w:ascii="Century" w:hAnsi="Century"/>
                <w:color w:val="000000"/>
              </w:rPr>
              <w:t>10.8</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94F1BB6" w14:textId="77777777" w:rsidR="00AF18C1" w:rsidRPr="00E45A73" w:rsidRDefault="00AF18C1" w:rsidP="00A1471F">
            <w:pPr>
              <w:spacing w:line="360" w:lineRule="auto"/>
              <w:jc w:val="both"/>
              <w:rPr>
                <w:rFonts w:ascii="Century" w:hAnsi="Century"/>
              </w:rPr>
            </w:pPr>
            <w:r w:rsidRPr="00E45A73">
              <w:rPr>
                <w:rFonts w:ascii="Century" w:hAnsi="Century"/>
                <w:color w:val="000000"/>
              </w:rPr>
              <w:t>19.2</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AE6CDB0" w14:textId="77777777" w:rsidR="00AF18C1" w:rsidRPr="00E45A73" w:rsidRDefault="00AF18C1" w:rsidP="00A1471F">
            <w:pPr>
              <w:spacing w:line="360" w:lineRule="auto"/>
              <w:jc w:val="both"/>
              <w:rPr>
                <w:rFonts w:ascii="Century" w:hAnsi="Century"/>
              </w:rPr>
            </w:pPr>
            <w:r w:rsidRPr="00E45A73">
              <w:rPr>
                <w:rFonts w:ascii="Century" w:hAnsi="Century"/>
                <w:color w:val="000000"/>
              </w:rPr>
              <w:t>21.5</w:t>
            </w:r>
          </w:p>
        </w:tc>
        <w:tc>
          <w:tcPr>
            <w:tcW w:w="124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36DB818" w14:textId="77777777" w:rsidR="00AF18C1" w:rsidRPr="00E45A73" w:rsidRDefault="00AF18C1" w:rsidP="00A1471F">
            <w:pPr>
              <w:spacing w:line="360" w:lineRule="auto"/>
              <w:jc w:val="both"/>
              <w:rPr>
                <w:rFonts w:ascii="Century" w:hAnsi="Century"/>
              </w:rPr>
            </w:pPr>
            <w:r w:rsidRPr="00E45A73">
              <w:rPr>
                <w:rFonts w:ascii="Century" w:hAnsi="Century"/>
                <w:color w:val="000000"/>
              </w:rPr>
              <w:t>18.3</w:t>
            </w:r>
          </w:p>
        </w:tc>
      </w:tr>
      <w:tr w:rsidR="00AF18C1" w:rsidRPr="00E45A73" w14:paraId="79B51D80"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EF3345B" w14:textId="77777777" w:rsidR="00AF18C1" w:rsidRPr="00E45A73" w:rsidRDefault="00AF18C1" w:rsidP="00A1471F">
            <w:pPr>
              <w:spacing w:line="360" w:lineRule="auto"/>
              <w:jc w:val="both"/>
              <w:rPr>
                <w:rFonts w:ascii="Century" w:hAnsi="Century"/>
              </w:rPr>
            </w:pPr>
            <w:r w:rsidRPr="00E45A73">
              <w:rPr>
                <w:rFonts w:ascii="Century" w:hAnsi="Century"/>
                <w:color w:val="000000"/>
              </w:rPr>
              <w:lastRenderedPageBreak/>
              <w:t>Days Inventory Outstanding – DIO</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32C6FE4" w14:textId="77777777" w:rsidR="00AF18C1" w:rsidRPr="00E45A73" w:rsidRDefault="00AF18C1" w:rsidP="00A1471F">
            <w:pPr>
              <w:spacing w:line="360" w:lineRule="auto"/>
              <w:jc w:val="both"/>
              <w:rPr>
                <w:rFonts w:ascii="Century" w:hAnsi="Century"/>
              </w:rPr>
            </w:pPr>
            <w:r w:rsidRPr="00E45A73">
              <w:rPr>
                <w:rFonts w:ascii="Century" w:hAnsi="Century"/>
                <w:color w:val="000000"/>
              </w:rPr>
              <w:t>40</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ACD265E" w14:textId="77777777" w:rsidR="00AF18C1" w:rsidRPr="00E45A73" w:rsidRDefault="00AF18C1" w:rsidP="00A1471F">
            <w:pPr>
              <w:spacing w:line="360" w:lineRule="auto"/>
              <w:jc w:val="both"/>
              <w:rPr>
                <w:rFonts w:ascii="Century" w:hAnsi="Century"/>
              </w:rPr>
            </w:pPr>
            <w:r w:rsidRPr="00E45A73">
              <w:rPr>
                <w:rFonts w:ascii="Century" w:hAnsi="Century"/>
                <w:color w:val="000000"/>
              </w:rPr>
              <w:t>34</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B45A1E4" w14:textId="77777777" w:rsidR="00AF18C1" w:rsidRPr="00E45A73" w:rsidRDefault="00AF18C1" w:rsidP="00A1471F">
            <w:pPr>
              <w:spacing w:line="360" w:lineRule="auto"/>
              <w:jc w:val="both"/>
              <w:rPr>
                <w:rFonts w:ascii="Century" w:hAnsi="Century"/>
              </w:rPr>
            </w:pPr>
            <w:r w:rsidRPr="00E45A73">
              <w:rPr>
                <w:rFonts w:ascii="Century" w:hAnsi="Century"/>
                <w:color w:val="000000"/>
              </w:rPr>
              <w:t>19</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9607514" w14:textId="77777777" w:rsidR="00AF18C1" w:rsidRPr="00E45A73" w:rsidRDefault="00AF18C1" w:rsidP="00A1471F">
            <w:pPr>
              <w:spacing w:line="360" w:lineRule="auto"/>
              <w:jc w:val="both"/>
              <w:rPr>
                <w:rFonts w:ascii="Century" w:hAnsi="Century"/>
              </w:rPr>
            </w:pPr>
            <w:r w:rsidRPr="00E45A73">
              <w:rPr>
                <w:rFonts w:ascii="Century" w:hAnsi="Century"/>
                <w:color w:val="000000"/>
              </w:rPr>
              <w:t>17</w:t>
            </w:r>
          </w:p>
        </w:tc>
        <w:tc>
          <w:tcPr>
            <w:tcW w:w="124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4786485" w14:textId="77777777" w:rsidR="00AF18C1" w:rsidRPr="00E45A73" w:rsidRDefault="00AF18C1" w:rsidP="00A1471F">
            <w:pPr>
              <w:spacing w:line="360" w:lineRule="auto"/>
              <w:jc w:val="both"/>
              <w:rPr>
                <w:rFonts w:ascii="Century" w:hAnsi="Century"/>
              </w:rPr>
            </w:pPr>
            <w:r w:rsidRPr="00E45A73">
              <w:rPr>
                <w:rFonts w:ascii="Century" w:hAnsi="Century"/>
                <w:color w:val="000000"/>
              </w:rPr>
              <w:t>20</w:t>
            </w:r>
          </w:p>
        </w:tc>
      </w:tr>
      <w:tr w:rsidR="00AF18C1" w:rsidRPr="00E45A73" w14:paraId="7C95FD60"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439B9E0" w14:textId="77777777" w:rsidR="00AF18C1" w:rsidRPr="00E45A73" w:rsidRDefault="00AF18C1" w:rsidP="00A1471F">
            <w:pPr>
              <w:spacing w:line="360" w:lineRule="auto"/>
              <w:jc w:val="both"/>
              <w:rPr>
                <w:rFonts w:ascii="Century" w:hAnsi="Century"/>
              </w:rPr>
            </w:pPr>
            <w:r w:rsidRPr="00E45A73">
              <w:rPr>
                <w:rFonts w:ascii="Century" w:hAnsi="Century"/>
                <w:color w:val="000000"/>
              </w:rPr>
              <w:t>Days Sales Outstanding – DSO</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59CA250" w14:textId="77777777" w:rsidR="00AF18C1" w:rsidRPr="00E45A73" w:rsidRDefault="00AF18C1" w:rsidP="00A1471F">
            <w:pPr>
              <w:spacing w:line="360" w:lineRule="auto"/>
              <w:jc w:val="both"/>
              <w:rPr>
                <w:rFonts w:ascii="Century" w:hAnsi="Century"/>
              </w:rPr>
            </w:pPr>
            <w:r w:rsidRPr="00E45A73">
              <w:rPr>
                <w:rFonts w:ascii="Century" w:hAnsi="Century"/>
                <w:color w:val="000000"/>
              </w:rPr>
              <w:t>15</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50BAC09" w14:textId="77777777" w:rsidR="00AF18C1" w:rsidRPr="00E45A73" w:rsidRDefault="00AF18C1" w:rsidP="00A1471F">
            <w:pPr>
              <w:spacing w:line="360" w:lineRule="auto"/>
              <w:jc w:val="both"/>
              <w:rPr>
                <w:rFonts w:ascii="Century" w:hAnsi="Century"/>
              </w:rPr>
            </w:pPr>
            <w:r w:rsidRPr="00E45A73">
              <w:rPr>
                <w:rFonts w:ascii="Century" w:hAnsi="Century"/>
                <w:color w:val="000000"/>
              </w:rPr>
              <w:t>14</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BD387FF" w14:textId="77777777" w:rsidR="00AF18C1" w:rsidRPr="00E45A73" w:rsidRDefault="00AF18C1" w:rsidP="00A1471F">
            <w:pPr>
              <w:spacing w:line="360" w:lineRule="auto"/>
              <w:jc w:val="both"/>
              <w:rPr>
                <w:rFonts w:ascii="Century" w:hAnsi="Century"/>
              </w:rPr>
            </w:pPr>
            <w:r w:rsidRPr="00E45A73">
              <w:rPr>
                <w:rFonts w:ascii="Century" w:hAnsi="Century"/>
                <w:color w:val="000000"/>
              </w:rPr>
              <w:t>14</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D151A59" w14:textId="77777777" w:rsidR="00AF18C1" w:rsidRPr="00E45A73" w:rsidRDefault="00AF18C1" w:rsidP="00A1471F">
            <w:pPr>
              <w:spacing w:line="360" w:lineRule="auto"/>
              <w:jc w:val="both"/>
              <w:rPr>
                <w:rFonts w:ascii="Century" w:hAnsi="Century"/>
              </w:rPr>
            </w:pPr>
            <w:r w:rsidRPr="00E45A73">
              <w:rPr>
                <w:rFonts w:ascii="Century" w:hAnsi="Century"/>
                <w:color w:val="000000"/>
              </w:rPr>
              <w:t>17</w:t>
            </w:r>
          </w:p>
        </w:tc>
        <w:tc>
          <w:tcPr>
            <w:tcW w:w="124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DA0CAEE" w14:textId="77777777" w:rsidR="00AF18C1" w:rsidRPr="00E45A73" w:rsidRDefault="00AF18C1" w:rsidP="00A1471F">
            <w:pPr>
              <w:spacing w:line="360" w:lineRule="auto"/>
              <w:jc w:val="both"/>
              <w:rPr>
                <w:rFonts w:ascii="Century" w:hAnsi="Century"/>
              </w:rPr>
            </w:pPr>
            <w:r w:rsidRPr="00E45A73">
              <w:rPr>
                <w:rFonts w:ascii="Century" w:hAnsi="Century"/>
                <w:color w:val="000000"/>
              </w:rPr>
              <w:t>18</w:t>
            </w:r>
          </w:p>
        </w:tc>
      </w:tr>
      <w:tr w:rsidR="00AF18C1" w:rsidRPr="00E45A73" w14:paraId="2F7666DB"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12641D0" w14:textId="77777777" w:rsidR="00AF18C1" w:rsidRPr="00E45A73" w:rsidRDefault="00AF18C1" w:rsidP="00A1471F">
            <w:pPr>
              <w:spacing w:line="360" w:lineRule="auto"/>
              <w:jc w:val="both"/>
              <w:rPr>
                <w:rFonts w:ascii="Century" w:hAnsi="Century"/>
              </w:rPr>
            </w:pPr>
            <w:r w:rsidRPr="00E45A73">
              <w:rPr>
                <w:rFonts w:ascii="Century" w:hAnsi="Century"/>
                <w:color w:val="000000"/>
              </w:rPr>
              <w:t>Days Payable Outstanding – DPO</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3B79ECE" w14:textId="77777777" w:rsidR="00AF18C1" w:rsidRPr="00E45A73" w:rsidRDefault="00AF18C1" w:rsidP="00A1471F">
            <w:pPr>
              <w:spacing w:line="360" w:lineRule="auto"/>
              <w:jc w:val="both"/>
              <w:rPr>
                <w:rFonts w:ascii="Century" w:hAnsi="Century"/>
              </w:rPr>
            </w:pPr>
            <w:r w:rsidRPr="00E45A73">
              <w:rPr>
                <w:rFonts w:ascii="Century" w:hAnsi="Century"/>
                <w:color w:val="000000"/>
              </w:rPr>
              <w:t>82</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654214C" w14:textId="77777777" w:rsidR="00AF18C1" w:rsidRPr="00E45A73" w:rsidRDefault="00AF18C1" w:rsidP="00A1471F">
            <w:pPr>
              <w:spacing w:line="360" w:lineRule="auto"/>
              <w:jc w:val="both"/>
              <w:rPr>
                <w:rFonts w:ascii="Century" w:hAnsi="Century"/>
              </w:rPr>
            </w:pPr>
            <w:r w:rsidRPr="00E45A73">
              <w:rPr>
                <w:rFonts w:ascii="Century" w:hAnsi="Century"/>
                <w:color w:val="000000"/>
              </w:rPr>
              <w:t>76</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48E3FFF" w14:textId="77777777" w:rsidR="00AF18C1" w:rsidRPr="00E45A73" w:rsidRDefault="00AF18C1" w:rsidP="00A1471F">
            <w:pPr>
              <w:spacing w:line="360" w:lineRule="auto"/>
              <w:jc w:val="both"/>
              <w:rPr>
                <w:rFonts w:ascii="Century" w:hAnsi="Century"/>
              </w:rPr>
            </w:pPr>
            <w:r w:rsidRPr="00E45A73">
              <w:rPr>
                <w:rFonts w:ascii="Century" w:hAnsi="Century"/>
                <w:color w:val="000000"/>
              </w:rPr>
              <w:t>55</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039D5E2" w14:textId="77777777" w:rsidR="00AF18C1" w:rsidRPr="00E45A73" w:rsidRDefault="00AF18C1" w:rsidP="00A1471F">
            <w:pPr>
              <w:spacing w:line="360" w:lineRule="auto"/>
              <w:jc w:val="both"/>
              <w:rPr>
                <w:rFonts w:ascii="Century" w:hAnsi="Century"/>
              </w:rPr>
            </w:pPr>
            <w:r w:rsidRPr="00E45A73">
              <w:rPr>
                <w:rFonts w:ascii="Century" w:hAnsi="Century"/>
                <w:color w:val="000000"/>
              </w:rPr>
              <w:t>49</w:t>
            </w:r>
          </w:p>
        </w:tc>
        <w:tc>
          <w:tcPr>
            <w:tcW w:w="124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5CEF413" w14:textId="77777777" w:rsidR="00AF18C1" w:rsidRPr="00E45A73" w:rsidRDefault="00AF18C1" w:rsidP="00A1471F">
            <w:pPr>
              <w:spacing w:line="360" w:lineRule="auto"/>
              <w:jc w:val="both"/>
              <w:rPr>
                <w:rFonts w:ascii="Century" w:hAnsi="Century"/>
              </w:rPr>
            </w:pPr>
            <w:r w:rsidRPr="00E45A73">
              <w:rPr>
                <w:rFonts w:ascii="Century" w:hAnsi="Century"/>
                <w:color w:val="000000"/>
              </w:rPr>
              <w:t>50</w:t>
            </w:r>
          </w:p>
        </w:tc>
      </w:tr>
      <w:tr w:rsidR="00AF18C1" w:rsidRPr="00E45A73" w14:paraId="6A24451D"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C549B46" w14:textId="77777777" w:rsidR="00AF18C1" w:rsidRPr="00E45A73" w:rsidRDefault="00AF18C1" w:rsidP="00A1471F">
            <w:pPr>
              <w:spacing w:line="360" w:lineRule="auto"/>
              <w:jc w:val="both"/>
              <w:rPr>
                <w:rFonts w:ascii="Century" w:hAnsi="Century"/>
              </w:rPr>
            </w:pPr>
            <w:r w:rsidRPr="00E45A73">
              <w:rPr>
                <w:rFonts w:ascii="Century" w:hAnsi="Century"/>
                <w:color w:val="000000"/>
              </w:rPr>
              <w:t>Debt-to-Equity Ratio</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4D5C3B8" w14:textId="77777777" w:rsidR="00AF18C1" w:rsidRPr="00E45A73" w:rsidRDefault="00AF18C1" w:rsidP="00A1471F">
            <w:pPr>
              <w:spacing w:line="360" w:lineRule="auto"/>
              <w:jc w:val="both"/>
              <w:rPr>
                <w:rFonts w:ascii="Century" w:hAnsi="Century"/>
              </w:rPr>
            </w:pPr>
            <w:r w:rsidRPr="00E45A73">
              <w:rPr>
                <w:rFonts w:ascii="Century" w:hAnsi="Century"/>
                <w:color w:val="000000"/>
              </w:rPr>
              <w:t>0.60</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7C223EA" w14:textId="77777777" w:rsidR="00AF18C1" w:rsidRPr="00E45A73" w:rsidRDefault="00AF18C1" w:rsidP="00A1471F">
            <w:pPr>
              <w:spacing w:line="360" w:lineRule="auto"/>
              <w:jc w:val="both"/>
              <w:rPr>
                <w:rFonts w:ascii="Century" w:hAnsi="Century"/>
              </w:rPr>
            </w:pPr>
            <w:r w:rsidRPr="00E45A73">
              <w:rPr>
                <w:rFonts w:ascii="Century" w:hAnsi="Century"/>
                <w:color w:val="000000"/>
              </w:rPr>
              <w:t>0.29</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DE89915" w14:textId="77777777" w:rsidR="00AF18C1" w:rsidRPr="00E45A73" w:rsidRDefault="00AF18C1" w:rsidP="00A1471F">
            <w:pPr>
              <w:spacing w:line="360" w:lineRule="auto"/>
              <w:jc w:val="both"/>
              <w:rPr>
                <w:rFonts w:ascii="Century" w:hAnsi="Century"/>
              </w:rPr>
            </w:pPr>
            <w:r w:rsidRPr="00E45A73">
              <w:rPr>
                <w:rFonts w:ascii="Century" w:hAnsi="Century"/>
                <w:color w:val="000000"/>
              </w:rPr>
              <w:t>0.13</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F4582A3" w14:textId="77777777" w:rsidR="00AF18C1" w:rsidRPr="00E45A73" w:rsidRDefault="00AF18C1" w:rsidP="00A1471F">
            <w:pPr>
              <w:spacing w:line="360" w:lineRule="auto"/>
              <w:jc w:val="both"/>
              <w:rPr>
                <w:rFonts w:ascii="Century" w:hAnsi="Century"/>
              </w:rPr>
            </w:pPr>
            <w:r w:rsidRPr="00E45A73">
              <w:rPr>
                <w:rFonts w:ascii="Century" w:hAnsi="Century"/>
                <w:color w:val="000000"/>
              </w:rPr>
              <w:t>0.15</w:t>
            </w:r>
          </w:p>
        </w:tc>
        <w:tc>
          <w:tcPr>
            <w:tcW w:w="124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8B1700C" w14:textId="77777777" w:rsidR="00AF18C1" w:rsidRPr="00E45A73" w:rsidRDefault="00AF18C1" w:rsidP="00A1471F">
            <w:pPr>
              <w:spacing w:line="360" w:lineRule="auto"/>
              <w:jc w:val="both"/>
              <w:rPr>
                <w:rFonts w:ascii="Century" w:hAnsi="Century"/>
              </w:rPr>
            </w:pPr>
            <w:r w:rsidRPr="00E45A73">
              <w:rPr>
                <w:rFonts w:ascii="Century" w:hAnsi="Century"/>
                <w:color w:val="000000"/>
              </w:rPr>
              <w:t>0.19</w:t>
            </w:r>
          </w:p>
        </w:tc>
      </w:tr>
      <w:tr w:rsidR="00AF18C1" w:rsidRPr="00E45A73" w14:paraId="300EFA20"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C7C51B0" w14:textId="77777777" w:rsidR="00AF18C1" w:rsidRPr="00E45A73" w:rsidRDefault="00AF18C1" w:rsidP="00A1471F">
            <w:pPr>
              <w:spacing w:line="360" w:lineRule="auto"/>
              <w:jc w:val="both"/>
              <w:rPr>
                <w:rFonts w:ascii="Century" w:hAnsi="Century"/>
              </w:rPr>
            </w:pPr>
            <w:r w:rsidRPr="00E45A73">
              <w:rPr>
                <w:rFonts w:ascii="Century" w:hAnsi="Century"/>
                <w:color w:val="000000"/>
              </w:rPr>
              <w:t>Debt-to-Assets Ratio</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85692D9" w14:textId="77777777" w:rsidR="00AF18C1" w:rsidRPr="00E45A73" w:rsidRDefault="00AF18C1" w:rsidP="00A1471F">
            <w:pPr>
              <w:spacing w:line="360" w:lineRule="auto"/>
              <w:jc w:val="both"/>
              <w:rPr>
                <w:rFonts w:ascii="Century" w:hAnsi="Century"/>
              </w:rPr>
            </w:pPr>
            <w:r w:rsidRPr="00E45A73">
              <w:rPr>
                <w:rFonts w:ascii="Century" w:hAnsi="Century"/>
                <w:color w:val="000000"/>
              </w:rPr>
              <w:t>0.25</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C4C545D" w14:textId="77777777" w:rsidR="00AF18C1" w:rsidRPr="00E45A73" w:rsidRDefault="00AF18C1" w:rsidP="00A1471F">
            <w:pPr>
              <w:spacing w:line="360" w:lineRule="auto"/>
              <w:jc w:val="both"/>
              <w:rPr>
                <w:rFonts w:ascii="Century" w:hAnsi="Century"/>
              </w:rPr>
            </w:pPr>
            <w:r w:rsidRPr="00E45A73">
              <w:rPr>
                <w:rFonts w:ascii="Century" w:hAnsi="Century"/>
                <w:color w:val="000000"/>
              </w:rPr>
              <w:t>0.14</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74D6335" w14:textId="77777777" w:rsidR="00AF18C1" w:rsidRPr="00E45A73" w:rsidRDefault="00AF18C1" w:rsidP="00A1471F">
            <w:pPr>
              <w:spacing w:line="360" w:lineRule="auto"/>
              <w:jc w:val="both"/>
              <w:rPr>
                <w:rFonts w:ascii="Century" w:hAnsi="Century"/>
              </w:rPr>
            </w:pPr>
            <w:r w:rsidRPr="00E45A73">
              <w:rPr>
                <w:rFonts w:ascii="Century" w:hAnsi="Century"/>
                <w:color w:val="000000"/>
              </w:rPr>
              <w:t>0.07</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EE39F8D" w14:textId="77777777" w:rsidR="00AF18C1" w:rsidRPr="00E45A73" w:rsidRDefault="00AF18C1" w:rsidP="00A1471F">
            <w:pPr>
              <w:spacing w:line="360" w:lineRule="auto"/>
              <w:jc w:val="both"/>
              <w:rPr>
                <w:rFonts w:ascii="Century" w:hAnsi="Century"/>
              </w:rPr>
            </w:pPr>
            <w:r w:rsidRPr="00E45A73">
              <w:rPr>
                <w:rFonts w:ascii="Century" w:hAnsi="Century"/>
                <w:color w:val="000000"/>
              </w:rPr>
              <w:t>0.09</w:t>
            </w:r>
          </w:p>
        </w:tc>
        <w:tc>
          <w:tcPr>
            <w:tcW w:w="124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D6CC002" w14:textId="77777777" w:rsidR="00AF18C1" w:rsidRPr="00E45A73" w:rsidRDefault="00AF18C1" w:rsidP="00A1471F">
            <w:pPr>
              <w:spacing w:line="360" w:lineRule="auto"/>
              <w:jc w:val="both"/>
              <w:rPr>
                <w:rFonts w:ascii="Century" w:hAnsi="Century"/>
              </w:rPr>
            </w:pPr>
            <w:r w:rsidRPr="00E45A73">
              <w:rPr>
                <w:rFonts w:ascii="Century" w:hAnsi="Century"/>
                <w:color w:val="000000"/>
              </w:rPr>
              <w:t>0.09</w:t>
            </w:r>
          </w:p>
        </w:tc>
      </w:tr>
      <w:tr w:rsidR="00AF18C1" w:rsidRPr="00E45A73" w14:paraId="6CCB233A"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99E5898" w14:textId="77777777" w:rsidR="00AF18C1" w:rsidRPr="00E45A73" w:rsidRDefault="00AF18C1" w:rsidP="00A1471F">
            <w:pPr>
              <w:spacing w:line="360" w:lineRule="auto"/>
              <w:jc w:val="both"/>
              <w:rPr>
                <w:rFonts w:ascii="Century" w:hAnsi="Century"/>
              </w:rPr>
            </w:pPr>
            <w:r w:rsidRPr="00E45A73">
              <w:rPr>
                <w:rFonts w:ascii="Century" w:hAnsi="Century"/>
                <w:color w:val="000000"/>
              </w:rPr>
              <w:t>Interest Coverage Ratio (x)</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AB9972F" w14:textId="77777777" w:rsidR="00AF18C1" w:rsidRPr="00E45A73" w:rsidRDefault="00AF18C1" w:rsidP="00A1471F">
            <w:pPr>
              <w:spacing w:line="360" w:lineRule="auto"/>
              <w:jc w:val="both"/>
              <w:rPr>
                <w:rFonts w:ascii="Century" w:hAnsi="Century"/>
              </w:rPr>
            </w:pPr>
            <w:r w:rsidRPr="00E45A73">
              <w:rPr>
                <w:rFonts w:ascii="Century" w:hAnsi="Century"/>
                <w:color w:val="000000"/>
              </w:rPr>
              <w:t>3.4x</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CE9C95B" w14:textId="77777777" w:rsidR="00AF18C1" w:rsidRPr="00E45A73" w:rsidRDefault="00AF18C1" w:rsidP="00A1471F">
            <w:pPr>
              <w:spacing w:line="360" w:lineRule="auto"/>
              <w:jc w:val="both"/>
              <w:rPr>
                <w:rFonts w:ascii="Century" w:hAnsi="Century"/>
              </w:rPr>
            </w:pPr>
            <w:r w:rsidRPr="00E45A73">
              <w:rPr>
                <w:rFonts w:ascii="Century" w:hAnsi="Century"/>
                <w:color w:val="000000"/>
              </w:rPr>
              <w:t>17.6x</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FDE7562" w14:textId="77777777" w:rsidR="00AF18C1" w:rsidRPr="00E45A73" w:rsidRDefault="00AF18C1" w:rsidP="00A1471F">
            <w:pPr>
              <w:spacing w:line="360" w:lineRule="auto"/>
              <w:jc w:val="both"/>
              <w:rPr>
                <w:rFonts w:ascii="Century" w:hAnsi="Century"/>
              </w:rPr>
            </w:pPr>
            <w:r w:rsidRPr="00E45A73">
              <w:rPr>
                <w:rFonts w:ascii="Century" w:hAnsi="Century"/>
                <w:color w:val="000000"/>
              </w:rPr>
              <w:t>71.5x</w:t>
            </w:r>
          </w:p>
        </w:tc>
        <w:tc>
          <w:tcPr>
            <w:tcW w:w="12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44A1BD3" w14:textId="77777777" w:rsidR="00AF18C1" w:rsidRPr="00E45A73" w:rsidRDefault="00AF18C1" w:rsidP="00A1471F">
            <w:pPr>
              <w:spacing w:line="360" w:lineRule="auto"/>
              <w:jc w:val="both"/>
              <w:rPr>
                <w:rFonts w:ascii="Century" w:hAnsi="Century"/>
              </w:rPr>
            </w:pPr>
            <w:r w:rsidRPr="00E45A73">
              <w:rPr>
                <w:rFonts w:ascii="Century" w:hAnsi="Century"/>
                <w:color w:val="000000"/>
              </w:rPr>
              <w:t>57.0x</w:t>
            </w:r>
          </w:p>
        </w:tc>
        <w:tc>
          <w:tcPr>
            <w:tcW w:w="124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A1A44B8" w14:textId="77777777" w:rsidR="00AF18C1" w:rsidRPr="00E45A73" w:rsidRDefault="00AF18C1" w:rsidP="00A1471F">
            <w:pPr>
              <w:spacing w:line="360" w:lineRule="auto"/>
              <w:jc w:val="both"/>
              <w:rPr>
                <w:rFonts w:ascii="Century" w:hAnsi="Century"/>
              </w:rPr>
            </w:pPr>
            <w:r w:rsidRPr="00E45A73">
              <w:rPr>
                <w:rFonts w:ascii="Century" w:hAnsi="Century"/>
                <w:color w:val="000000"/>
              </w:rPr>
              <w:t>20.2x</w:t>
            </w:r>
          </w:p>
        </w:tc>
      </w:tr>
      <w:tr w:rsidR="00AF18C1" w:rsidRPr="00E45A73" w14:paraId="4C44D425" w14:textId="77777777" w:rsidTr="00A1471F">
        <w:tc>
          <w:tcPr>
            <w:tcW w:w="28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81366D9" w14:textId="77777777" w:rsidR="00AF18C1" w:rsidRPr="00E45A73" w:rsidRDefault="00AF18C1" w:rsidP="00A1471F">
            <w:pPr>
              <w:spacing w:line="360" w:lineRule="auto"/>
              <w:jc w:val="both"/>
              <w:rPr>
                <w:rFonts w:ascii="Century" w:hAnsi="Century"/>
              </w:rPr>
            </w:pPr>
            <w:r w:rsidRPr="00E45A73">
              <w:rPr>
                <w:rFonts w:ascii="Century" w:hAnsi="Century"/>
                <w:color w:val="000000"/>
              </w:rPr>
              <w:t>CapEx / Revenue (%)</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B5D798F" w14:textId="77777777" w:rsidR="00AF18C1" w:rsidRPr="00E45A73" w:rsidRDefault="00AF18C1" w:rsidP="00A1471F">
            <w:pPr>
              <w:spacing w:line="360" w:lineRule="auto"/>
              <w:jc w:val="both"/>
              <w:rPr>
                <w:rFonts w:ascii="Century" w:hAnsi="Century"/>
              </w:rPr>
            </w:pPr>
            <w:r w:rsidRPr="00E45A73">
              <w:rPr>
                <w:rFonts w:ascii="Century" w:hAnsi="Century"/>
                <w:color w:val="000000"/>
              </w:rPr>
              <w:t>9.5%</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C0D3DEA" w14:textId="77777777" w:rsidR="00AF18C1" w:rsidRPr="00E45A73" w:rsidRDefault="00AF18C1" w:rsidP="00A1471F">
            <w:pPr>
              <w:spacing w:line="360" w:lineRule="auto"/>
              <w:jc w:val="both"/>
              <w:rPr>
                <w:rFonts w:ascii="Century" w:hAnsi="Century"/>
              </w:rPr>
            </w:pPr>
            <w:r w:rsidRPr="00E45A73">
              <w:rPr>
                <w:rFonts w:ascii="Century" w:hAnsi="Century"/>
                <w:color w:val="000000"/>
              </w:rPr>
              <w:t>8.5%</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30D011D" w14:textId="77777777" w:rsidR="00AF18C1" w:rsidRPr="00E45A73" w:rsidRDefault="00AF18C1" w:rsidP="00A1471F">
            <w:pPr>
              <w:spacing w:line="360" w:lineRule="auto"/>
              <w:jc w:val="both"/>
              <w:rPr>
                <w:rFonts w:ascii="Century" w:hAnsi="Century"/>
              </w:rPr>
            </w:pPr>
            <w:r w:rsidRPr="00E45A73">
              <w:rPr>
                <w:rFonts w:ascii="Century" w:hAnsi="Century"/>
                <w:color w:val="000000"/>
              </w:rPr>
              <w:t>7.4%</w:t>
            </w:r>
          </w:p>
        </w:tc>
        <w:tc>
          <w:tcPr>
            <w:tcW w:w="12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4F09DD7" w14:textId="77777777" w:rsidR="00AF18C1" w:rsidRPr="00E45A73" w:rsidRDefault="00AF18C1" w:rsidP="00A1471F">
            <w:pPr>
              <w:spacing w:line="360" w:lineRule="auto"/>
              <w:jc w:val="both"/>
              <w:rPr>
                <w:rFonts w:ascii="Century" w:hAnsi="Century"/>
              </w:rPr>
            </w:pPr>
            <w:r w:rsidRPr="00E45A73">
              <w:rPr>
                <w:rFonts w:ascii="Century" w:hAnsi="Century"/>
                <w:color w:val="000000"/>
              </w:rPr>
              <w:t>9.2%</w:t>
            </w:r>
          </w:p>
        </w:tc>
        <w:tc>
          <w:tcPr>
            <w:tcW w:w="124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DE3EE97" w14:textId="77777777" w:rsidR="00AF18C1" w:rsidRPr="00E45A73" w:rsidRDefault="00AF18C1" w:rsidP="00A1471F">
            <w:pPr>
              <w:spacing w:line="360" w:lineRule="auto"/>
              <w:jc w:val="both"/>
              <w:rPr>
                <w:rFonts w:ascii="Century" w:hAnsi="Century"/>
              </w:rPr>
            </w:pPr>
            <w:r w:rsidRPr="00E45A73">
              <w:rPr>
                <w:rFonts w:ascii="Century" w:hAnsi="Century"/>
                <w:color w:val="000000"/>
              </w:rPr>
              <w:t>11.6%</w:t>
            </w:r>
          </w:p>
        </w:tc>
      </w:tr>
    </w:tbl>
    <w:p w14:paraId="078B7F9D" w14:textId="77777777" w:rsidR="00AF18C1" w:rsidRPr="00E45A73" w:rsidRDefault="00AF18C1" w:rsidP="00AF18C1">
      <w:pPr>
        <w:spacing w:after="60" w:line="360" w:lineRule="auto"/>
        <w:jc w:val="both"/>
        <w:rPr>
          <w:rFonts w:ascii="Century" w:hAnsi="Century"/>
        </w:rPr>
      </w:pPr>
    </w:p>
    <w:p w14:paraId="0DAB5A4B" w14:textId="77777777" w:rsidR="00AF18C1" w:rsidRPr="00E45A73" w:rsidRDefault="00AF18C1" w:rsidP="00AF18C1">
      <w:pPr>
        <w:spacing w:before="160" w:after="80" w:line="360" w:lineRule="auto"/>
        <w:jc w:val="both"/>
        <w:rPr>
          <w:rFonts w:ascii="Century" w:hAnsi="Century"/>
        </w:rPr>
      </w:pPr>
      <w:r w:rsidRPr="00E45A73">
        <w:rPr>
          <w:rFonts w:ascii="Century" w:hAnsi="Century"/>
          <w:noProof/>
        </w:rPr>
        <w:drawing>
          <wp:inline distT="0" distB="0" distL="0" distR="0" wp14:anchorId="0A023CC8" wp14:editId="12E26EC5">
            <wp:extent cx="5029200" cy="2743200"/>
            <wp:effectExtent l="0" t="0" r="0" b="0"/>
            <wp:docPr id="1035182762" name="Picture 103518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029200" cy="2743200"/>
                    </a:xfrm>
                    <a:prstGeom prst="rect">
                      <a:avLst/>
                    </a:prstGeom>
                  </pic:spPr>
                </pic:pic>
              </a:graphicData>
            </a:graphic>
          </wp:inline>
        </w:drawing>
      </w:r>
    </w:p>
    <w:p w14:paraId="01B3A1D4" w14:textId="77777777" w:rsidR="00AF18C1" w:rsidRPr="00E45A73" w:rsidRDefault="00AF18C1" w:rsidP="00AF18C1">
      <w:pPr>
        <w:spacing w:after="200" w:line="360" w:lineRule="auto"/>
        <w:jc w:val="both"/>
        <w:rPr>
          <w:rFonts w:ascii="Century" w:hAnsi="Century"/>
        </w:rPr>
      </w:pPr>
      <w:r w:rsidRPr="00E45A73">
        <w:rPr>
          <w:rFonts w:ascii="Century" w:hAnsi="Century"/>
          <w:color w:val="555555"/>
        </w:rPr>
        <w:t>Figure 1.5: Tesla Debt-to-Equity Ratio 2020–2024. Source: Tesla Annual Reports 10-K</w:t>
      </w:r>
    </w:p>
    <w:p w14:paraId="6353E66E" w14:textId="77777777" w:rsidR="00AF18C1" w:rsidRPr="00E45A73" w:rsidRDefault="00AF18C1" w:rsidP="00AF18C1">
      <w:pPr>
        <w:spacing w:before="160" w:after="80" w:line="360" w:lineRule="auto"/>
        <w:jc w:val="both"/>
        <w:rPr>
          <w:rFonts w:ascii="Century" w:hAnsi="Century"/>
        </w:rPr>
      </w:pPr>
      <w:r w:rsidRPr="00E45A73">
        <w:rPr>
          <w:rFonts w:ascii="Century" w:hAnsi="Century"/>
          <w:noProof/>
        </w:rPr>
        <w:lastRenderedPageBreak/>
        <w:drawing>
          <wp:inline distT="0" distB="0" distL="0" distR="0" wp14:anchorId="13C03231" wp14:editId="4F52453C">
            <wp:extent cx="5667375" cy="2924175"/>
            <wp:effectExtent l="0" t="0" r="0" b="0"/>
            <wp:docPr id="765494709" name="Picture 765494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667375" cy="2924175"/>
                    </a:xfrm>
                    <a:prstGeom prst="rect">
                      <a:avLst/>
                    </a:prstGeom>
                  </pic:spPr>
                </pic:pic>
              </a:graphicData>
            </a:graphic>
          </wp:inline>
        </w:drawing>
      </w:r>
    </w:p>
    <w:p w14:paraId="24BBEE72" w14:textId="77777777" w:rsidR="00AF18C1" w:rsidRPr="00E45A73" w:rsidRDefault="00AF18C1" w:rsidP="00AF18C1">
      <w:pPr>
        <w:spacing w:after="200" w:line="360" w:lineRule="auto"/>
        <w:jc w:val="both"/>
        <w:rPr>
          <w:rFonts w:ascii="Century" w:hAnsi="Century"/>
        </w:rPr>
      </w:pPr>
      <w:r w:rsidRPr="00E45A73">
        <w:rPr>
          <w:rFonts w:ascii="Century" w:hAnsi="Century"/>
          <w:color w:val="555555"/>
        </w:rPr>
        <w:t>Figure 1.6: Tesla Total Assets vs Shareholders' Equity 2020–2024. Source: Tesla Annual Reports 10-K</w:t>
      </w:r>
    </w:p>
    <w:p w14:paraId="58B745C8"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There has been a dramatic change in the gearing position of Tesla. The debt-to-equity ratio dropped to a near-negligible 0.13 in 2022 after a relatively high 0.60 in 2020 - indicating the initial capital requirements and convertible debt funding - then slightly increased to 0.19 in 2024 as the company made minor additional capital lease commitments to Gigafactory equipment. Having only total long-term debt of 9.57 billion, compared with 72.91 billion of equity, the balance sheet of Tesla is certainly undergeared according to conventional terms. The Interest Coverage Ratio (EBIT / Interest Expense) of 20.2 times in 2024 is a clear indication that Tesla will easily cover its debt commitments with a wide margin to spare in case it decides to take on more leverage in case of strategic acquisitions or fast-tracked investments (Arnold, 2020). In 2024, the CapEx-to-revenue ratio rose to 11.6% indicating the record-high level of capital expenditure of 11.34 billion on AI infrastructure, Dojo supercomputer expansion, and Gigafactory production capacity.</w:t>
      </w:r>
    </w:p>
    <w:p w14:paraId="09FCF69B" w14:textId="77777777" w:rsidR="00AF18C1" w:rsidRPr="00E45A73" w:rsidRDefault="00AF18C1" w:rsidP="00AF18C1">
      <w:pPr>
        <w:pStyle w:val="Heading2"/>
        <w:spacing w:line="360" w:lineRule="auto"/>
        <w:jc w:val="both"/>
        <w:rPr>
          <w:rFonts w:ascii="Cambria" w:hAnsi="Cambria"/>
          <w:b/>
          <w:bCs/>
          <w:sz w:val="28"/>
          <w:szCs w:val="28"/>
        </w:rPr>
      </w:pPr>
      <w:bookmarkStart w:id="8" w:name="_Toc227673237"/>
      <w:r w:rsidRPr="00E45A73">
        <w:rPr>
          <w:rFonts w:ascii="Cambria" w:hAnsi="Cambria"/>
          <w:b/>
          <w:bCs/>
          <w:sz w:val="28"/>
          <w:szCs w:val="28"/>
        </w:rPr>
        <w:t>1.4 Trends, Strengths, and Strategic Threats</w:t>
      </w:r>
      <w:bookmarkEnd w:id="8"/>
    </w:p>
    <w:p w14:paraId="488D4FD5"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 xml:space="preserve">The financial trend of the past five years presents a number of significant trends. On the bright side, Tesla has evolved to be one of the most valuable companies in the world with a revenue of 32.6 CAGR in 5 years, a balance sheet of 122 billion, </w:t>
      </w:r>
      <w:r w:rsidRPr="00E45A73">
        <w:rPr>
          <w:rFonts w:ascii="Century" w:hAnsi="Century"/>
          <w:lang w:val="en-US"/>
        </w:rPr>
        <w:lastRenderedPageBreak/>
        <w:t>cash of 36.56 billion and a strong global brand. The Energy segment is a true breakout, and it is increasing 67 percent annually in 2024, to 10.1 billion, which has a gross margin of 26.2, better than the automotive segment.</w:t>
      </w:r>
    </w:p>
    <w:p w14:paraId="703C68B5" w14:textId="77777777" w:rsidR="00AF18C1" w:rsidRPr="00E45A73" w:rsidRDefault="00AF18C1" w:rsidP="00AF18C1">
      <w:pPr>
        <w:spacing w:before="200" w:after="80" w:line="360" w:lineRule="auto"/>
        <w:jc w:val="both"/>
        <w:rPr>
          <w:rFonts w:ascii="Century" w:hAnsi="Century"/>
        </w:rPr>
      </w:pPr>
      <w:r w:rsidRPr="00E45A73">
        <w:rPr>
          <w:rFonts w:ascii="Century" w:hAnsi="Century"/>
          <w:b/>
          <w:bCs/>
          <w:color w:val="003087"/>
        </w:rPr>
        <w:t>Table 1.6: Tesla Strategic SWOT — Financial Perspective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73"/>
        <w:gridCol w:w="3628"/>
        <w:gridCol w:w="3625"/>
      </w:tblGrid>
      <w:tr w:rsidR="00AF18C1" w:rsidRPr="00E45A73" w14:paraId="0B4940EE" w14:textId="77777777" w:rsidTr="00A1471F">
        <w:tc>
          <w:tcPr>
            <w:tcW w:w="17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5889C8C9"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Dimension</w:t>
            </w:r>
          </w:p>
        </w:tc>
        <w:tc>
          <w:tcPr>
            <w:tcW w:w="3663"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38E8A98D"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Key Financial Indicators</w:t>
            </w:r>
          </w:p>
        </w:tc>
        <w:tc>
          <w:tcPr>
            <w:tcW w:w="3663"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50BD5A97"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Strategic Implication</w:t>
            </w:r>
          </w:p>
        </w:tc>
      </w:tr>
      <w:tr w:rsidR="00AF18C1" w:rsidRPr="00E45A73" w14:paraId="64F08FA5" w14:textId="77777777" w:rsidTr="00A1471F">
        <w:tc>
          <w:tcPr>
            <w:tcW w:w="1700" w:type="dxa"/>
            <w:tcBorders>
              <w:top w:val="single" w:sz="1" w:space="0" w:color="CCCCCC"/>
              <w:left w:val="single" w:sz="1" w:space="0" w:color="CCCCCC"/>
              <w:bottom w:val="single" w:sz="1" w:space="0" w:color="CCCCCC"/>
              <w:right w:val="single" w:sz="1" w:space="0" w:color="CCCCCC"/>
            </w:tcBorders>
            <w:shd w:val="clear" w:color="auto" w:fill="D5F0D5"/>
            <w:tcMar>
              <w:top w:w="70" w:type="dxa"/>
              <w:left w:w="110" w:type="dxa"/>
              <w:bottom w:w="70" w:type="dxa"/>
              <w:right w:w="110" w:type="dxa"/>
            </w:tcMar>
          </w:tcPr>
          <w:p w14:paraId="144C976C"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Strengths</w:t>
            </w:r>
          </w:p>
        </w:tc>
        <w:tc>
          <w:tcPr>
            <w:tcW w:w="3663" w:type="dxa"/>
            <w:tcBorders>
              <w:top w:val="single" w:sz="1" w:space="0" w:color="CCCCCC"/>
              <w:left w:val="single" w:sz="1" w:space="0" w:color="CCCCCC"/>
              <w:bottom w:val="single" w:sz="1" w:space="0" w:color="CCCCCC"/>
              <w:right w:val="single" w:sz="1" w:space="0" w:color="CCCCCC"/>
            </w:tcBorders>
            <w:shd w:val="clear" w:color="auto" w:fill="EAFAEA"/>
            <w:tcMar>
              <w:top w:w="70" w:type="dxa"/>
              <w:left w:w="110" w:type="dxa"/>
              <w:bottom w:w="70" w:type="dxa"/>
              <w:right w:w="110" w:type="dxa"/>
            </w:tcMar>
          </w:tcPr>
          <w:p w14:paraId="5959BD1C" w14:textId="77777777" w:rsidR="00AF18C1" w:rsidRPr="00E45A73" w:rsidRDefault="00AF18C1" w:rsidP="00A1471F">
            <w:pPr>
              <w:spacing w:line="360" w:lineRule="auto"/>
              <w:jc w:val="both"/>
              <w:rPr>
                <w:rFonts w:ascii="Century" w:hAnsi="Century"/>
              </w:rPr>
            </w:pPr>
            <w:r w:rsidRPr="00E45A73">
              <w:rPr>
                <w:rFonts w:ascii="Century" w:hAnsi="Century"/>
                <w:color w:val="000000"/>
              </w:rPr>
              <w:t>$36.6B cash; D/E 0.19; Current Ratio 2.02; ICR 20.2x; Negative COC -12 days; Energy margin 26.2%</w:t>
            </w:r>
          </w:p>
        </w:tc>
        <w:tc>
          <w:tcPr>
            <w:tcW w:w="3663" w:type="dxa"/>
            <w:tcBorders>
              <w:top w:val="single" w:sz="1" w:space="0" w:color="CCCCCC"/>
              <w:left w:val="single" w:sz="1" w:space="0" w:color="CCCCCC"/>
              <w:bottom w:val="single" w:sz="1" w:space="0" w:color="CCCCCC"/>
              <w:right w:val="single" w:sz="1" w:space="0" w:color="CCCCCC"/>
            </w:tcBorders>
            <w:shd w:val="clear" w:color="auto" w:fill="EAFAEA"/>
            <w:tcMar>
              <w:top w:w="70" w:type="dxa"/>
              <w:left w:w="110" w:type="dxa"/>
              <w:bottom w:w="70" w:type="dxa"/>
              <w:right w:w="110" w:type="dxa"/>
            </w:tcMar>
          </w:tcPr>
          <w:p w14:paraId="62B8C1D2" w14:textId="77777777" w:rsidR="00AF18C1" w:rsidRPr="00E45A73" w:rsidRDefault="00AF18C1" w:rsidP="00A1471F">
            <w:pPr>
              <w:spacing w:line="360" w:lineRule="auto"/>
              <w:jc w:val="both"/>
              <w:rPr>
                <w:rFonts w:ascii="Century" w:hAnsi="Century"/>
              </w:rPr>
            </w:pPr>
            <w:r w:rsidRPr="00E45A73">
              <w:rPr>
                <w:rFonts w:ascii="Century" w:hAnsi="Century"/>
                <w:color w:val="000000"/>
              </w:rPr>
              <w:t>Exceptional balance sheet strength enables strategic flexibility, acquisitions, or significant share buybacks without liquidity risk</w:t>
            </w:r>
          </w:p>
        </w:tc>
      </w:tr>
      <w:tr w:rsidR="00AF18C1" w:rsidRPr="00E45A73" w14:paraId="0EA54DA8" w14:textId="77777777" w:rsidTr="00A1471F">
        <w:tc>
          <w:tcPr>
            <w:tcW w:w="1700" w:type="dxa"/>
            <w:tcBorders>
              <w:top w:val="single" w:sz="1" w:space="0" w:color="CCCCCC"/>
              <w:left w:val="single" w:sz="1" w:space="0" w:color="CCCCCC"/>
              <w:bottom w:val="single" w:sz="1" w:space="0" w:color="CCCCCC"/>
              <w:right w:val="single" w:sz="1" w:space="0" w:color="CCCCCC"/>
            </w:tcBorders>
            <w:shd w:val="clear" w:color="auto" w:fill="FFE5E5"/>
            <w:tcMar>
              <w:top w:w="70" w:type="dxa"/>
              <w:left w:w="110" w:type="dxa"/>
              <w:bottom w:w="70" w:type="dxa"/>
              <w:right w:w="110" w:type="dxa"/>
            </w:tcMar>
          </w:tcPr>
          <w:p w14:paraId="7BC39E88"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Weaknesses</w:t>
            </w:r>
          </w:p>
        </w:tc>
        <w:tc>
          <w:tcPr>
            <w:tcW w:w="3663" w:type="dxa"/>
            <w:tcBorders>
              <w:top w:val="single" w:sz="1" w:space="0" w:color="CCCCCC"/>
              <w:left w:val="single" w:sz="1" w:space="0" w:color="CCCCCC"/>
              <w:bottom w:val="single" w:sz="1" w:space="0" w:color="CCCCCC"/>
              <w:right w:val="single" w:sz="1" w:space="0" w:color="CCCCCC"/>
            </w:tcBorders>
            <w:shd w:val="clear" w:color="auto" w:fill="FFF0F0"/>
            <w:tcMar>
              <w:top w:w="70" w:type="dxa"/>
              <w:left w:w="110" w:type="dxa"/>
              <w:bottom w:w="70" w:type="dxa"/>
              <w:right w:w="110" w:type="dxa"/>
            </w:tcMar>
          </w:tcPr>
          <w:p w14:paraId="1AA5AF56" w14:textId="77777777" w:rsidR="00AF18C1" w:rsidRPr="00E45A73" w:rsidRDefault="00AF18C1" w:rsidP="00A1471F">
            <w:pPr>
              <w:spacing w:line="360" w:lineRule="auto"/>
              <w:jc w:val="both"/>
              <w:rPr>
                <w:rFonts w:ascii="Century" w:hAnsi="Century"/>
              </w:rPr>
            </w:pPr>
            <w:r w:rsidRPr="00E45A73">
              <w:rPr>
                <w:rFonts w:ascii="Century" w:hAnsi="Century"/>
                <w:color w:val="000000"/>
              </w:rPr>
              <w:t>Gross margin declined 780bp from peak; ROE fell from 28.2% to 9.8%; CapEx/Revenue 11.6%; 10% headcount reduction signals cost pressure</w:t>
            </w:r>
          </w:p>
        </w:tc>
        <w:tc>
          <w:tcPr>
            <w:tcW w:w="3663" w:type="dxa"/>
            <w:tcBorders>
              <w:top w:val="single" w:sz="1" w:space="0" w:color="CCCCCC"/>
              <w:left w:val="single" w:sz="1" w:space="0" w:color="CCCCCC"/>
              <w:bottom w:val="single" w:sz="1" w:space="0" w:color="CCCCCC"/>
              <w:right w:val="single" w:sz="1" w:space="0" w:color="CCCCCC"/>
            </w:tcBorders>
            <w:shd w:val="clear" w:color="auto" w:fill="FFF0F0"/>
            <w:tcMar>
              <w:top w:w="70" w:type="dxa"/>
              <w:left w:w="110" w:type="dxa"/>
              <w:bottom w:w="70" w:type="dxa"/>
              <w:right w:w="110" w:type="dxa"/>
            </w:tcMar>
          </w:tcPr>
          <w:p w14:paraId="61442752" w14:textId="77777777" w:rsidR="00AF18C1" w:rsidRPr="00E45A73" w:rsidRDefault="00AF18C1" w:rsidP="00A1471F">
            <w:pPr>
              <w:spacing w:line="360" w:lineRule="auto"/>
              <w:jc w:val="both"/>
              <w:rPr>
                <w:rFonts w:ascii="Century" w:hAnsi="Century"/>
              </w:rPr>
            </w:pPr>
            <w:r w:rsidRPr="00E45A73">
              <w:rPr>
                <w:rFonts w:ascii="Century" w:hAnsi="Century"/>
                <w:color w:val="000000"/>
              </w:rPr>
              <w:t>Margin erosion from price wars threatens long-term earnings power; high CapEx reduces free cash flow available for distributions</w:t>
            </w:r>
          </w:p>
        </w:tc>
      </w:tr>
      <w:tr w:rsidR="00AF18C1" w:rsidRPr="00E45A73" w14:paraId="7E615757" w14:textId="77777777" w:rsidTr="00A1471F">
        <w:tc>
          <w:tcPr>
            <w:tcW w:w="1700" w:type="dxa"/>
            <w:tcBorders>
              <w:top w:val="single" w:sz="1" w:space="0" w:color="CCCCCC"/>
              <w:left w:val="single" w:sz="1" w:space="0" w:color="CCCCCC"/>
              <w:bottom w:val="single" w:sz="1" w:space="0" w:color="CCCCCC"/>
              <w:right w:val="single" w:sz="1" w:space="0" w:color="CCCCCC"/>
            </w:tcBorders>
            <w:shd w:val="clear" w:color="auto" w:fill="E5F0FF"/>
            <w:tcMar>
              <w:top w:w="70" w:type="dxa"/>
              <w:left w:w="110" w:type="dxa"/>
              <w:bottom w:w="70" w:type="dxa"/>
              <w:right w:w="110" w:type="dxa"/>
            </w:tcMar>
          </w:tcPr>
          <w:p w14:paraId="76A0E9D7"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Opportunities</w:t>
            </w:r>
          </w:p>
        </w:tc>
        <w:tc>
          <w:tcPr>
            <w:tcW w:w="3663" w:type="dxa"/>
            <w:tcBorders>
              <w:top w:val="single" w:sz="1" w:space="0" w:color="CCCCCC"/>
              <w:left w:val="single" w:sz="1" w:space="0" w:color="CCCCCC"/>
              <w:bottom w:val="single" w:sz="1" w:space="0" w:color="CCCCCC"/>
              <w:right w:val="single" w:sz="1" w:space="0" w:color="CCCCCC"/>
            </w:tcBorders>
            <w:shd w:val="clear" w:color="auto" w:fill="F0F5FF"/>
            <w:tcMar>
              <w:top w:w="70" w:type="dxa"/>
              <w:left w:w="110" w:type="dxa"/>
              <w:bottom w:w="70" w:type="dxa"/>
              <w:right w:w="110" w:type="dxa"/>
            </w:tcMar>
          </w:tcPr>
          <w:p w14:paraId="1637C5B5" w14:textId="77777777" w:rsidR="00AF18C1" w:rsidRPr="00E45A73" w:rsidRDefault="00AF18C1" w:rsidP="00A1471F">
            <w:pPr>
              <w:spacing w:line="360" w:lineRule="auto"/>
              <w:jc w:val="both"/>
              <w:rPr>
                <w:rFonts w:ascii="Century" w:hAnsi="Century"/>
              </w:rPr>
            </w:pPr>
            <w:r w:rsidRPr="00E45A73">
              <w:rPr>
                <w:rFonts w:ascii="Century" w:hAnsi="Century"/>
                <w:color w:val="000000"/>
              </w:rPr>
              <w:t>Energy segment 67% YoY growth; FSD/AI monetisation via robotaxi; Optimus humanoid robot pipeline; Megapack for grid-scale storage</w:t>
            </w:r>
          </w:p>
        </w:tc>
        <w:tc>
          <w:tcPr>
            <w:tcW w:w="3663" w:type="dxa"/>
            <w:tcBorders>
              <w:top w:val="single" w:sz="1" w:space="0" w:color="CCCCCC"/>
              <w:left w:val="single" w:sz="1" w:space="0" w:color="CCCCCC"/>
              <w:bottom w:val="single" w:sz="1" w:space="0" w:color="CCCCCC"/>
              <w:right w:val="single" w:sz="1" w:space="0" w:color="CCCCCC"/>
            </w:tcBorders>
            <w:shd w:val="clear" w:color="auto" w:fill="F0F5FF"/>
            <w:tcMar>
              <w:top w:w="70" w:type="dxa"/>
              <w:left w:w="110" w:type="dxa"/>
              <w:bottom w:w="70" w:type="dxa"/>
              <w:right w:w="110" w:type="dxa"/>
            </w:tcMar>
          </w:tcPr>
          <w:p w14:paraId="74A87A1B" w14:textId="77777777" w:rsidR="00AF18C1" w:rsidRPr="00E45A73" w:rsidRDefault="00AF18C1" w:rsidP="00A1471F">
            <w:pPr>
              <w:spacing w:line="360" w:lineRule="auto"/>
              <w:jc w:val="both"/>
              <w:rPr>
                <w:rFonts w:ascii="Century" w:hAnsi="Century"/>
              </w:rPr>
            </w:pPr>
            <w:r w:rsidRPr="00E45A73">
              <w:rPr>
                <w:rFonts w:ascii="Century" w:hAnsi="Century"/>
                <w:color w:val="000000"/>
              </w:rPr>
              <w:t>Diversification into high-margin recurring software and energy revenues can structurally re-rate Tesla's earnings quality and P/E multiple</w:t>
            </w:r>
          </w:p>
        </w:tc>
      </w:tr>
      <w:tr w:rsidR="00AF18C1" w:rsidRPr="00E45A73" w14:paraId="2B7C4E7A" w14:textId="77777777" w:rsidTr="00A1471F">
        <w:tc>
          <w:tcPr>
            <w:tcW w:w="1700" w:type="dxa"/>
            <w:tcBorders>
              <w:top w:val="single" w:sz="1" w:space="0" w:color="CCCCCC"/>
              <w:left w:val="single" w:sz="1" w:space="0" w:color="CCCCCC"/>
              <w:bottom w:val="single" w:sz="1" w:space="0" w:color="CCCCCC"/>
              <w:right w:val="single" w:sz="1" w:space="0" w:color="CCCCCC"/>
            </w:tcBorders>
            <w:shd w:val="clear" w:color="auto" w:fill="FFF5E5"/>
            <w:tcMar>
              <w:top w:w="70" w:type="dxa"/>
              <w:left w:w="110" w:type="dxa"/>
              <w:bottom w:w="70" w:type="dxa"/>
              <w:right w:w="110" w:type="dxa"/>
            </w:tcMar>
          </w:tcPr>
          <w:p w14:paraId="7760966B"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Threats</w:t>
            </w:r>
          </w:p>
        </w:tc>
        <w:tc>
          <w:tcPr>
            <w:tcW w:w="3663" w:type="dxa"/>
            <w:tcBorders>
              <w:top w:val="single" w:sz="1" w:space="0" w:color="CCCCCC"/>
              <w:left w:val="single" w:sz="1" w:space="0" w:color="CCCCCC"/>
              <w:bottom w:val="single" w:sz="1" w:space="0" w:color="CCCCCC"/>
              <w:right w:val="single" w:sz="1" w:space="0" w:color="CCCCCC"/>
            </w:tcBorders>
            <w:shd w:val="clear" w:color="auto" w:fill="FFFBF0"/>
            <w:tcMar>
              <w:top w:w="70" w:type="dxa"/>
              <w:left w:w="110" w:type="dxa"/>
              <w:bottom w:w="70" w:type="dxa"/>
              <w:right w:w="110" w:type="dxa"/>
            </w:tcMar>
          </w:tcPr>
          <w:p w14:paraId="4F7783C7" w14:textId="77777777" w:rsidR="00AF18C1" w:rsidRPr="00E45A73" w:rsidRDefault="00AF18C1" w:rsidP="00A1471F">
            <w:pPr>
              <w:spacing w:line="360" w:lineRule="auto"/>
              <w:jc w:val="both"/>
              <w:rPr>
                <w:rFonts w:ascii="Century" w:hAnsi="Century"/>
              </w:rPr>
            </w:pPr>
            <w:r w:rsidRPr="00E45A73">
              <w:rPr>
                <w:rFonts w:ascii="Century" w:hAnsi="Century"/>
                <w:color w:val="000000"/>
              </w:rPr>
              <w:t>BYD 4.27M NEV deliveries in 2024 vs Tesla 1.79M; China price war; US-China tariff risk; Musk brand controversy reducing demand in Europe; regulatory uncertainty over FSD</w:t>
            </w:r>
          </w:p>
        </w:tc>
        <w:tc>
          <w:tcPr>
            <w:tcW w:w="3663" w:type="dxa"/>
            <w:tcBorders>
              <w:top w:val="single" w:sz="1" w:space="0" w:color="CCCCCC"/>
              <w:left w:val="single" w:sz="1" w:space="0" w:color="CCCCCC"/>
              <w:bottom w:val="single" w:sz="1" w:space="0" w:color="CCCCCC"/>
              <w:right w:val="single" w:sz="1" w:space="0" w:color="CCCCCC"/>
            </w:tcBorders>
            <w:shd w:val="clear" w:color="auto" w:fill="FFFBF0"/>
            <w:tcMar>
              <w:top w:w="70" w:type="dxa"/>
              <w:left w:w="110" w:type="dxa"/>
              <w:bottom w:w="70" w:type="dxa"/>
              <w:right w:w="110" w:type="dxa"/>
            </w:tcMar>
          </w:tcPr>
          <w:p w14:paraId="37073B57" w14:textId="77777777" w:rsidR="00AF18C1" w:rsidRPr="00E45A73" w:rsidRDefault="00AF18C1" w:rsidP="00A1471F">
            <w:pPr>
              <w:spacing w:line="360" w:lineRule="auto"/>
              <w:jc w:val="both"/>
              <w:rPr>
                <w:rFonts w:ascii="Century" w:hAnsi="Century"/>
              </w:rPr>
            </w:pPr>
            <w:r w:rsidRPr="00E45A73">
              <w:rPr>
                <w:rFonts w:ascii="Century" w:hAnsi="Century"/>
                <w:color w:val="000000"/>
              </w:rPr>
              <w:t>Market share loss to lower-cost Chinese competitors is the most acute threat; political controversy risk is unquantifiable but measurable in European sales data (-20% Germany Q1 2025)</w:t>
            </w:r>
          </w:p>
        </w:tc>
      </w:tr>
    </w:tbl>
    <w:p w14:paraId="5ADB57F0" w14:textId="77777777" w:rsidR="00AF18C1" w:rsidRPr="00E45A73" w:rsidRDefault="00AF18C1" w:rsidP="00AF18C1">
      <w:pPr>
        <w:spacing w:after="60" w:line="360" w:lineRule="auto"/>
        <w:jc w:val="both"/>
        <w:rPr>
          <w:rFonts w:ascii="Century" w:hAnsi="Century"/>
        </w:rPr>
      </w:pPr>
    </w:p>
    <w:p w14:paraId="2BC9862E" w14:textId="77777777" w:rsidR="00AF18C1" w:rsidRPr="00E45A73" w:rsidRDefault="00AF18C1" w:rsidP="00AF18C1">
      <w:pPr>
        <w:spacing w:before="160" w:after="80" w:line="360" w:lineRule="auto"/>
        <w:jc w:val="both"/>
        <w:rPr>
          <w:rFonts w:ascii="Century" w:hAnsi="Century"/>
        </w:rPr>
      </w:pPr>
      <w:r w:rsidRPr="00E45A73">
        <w:rPr>
          <w:rFonts w:ascii="Century" w:hAnsi="Century"/>
          <w:noProof/>
        </w:rPr>
        <w:lastRenderedPageBreak/>
        <w:drawing>
          <wp:inline distT="0" distB="0" distL="0" distR="0" wp14:anchorId="2236FAEC" wp14:editId="7927D6D2">
            <wp:extent cx="5581650" cy="5210175"/>
            <wp:effectExtent l="0" t="0" r="0" b="9525"/>
            <wp:docPr id="1835685507" name="Picture 1835685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581650" cy="5210175"/>
                    </a:xfrm>
                    <a:prstGeom prst="rect">
                      <a:avLst/>
                    </a:prstGeom>
                  </pic:spPr>
                </pic:pic>
              </a:graphicData>
            </a:graphic>
          </wp:inline>
        </w:drawing>
      </w:r>
    </w:p>
    <w:p w14:paraId="6D2D4D14" w14:textId="77777777" w:rsidR="00AF18C1" w:rsidRPr="00E45A73" w:rsidRDefault="00AF18C1" w:rsidP="00AF18C1">
      <w:pPr>
        <w:spacing w:after="200" w:line="360" w:lineRule="auto"/>
        <w:jc w:val="both"/>
        <w:rPr>
          <w:rFonts w:ascii="Century" w:hAnsi="Century"/>
        </w:rPr>
      </w:pPr>
      <w:r w:rsidRPr="00E45A73">
        <w:rPr>
          <w:rFonts w:ascii="Century" w:hAnsi="Century"/>
          <w:color w:val="555555"/>
        </w:rPr>
        <w:t>Figure 1.7: Tesla Revenue Segmentation 2024. Source: Tesla 10-K Annual Report 2024</w:t>
      </w:r>
    </w:p>
    <w:p w14:paraId="7DF2E535" w14:textId="77777777" w:rsidR="00AF18C1" w:rsidRPr="00E45A73" w:rsidRDefault="00AF18C1" w:rsidP="00AF18C1">
      <w:pPr>
        <w:spacing w:after="60" w:line="360" w:lineRule="auto"/>
        <w:jc w:val="both"/>
        <w:rPr>
          <w:rFonts w:ascii="Century" w:hAnsi="Century"/>
        </w:rPr>
      </w:pPr>
    </w:p>
    <w:p w14:paraId="1FE7AD03" w14:textId="3D8345ED" w:rsidR="00AF18C1" w:rsidRPr="00E45A73" w:rsidRDefault="00AF18C1" w:rsidP="00E45A73">
      <w:pPr>
        <w:spacing w:line="360" w:lineRule="auto"/>
        <w:jc w:val="both"/>
        <w:rPr>
          <w:rFonts w:ascii="Century" w:hAnsi="Century"/>
          <w:u w:val="single"/>
        </w:rPr>
      </w:pPr>
      <w:bookmarkStart w:id="9" w:name="_Toc227673238"/>
      <w:r w:rsidRPr="00E45A73">
        <w:rPr>
          <w:rFonts w:ascii="Cambria" w:hAnsi="Cambria"/>
          <w:b/>
          <w:bCs/>
          <w:sz w:val="32"/>
          <w:szCs w:val="32"/>
          <w:u w:val="single"/>
        </w:rPr>
        <w:t>2. Working Capital Management Analysis</w:t>
      </w:r>
      <w:bookmarkEnd w:id="9"/>
    </w:p>
    <w:p w14:paraId="15E5057D" w14:textId="77777777" w:rsidR="00AF18C1" w:rsidRPr="00E45A73" w:rsidRDefault="00AF18C1" w:rsidP="00AF18C1">
      <w:pPr>
        <w:pStyle w:val="Heading2"/>
        <w:spacing w:line="360" w:lineRule="auto"/>
        <w:jc w:val="both"/>
        <w:rPr>
          <w:rFonts w:ascii="Century" w:hAnsi="Century"/>
          <w:b/>
          <w:bCs/>
          <w:sz w:val="24"/>
          <w:szCs w:val="24"/>
        </w:rPr>
      </w:pPr>
      <w:bookmarkStart w:id="10" w:name="_Toc227673239"/>
      <w:r w:rsidRPr="00E45A73">
        <w:rPr>
          <w:rFonts w:ascii="Century" w:hAnsi="Century"/>
          <w:b/>
          <w:bCs/>
          <w:sz w:val="24"/>
          <w:szCs w:val="24"/>
        </w:rPr>
        <w:t>2.1 The Cash Operating Cycle: Theoretical Framework and Application</w:t>
      </w:r>
      <w:bookmarkEnd w:id="10"/>
    </w:p>
    <w:p w14:paraId="0E104522" w14:textId="77777777" w:rsidR="00AF18C1" w:rsidRPr="00E45A73" w:rsidRDefault="00AF18C1" w:rsidP="00AF18C1">
      <w:pPr>
        <w:spacing w:before="200" w:after="80" w:line="360" w:lineRule="auto"/>
        <w:jc w:val="both"/>
        <w:rPr>
          <w:rFonts w:ascii="Century" w:hAnsi="Century"/>
        </w:rPr>
      </w:pPr>
      <w:r w:rsidRPr="00E45A73">
        <w:rPr>
          <w:rFonts w:ascii="Century" w:hAnsi="Century"/>
          <w:b/>
          <w:bCs/>
          <w:color w:val="003087"/>
        </w:rPr>
        <w:t>Table 2.1: Tesla Cash Operating Cycle Analysis 2020–2024 (Days)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1305"/>
        <w:gridCol w:w="1305"/>
        <w:gridCol w:w="1305"/>
        <w:gridCol w:w="1305"/>
        <w:gridCol w:w="1306"/>
      </w:tblGrid>
      <w:tr w:rsidR="00AF18C1" w:rsidRPr="00E45A73" w14:paraId="597EFCCB"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2138F016"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Component</w:t>
            </w: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205F4174"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2020</w:t>
            </w: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015EC13B"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2021</w:t>
            </w: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2B27AFDA"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2022</w:t>
            </w: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2C92199C"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2023</w:t>
            </w:r>
          </w:p>
        </w:tc>
        <w:tc>
          <w:tcPr>
            <w:tcW w:w="1306"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7BED4BB9"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2024</w:t>
            </w:r>
          </w:p>
        </w:tc>
      </w:tr>
      <w:tr w:rsidR="00AF18C1" w:rsidRPr="00E45A73" w14:paraId="1AB0580B"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7B4CE49"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Days Inventory Outstanding (DIO)</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E5ABEDA" w14:textId="77777777" w:rsidR="00AF18C1" w:rsidRPr="00E45A73" w:rsidRDefault="00AF18C1" w:rsidP="00A1471F">
            <w:pPr>
              <w:spacing w:line="360" w:lineRule="auto"/>
              <w:jc w:val="both"/>
              <w:rPr>
                <w:rFonts w:ascii="Century" w:hAnsi="Century"/>
              </w:rPr>
            </w:pPr>
            <w:r w:rsidRPr="00E45A73">
              <w:rPr>
                <w:rFonts w:ascii="Century" w:hAnsi="Century"/>
                <w:color w:val="000000"/>
              </w:rPr>
              <w:t>40</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A58A69C" w14:textId="77777777" w:rsidR="00AF18C1" w:rsidRPr="00E45A73" w:rsidRDefault="00AF18C1" w:rsidP="00A1471F">
            <w:pPr>
              <w:spacing w:line="360" w:lineRule="auto"/>
              <w:jc w:val="both"/>
              <w:rPr>
                <w:rFonts w:ascii="Century" w:hAnsi="Century"/>
              </w:rPr>
            </w:pPr>
            <w:r w:rsidRPr="00E45A73">
              <w:rPr>
                <w:rFonts w:ascii="Century" w:hAnsi="Century"/>
                <w:color w:val="000000"/>
              </w:rPr>
              <w:t>34</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5FC7A6D" w14:textId="77777777" w:rsidR="00AF18C1" w:rsidRPr="00E45A73" w:rsidRDefault="00AF18C1" w:rsidP="00A1471F">
            <w:pPr>
              <w:spacing w:line="360" w:lineRule="auto"/>
              <w:jc w:val="both"/>
              <w:rPr>
                <w:rFonts w:ascii="Century" w:hAnsi="Century"/>
              </w:rPr>
            </w:pPr>
            <w:r w:rsidRPr="00E45A73">
              <w:rPr>
                <w:rFonts w:ascii="Century" w:hAnsi="Century"/>
                <w:color w:val="000000"/>
              </w:rPr>
              <w:t>19</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1F17393" w14:textId="77777777" w:rsidR="00AF18C1" w:rsidRPr="00E45A73" w:rsidRDefault="00AF18C1" w:rsidP="00A1471F">
            <w:pPr>
              <w:spacing w:line="360" w:lineRule="auto"/>
              <w:jc w:val="both"/>
              <w:rPr>
                <w:rFonts w:ascii="Century" w:hAnsi="Century"/>
              </w:rPr>
            </w:pPr>
            <w:r w:rsidRPr="00E45A73">
              <w:rPr>
                <w:rFonts w:ascii="Century" w:hAnsi="Century"/>
                <w:color w:val="000000"/>
              </w:rPr>
              <w:t>17</w:t>
            </w:r>
          </w:p>
        </w:tc>
        <w:tc>
          <w:tcPr>
            <w:tcW w:w="130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6EBAF4A" w14:textId="77777777" w:rsidR="00AF18C1" w:rsidRPr="00E45A73" w:rsidRDefault="00AF18C1" w:rsidP="00A1471F">
            <w:pPr>
              <w:spacing w:line="360" w:lineRule="auto"/>
              <w:jc w:val="both"/>
              <w:rPr>
                <w:rFonts w:ascii="Century" w:hAnsi="Century"/>
              </w:rPr>
            </w:pPr>
            <w:r w:rsidRPr="00E45A73">
              <w:rPr>
                <w:rFonts w:ascii="Century" w:hAnsi="Century"/>
                <w:color w:val="000000"/>
              </w:rPr>
              <w:t>20</w:t>
            </w:r>
          </w:p>
        </w:tc>
      </w:tr>
      <w:tr w:rsidR="00AF18C1" w:rsidRPr="00E45A73" w14:paraId="79ACDDEE"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A2E4D46" w14:textId="77777777" w:rsidR="00AF18C1" w:rsidRPr="00E45A73" w:rsidRDefault="00AF18C1" w:rsidP="00A1471F">
            <w:pPr>
              <w:spacing w:line="360" w:lineRule="auto"/>
              <w:jc w:val="both"/>
              <w:rPr>
                <w:rFonts w:ascii="Century" w:hAnsi="Century"/>
              </w:rPr>
            </w:pPr>
            <w:r w:rsidRPr="00E45A73">
              <w:rPr>
                <w:rFonts w:ascii="Century" w:hAnsi="Century"/>
                <w:color w:val="000000"/>
              </w:rPr>
              <w:lastRenderedPageBreak/>
              <w:t>Days Sales Outstanding (DSO)</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D5767DF" w14:textId="77777777" w:rsidR="00AF18C1" w:rsidRPr="00E45A73" w:rsidRDefault="00AF18C1" w:rsidP="00A1471F">
            <w:pPr>
              <w:spacing w:line="360" w:lineRule="auto"/>
              <w:jc w:val="both"/>
              <w:rPr>
                <w:rFonts w:ascii="Century" w:hAnsi="Century"/>
              </w:rPr>
            </w:pPr>
            <w:r w:rsidRPr="00E45A73">
              <w:rPr>
                <w:rFonts w:ascii="Century" w:hAnsi="Century"/>
                <w:color w:val="000000"/>
              </w:rPr>
              <w:t>15</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D38B026" w14:textId="77777777" w:rsidR="00AF18C1" w:rsidRPr="00E45A73" w:rsidRDefault="00AF18C1" w:rsidP="00A1471F">
            <w:pPr>
              <w:spacing w:line="360" w:lineRule="auto"/>
              <w:jc w:val="both"/>
              <w:rPr>
                <w:rFonts w:ascii="Century" w:hAnsi="Century"/>
              </w:rPr>
            </w:pPr>
            <w:r w:rsidRPr="00E45A73">
              <w:rPr>
                <w:rFonts w:ascii="Century" w:hAnsi="Century"/>
                <w:color w:val="000000"/>
              </w:rPr>
              <w:t>14</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2CA8F5B" w14:textId="77777777" w:rsidR="00AF18C1" w:rsidRPr="00E45A73" w:rsidRDefault="00AF18C1" w:rsidP="00A1471F">
            <w:pPr>
              <w:spacing w:line="360" w:lineRule="auto"/>
              <w:jc w:val="both"/>
              <w:rPr>
                <w:rFonts w:ascii="Century" w:hAnsi="Century"/>
              </w:rPr>
            </w:pPr>
            <w:r w:rsidRPr="00E45A73">
              <w:rPr>
                <w:rFonts w:ascii="Century" w:hAnsi="Century"/>
                <w:color w:val="000000"/>
              </w:rPr>
              <w:t>14</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FEA38C0" w14:textId="77777777" w:rsidR="00AF18C1" w:rsidRPr="00E45A73" w:rsidRDefault="00AF18C1" w:rsidP="00A1471F">
            <w:pPr>
              <w:spacing w:line="360" w:lineRule="auto"/>
              <w:jc w:val="both"/>
              <w:rPr>
                <w:rFonts w:ascii="Century" w:hAnsi="Century"/>
              </w:rPr>
            </w:pPr>
            <w:r w:rsidRPr="00E45A73">
              <w:rPr>
                <w:rFonts w:ascii="Century" w:hAnsi="Century"/>
                <w:color w:val="000000"/>
              </w:rPr>
              <w:t>17</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78FFB6A" w14:textId="77777777" w:rsidR="00AF18C1" w:rsidRPr="00E45A73" w:rsidRDefault="00AF18C1" w:rsidP="00A1471F">
            <w:pPr>
              <w:spacing w:line="360" w:lineRule="auto"/>
              <w:jc w:val="both"/>
              <w:rPr>
                <w:rFonts w:ascii="Century" w:hAnsi="Century"/>
              </w:rPr>
            </w:pPr>
            <w:r w:rsidRPr="00E45A73">
              <w:rPr>
                <w:rFonts w:ascii="Century" w:hAnsi="Century"/>
                <w:color w:val="000000"/>
              </w:rPr>
              <w:t>18</w:t>
            </w:r>
          </w:p>
        </w:tc>
      </w:tr>
      <w:tr w:rsidR="00AF18C1" w:rsidRPr="00E45A73" w14:paraId="725123BE"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7CAFE26" w14:textId="77777777" w:rsidR="00AF18C1" w:rsidRPr="00E45A73" w:rsidRDefault="00AF18C1" w:rsidP="00A1471F">
            <w:pPr>
              <w:spacing w:line="360" w:lineRule="auto"/>
              <w:jc w:val="both"/>
              <w:rPr>
                <w:rFonts w:ascii="Century" w:hAnsi="Century"/>
              </w:rPr>
            </w:pPr>
            <w:r w:rsidRPr="00E45A73">
              <w:rPr>
                <w:rFonts w:ascii="Century" w:hAnsi="Century"/>
                <w:color w:val="000000"/>
              </w:rPr>
              <w:t>Days Payable Outstanding (DPO)</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1850066" w14:textId="77777777" w:rsidR="00AF18C1" w:rsidRPr="00E45A73" w:rsidRDefault="00AF18C1" w:rsidP="00A1471F">
            <w:pPr>
              <w:spacing w:line="360" w:lineRule="auto"/>
              <w:jc w:val="both"/>
              <w:rPr>
                <w:rFonts w:ascii="Century" w:hAnsi="Century"/>
              </w:rPr>
            </w:pPr>
            <w:r w:rsidRPr="00E45A73">
              <w:rPr>
                <w:rFonts w:ascii="Century" w:hAnsi="Century"/>
                <w:color w:val="000000"/>
              </w:rPr>
              <w:t>82</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66D27FE" w14:textId="77777777" w:rsidR="00AF18C1" w:rsidRPr="00E45A73" w:rsidRDefault="00AF18C1" w:rsidP="00A1471F">
            <w:pPr>
              <w:spacing w:line="360" w:lineRule="auto"/>
              <w:jc w:val="both"/>
              <w:rPr>
                <w:rFonts w:ascii="Century" w:hAnsi="Century"/>
              </w:rPr>
            </w:pPr>
            <w:r w:rsidRPr="00E45A73">
              <w:rPr>
                <w:rFonts w:ascii="Century" w:hAnsi="Century"/>
                <w:color w:val="000000"/>
              </w:rPr>
              <w:t>76</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4A3F412" w14:textId="77777777" w:rsidR="00AF18C1" w:rsidRPr="00E45A73" w:rsidRDefault="00AF18C1" w:rsidP="00A1471F">
            <w:pPr>
              <w:spacing w:line="360" w:lineRule="auto"/>
              <w:jc w:val="both"/>
              <w:rPr>
                <w:rFonts w:ascii="Century" w:hAnsi="Century"/>
              </w:rPr>
            </w:pPr>
            <w:r w:rsidRPr="00E45A73">
              <w:rPr>
                <w:rFonts w:ascii="Century" w:hAnsi="Century"/>
                <w:color w:val="000000"/>
              </w:rPr>
              <w:t>55</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0D7243D" w14:textId="77777777" w:rsidR="00AF18C1" w:rsidRPr="00E45A73" w:rsidRDefault="00AF18C1" w:rsidP="00A1471F">
            <w:pPr>
              <w:spacing w:line="360" w:lineRule="auto"/>
              <w:jc w:val="both"/>
              <w:rPr>
                <w:rFonts w:ascii="Century" w:hAnsi="Century"/>
              </w:rPr>
            </w:pPr>
            <w:r w:rsidRPr="00E45A73">
              <w:rPr>
                <w:rFonts w:ascii="Century" w:hAnsi="Century"/>
                <w:color w:val="000000"/>
              </w:rPr>
              <w:t>49</w:t>
            </w:r>
          </w:p>
        </w:tc>
        <w:tc>
          <w:tcPr>
            <w:tcW w:w="130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8961FDD" w14:textId="77777777" w:rsidR="00AF18C1" w:rsidRPr="00E45A73" w:rsidRDefault="00AF18C1" w:rsidP="00A1471F">
            <w:pPr>
              <w:spacing w:line="360" w:lineRule="auto"/>
              <w:jc w:val="both"/>
              <w:rPr>
                <w:rFonts w:ascii="Century" w:hAnsi="Century"/>
              </w:rPr>
            </w:pPr>
            <w:r w:rsidRPr="00E45A73">
              <w:rPr>
                <w:rFonts w:ascii="Century" w:hAnsi="Century"/>
                <w:color w:val="000000"/>
              </w:rPr>
              <w:t>50</w:t>
            </w:r>
          </w:p>
        </w:tc>
      </w:tr>
      <w:tr w:rsidR="00AF18C1" w:rsidRPr="00E45A73" w14:paraId="118AACEA"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2DD534A6"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Cash Operating Cycle (COC)</w:t>
            </w:r>
          </w:p>
        </w:tc>
        <w:tc>
          <w:tcPr>
            <w:tcW w:w="1305"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67518B42"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-27</w:t>
            </w:r>
          </w:p>
        </w:tc>
        <w:tc>
          <w:tcPr>
            <w:tcW w:w="1305"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3E5863B4"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-28</w:t>
            </w:r>
          </w:p>
        </w:tc>
        <w:tc>
          <w:tcPr>
            <w:tcW w:w="1305"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5FF5CC7A"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-22</w:t>
            </w:r>
          </w:p>
        </w:tc>
        <w:tc>
          <w:tcPr>
            <w:tcW w:w="1305"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73B24739"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-15</w:t>
            </w:r>
          </w:p>
        </w:tc>
        <w:tc>
          <w:tcPr>
            <w:tcW w:w="1306"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19634CEC"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-12</w:t>
            </w:r>
          </w:p>
        </w:tc>
      </w:tr>
      <w:tr w:rsidR="00AF18C1" w:rsidRPr="00E45A73" w14:paraId="2A8B18E3"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01842CF" w14:textId="77777777" w:rsidR="00AF18C1" w:rsidRPr="00E45A73" w:rsidRDefault="00AF18C1" w:rsidP="00A1471F">
            <w:pPr>
              <w:spacing w:line="360" w:lineRule="auto"/>
              <w:jc w:val="both"/>
              <w:rPr>
                <w:rFonts w:ascii="Century" w:hAnsi="Century"/>
              </w:rPr>
            </w:pPr>
            <w:r w:rsidRPr="00E45A73">
              <w:rPr>
                <w:rFonts w:ascii="Century" w:hAnsi="Century"/>
                <w:color w:val="000000"/>
              </w:rPr>
              <w:t>YoY Change (Days)</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DC7C2B7" w14:textId="77777777" w:rsidR="00AF18C1" w:rsidRPr="00E45A73" w:rsidRDefault="00AF18C1" w:rsidP="00A1471F">
            <w:pPr>
              <w:spacing w:line="360" w:lineRule="auto"/>
              <w:jc w:val="both"/>
              <w:rPr>
                <w:rFonts w:ascii="Century" w:hAnsi="Century"/>
              </w:rPr>
            </w:pPr>
            <w:r w:rsidRPr="00E45A73">
              <w:rPr>
                <w:rFonts w:ascii="Century" w:hAnsi="Century"/>
                <w:color w:val="000000"/>
              </w:rPr>
              <w:t>n/a</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3858CD8" w14:textId="77777777" w:rsidR="00AF18C1" w:rsidRPr="00E45A73" w:rsidRDefault="00AF18C1" w:rsidP="00A1471F">
            <w:pPr>
              <w:spacing w:line="360" w:lineRule="auto"/>
              <w:jc w:val="both"/>
              <w:rPr>
                <w:rFonts w:ascii="Century" w:hAnsi="Century"/>
              </w:rPr>
            </w:pPr>
            <w:r w:rsidRPr="00E45A73">
              <w:rPr>
                <w:rFonts w:ascii="Century" w:hAnsi="Century"/>
                <w:color w:val="000000"/>
              </w:rPr>
              <w:t>-1</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579144E" w14:textId="77777777" w:rsidR="00AF18C1" w:rsidRPr="00E45A73" w:rsidRDefault="00AF18C1" w:rsidP="00A1471F">
            <w:pPr>
              <w:spacing w:line="360" w:lineRule="auto"/>
              <w:jc w:val="both"/>
              <w:rPr>
                <w:rFonts w:ascii="Century" w:hAnsi="Century"/>
              </w:rPr>
            </w:pPr>
            <w:r w:rsidRPr="00E45A73">
              <w:rPr>
                <w:rFonts w:ascii="Century" w:hAnsi="Century"/>
                <w:color w:val="000000"/>
              </w:rPr>
              <w:t>+6</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10CEC5F" w14:textId="77777777" w:rsidR="00AF18C1" w:rsidRPr="00E45A73" w:rsidRDefault="00AF18C1" w:rsidP="00A1471F">
            <w:pPr>
              <w:spacing w:line="360" w:lineRule="auto"/>
              <w:jc w:val="both"/>
              <w:rPr>
                <w:rFonts w:ascii="Century" w:hAnsi="Century"/>
              </w:rPr>
            </w:pPr>
            <w:r w:rsidRPr="00E45A73">
              <w:rPr>
                <w:rFonts w:ascii="Century" w:hAnsi="Century"/>
                <w:color w:val="000000"/>
              </w:rPr>
              <w:t>+7</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7D4D20E" w14:textId="77777777" w:rsidR="00AF18C1" w:rsidRPr="00E45A73" w:rsidRDefault="00AF18C1" w:rsidP="00A1471F">
            <w:pPr>
              <w:spacing w:line="360" w:lineRule="auto"/>
              <w:jc w:val="both"/>
              <w:rPr>
                <w:rFonts w:ascii="Century" w:hAnsi="Century"/>
              </w:rPr>
            </w:pPr>
            <w:r w:rsidRPr="00E45A73">
              <w:rPr>
                <w:rFonts w:ascii="Century" w:hAnsi="Century"/>
                <w:color w:val="000000"/>
              </w:rPr>
              <w:t>+3</w:t>
            </w:r>
          </w:p>
        </w:tc>
      </w:tr>
    </w:tbl>
    <w:p w14:paraId="35467FFA" w14:textId="77777777" w:rsidR="00AF18C1" w:rsidRPr="00E45A73" w:rsidRDefault="00AF18C1" w:rsidP="00AF18C1">
      <w:pPr>
        <w:spacing w:after="60" w:line="360" w:lineRule="auto"/>
        <w:jc w:val="both"/>
        <w:rPr>
          <w:rFonts w:ascii="Century" w:hAnsi="Century"/>
        </w:rPr>
      </w:pPr>
    </w:p>
    <w:p w14:paraId="6CA8668B" w14:textId="77777777" w:rsidR="00AF18C1" w:rsidRPr="00E45A73" w:rsidRDefault="00AF18C1" w:rsidP="00AF18C1">
      <w:pPr>
        <w:spacing w:before="160" w:after="80" w:line="360" w:lineRule="auto"/>
        <w:jc w:val="both"/>
        <w:rPr>
          <w:rFonts w:ascii="Century" w:hAnsi="Century"/>
        </w:rPr>
      </w:pPr>
      <w:r w:rsidRPr="00E45A73">
        <w:rPr>
          <w:rFonts w:ascii="Century" w:hAnsi="Century"/>
          <w:noProof/>
        </w:rPr>
        <w:drawing>
          <wp:inline distT="0" distB="0" distL="0" distR="0" wp14:anchorId="186B792E" wp14:editId="6E149042">
            <wp:extent cx="5667375" cy="2567940"/>
            <wp:effectExtent l="0" t="0" r="9525" b="3810"/>
            <wp:docPr id="1142147035" name="Picture 1142147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667375" cy="2567940"/>
                    </a:xfrm>
                    <a:prstGeom prst="rect">
                      <a:avLst/>
                    </a:prstGeom>
                  </pic:spPr>
                </pic:pic>
              </a:graphicData>
            </a:graphic>
          </wp:inline>
        </w:drawing>
      </w:r>
    </w:p>
    <w:p w14:paraId="1372E2B4" w14:textId="77777777" w:rsidR="00AF18C1" w:rsidRPr="00E45A73" w:rsidRDefault="00AF18C1" w:rsidP="00AF18C1">
      <w:pPr>
        <w:spacing w:after="200" w:line="360" w:lineRule="auto"/>
        <w:jc w:val="both"/>
        <w:rPr>
          <w:rFonts w:ascii="Century" w:hAnsi="Century"/>
        </w:rPr>
      </w:pPr>
      <w:r w:rsidRPr="00E45A73">
        <w:rPr>
          <w:rFonts w:ascii="Century" w:hAnsi="Century"/>
          <w:color w:val="555555"/>
        </w:rPr>
        <w:t>Figure 2.1: Tesla Cash Operating Cycle 2020–2024. Source: Tesla Annual Reports 10-K</w:t>
      </w:r>
    </w:p>
    <w:p w14:paraId="396FBEC6" w14:textId="77777777" w:rsidR="00AF18C1" w:rsidRPr="00E45A73" w:rsidRDefault="00AF18C1" w:rsidP="00AF18C1">
      <w:pPr>
        <w:spacing w:after="60" w:line="360" w:lineRule="auto"/>
        <w:jc w:val="both"/>
        <w:rPr>
          <w:rFonts w:ascii="Century" w:hAnsi="Century"/>
        </w:rPr>
      </w:pPr>
    </w:p>
    <w:p w14:paraId="0EF6924A" w14:textId="77777777" w:rsidR="00AF18C1" w:rsidRPr="00E45A73" w:rsidRDefault="00AF18C1" w:rsidP="00AF18C1">
      <w:pPr>
        <w:spacing w:after="60" w:line="360" w:lineRule="auto"/>
        <w:jc w:val="both"/>
        <w:rPr>
          <w:rFonts w:ascii="Century" w:hAnsi="Century"/>
        </w:rPr>
      </w:pPr>
    </w:p>
    <w:p w14:paraId="2456EAFD" w14:textId="77777777" w:rsidR="00AF18C1" w:rsidRPr="00E45A73" w:rsidRDefault="00AF18C1" w:rsidP="00AF18C1">
      <w:pPr>
        <w:spacing w:after="60" w:line="360" w:lineRule="auto"/>
        <w:jc w:val="both"/>
        <w:rPr>
          <w:rFonts w:ascii="Century" w:hAnsi="Century"/>
        </w:rPr>
      </w:pPr>
    </w:p>
    <w:p w14:paraId="3581B80A" w14:textId="77777777" w:rsidR="00AF18C1" w:rsidRPr="00E45A73" w:rsidRDefault="00AF18C1" w:rsidP="00AF18C1">
      <w:pPr>
        <w:spacing w:after="60" w:line="360" w:lineRule="auto"/>
        <w:jc w:val="both"/>
        <w:rPr>
          <w:rFonts w:ascii="Century" w:hAnsi="Century"/>
        </w:rPr>
      </w:pPr>
    </w:p>
    <w:p w14:paraId="4C7E2017" w14:textId="77777777" w:rsidR="00AF18C1" w:rsidRPr="00E45A73" w:rsidRDefault="00AF18C1" w:rsidP="00AF18C1">
      <w:pPr>
        <w:spacing w:after="60" w:line="360" w:lineRule="auto"/>
        <w:jc w:val="both"/>
        <w:rPr>
          <w:rFonts w:ascii="Century" w:hAnsi="Century"/>
        </w:rPr>
      </w:pPr>
    </w:p>
    <w:p w14:paraId="1DA1DEA3" w14:textId="77777777" w:rsidR="00AF18C1" w:rsidRPr="00E45A73" w:rsidRDefault="00AF18C1" w:rsidP="00AF18C1">
      <w:pPr>
        <w:pStyle w:val="Heading2"/>
        <w:spacing w:line="360" w:lineRule="auto"/>
        <w:jc w:val="both"/>
        <w:rPr>
          <w:rFonts w:ascii="Century" w:hAnsi="Century"/>
          <w:b/>
          <w:bCs/>
          <w:sz w:val="24"/>
          <w:szCs w:val="24"/>
        </w:rPr>
      </w:pPr>
      <w:bookmarkStart w:id="11" w:name="_Toc227673240"/>
      <w:r w:rsidRPr="00E45A73">
        <w:rPr>
          <w:rFonts w:ascii="Century" w:hAnsi="Century"/>
          <w:b/>
          <w:bCs/>
          <w:sz w:val="24"/>
          <w:szCs w:val="24"/>
        </w:rPr>
        <w:t>2.2 Strategies to Improve Liquidity Through Working Capital Reforms</w:t>
      </w:r>
      <w:bookmarkEnd w:id="11"/>
    </w:p>
    <w:p w14:paraId="65E6C33E"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Since the COC is going to narrow, and the CapEx needed to fund is going to be $11.34 billion annually, the CFO team of Tesla is advised to the following working capital improvement strategies to consider in 20252026:</w:t>
      </w:r>
    </w:p>
    <w:p w14:paraId="60DD0BEC" w14:textId="77777777" w:rsidR="00AF18C1" w:rsidRPr="00E45A73" w:rsidRDefault="00AF18C1" w:rsidP="00AF18C1">
      <w:pPr>
        <w:spacing w:line="360" w:lineRule="auto"/>
        <w:jc w:val="both"/>
        <w:rPr>
          <w:rFonts w:ascii="Century" w:hAnsi="Century"/>
          <w:lang w:val="en-US"/>
        </w:rPr>
      </w:pPr>
    </w:p>
    <w:p w14:paraId="1B1F33E1"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 Supplier Payment Term Extension (DPO Recovery): Tesla can use its status as the largest buyer of battery-grade lithium in the world to renegotiate 90-day payment terms with its major suppliers such as Panasonic (battery cells - NCA cells), CATL (LFP cells), and Albemarle (lithium carbonate). With an increase in DPO to 70 days, there would be a predicted increment of free float of 3.2-3.8 billion, which would directly enhance the COC by 20 days and would free up capital to finance CapEx without incurring extra debt. Early payment incentives can be provided to the preferred suppliers by dynamic discounting platforms (like C2FO or Taulia) but continue to be extended to the general supply base.</w:t>
      </w:r>
    </w:p>
    <w:p w14:paraId="1715FBBC"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w:t>
      </w:r>
      <w:r w:rsidRPr="00E45A73">
        <w:rPr>
          <w:rFonts w:ascii="Century" w:hAnsi="Century"/>
          <w:lang w:val="en-US"/>
        </w:rPr>
        <w:tab/>
        <w:t>Receivables Acceleration and DSO Reduction: Tesla commercial fleet receivables (government, enterprise, car rental fleet customers) is already at an average of 35-45 days settlement. A Receivables Purchase Programme (RPP) or invoice factoring at 1-1.5% per annum with a big bank (e.g., JP Morgan or Citibank) would speed up the collection of cash. A 18-13 days DSO reduction would free up about 1.3 billion dollars of working capital each year. Also, Tesla ought to implement AI-based dynamic pricing systems to minimize the price negotiation cycles that slow down commercial fleet invoice payments.</w:t>
      </w:r>
    </w:p>
    <w:p w14:paraId="4167093A" w14:textId="77777777" w:rsidR="00AF18C1" w:rsidRPr="00E45A73" w:rsidRDefault="00AF18C1" w:rsidP="00AF18C1">
      <w:pPr>
        <w:pStyle w:val="Heading2"/>
        <w:spacing w:line="360" w:lineRule="auto"/>
        <w:jc w:val="both"/>
        <w:rPr>
          <w:rFonts w:ascii="Cambria" w:hAnsi="Cambria"/>
          <w:b/>
          <w:bCs/>
          <w:sz w:val="24"/>
          <w:szCs w:val="24"/>
        </w:rPr>
      </w:pPr>
      <w:bookmarkStart w:id="12" w:name="_Toc227673241"/>
      <w:r w:rsidRPr="00E45A73">
        <w:rPr>
          <w:rFonts w:ascii="Cambria" w:hAnsi="Cambria"/>
          <w:b/>
          <w:bCs/>
          <w:sz w:val="24"/>
          <w:szCs w:val="24"/>
        </w:rPr>
        <w:t>2.3 Short-Term vs Long-Term Financing Options</w:t>
      </w:r>
      <w:bookmarkEnd w:id="12"/>
    </w:p>
    <w:p w14:paraId="28D9DD2C"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With Tesla in a unique situation: cash-rich (36.56B), low-geared (D/E 0.19), investment-grade rated (BBB+), and annual CapEx needs of over 11 billion, it is necessary to be disciplined with regards to the capital structure to maintain financial flexibility and finance the ambitious growth agenda of the company (Brigham and Houston, 2021).</w:t>
      </w:r>
    </w:p>
    <w:p w14:paraId="4906B86D" w14:textId="77777777" w:rsidR="00AF18C1" w:rsidRPr="00E45A73" w:rsidRDefault="00AF18C1" w:rsidP="00AF18C1">
      <w:pPr>
        <w:spacing w:before="200" w:after="80" w:line="360" w:lineRule="auto"/>
        <w:jc w:val="both"/>
        <w:rPr>
          <w:rFonts w:ascii="Cambria" w:hAnsi="Cambria"/>
          <w:b/>
          <w:bCs/>
        </w:rPr>
      </w:pPr>
      <w:r w:rsidRPr="00E45A73">
        <w:rPr>
          <w:rFonts w:ascii="Cambria" w:hAnsi="Cambria"/>
          <w:b/>
          <w:bCs/>
          <w:color w:val="003087"/>
        </w:rPr>
        <w:t>Table 2.2: Tesla Financing Options Comparison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91"/>
        <w:gridCol w:w="945"/>
        <w:gridCol w:w="1571"/>
        <w:gridCol w:w="1384"/>
        <w:gridCol w:w="1239"/>
        <w:gridCol w:w="2296"/>
      </w:tblGrid>
      <w:tr w:rsidR="00AF18C1" w:rsidRPr="00E45A73" w14:paraId="2BF56A38" w14:textId="77777777" w:rsidTr="00A1471F">
        <w:tc>
          <w:tcPr>
            <w:tcW w:w="19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21DE0677"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Financing Option</w:t>
            </w:r>
          </w:p>
        </w:tc>
        <w:tc>
          <w:tcPr>
            <w:tcW w:w="14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5DAAC70A"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Type</w:t>
            </w:r>
          </w:p>
        </w:tc>
        <w:tc>
          <w:tcPr>
            <w:tcW w:w="12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7BA2B33B"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Est. Cost</w:t>
            </w:r>
          </w:p>
        </w:tc>
        <w:tc>
          <w:tcPr>
            <w:tcW w:w="12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2BC2CE27"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Flexibility</w:t>
            </w:r>
          </w:p>
        </w:tc>
        <w:tc>
          <w:tcPr>
            <w:tcW w:w="12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6B6B8169"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Dilution</w:t>
            </w:r>
          </w:p>
        </w:tc>
        <w:tc>
          <w:tcPr>
            <w:tcW w:w="2126"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165091C8"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CFO Recommendation</w:t>
            </w:r>
          </w:p>
        </w:tc>
      </w:tr>
      <w:tr w:rsidR="00AF18C1" w:rsidRPr="00E45A73" w14:paraId="0123ECD7" w14:textId="77777777" w:rsidTr="00A1471F">
        <w:tc>
          <w:tcPr>
            <w:tcW w:w="19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0F8A18B" w14:textId="77777777" w:rsidR="00AF18C1" w:rsidRPr="00E45A73" w:rsidRDefault="00AF18C1" w:rsidP="00A1471F">
            <w:pPr>
              <w:spacing w:line="360" w:lineRule="auto"/>
              <w:jc w:val="both"/>
              <w:rPr>
                <w:rFonts w:ascii="Century" w:hAnsi="Century"/>
              </w:rPr>
            </w:pPr>
            <w:r w:rsidRPr="00E45A73">
              <w:rPr>
                <w:rFonts w:ascii="Century" w:hAnsi="Century"/>
                <w:color w:val="000000"/>
              </w:rPr>
              <w:t xml:space="preserve">Revolving Credit </w:t>
            </w:r>
            <w:r w:rsidRPr="00E45A73">
              <w:rPr>
                <w:rFonts w:ascii="Century" w:hAnsi="Century"/>
                <w:color w:val="000000"/>
              </w:rPr>
              <w:lastRenderedPageBreak/>
              <w:t>Facility ($5B)</w:t>
            </w:r>
          </w:p>
        </w:tc>
        <w:tc>
          <w:tcPr>
            <w:tcW w:w="14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D59F1A4" w14:textId="77777777" w:rsidR="00AF18C1" w:rsidRPr="00E45A73" w:rsidRDefault="00AF18C1" w:rsidP="00A1471F">
            <w:pPr>
              <w:spacing w:line="360" w:lineRule="auto"/>
              <w:jc w:val="both"/>
              <w:rPr>
                <w:rFonts w:ascii="Century" w:hAnsi="Century"/>
              </w:rPr>
            </w:pPr>
            <w:r w:rsidRPr="00E45A73">
              <w:rPr>
                <w:rFonts w:ascii="Century" w:hAnsi="Century"/>
                <w:color w:val="000000"/>
              </w:rPr>
              <w:lastRenderedPageBreak/>
              <w:t>Short-Term</w:t>
            </w:r>
          </w:p>
        </w:tc>
        <w:tc>
          <w:tcPr>
            <w:tcW w:w="12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E97F77F" w14:textId="77777777" w:rsidR="00AF18C1" w:rsidRPr="00E45A73" w:rsidRDefault="00AF18C1" w:rsidP="00A1471F">
            <w:pPr>
              <w:spacing w:line="360" w:lineRule="auto"/>
              <w:jc w:val="both"/>
              <w:rPr>
                <w:rFonts w:ascii="Century" w:hAnsi="Century"/>
              </w:rPr>
            </w:pPr>
            <w:r w:rsidRPr="00E45A73">
              <w:rPr>
                <w:rFonts w:ascii="Century" w:hAnsi="Century"/>
                <w:color w:val="000000"/>
              </w:rPr>
              <w:t>SOFR+1.5%</w:t>
            </w:r>
          </w:p>
        </w:tc>
        <w:tc>
          <w:tcPr>
            <w:tcW w:w="12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6FE9D0E" w14:textId="77777777" w:rsidR="00AF18C1" w:rsidRPr="00E45A73" w:rsidRDefault="00AF18C1" w:rsidP="00A1471F">
            <w:pPr>
              <w:spacing w:line="360" w:lineRule="auto"/>
              <w:jc w:val="both"/>
              <w:rPr>
                <w:rFonts w:ascii="Century" w:hAnsi="Century"/>
              </w:rPr>
            </w:pPr>
            <w:r w:rsidRPr="00E45A73">
              <w:rPr>
                <w:rFonts w:ascii="Century" w:hAnsi="Century"/>
                <w:color w:val="000000"/>
              </w:rPr>
              <w:t>Very High</w:t>
            </w:r>
          </w:p>
        </w:tc>
        <w:tc>
          <w:tcPr>
            <w:tcW w:w="12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0DBD45C" w14:textId="77777777" w:rsidR="00AF18C1" w:rsidRPr="00E45A73" w:rsidRDefault="00AF18C1" w:rsidP="00A1471F">
            <w:pPr>
              <w:spacing w:line="360" w:lineRule="auto"/>
              <w:jc w:val="both"/>
              <w:rPr>
                <w:rFonts w:ascii="Century" w:hAnsi="Century"/>
              </w:rPr>
            </w:pPr>
            <w:r w:rsidRPr="00E45A73">
              <w:rPr>
                <w:rFonts w:ascii="Century" w:hAnsi="Century"/>
                <w:color w:val="000000"/>
              </w:rPr>
              <w:t>None</w:t>
            </w:r>
          </w:p>
        </w:tc>
        <w:tc>
          <w:tcPr>
            <w:tcW w:w="212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C6EC90E" w14:textId="77777777" w:rsidR="00AF18C1" w:rsidRPr="00E45A73" w:rsidRDefault="00AF18C1" w:rsidP="00A1471F">
            <w:pPr>
              <w:spacing w:line="360" w:lineRule="auto"/>
              <w:jc w:val="both"/>
              <w:rPr>
                <w:rFonts w:ascii="Century" w:hAnsi="Century"/>
              </w:rPr>
            </w:pPr>
            <w:r w:rsidRPr="00E45A73">
              <w:rPr>
                <w:rFonts w:ascii="Century" w:hAnsi="Century"/>
                <w:color w:val="000000"/>
              </w:rPr>
              <w:t xml:space="preserve">Use for seasonal working capital; </w:t>
            </w:r>
            <w:r w:rsidRPr="00E45A73">
              <w:rPr>
                <w:rFonts w:ascii="Century" w:hAnsi="Century"/>
                <w:color w:val="000000"/>
              </w:rPr>
              <w:lastRenderedPageBreak/>
              <w:t>maintain as liquidity backstop</w:t>
            </w:r>
          </w:p>
        </w:tc>
      </w:tr>
      <w:tr w:rsidR="00AF18C1" w:rsidRPr="00E45A73" w14:paraId="0B68DDFC" w14:textId="77777777" w:rsidTr="00A1471F">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A41A3E9" w14:textId="77777777" w:rsidR="00AF18C1" w:rsidRPr="00E45A73" w:rsidRDefault="00AF18C1" w:rsidP="00A1471F">
            <w:pPr>
              <w:spacing w:line="360" w:lineRule="auto"/>
              <w:jc w:val="both"/>
              <w:rPr>
                <w:rFonts w:ascii="Century" w:hAnsi="Century"/>
              </w:rPr>
            </w:pPr>
            <w:r w:rsidRPr="00E45A73">
              <w:rPr>
                <w:rFonts w:ascii="Century" w:hAnsi="Century"/>
                <w:color w:val="000000"/>
              </w:rPr>
              <w:lastRenderedPageBreak/>
              <w:t>Commercial Paper ($2B)</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339F724" w14:textId="77777777" w:rsidR="00AF18C1" w:rsidRPr="00E45A73" w:rsidRDefault="00AF18C1" w:rsidP="00A1471F">
            <w:pPr>
              <w:spacing w:line="360" w:lineRule="auto"/>
              <w:jc w:val="both"/>
              <w:rPr>
                <w:rFonts w:ascii="Century" w:hAnsi="Century"/>
              </w:rPr>
            </w:pPr>
            <w:r w:rsidRPr="00E45A73">
              <w:rPr>
                <w:rFonts w:ascii="Century" w:hAnsi="Century"/>
                <w:color w:val="000000"/>
              </w:rPr>
              <w:t>Short-Term</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1CAE8B0" w14:textId="77777777" w:rsidR="00AF18C1" w:rsidRPr="00E45A73" w:rsidRDefault="00AF18C1" w:rsidP="00A1471F">
            <w:pPr>
              <w:spacing w:line="360" w:lineRule="auto"/>
              <w:jc w:val="both"/>
              <w:rPr>
                <w:rFonts w:ascii="Century" w:hAnsi="Century"/>
              </w:rPr>
            </w:pPr>
            <w:r w:rsidRPr="00E45A73">
              <w:rPr>
                <w:rFonts w:ascii="Century" w:hAnsi="Century"/>
                <w:color w:val="000000"/>
              </w:rPr>
              <w:t>~4.5%</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04D5BC9" w14:textId="77777777" w:rsidR="00AF18C1" w:rsidRPr="00E45A73" w:rsidRDefault="00AF18C1" w:rsidP="00A1471F">
            <w:pPr>
              <w:spacing w:line="360" w:lineRule="auto"/>
              <w:jc w:val="both"/>
              <w:rPr>
                <w:rFonts w:ascii="Century" w:hAnsi="Century"/>
              </w:rPr>
            </w:pPr>
            <w:r w:rsidRPr="00E45A73">
              <w:rPr>
                <w:rFonts w:ascii="Century" w:hAnsi="Century"/>
                <w:color w:val="000000"/>
              </w:rPr>
              <w:t>High</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2C7228A" w14:textId="77777777" w:rsidR="00AF18C1" w:rsidRPr="00E45A73" w:rsidRDefault="00AF18C1" w:rsidP="00A1471F">
            <w:pPr>
              <w:spacing w:line="360" w:lineRule="auto"/>
              <w:jc w:val="both"/>
              <w:rPr>
                <w:rFonts w:ascii="Century" w:hAnsi="Century"/>
              </w:rPr>
            </w:pPr>
            <w:r w:rsidRPr="00E45A73">
              <w:rPr>
                <w:rFonts w:ascii="Century" w:hAnsi="Century"/>
                <w:color w:val="000000"/>
              </w:rPr>
              <w:t>None</w:t>
            </w:r>
          </w:p>
        </w:tc>
        <w:tc>
          <w:tcPr>
            <w:tcW w:w="212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C84BD8E" w14:textId="77777777" w:rsidR="00AF18C1" w:rsidRPr="00E45A73" w:rsidRDefault="00AF18C1" w:rsidP="00A1471F">
            <w:pPr>
              <w:spacing w:line="360" w:lineRule="auto"/>
              <w:jc w:val="both"/>
              <w:rPr>
                <w:rFonts w:ascii="Century" w:hAnsi="Century"/>
              </w:rPr>
            </w:pPr>
            <w:r w:rsidRPr="00E45A73">
              <w:rPr>
                <w:rFonts w:ascii="Century" w:hAnsi="Century"/>
                <w:color w:val="000000"/>
              </w:rPr>
              <w:t>Suitable for bridge financing inventory purchases</w:t>
            </w:r>
          </w:p>
        </w:tc>
      </w:tr>
      <w:tr w:rsidR="00AF18C1" w:rsidRPr="00E45A73" w14:paraId="527BB86D" w14:textId="77777777" w:rsidTr="00A1471F">
        <w:tc>
          <w:tcPr>
            <w:tcW w:w="19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118C784" w14:textId="77777777" w:rsidR="00AF18C1" w:rsidRPr="00E45A73" w:rsidRDefault="00AF18C1" w:rsidP="00A1471F">
            <w:pPr>
              <w:spacing w:line="360" w:lineRule="auto"/>
              <w:jc w:val="both"/>
              <w:rPr>
                <w:rFonts w:ascii="Century" w:hAnsi="Century"/>
              </w:rPr>
            </w:pPr>
            <w:r w:rsidRPr="00E45A73">
              <w:rPr>
                <w:rFonts w:ascii="Century" w:hAnsi="Century"/>
                <w:color w:val="000000"/>
              </w:rPr>
              <w:t>Green Bonds ($5–7B)</w:t>
            </w:r>
          </w:p>
        </w:tc>
        <w:tc>
          <w:tcPr>
            <w:tcW w:w="14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EAAEAEB" w14:textId="77777777" w:rsidR="00AF18C1" w:rsidRPr="00E45A73" w:rsidRDefault="00AF18C1" w:rsidP="00A1471F">
            <w:pPr>
              <w:spacing w:line="360" w:lineRule="auto"/>
              <w:jc w:val="both"/>
              <w:rPr>
                <w:rFonts w:ascii="Century" w:hAnsi="Century"/>
              </w:rPr>
            </w:pPr>
            <w:r w:rsidRPr="00E45A73">
              <w:rPr>
                <w:rFonts w:ascii="Century" w:hAnsi="Century"/>
                <w:color w:val="000000"/>
              </w:rPr>
              <w:t>Long-Term</w:t>
            </w:r>
          </w:p>
        </w:tc>
        <w:tc>
          <w:tcPr>
            <w:tcW w:w="12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E031CA7" w14:textId="77777777" w:rsidR="00AF18C1" w:rsidRPr="00E45A73" w:rsidRDefault="00AF18C1" w:rsidP="00A1471F">
            <w:pPr>
              <w:spacing w:line="360" w:lineRule="auto"/>
              <w:jc w:val="both"/>
              <w:rPr>
                <w:rFonts w:ascii="Century" w:hAnsi="Century"/>
              </w:rPr>
            </w:pPr>
            <w:r w:rsidRPr="00E45A73">
              <w:rPr>
                <w:rFonts w:ascii="Century" w:hAnsi="Century"/>
                <w:color w:val="000000"/>
              </w:rPr>
              <w:t>~4.0–5.0%</w:t>
            </w:r>
          </w:p>
        </w:tc>
        <w:tc>
          <w:tcPr>
            <w:tcW w:w="12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86EFFFF" w14:textId="77777777" w:rsidR="00AF18C1" w:rsidRPr="00E45A73" w:rsidRDefault="00AF18C1" w:rsidP="00A1471F">
            <w:pPr>
              <w:spacing w:line="360" w:lineRule="auto"/>
              <w:jc w:val="both"/>
              <w:rPr>
                <w:rFonts w:ascii="Century" w:hAnsi="Century"/>
              </w:rPr>
            </w:pPr>
            <w:r w:rsidRPr="00E45A73">
              <w:rPr>
                <w:rFonts w:ascii="Century" w:hAnsi="Century"/>
                <w:color w:val="000000"/>
              </w:rPr>
              <w:t>Low</w:t>
            </w:r>
          </w:p>
        </w:tc>
        <w:tc>
          <w:tcPr>
            <w:tcW w:w="12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55F9E7E" w14:textId="77777777" w:rsidR="00AF18C1" w:rsidRPr="00E45A73" w:rsidRDefault="00AF18C1" w:rsidP="00A1471F">
            <w:pPr>
              <w:spacing w:line="360" w:lineRule="auto"/>
              <w:jc w:val="both"/>
              <w:rPr>
                <w:rFonts w:ascii="Century" w:hAnsi="Century"/>
              </w:rPr>
            </w:pPr>
            <w:r w:rsidRPr="00E45A73">
              <w:rPr>
                <w:rFonts w:ascii="Century" w:hAnsi="Century"/>
                <w:color w:val="000000"/>
              </w:rPr>
              <w:t>None</w:t>
            </w:r>
          </w:p>
        </w:tc>
        <w:tc>
          <w:tcPr>
            <w:tcW w:w="212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0504533" w14:textId="77777777" w:rsidR="00AF18C1" w:rsidRPr="00E45A73" w:rsidRDefault="00AF18C1" w:rsidP="00A1471F">
            <w:pPr>
              <w:spacing w:line="360" w:lineRule="auto"/>
              <w:jc w:val="both"/>
              <w:rPr>
                <w:rFonts w:ascii="Century" w:hAnsi="Century"/>
              </w:rPr>
            </w:pPr>
            <w:r w:rsidRPr="00E45A73">
              <w:rPr>
                <w:rFonts w:ascii="Century" w:hAnsi="Century"/>
                <w:color w:val="000000"/>
              </w:rPr>
              <w:t>RECOMMENDED — aligns with ESG strategy; best for Gigafactory CapEx</w:t>
            </w:r>
          </w:p>
        </w:tc>
      </w:tr>
      <w:tr w:rsidR="00AF18C1" w:rsidRPr="00E45A73" w14:paraId="32358ADF" w14:textId="77777777" w:rsidTr="00A1471F">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F5F1406" w14:textId="77777777" w:rsidR="00AF18C1" w:rsidRPr="00E45A73" w:rsidRDefault="00AF18C1" w:rsidP="00A1471F">
            <w:pPr>
              <w:spacing w:line="360" w:lineRule="auto"/>
              <w:jc w:val="both"/>
              <w:rPr>
                <w:rFonts w:ascii="Century" w:hAnsi="Century"/>
              </w:rPr>
            </w:pPr>
            <w:r w:rsidRPr="00E45A73">
              <w:rPr>
                <w:rFonts w:ascii="Century" w:hAnsi="Century"/>
                <w:color w:val="000000"/>
              </w:rPr>
              <w:t>Investment-Grade Bonds ($3B)</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D900FA2" w14:textId="77777777" w:rsidR="00AF18C1" w:rsidRPr="00E45A73" w:rsidRDefault="00AF18C1" w:rsidP="00A1471F">
            <w:pPr>
              <w:spacing w:line="360" w:lineRule="auto"/>
              <w:jc w:val="both"/>
              <w:rPr>
                <w:rFonts w:ascii="Century" w:hAnsi="Century"/>
              </w:rPr>
            </w:pPr>
            <w:r w:rsidRPr="00E45A73">
              <w:rPr>
                <w:rFonts w:ascii="Century" w:hAnsi="Century"/>
                <w:color w:val="000000"/>
              </w:rPr>
              <w:t>Long-Term</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AB49199" w14:textId="77777777" w:rsidR="00AF18C1" w:rsidRPr="00E45A73" w:rsidRDefault="00AF18C1" w:rsidP="00A1471F">
            <w:pPr>
              <w:spacing w:line="360" w:lineRule="auto"/>
              <w:jc w:val="both"/>
              <w:rPr>
                <w:rFonts w:ascii="Century" w:hAnsi="Century"/>
              </w:rPr>
            </w:pPr>
            <w:r w:rsidRPr="00E45A73">
              <w:rPr>
                <w:rFonts w:ascii="Century" w:hAnsi="Century"/>
                <w:color w:val="000000"/>
              </w:rPr>
              <w:t>~5.2%</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C424298" w14:textId="77777777" w:rsidR="00AF18C1" w:rsidRPr="00E45A73" w:rsidRDefault="00AF18C1" w:rsidP="00A1471F">
            <w:pPr>
              <w:spacing w:line="360" w:lineRule="auto"/>
              <w:jc w:val="both"/>
              <w:rPr>
                <w:rFonts w:ascii="Century" w:hAnsi="Century"/>
              </w:rPr>
            </w:pPr>
            <w:r w:rsidRPr="00E45A73">
              <w:rPr>
                <w:rFonts w:ascii="Century" w:hAnsi="Century"/>
                <w:color w:val="000000"/>
              </w:rPr>
              <w:t>Low</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5019AE9" w14:textId="77777777" w:rsidR="00AF18C1" w:rsidRPr="00E45A73" w:rsidRDefault="00AF18C1" w:rsidP="00A1471F">
            <w:pPr>
              <w:spacing w:line="360" w:lineRule="auto"/>
              <w:jc w:val="both"/>
              <w:rPr>
                <w:rFonts w:ascii="Century" w:hAnsi="Century"/>
              </w:rPr>
            </w:pPr>
            <w:r w:rsidRPr="00E45A73">
              <w:rPr>
                <w:rFonts w:ascii="Century" w:hAnsi="Century"/>
                <w:color w:val="000000"/>
              </w:rPr>
              <w:t>None</w:t>
            </w:r>
          </w:p>
        </w:tc>
        <w:tc>
          <w:tcPr>
            <w:tcW w:w="212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9A0A061" w14:textId="77777777" w:rsidR="00AF18C1" w:rsidRPr="00E45A73" w:rsidRDefault="00AF18C1" w:rsidP="00A1471F">
            <w:pPr>
              <w:spacing w:line="360" w:lineRule="auto"/>
              <w:jc w:val="both"/>
              <w:rPr>
                <w:rFonts w:ascii="Century" w:hAnsi="Century"/>
              </w:rPr>
            </w:pPr>
            <w:r w:rsidRPr="00E45A73">
              <w:rPr>
                <w:rFonts w:ascii="Century" w:hAnsi="Century"/>
                <w:color w:val="000000"/>
              </w:rPr>
              <w:t>Use for AI infrastructure &amp; Dojo supercomputer</w:t>
            </w:r>
          </w:p>
        </w:tc>
      </w:tr>
      <w:tr w:rsidR="00AF18C1" w:rsidRPr="00E45A73" w14:paraId="266BC3F1" w14:textId="77777777" w:rsidTr="00A1471F">
        <w:tc>
          <w:tcPr>
            <w:tcW w:w="19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B1D5A7D" w14:textId="77777777" w:rsidR="00AF18C1" w:rsidRPr="00E45A73" w:rsidRDefault="00AF18C1" w:rsidP="00A1471F">
            <w:pPr>
              <w:spacing w:line="360" w:lineRule="auto"/>
              <w:jc w:val="both"/>
              <w:rPr>
                <w:rFonts w:ascii="Century" w:hAnsi="Century"/>
              </w:rPr>
            </w:pPr>
            <w:r w:rsidRPr="00E45A73">
              <w:rPr>
                <w:rFonts w:ascii="Century" w:hAnsi="Century"/>
                <w:color w:val="000000"/>
              </w:rPr>
              <w:t>Convertible Bonds</w:t>
            </w:r>
          </w:p>
        </w:tc>
        <w:tc>
          <w:tcPr>
            <w:tcW w:w="14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0254035" w14:textId="77777777" w:rsidR="00AF18C1" w:rsidRPr="00E45A73" w:rsidRDefault="00AF18C1" w:rsidP="00A1471F">
            <w:pPr>
              <w:spacing w:line="360" w:lineRule="auto"/>
              <w:jc w:val="both"/>
              <w:rPr>
                <w:rFonts w:ascii="Century" w:hAnsi="Century"/>
              </w:rPr>
            </w:pPr>
            <w:r w:rsidRPr="00E45A73">
              <w:rPr>
                <w:rFonts w:ascii="Century" w:hAnsi="Century"/>
                <w:color w:val="000000"/>
              </w:rPr>
              <w:t>Long-Term</w:t>
            </w:r>
          </w:p>
        </w:tc>
        <w:tc>
          <w:tcPr>
            <w:tcW w:w="12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01D0013" w14:textId="77777777" w:rsidR="00AF18C1" w:rsidRPr="00E45A73" w:rsidRDefault="00AF18C1" w:rsidP="00A1471F">
            <w:pPr>
              <w:spacing w:line="360" w:lineRule="auto"/>
              <w:jc w:val="both"/>
              <w:rPr>
                <w:rFonts w:ascii="Century" w:hAnsi="Century"/>
              </w:rPr>
            </w:pPr>
            <w:r w:rsidRPr="00E45A73">
              <w:rPr>
                <w:rFonts w:ascii="Century" w:hAnsi="Century"/>
                <w:color w:val="000000"/>
              </w:rPr>
              <w:t>~2–3%</w:t>
            </w:r>
          </w:p>
        </w:tc>
        <w:tc>
          <w:tcPr>
            <w:tcW w:w="12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398DC67" w14:textId="77777777" w:rsidR="00AF18C1" w:rsidRPr="00E45A73" w:rsidRDefault="00AF18C1" w:rsidP="00A1471F">
            <w:pPr>
              <w:spacing w:line="360" w:lineRule="auto"/>
              <w:jc w:val="both"/>
              <w:rPr>
                <w:rFonts w:ascii="Century" w:hAnsi="Century"/>
              </w:rPr>
            </w:pPr>
            <w:r w:rsidRPr="00E45A73">
              <w:rPr>
                <w:rFonts w:ascii="Century" w:hAnsi="Century"/>
                <w:color w:val="000000"/>
              </w:rPr>
              <w:t>Moderate</w:t>
            </w:r>
          </w:p>
        </w:tc>
        <w:tc>
          <w:tcPr>
            <w:tcW w:w="12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A4C2CDE" w14:textId="77777777" w:rsidR="00AF18C1" w:rsidRPr="00E45A73" w:rsidRDefault="00AF18C1" w:rsidP="00A1471F">
            <w:pPr>
              <w:spacing w:line="360" w:lineRule="auto"/>
              <w:jc w:val="both"/>
              <w:rPr>
                <w:rFonts w:ascii="Century" w:hAnsi="Century"/>
              </w:rPr>
            </w:pPr>
            <w:r w:rsidRPr="00E45A73">
              <w:rPr>
                <w:rFonts w:ascii="Century" w:hAnsi="Century"/>
                <w:color w:val="000000"/>
              </w:rPr>
              <w:t>Potential</w:t>
            </w:r>
          </w:p>
        </w:tc>
        <w:tc>
          <w:tcPr>
            <w:tcW w:w="212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7620523" w14:textId="77777777" w:rsidR="00AF18C1" w:rsidRPr="00E45A73" w:rsidRDefault="00AF18C1" w:rsidP="00A1471F">
            <w:pPr>
              <w:spacing w:line="360" w:lineRule="auto"/>
              <w:jc w:val="both"/>
              <w:rPr>
                <w:rFonts w:ascii="Century" w:hAnsi="Century"/>
              </w:rPr>
            </w:pPr>
            <w:r w:rsidRPr="00E45A73">
              <w:rPr>
                <w:rFonts w:ascii="Century" w:hAnsi="Century"/>
                <w:color w:val="000000"/>
              </w:rPr>
              <w:t>Consider if share price &gt;$400 to minimise dilution risk</w:t>
            </w:r>
          </w:p>
        </w:tc>
      </w:tr>
      <w:tr w:rsidR="00AF18C1" w:rsidRPr="00E45A73" w14:paraId="28B8B111" w14:textId="77777777" w:rsidTr="00A1471F">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F48BF2F" w14:textId="77777777" w:rsidR="00AF18C1" w:rsidRPr="00E45A73" w:rsidRDefault="00AF18C1" w:rsidP="00A1471F">
            <w:pPr>
              <w:spacing w:line="360" w:lineRule="auto"/>
              <w:jc w:val="both"/>
              <w:rPr>
                <w:rFonts w:ascii="Century" w:hAnsi="Century"/>
              </w:rPr>
            </w:pPr>
            <w:r w:rsidRPr="00E45A73">
              <w:rPr>
                <w:rFonts w:ascii="Century" w:hAnsi="Century"/>
                <w:color w:val="000000"/>
              </w:rPr>
              <w:t>Equity Issuance (ATM)</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4DB1E40" w14:textId="77777777" w:rsidR="00AF18C1" w:rsidRPr="00E45A73" w:rsidRDefault="00AF18C1" w:rsidP="00A1471F">
            <w:pPr>
              <w:spacing w:line="360" w:lineRule="auto"/>
              <w:jc w:val="both"/>
              <w:rPr>
                <w:rFonts w:ascii="Century" w:hAnsi="Century"/>
              </w:rPr>
            </w:pPr>
            <w:r w:rsidRPr="00E45A73">
              <w:rPr>
                <w:rFonts w:ascii="Century" w:hAnsi="Century"/>
                <w:color w:val="000000"/>
              </w:rPr>
              <w:t>Long-Term</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5247596" w14:textId="77777777" w:rsidR="00AF18C1" w:rsidRPr="00E45A73" w:rsidRDefault="00AF18C1" w:rsidP="00A1471F">
            <w:pPr>
              <w:spacing w:line="360" w:lineRule="auto"/>
              <w:jc w:val="both"/>
              <w:rPr>
                <w:rFonts w:ascii="Century" w:hAnsi="Century"/>
              </w:rPr>
            </w:pPr>
            <w:r w:rsidRPr="00E45A73">
              <w:rPr>
                <w:rFonts w:ascii="Century" w:hAnsi="Century"/>
                <w:color w:val="000000"/>
              </w:rPr>
              <w:t>Cost of Equity</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2BFCA8B" w14:textId="77777777" w:rsidR="00AF18C1" w:rsidRPr="00E45A73" w:rsidRDefault="00AF18C1" w:rsidP="00A1471F">
            <w:pPr>
              <w:spacing w:line="360" w:lineRule="auto"/>
              <w:jc w:val="both"/>
              <w:rPr>
                <w:rFonts w:ascii="Century" w:hAnsi="Century"/>
              </w:rPr>
            </w:pPr>
            <w:r w:rsidRPr="00E45A73">
              <w:rPr>
                <w:rFonts w:ascii="Century" w:hAnsi="Century"/>
                <w:color w:val="000000"/>
              </w:rPr>
              <w:t>High</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2CA022D" w14:textId="77777777" w:rsidR="00AF18C1" w:rsidRPr="00E45A73" w:rsidRDefault="00AF18C1" w:rsidP="00A1471F">
            <w:pPr>
              <w:spacing w:line="360" w:lineRule="auto"/>
              <w:jc w:val="both"/>
              <w:rPr>
                <w:rFonts w:ascii="Century" w:hAnsi="Century"/>
              </w:rPr>
            </w:pPr>
            <w:r w:rsidRPr="00E45A73">
              <w:rPr>
                <w:rFonts w:ascii="Century" w:hAnsi="Century"/>
                <w:color w:val="000000"/>
              </w:rPr>
              <w:t>Dilutive</w:t>
            </w:r>
          </w:p>
        </w:tc>
        <w:tc>
          <w:tcPr>
            <w:tcW w:w="212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AC23D5C" w14:textId="77777777" w:rsidR="00AF18C1" w:rsidRPr="00E45A73" w:rsidRDefault="00AF18C1" w:rsidP="00A1471F">
            <w:pPr>
              <w:spacing w:line="360" w:lineRule="auto"/>
              <w:jc w:val="both"/>
              <w:rPr>
                <w:rFonts w:ascii="Century" w:hAnsi="Century"/>
              </w:rPr>
            </w:pPr>
            <w:r w:rsidRPr="00E45A73">
              <w:rPr>
                <w:rFonts w:ascii="Century" w:hAnsi="Century"/>
                <w:color w:val="000000"/>
              </w:rPr>
              <w:t>AVOID — dilutes EPS at current valuation; not necessary given cash position</w:t>
            </w:r>
          </w:p>
        </w:tc>
      </w:tr>
    </w:tbl>
    <w:p w14:paraId="506D9DF6" w14:textId="77777777" w:rsidR="00AF18C1" w:rsidRPr="00E45A73" w:rsidRDefault="00AF18C1" w:rsidP="00AF18C1">
      <w:pPr>
        <w:spacing w:after="60" w:line="360" w:lineRule="auto"/>
        <w:jc w:val="both"/>
        <w:rPr>
          <w:rFonts w:ascii="Century" w:hAnsi="Century"/>
        </w:rPr>
      </w:pPr>
    </w:p>
    <w:p w14:paraId="1851B678" w14:textId="77777777" w:rsidR="00AF18C1" w:rsidRPr="00E45A73" w:rsidRDefault="00AF18C1" w:rsidP="00AF18C1">
      <w:pPr>
        <w:spacing w:before="160" w:after="80" w:line="360" w:lineRule="auto"/>
        <w:jc w:val="both"/>
        <w:rPr>
          <w:rFonts w:ascii="Century" w:hAnsi="Century"/>
        </w:rPr>
      </w:pPr>
      <w:r w:rsidRPr="00E45A73">
        <w:rPr>
          <w:rFonts w:ascii="Century" w:hAnsi="Century"/>
          <w:noProof/>
        </w:rPr>
        <w:lastRenderedPageBreak/>
        <w:drawing>
          <wp:inline distT="0" distB="0" distL="0" distR="0" wp14:anchorId="25EF16CF" wp14:editId="604ACD27">
            <wp:extent cx="5667375" cy="2924175"/>
            <wp:effectExtent l="0" t="0" r="0" b="0"/>
            <wp:docPr id="130024601" name="Picture 130024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667375" cy="2924175"/>
                    </a:xfrm>
                    <a:prstGeom prst="rect">
                      <a:avLst/>
                    </a:prstGeom>
                  </pic:spPr>
                </pic:pic>
              </a:graphicData>
            </a:graphic>
          </wp:inline>
        </w:drawing>
      </w:r>
    </w:p>
    <w:p w14:paraId="11D1D3BE" w14:textId="77777777" w:rsidR="00AF18C1" w:rsidRPr="00E45A73" w:rsidRDefault="00AF18C1" w:rsidP="00AF18C1">
      <w:pPr>
        <w:spacing w:after="200" w:line="360" w:lineRule="auto"/>
        <w:jc w:val="both"/>
        <w:rPr>
          <w:rFonts w:ascii="Century" w:hAnsi="Century"/>
        </w:rPr>
      </w:pPr>
      <w:r w:rsidRPr="00E45A73">
        <w:rPr>
          <w:rFonts w:ascii="Century" w:hAnsi="Century"/>
          <w:color w:val="555555"/>
        </w:rPr>
        <w:t>Figure 2.2: Tesla Operating Cash Flow vs Free Cash Flow 2020–2024. Source: Tesla Annual Reports 10-K</w:t>
      </w:r>
      <w:r w:rsidRPr="00E45A73">
        <w:rPr>
          <w:rFonts w:ascii="Century" w:hAnsi="Century"/>
        </w:rPr>
        <w:br w:type="page"/>
      </w:r>
    </w:p>
    <w:p w14:paraId="756F6FA2" w14:textId="77777777" w:rsidR="00AF18C1" w:rsidRPr="00E45A73" w:rsidRDefault="00AF18C1" w:rsidP="00AF18C1">
      <w:pPr>
        <w:pStyle w:val="Heading1"/>
        <w:spacing w:line="360" w:lineRule="auto"/>
        <w:jc w:val="both"/>
        <w:rPr>
          <w:rFonts w:ascii="Cambria" w:hAnsi="Cambria"/>
          <w:b/>
          <w:bCs/>
          <w:sz w:val="28"/>
          <w:szCs w:val="28"/>
          <w:u w:val="single"/>
        </w:rPr>
      </w:pPr>
      <w:bookmarkStart w:id="13" w:name="_Toc227673242"/>
      <w:r w:rsidRPr="00E45A73">
        <w:rPr>
          <w:rFonts w:ascii="Cambria" w:hAnsi="Cambria"/>
          <w:b/>
          <w:bCs/>
          <w:sz w:val="28"/>
          <w:szCs w:val="28"/>
          <w:u w:val="single"/>
        </w:rPr>
        <w:lastRenderedPageBreak/>
        <w:t>3. Strategic Financial Restructuring Plan</w:t>
      </w:r>
      <w:bookmarkEnd w:id="13"/>
    </w:p>
    <w:p w14:paraId="5F7639A2" w14:textId="77777777" w:rsidR="00AF18C1" w:rsidRPr="00E45A73" w:rsidRDefault="00AF18C1" w:rsidP="00AF18C1">
      <w:pPr>
        <w:pStyle w:val="Heading2"/>
        <w:spacing w:line="360" w:lineRule="auto"/>
        <w:jc w:val="both"/>
        <w:rPr>
          <w:rFonts w:ascii="Cambria" w:hAnsi="Cambria"/>
          <w:b/>
          <w:bCs/>
          <w:sz w:val="24"/>
          <w:szCs w:val="24"/>
        </w:rPr>
      </w:pPr>
      <w:bookmarkStart w:id="14" w:name="_Toc227673243"/>
      <w:r w:rsidRPr="00E45A73">
        <w:rPr>
          <w:rFonts w:ascii="Cambria" w:hAnsi="Cambria"/>
          <w:b/>
          <w:bCs/>
          <w:sz w:val="24"/>
          <w:szCs w:val="24"/>
        </w:rPr>
        <w:t>3.1 Context and Rationale for Restructuring</w:t>
      </w:r>
      <w:bookmarkEnd w:id="14"/>
    </w:p>
    <w:p w14:paraId="558DDAB6"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Tesla financial picture in 2024 has been a paradox: the company has one of the greatest balance sheets in the world automotive industry, but the income statement is declining in a more rapid rate. The net income dropped by half a year on year in 2024, operating margins shrank by 200 basis points and the return on capital employed (ROCE) stands at 7.6 percent, less than the minimum required hurdle rate of 1012 by many big institutional investors. Unchecked, this trend will lead to a material de-rating of the Tesla equity valuation, activist shareholder pressure, and possible credit rating downgrades that will cause.</w:t>
      </w:r>
    </w:p>
    <w:p w14:paraId="3E0C504F" w14:textId="77777777" w:rsidR="00AF18C1" w:rsidRPr="00E45A73" w:rsidRDefault="00AF18C1" w:rsidP="00AF18C1">
      <w:pPr>
        <w:pStyle w:val="Heading3"/>
        <w:spacing w:line="360" w:lineRule="auto"/>
        <w:jc w:val="both"/>
        <w:rPr>
          <w:rFonts w:ascii="Cambria" w:hAnsi="Cambria"/>
          <w:b/>
          <w:bCs/>
          <w:sz w:val="24"/>
          <w:szCs w:val="24"/>
        </w:rPr>
      </w:pPr>
      <w:bookmarkStart w:id="15" w:name="_Toc227673244"/>
      <w:r w:rsidRPr="00E45A73">
        <w:rPr>
          <w:rFonts w:ascii="Cambria" w:hAnsi="Cambria"/>
          <w:b/>
          <w:bCs/>
          <w:sz w:val="24"/>
          <w:szCs w:val="24"/>
        </w:rPr>
        <w:t>3.2 Option 1: Divestiture of SolarCity/Residential Solar Assets</w:t>
      </w:r>
      <w:bookmarkEnd w:id="15"/>
    </w:p>
    <w:p w14:paraId="7971B885"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In November 2016, Tesla purchased SolarCity Corporation in a deal valued at $2.6 billion that has left institutional investors divided over the deal because of the high levels of conflicts of interest (Elon Musk was the Chairman of SolarCity at the time). The residential solar project has been performing poorly below expectations, with a drop in Solar Roof installations to 128 MW in 2024, a 41 percent reduction over 218 MW in 2022. Solar brought a gross margin of about 8-10 to the residential business, which is far less than the corporate average, and must be continually invested in installer workforce training, warranty reserves, and installation equipment.</w:t>
      </w:r>
    </w:p>
    <w:p w14:paraId="1AC0ADA5"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An ordered sale of the residential solar business to a specialty solar installer (including Sunrun, SunPower or a privately-backed aggregator) is projected to fetch proceeds of $1.8-2.4 billion based on a 1.5-2.0x price-to-revenue multiple of annual residential solar revenues of about 1.2 billion dollars. The proceeds would: (i) lower CapEx commitments by -350-450 million per annum; (ii) enhance the group gross margin by about 30-40 basis points as the dilutive low-margin revenue is eliminated; and (iii) free up management bandwidth to concentrate on higher-profit segments. This form of strategic divestiture is not a new idea: the portfolio rationalisation of General Electric (20182023) over the years has shown that focussed industrial companies are priced at a much higher multiple than diversified conglomerates (Harvard Business Review, 2022).</w:t>
      </w:r>
    </w:p>
    <w:p w14:paraId="6CD258FF" w14:textId="77777777" w:rsidR="00AF18C1" w:rsidRPr="00E45A73" w:rsidRDefault="00AF18C1" w:rsidP="00AF18C1">
      <w:pPr>
        <w:pStyle w:val="Heading3"/>
        <w:spacing w:line="360" w:lineRule="auto"/>
        <w:jc w:val="both"/>
        <w:rPr>
          <w:rFonts w:ascii="Cambria" w:hAnsi="Cambria"/>
          <w:b/>
          <w:bCs/>
          <w:sz w:val="24"/>
          <w:szCs w:val="24"/>
        </w:rPr>
      </w:pPr>
      <w:bookmarkStart w:id="16" w:name="_Toc227673245"/>
      <w:r w:rsidRPr="00E45A73">
        <w:rPr>
          <w:rFonts w:ascii="Cambria" w:hAnsi="Cambria"/>
          <w:b/>
          <w:bCs/>
          <w:sz w:val="24"/>
          <w:szCs w:val="24"/>
        </w:rPr>
        <w:lastRenderedPageBreak/>
        <w:t>3.3 Option 2: Partial Spin-Off or IPO of Tesla Energy Division</w:t>
      </w:r>
      <w:bookmarkEnd w:id="16"/>
    </w:p>
    <w:p w14:paraId="5CAD2878"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One of the most attractive growth businesses in the world is the Energy Generation and Storage business of Tesla. The Energy segment is essentially under-acknowledged as a sub-story to the automotive-dominated equity story of Tesla with revenue of 10.1billion increasing by 67 percent/year, a 26.2 percent gross margin (compared with 18.4 percent in the automotive segment) and a total addressable market of grid-scale battery storage of 500billion/year by 2 Similar pure-play energy storage firms like Fluence Energy and Stem, Inc. trade at revenue multiples of 2.5 -4.0x, suggesting that, Tesla Energy, in isolation, could be valued at $25-40 billion.</w:t>
      </w:r>
    </w:p>
    <w:p w14:paraId="79F66AEB"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An independent market value reference point of Tesla Energy in the NASDAQ (20-25 percent IPO), retaining majority ownership (75-80 percent), would: (i) create an independent market valuation point of Tesla Energy; (ii) draw dedicated ESG-oriented institutional capital into the clean energy funds; (iii) provide a currency (Energy shares) to further acquisitions in the battery storage market; and (iv) Spin-off structure is better than a complete disposal because the structure enables Tesla to maintain operational control and consolidation of Energy financials whilst enjoying the valuation premium. The capital structure of a listed Tesla Energy, which was ring-fenced, would enable it to issue Green Bond at rates advantageous to it on its own and lower the overall cost of capital of the parent company.</w:t>
      </w:r>
    </w:p>
    <w:p w14:paraId="7D70A5B7" w14:textId="77777777" w:rsidR="00AF18C1" w:rsidRPr="00E45A73" w:rsidRDefault="00AF18C1" w:rsidP="00AF18C1">
      <w:pPr>
        <w:spacing w:after="60" w:line="360" w:lineRule="auto"/>
        <w:jc w:val="both"/>
        <w:rPr>
          <w:rFonts w:ascii="Century" w:hAnsi="Century"/>
        </w:rPr>
      </w:pPr>
    </w:p>
    <w:p w14:paraId="6592507E" w14:textId="77777777" w:rsidR="00AF18C1" w:rsidRPr="00E45A73" w:rsidRDefault="00AF18C1" w:rsidP="00AF18C1">
      <w:pPr>
        <w:pStyle w:val="Heading3"/>
        <w:spacing w:line="360" w:lineRule="auto"/>
        <w:jc w:val="both"/>
        <w:rPr>
          <w:rFonts w:ascii="Cambria" w:hAnsi="Cambria"/>
          <w:b/>
          <w:bCs/>
          <w:sz w:val="24"/>
          <w:szCs w:val="24"/>
        </w:rPr>
      </w:pPr>
      <w:bookmarkStart w:id="17" w:name="_Toc227673246"/>
      <w:r w:rsidRPr="00E45A73">
        <w:rPr>
          <w:rFonts w:ascii="Cambria" w:hAnsi="Cambria"/>
          <w:b/>
          <w:bCs/>
          <w:sz w:val="24"/>
          <w:szCs w:val="24"/>
        </w:rPr>
        <w:t>3.4 Option 3: Strategic Joint Venture for FSD and AI Monetisation</w:t>
      </w:r>
      <w:bookmarkEnd w:id="17"/>
    </w:p>
    <w:p w14:paraId="3926EB15"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The Full Self-Driving (FSD) technology stack and Dojo AI training supercomputer of Tesla are the largest unmonetised intellectual property asset in the automotive sector. By Q4 2024, Tesla had gathered 1.3 billion miles of real-world FSD data, which is an unassailable competitive moat against new competitors. Nonetheless, the existing monetisation scheme of a subscription at $99/month or a one-time purchase at $8,000 brings about about 1.5-2.0 billion software revenue per year, which is a small part of the economic capability of the technology.</w:t>
      </w:r>
    </w:p>
    <w:p w14:paraId="25156164"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 xml:space="preserve">A strategic joint venture with a leading semiconductor manufacturer (NVIDIA, TSMC, or Qualcomm) structured as a 51:49 ownership split, in which Tesla </w:t>
      </w:r>
      <w:r w:rsidRPr="00E45A73">
        <w:rPr>
          <w:rFonts w:ascii="Century" w:hAnsi="Century"/>
          <w:lang w:val="en-US"/>
        </w:rPr>
        <w:lastRenderedPageBreak/>
        <w:t>contributes its training data, FSD software algorithms, and Dojo architecture, while the partner contributes chip manufacturing capacity and semiconductor R&amp;D, would: (i) generate an immediate cash payment of $5–8 billion as the partner's entry consideration; (ii) establish recurring licensing royalties estimated at $800 million–1.2 billion per annum once robotaxi deployment scales; (iii) significantly accelerate FSD commercialisation timelines by leveraging partner semiconductor expertise; and (iv) potentially unlock a "software company" re-rating of Tesla's price-to-earnings multiple from a current 80x to 120–150x if FSD achieves Level 4 autonomy certification at scale (Lev and Gu, 2023).</w:t>
      </w:r>
    </w:p>
    <w:p w14:paraId="40460E39" w14:textId="77777777" w:rsidR="00AF18C1" w:rsidRPr="00E45A73" w:rsidRDefault="00AF18C1" w:rsidP="00AF18C1">
      <w:pPr>
        <w:spacing w:after="60" w:line="360" w:lineRule="auto"/>
        <w:jc w:val="both"/>
        <w:rPr>
          <w:rFonts w:ascii="Century" w:hAnsi="Century"/>
        </w:rPr>
      </w:pPr>
    </w:p>
    <w:p w14:paraId="5A9C72D4" w14:textId="77777777" w:rsidR="00AF18C1" w:rsidRPr="00E45A73" w:rsidRDefault="00AF18C1" w:rsidP="00AF18C1">
      <w:pPr>
        <w:pStyle w:val="Heading2"/>
        <w:spacing w:line="360" w:lineRule="auto"/>
        <w:jc w:val="both"/>
        <w:rPr>
          <w:rFonts w:ascii="Cambria" w:hAnsi="Cambria"/>
          <w:b/>
          <w:bCs/>
          <w:sz w:val="24"/>
          <w:szCs w:val="24"/>
        </w:rPr>
      </w:pPr>
      <w:bookmarkStart w:id="18" w:name="_Toc227673247"/>
      <w:r w:rsidRPr="00E45A73">
        <w:rPr>
          <w:rFonts w:ascii="Cambria" w:hAnsi="Cambria"/>
          <w:b/>
          <w:bCs/>
          <w:sz w:val="24"/>
          <w:szCs w:val="24"/>
        </w:rPr>
        <w:t>3.5 Impact Analysis and Recommended Restructuring Path</w:t>
      </w:r>
      <w:bookmarkEnd w:id="18"/>
    </w:p>
    <w:p w14:paraId="3EEE0BDA" w14:textId="77777777" w:rsidR="00AF18C1" w:rsidRPr="00E45A73" w:rsidRDefault="00AF18C1" w:rsidP="00AF18C1">
      <w:pPr>
        <w:spacing w:before="200" w:after="80" w:line="360" w:lineRule="auto"/>
        <w:jc w:val="both"/>
        <w:rPr>
          <w:rFonts w:ascii="Century" w:hAnsi="Century"/>
        </w:rPr>
      </w:pPr>
      <w:r w:rsidRPr="00E45A73">
        <w:rPr>
          <w:rFonts w:ascii="Century" w:hAnsi="Century"/>
          <w:b/>
          <w:bCs/>
          <w:color w:val="003087"/>
        </w:rPr>
        <w:t>Table 3.1: Restructuring Options — Comparative Impact Assessment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2300"/>
        <w:gridCol w:w="2300"/>
        <w:gridCol w:w="2426"/>
      </w:tblGrid>
      <w:tr w:rsidR="00AF18C1" w:rsidRPr="00E45A73" w14:paraId="5E0F7002" w14:textId="77777777" w:rsidTr="00A1471F">
        <w:tc>
          <w:tcPr>
            <w:tcW w:w="20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4D49860F"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Dimension</w:t>
            </w:r>
          </w:p>
        </w:tc>
        <w:tc>
          <w:tcPr>
            <w:tcW w:w="23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18A8BB74"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Option 1: SolarCity Divestiture</w:t>
            </w:r>
          </w:p>
        </w:tc>
        <w:tc>
          <w:tcPr>
            <w:tcW w:w="23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1C2C07FE"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Option 2: Energy IPO</w:t>
            </w:r>
          </w:p>
        </w:tc>
        <w:tc>
          <w:tcPr>
            <w:tcW w:w="2426"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603B4D40"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Option 3: FSD/AI JV</w:t>
            </w:r>
          </w:p>
        </w:tc>
      </w:tr>
      <w:tr w:rsidR="00AF18C1" w:rsidRPr="00E45A73" w14:paraId="0DBAB5E9" w14:textId="77777777" w:rsidTr="00A1471F">
        <w:tc>
          <w:tcPr>
            <w:tcW w:w="20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148DBD0"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Shareholder Value</w:t>
            </w:r>
          </w:p>
        </w:tc>
        <w:tc>
          <w:tcPr>
            <w:tcW w:w="23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325814C" w14:textId="77777777" w:rsidR="00AF18C1" w:rsidRPr="00E45A73" w:rsidRDefault="00AF18C1" w:rsidP="00A1471F">
            <w:pPr>
              <w:spacing w:line="360" w:lineRule="auto"/>
              <w:jc w:val="center"/>
              <w:rPr>
                <w:rFonts w:ascii="Century" w:hAnsi="Century"/>
              </w:rPr>
            </w:pPr>
            <w:r w:rsidRPr="00E45A73">
              <w:rPr>
                <w:rFonts w:ascii="Century" w:hAnsi="Century"/>
                <w:color w:val="000000"/>
              </w:rPr>
              <w:t>+$1.8–2.4B proceeds; +30–40bp gross margin improvement; immediate EPS accretion</w:t>
            </w:r>
          </w:p>
        </w:tc>
        <w:tc>
          <w:tcPr>
            <w:tcW w:w="23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0DE0611" w14:textId="77777777" w:rsidR="00AF18C1" w:rsidRPr="00E45A73" w:rsidRDefault="00AF18C1" w:rsidP="00A1471F">
            <w:pPr>
              <w:spacing w:line="360" w:lineRule="auto"/>
              <w:jc w:val="center"/>
              <w:rPr>
                <w:rFonts w:ascii="Century" w:hAnsi="Century"/>
              </w:rPr>
            </w:pPr>
            <w:r w:rsidRPr="00E45A73">
              <w:rPr>
                <w:rFonts w:ascii="Century" w:hAnsi="Century"/>
                <w:color w:val="000000"/>
              </w:rPr>
              <w:t>+$25–40B valuation unlock; conglomerate discount removal; clean energy investor base</w:t>
            </w:r>
          </w:p>
        </w:tc>
        <w:tc>
          <w:tcPr>
            <w:tcW w:w="242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09BA2A1" w14:textId="77777777" w:rsidR="00AF18C1" w:rsidRPr="00E45A73" w:rsidRDefault="00AF18C1" w:rsidP="00A1471F">
            <w:pPr>
              <w:spacing w:line="360" w:lineRule="auto"/>
              <w:jc w:val="center"/>
              <w:rPr>
                <w:rFonts w:ascii="Century" w:hAnsi="Century"/>
              </w:rPr>
            </w:pPr>
            <w:r w:rsidRPr="00E45A73">
              <w:rPr>
                <w:rFonts w:ascii="Century" w:hAnsi="Century"/>
                <w:color w:val="000000"/>
              </w:rPr>
              <w:t>+$5–8B upfront; $800M–1.2B annual royalties; P/E re-rating to 120–150x</w:t>
            </w:r>
          </w:p>
        </w:tc>
      </w:tr>
      <w:tr w:rsidR="00AF18C1" w:rsidRPr="00E45A73" w14:paraId="1A2A1AC2" w14:textId="77777777" w:rsidTr="00A1471F">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EE160B1"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Debt Structure Impact</w:t>
            </w:r>
          </w:p>
        </w:tc>
        <w:tc>
          <w:tcPr>
            <w:tcW w:w="23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7475738" w14:textId="77777777" w:rsidR="00AF18C1" w:rsidRPr="00E45A73" w:rsidRDefault="00AF18C1" w:rsidP="00A1471F">
            <w:pPr>
              <w:spacing w:line="360" w:lineRule="auto"/>
              <w:jc w:val="center"/>
              <w:rPr>
                <w:rFonts w:ascii="Century" w:hAnsi="Century"/>
              </w:rPr>
            </w:pPr>
            <w:r w:rsidRPr="00E45A73">
              <w:rPr>
                <w:rFonts w:ascii="Century" w:hAnsi="Century"/>
                <w:color w:val="000000"/>
              </w:rPr>
              <w:t>Reduces CapEx commitment by $350–450M pa; proceeds reduce net debt/improve cash position</w:t>
            </w:r>
          </w:p>
        </w:tc>
        <w:tc>
          <w:tcPr>
            <w:tcW w:w="23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6E9CEEB" w14:textId="77777777" w:rsidR="00AF18C1" w:rsidRPr="00E45A73" w:rsidRDefault="00AF18C1" w:rsidP="00A1471F">
            <w:pPr>
              <w:spacing w:line="360" w:lineRule="auto"/>
              <w:jc w:val="center"/>
              <w:rPr>
                <w:rFonts w:ascii="Century" w:hAnsi="Century"/>
              </w:rPr>
            </w:pPr>
            <w:r w:rsidRPr="00E45A73">
              <w:rPr>
                <w:rFonts w:ascii="Century" w:hAnsi="Century"/>
                <w:color w:val="000000"/>
              </w:rPr>
              <w:t>Energy entity issues own Green Bonds; reduces parent borrowing pressure</w:t>
            </w:r>
          </w:p>
        </w:tc>
        <w:tc>
          <w:tcPr>
            <w:tcW w:w="242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2B3E377" w14:textId="77777777" w:rsidR="00AF18C1" w:rsidRPr="00E45A73" w:rsidRDefault="00AF18C1" w:rsidP="00A1471F">
            <w:pPr>
              <w:spacing w:line="360" w:lineRule="auto"/>
              <w:jc w:val="center"/>
              <w:rPr>
                <w:rFonts w:ascii="Century" w:hAnsi="Century"/>
              </w:rPr>
            </w:pPr>
            <w:r w:rsidRPr="00E45A73">
              <w:rPr>
                <w:rFonts w:ascii="Century" w:hAnsi="Century"/>
                <w:color w:val="000000"/>
              </w:rPr>
              <w:t>Minimal if structured as JV; avoids M&amp;A debt loading</w:t>
            </w:r>
          </w:p>
        </w:tc>
      </w:tr>
      <w:tr w:rsidR="00AF18C1" w:rsidRPr="00E45A73" w14:paraId="4840F4CC" w14:textId="77777777" w:rsidTr="00A1471F">
        <w:tc>
          <w:tcPr>
            <w:tcW w:w="20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C5145BD"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Operational Flexibility</w:t>
            </w:r>
          </w:p>
        </w:tc>
        <w:tc>
          <w:tcPr>
            <w:tcW w:w="23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4ED4584" w14:textId="77777777" w:rsidR="00AF18C1" w:rsidRPr="00E45A73" w:rsidRDefault="00AF18C1" w:rsidP="00A1471F">
            <w:pPr>
              <w:spacing w:line="360" w:lineRule="auto"/>
              <w:jc w:val="center"/>
              <w:rPr>
                <w:rFonts w:ascii="Century" w:hAnsi="Century"/>
              </w:rPr>
            </w:pPr>
            <w:r w:rsidRPr="00E45A73">
              <w:rPr>
                <w:rFonts w:ascii="Century" w:hAnsi="Century"/>
                <w:color w:val="000000"/>
              </w:rPr>
              <w:t xml:space="preserve">HIGH — simplifies </w:t>
            </w:r>
            <w:r w:rsidRPr="00E45A73">
              <w:rPr>
                <w:rFonts w:ascii="Century" w:hAnsi="Century"/>
                <w:color w:val="000000"/>
              </w:rPr>
              <w:lastRenderedPageBreak/>
              <w:t>portfolio; management focus on EV + Energy storage</w:t>
            </w:r>
          </w:p>
        </w:tc>
        <w:tc>
          <w:tcPr>
            <w:tcW w:w="23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D90BB56" w14:textId="77777777" w:rsidR="00AF18C1" w:rsidRPr="00E45A73" w:rsidRDefault="00AF18C1" w:rsidP="00A1471F">
            <w:pPr>
              <w:spacing w:line="360" w:lineRule="auto"/>
              <w:jc w:val="center"/>
              <w:rPr>
                <w:rFonts w:ascii="Century" w:hAnsi="Century"/>
              </w:rPr>
            </w:pPr>
            <w:r w:rsidRPr="00E45A73">
              <w:rPr>
                <w:rFonts w:ascii="Century" w:hAnsi="Century"/>
                <w:color w:val="000000"/>
              </w:rPr>
              <w:lastRenderedPageBreak/>
              <w:t xml:space="preserve">VERY HIGH — independent </w:t>
            </w:r>
            <w:r w:rsidRPr="00E45A73">
              <w:rPr>
                <w:rFonts w:ascii="Century" w:hAnsi="Century"/>
                <w:color w:val="000000"/>
              </w:rPr>
              <w:lastRenderedPageBreak/>
              <w:t>board and capital allocation for Energy business</w:t>
            </w:r>
          </w:p>
        </w:tc>
        <w:tc>
          <w:tcPr>
            <w:tcW w:w="242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46F98AE" w14:textId="77777777" w:rsidR="00AF18C1" w:rsidRPr="00E45A73" w:rsidRDefault="00AF18C1" w:rsidP="00A1471F">
            <w:pPr>
              <w:spacing w:line="360" w:lineRule="auto"/>
              <w:jc w:val="center"/>
              <w:rPr>
                <w:rFonts w:ascii="Century" w:hAnsi="Century"/>
              </w:rPr>
            </w:pPr>
            <w:r w:rsidRPr="00E45A73">
              <w:rPr>
                <w:rFonts w:ascii="Century" w:hAnsi="Century"/>
                <w:color w:val="000000"/>
              </w:rPr>
              <w:lastRenderedPageBreak/>
              <w:t xml:space="preserve">MODERATE — IP sharing may limit </w:t>
            </w:r>
            <w:r w:rsidRPr="00E45A73">
              <w:rPr>
                <w:rFonts w:ascii="Century" w:hAnsi="Century"/>
                <w:color w:val="000000"/>
              </w:rPr>
              <w:lastRenderedPageBreak/>
              <w:t>future strategic options</w:t>
            </w:r>
          </w:p>
        </w:tc>
      </w:tr>
      <w:tr w:rsidR="00AF18C1" w:rsidRPr="00E45A73" w14:paraId="61BCE82E" w14:textId="77777777" w:rsidTr="00A1471F">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EFC08AD"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lastRenderedPageBreak/>
              <w:t>Risk</w:t>
            </w:r>
          </w:p>
        </w:tc>
        <w:tc>
          <w:tcPr>
            <w:tcW w:w="23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5E5DB7F" w14:textId="77777777" w:rsidR="00AF18C1" w:rsidRPr="00E45A73" w:rsidRDefault="00AF18C1" w:rsidP="00A1471F">
            <w:pPr>
              <w:spacing w:line="360" w:lineRule="auto"/>
              <w:jc w:val="center"/>
              <w:rPr>
                <w:rFonts w:ascii="Century" w:hAnsi="Century"/>
              </w:rPr>
            </w:pPr>
            <w:r w:rsidRPr="00E45A73">
              <w:rPr>
                <w:rFonts w:ascii="Century" w:hAnsi="Century"/>
                <w:color w:val="000000"/>
              </w:rPr>
              <w:t>LOW — well-precedented; buyer market for solar assets</w:t>
            </w:r>
          </w:p>
        </w:tc>
        <w:tc>
          <w:tcPr>
            <w:tcW w:w="23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E225A58" w14:textId="77777777" w:rsidR="00AF18C1" w:rsidRPr="00E45A73" w:rsidRDefault="00AF18C1" w:rsidP="00A1471F">
            <w:pPr>
              <w:spacing w:line="360" w:lineRule="auto"/>
              <w:jc w:val="center"/>
              <w:rPr>
                <w:rFonts w:ascii="Century" w:hAnsi="Century"/>
              </w:rPr>
            </w:pPr>
            <w:r w:rsidRPr="00E45A73">
              <w:rPr>
                <w:rFonts w:ascii="Century" w:hAnsi="Century"/>
                <w:color w:val="000000"/>
              </w:rPr>
              <w:t>MEDIUM — execution complexity; regulatory approvals; market timing</w:t>
            </w:r>
          </w:p>
        </w:tc>
        <w:tc>
          <w:tcPr>
            <w:tcW w:w="242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6F0DF8D" w14:textId="77777777" w:rsidR="00AF18C1" w:rsidRPr="00E45A73" w:rsidRDefault="00AF18C1" w:rsidP="00A1471F">
            <w:pPr>
              <w:spacing w:line="360" w:lineRule="auto"/>
              <w:jc w:val="center"/>
              <w:rPr>
                <w:rFonts w:ascii="Century" w:hAnsi="Century"/>
              </w:rPr>
            </w:pPr>
            <w:r w:rsidRPr="00E45A73">
              <w:rPr>
                <w:rFonts w:ascii="Century" w:hAnsi="Century"/>
                <w:color w:val="000000"/>
              </w:rPr>
              <w:t>HIGH — IP leakage risk; partner misalignment; regulatory antitrust scrutiny</w:t>
            </w:r>
          </w:p>
        </w:tc>
      </w:tr>
      <w:tr w:rsidR="00AF18C1" w:rsidRPr="00E45A73" w14:paraId="4E229923" w14:textId="77777777" w:rsidTr="00A1471F">
        <w:tc>
          <w:tcPr>
            <w:tcW w:w="2000"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27242340"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Recommended?</w:t>
            </w:r>
          </w:p>
        </w:tc>
        <w:tc>
          <w:tcPr>
            <w:tcW w:w="2300" w:type="dxa"/>
            <w:tcBorders>
              <w:top w:val="single" w:sz="1" w:space="0" w:color="CCCCCC"/>
              <w:left w:val="single" w:sz="1" w:space="0" w:color="CCCCCC"/>
              <w:bottom w:val="single" w:sz="1" w:space="0" w:color="CCCCCC"/>
              <w:right w:val="single" w:sz="1" w:space="0" w:color="CCCCCC"/>
            </w:tcBorders>
            <w:shd w:val="clear" w:color="auto" w:fill="D5F0D5"/>
            <w:tcMar>
              <w:top w:w="70" w:type="dxa"/>
              <w:left w:w="110" w:type="dxa"/>
              <w:bottom w:w="70" w:type="dxa"/>
              <w:right w:w="110" w:type="dxa"/>
            </w:tcMar>
          </w:tcPr>
          <w:p w14:paraId="30690F5D" w14:textId="77777777" w:rsidR="00AF18C1" w:rsidRPr="00E45A73" w:rsidRDefault="00AF18C1" w:rsidP="00A1471F">
            <w:pPr>
              <w:spacing w:line="360" w:lineRule="auto"/>
              <w:jc w:val="center"/>
              <w:rPr>
                <w:rFonts w:ascii="Century" w:hAnsi="Century"/>
              </w:rPr>
            </w:pPr>
            <w:r w:rsidRPr="00E45A73">
              <w:rPr>
                <w:rFonts w:ascii="Century" w:hAnsi="Century"/>
                <w:b/>
                <w:bCs/>
                <w:color w:val="000000"/>
              </w:rPr>
              <w:t>YES — immediate execution priority</w:t>
            </w:r>
          </w:p>
        </w:tc>
        <w:tc>
          <w:tcPr>
            <w:tcW w:w="2300" w:type="dxa"/>
            <w:tcBorders>
              <w:top w:val="single" w:sz="1" w:space="0" w:color="CCCCCC"/>
              <w:left w:val="single" w:sz="1" w:space="0" w:color="CCCCCC"/>
              <w:bottom w:val="single" w:sz="1" w:space="0" w:color="CCCCCC"/>
              <w:right w:val="single" w:sz="1" w:space="0" w:color="CCCCCC"/>
            </w:tcBorders>
            <w:shd w:val="clear" w:color="auto" w:fill="D5F0D5"/>
            <w:tcMar>
              <w:top w:w="70" w:type="dxa"/>
              <w:left w:w="110" w:type="dxa"/>
              <w:bottom w:w="70" w:type="dxa"/>
              <w:right w:w="110" w:type="dxa"/>
            </w:tcMar>
          </w:tcPr>
          <w:p w14:paraId="497F36B4" w14:textId="77777777" w:rsidR="00AF18C1" w:rsidRPr="00E45A73" w:rsidRDefault="00AF18C1" w:rsidP="00A1471F">
            <w:pPr>
              <w:spacing w:line="360" w:lineRule="auto"/>
              <w:jc w:val="center"/>
              <w:rPr>
                <w:rFonts w:ascii="Century" w:hAnsi="Century"/>
              </w:rPr>
            </w:pPr>
            <w:r w:rsidRPr="00E45A73">
              <w:rPr>
                <w:rFonts w:ascii="Century" w:hAnsi="Century"/>
                <w:b/>
                <w:bCs/>
                <w:color w:val="000000"/>
              </w:rPr>
              <w:t>YES — medium-term (2026–2027)</w:t>
            </w:r>
          </w:p>
        </w:tc>
        <w:tc>
          <w:tcPr>
            <w:tcW w:w="2426" w:type="dxa"/>
            <w:tcBorders>
              <w:top w:val="single" w:sz="1" w:space="0" w:color="CCCCCC"/>
              <w:left w:val="single" w:sz="1" w:space="0" w:color="CCCCCC"/>
              <w:bottom w:val="single" w:sz="1" w:space="0" w:color="CCCCCC"/>
              <w:right w:val="single" w:sz="1" w:space="0" w:color="CCCCCC"/>
            </w:tcBorders>
            <w:shd w:val="clear" w:color="auto" w:fill="FFF5E5"/>
            <w:tcMar>
              <w:top w:w="70" w:type="dxa"/>
              <w:left w:w="110" w:type="dxa"/>
              <w:bottom w:w="70" w:type="dxa"/>
              <w:right w:w="110" w:type="dxa"/>
            </w:tcMar>
          </w:tcPr>
          <w:p w14:paraId="30628204" w14:textId="77777777" w:rsidR="00AF18C1" w:rsidRPr="00E45A73" w:rsidRDefault="00AF18C1" w:rsidP="00A1471F">
            <w:pPr>
              <w:spacing w:line="360" w:lineRule="auto"/>
              <w:jc w:val="center"/>
              <w:rPr>
                <w:rFonts w:ascii="Century" w:hAnsi="Century"/>
              </w:rPr>
            </w:pPr>
            <w:r w:rsidRPr="00E45A73">
              <w:rPr>
                <w:rFonts w:ascii="Century" w:hAnsi="Century"/>
                <w:color w:val="000000"/>
              </w:rPr>
              <w:t>CONDITIONAL — pursue if FSD Level 4 certified</w:t>
            </w:r>
          </w:p>
        </w:tc>
      </w:tr>
    </w:tbl>
    <w:p w14:paraId="2059AAB5" w14:textId="77777777" w:rsidR="00AF18C1" w:rsidRPr="00E45A73" w:rsidRDefault="00AF18C1" w:rsidP="00AF18C1">
      <w:pPr>
        <w:spacing w:after="60" w:line="360" w:lineRule="auto"/>
        <w:jc w:val="both"/>
        <w:rPr>
          <w:rFonts w:ascii="Century" w:hAnsi="Century"/>
        </w:rPr>
      </w:pPr>
    </w:p>
    <w:p w14:paraId="2AF6B72C" w14:textId="77777777" w:rsidR="00AF18C1" w:rsidRPr="00E45A73" w:rsidRDefault="00AF18C1" w:rsidP="00AF18C1">
      <w:pPr>
        <w:pStyle w:val="Heading2"/>
        <w:spacing w:line="360" w:lineRule="auto"/>
        <w:jc w:val="both"/>
        <w:rPr>
          <w:rFonts w:ascii="Cambria" w:hAnsi="Cambria"/>
          <w:b/>
          <w:bCs/>
          <w:sz w:val="24"/>
          <w:szCs w:val="24"/>
        </w:rPr>
      </w:pPr>
      <w:bookmarkStart w:id="19" w:name="_Toc227673248"/>
      <w:r w:rsidRPr="00E45A73">
        <w:rPr>
          <w:rFonts w:ascii="Cambria" w:hAnsi="Cambria"/>
          <w:b/>
          <w:bCs/>
          <w:sz w:val="24"/>
          <w:szCs w:val="24"/>
        </w:rPr>
        <w:t>3.6 International and Ethical Considerations</w:t>
      </w:r>
      <w:bookmarkEnd w:id="19"/>
    </w:p>
    <w:p w14:paraId="55DDEF85"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The international tax, currency, regulatory, and ethical aspects of every decision should be heavily considered in any restructuring plan of this scale (OECD, 2023).</w:t>
      </w:r>
    </w:p>
    <w:p w14:paraId="3E3AA7AB"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Taxation: Tesla taxes of 20.4% in 2024 have the potential to be efficiently optimised in a two-fold way. First, by creating an Intellectual Property holding company in a low-tax area like Ireland (12.5% corporate tax rate) or the Netherlands, Tesla could have intra-group royalty payments on the use of the FSD technology and the profits will be taxed in the cheaper jurisdictions. This should however be designed in accordance with the OECD Base Erosion and Profit Shifting (BEPS) framework and the new 15% Global Minimum Tax provisions. Second, R&amp;D tax credits in the USA (Inflation Reduction Act), in Germany (R&amp;D Tax Allowance Act 2020) and in China (High-Tech Enterprise Status) are cost savings of about 400-600 million of annual benefit Tesla tax team ought to make the most of.</w:t>
      </w:r>
    </w:p>
    <w:p w14:paraId="6B3F299A" w14:textId="77777777" w:rsidR="00AF18C1" w:rsidRPr="00E45A73" w:rsidRDefault="00AF18C1" w:rsidP="00AF18C1">
      <w:pPr>
        <w:spacing w:after="60" w:line="360" w:lineRule="auto"/>
        <w:jc w:val="both"/>
        <w:rPr>
          <w:rFonts w:ascii="Century" w:hAnsi="Century"/>
        </w:rPr>
      </w:pPr>
    </w:p>
    <w:p w14:paraId="712BFB05" w14:textId="77777777" w:rsidR="00AF18C1" w:rsidRPr="00E45A73" w:rsidRDefault="00AF18C1" w:rsidP="00AF18C1">
      <w:pPr>
        <w:spacing w:line="360" w:lineRule="auto"/>
        <w:jc w:val="both"/>
        <w:rPr>
          <w:rFonts w:ascii="Century" w:hAnsi="Century"/>
        </w:rPr>
      </w:pPr>
      <w:r w:rsidRPr="00E45A73">
        <w:rPr>
          <w:rFonts w:ascii="Century" w:hAnsi="Century"/>
        </w:rPr>
        <w:br w:type="page"/>
      </w:r>
    </w:p>
    <w:p w14:paraId="3F49D53E" w14:textId="77777777" w:rsidR="00AF18C1" w:rsidRPr="00E45A73" w:rsidRDefault="00AF18C1" w:rsidP="00AF18C1">
      <w:pPr>
        <w:pStyle w:val="Heading1"/>
        <w:spacing w:line="360" w:lineRule="auto"/>
        <w:jc w:val="both"/>
        <w:rPr>
          <w:rFonts w:ascii="Cambria" w:hAnsi="Cambria"/>
          <w:b/>
          <w:bCs/>
          <w:sz w:val="28"/>
          <w:szCs w:val="28"/>
          <w:u w:val="single"/>
        </w:rPr>
      </w:pPr>
      <w:bookmarkStart w:id="20" w:name="_Toc227673249"/>
      <w:r w:rsidRPr="00E45A73">
        <w:rPr>
          <w:rFonts w:ascii="Cambria" w:hAnsi="Cambria"/>
          <w:b/>
          <w:bCs/>
          <w:sz w:val="28"/>
          <w:szCs w:val="28"/>
          <w:u w:val="single"/>
        </w:rPr>
        <w:lastRenderedPageBreak/>
        <w:t>4. Investment Appraisal and Capital Budgeting</w:t>
      </w:r>
      <w:bookmarkEnd w:id="20"/>
    </w:p>
    <w:p w14:paraId="0E86910E" w14:textId="77777777" w:rsidR="00AF18C1" w:rsidRPr="00E45A73" w:rsidRDefault="00AF18C1" w:rsidP="00AF18C1">
      <w:pPr>
        <w:pStyle w:val="Heading2"/>
        <w:spacing w:line="360" w:lineRule="auto"/>
        <w:jc w:val="both"/>
        <w:rPr>
          <w:rFonts w:ascii="Cambria" w:hAnsi="Cambria"/>
          <w:b/>
          <w:bCs/>
          <w:sz w:val="24"/>
          <w:szCs w:val="24"/>
        </w:rPr>
      </w:pPr>
      <w:bookmarkStart w:id="21" w:name="_Toc227673250"/>
      <w:r w:rsidRPr="00E45A73">
        <w:rPr>
          <w:rFonts w:ascii="Cambria" w:hAnsi="Cambria"/>
          <w:b/>
          <w:bCs/>
          <w:sz w:val="24"/>
          <w:szCs w:val="24"/>
        </w:rPr>
        <w:t>4.1 Project Overview, Assumptions, and Methodology</w:t>
      </w:r>
      <w:bookmarkEnd w:id="21"/>
    </w:p>
    <w:p w14:paraId="5B777E48"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Capital investment appraisal refers to the process through which a firm analyzes the possible long-term investments based on the economic value that is generated against the capital that is invested. This part strictly uses five conventional capital budgeting methods to analyze three mutually exclusive investment projects, each with an initial investment of £50 million. The following standardised assumptions are used: (i) discount rate / cost of capital = 10% per annum; (ii) depreciation method = straight-line to zero residual value over 5 years and results in an annual depreciation charge of £10 million per project; (iii) all cash flows are presented as net cash inflows (after depreciation, before tax); (iv) project life = 5 The five approaches to appraisal include: Payback Period (PBP), Accounting Rate of Return (ARR), Net Present Value (NPV), Profitability Index (PI), and Internal Rate of Return (IRR) (Watson and Head, 2022; Arnold, 2020).</w:t>
      </w:r>
    </w:p>
    <w:p w14:paraId="123472D7" w14:textId="77777777" w:rsidR="00AF18C1" w:rsidRPr="00E45A73" w:rsidRDefault="00AF18C1" w:rsidP="00AF18C1">
      <w:pPr>
        <w:spacing w:before="200" w:after="80" w:line="360" w:lineRule="auto"/>
        <w:jc w:val="both"/>
        <w:rPr>
          <w:rFonts w:ascii="Century" w:hAnsi="Century"/>
        </w:rPr>
      </w:pPr>
      <w:r w:rsidRPr="00E45A73">
        <w:rPr>
          <w:rFonts w:ascii="Century" w:hAnsi="Century"/>
          <w:b/>
          <w:bCs/>
          <w:color w:val="003087"/>
        </w:rPr>
        <w:t>Table 4.1: Project Annual Net Cash Inflows and Discounted Cash Flows (£ Millions)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9"/>
        <w:gridCol w:w="1182"/>
        <w:gridCol w:w="1182"/>
        <w:gridCol w:w="1182"/>
        <w:gridCol w:w="821"/>
        <w:gridCol w:w="1182"/>
        <w:gridCol w:w="1182"/>
        <w:gridCol w:w="1182"/>
        <w:gridCol w:w="833"/>
      </w:tblGrid>
      <w:tr w:rsidR="00AF18C1" w:rsidRPr="00E45A73" w14:paraId="6D4C9F7C" w14:textId="77777777" w:rsidTr="00A1471F">
        <w:tc>
          <w:tcPr>
            <w:tcW w:w="11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01265E0D"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Year</w:t>
            </w:r>
          </w:p>
        </w:tc>
        <w:tc>
          <w:tcPr>
            <w:tcW w:w="12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37F2D830"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CF-A (£M)</w:t>
            </w:r>
          </w:p>
        </w:tc>
        <w:tc>
          <w:tcPr>
            <w:tcW w:w="12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7A5C7D81"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CF-B (£M)</w:t>
            </w:r>
          </w:p>
        </w:tc>
        <w:tc>
          <w:tcPr>
            <w:tcW w:w="12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4947C1E3"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CF-C (£M)</w:t>
            </w:r>
          </w:p>
        </w:tc>
        <w:tc>
          <w:tcPr>
            <w:tcW w:w="115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60E5FD66"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DF 10%</w:t>
            </w:r>
          </w:p>
        </w:tc>
        <w:tc>
          <w:tcPr>
            <w:tcW w:w="1136"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72372D62"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PV-A (£M)</w:t>
            </w:r>
          </w:p>
        </w:tc>
        <w:tc>
          <w:tcPr>
            <w:tcW w:w="1136"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49D5080E"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PV-B (£M)</w:t>
            </w:r>
          </w:p>
        </w:tc>
        <w:tc>
          <w:tcPr>
            <w:tcW w:w="1136"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0CA2D9E1"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PV-C (£M)</w:t>
            </w:r>
          </w:p>
        </w:tc>
        <w:tc>
          <w:tcPr>
            <w:tcW w:w="768"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5E8D4994"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Cum A</w:t>
            </w:r>
          </w:p>
        </w:tc>
      </w:tr>
      <w:tr w:rsidR="00AF18C1" w:rsidRPr="00E45A73" w14:paraId="6E19D0C1" w14:textId="77777777" w:rsidTr="00A1471F">
        <w:tc>
          <w:tcPr>
            <w:tcW w:w="11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F8F4764"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0</w:t>
            </w:r>
          </w:p>
        </w:tc>
        <w:tc>
          <w:tcPr>
            <w:tcW w:w="12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6B29E2C" w14:textId="77777777" w:rsidR="00AF18C1" w:rsidRPr="00E45A73" w:rsidRDefault="00AF18C1" w:rsidP="00A1471F">
            <w:pPr>
              <w:spacing w:line="360" w:lineRule="auto"/>
              <w:jc w:val="both"/>
              <w:rPr>
                <w:rFonts w:ascii="Century" w:hAnsi="Century"/>
              </w:rPr>
            </w:pPr>
            <w:r w:rsidRPr="00E45A73">
              <w:rPr>
                <w:rFonts w:ascii="Century" w:hAnsi="Century"/>
                <w:color w:val="000000"/>
              </w:rPr>
              <w:t>-50.00</w:t>
            </w:r>
          </w:p>
        </w:tc>
        <w:tc>
          <w:tcPr>
            <w:tcW w:w="12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D6AC578" w14:textId="77777777" w:rsidR="00AF18C1" w:rsidRPr="00E45A73" w:rsidRDefault="00AF18C1" w:rsidP="00A1471F">
            <w:pPr>
              <w:spacing w:line="360" w:lineRule="auto"/>
              <w:jc w:val="both"/>
              <w:rPr>
                <w:rFonts w:ascii="Century" w:hAnsi="Century"/>
              </w:rPr>
            </w:pPr>
            <w:r w:rsidRPr="00E45A73">
              <w:rPr>
                <w:rFonts w:ascii="Century" w:hAnsi="Century"/>
                <w:color w:val="000000"/>
              </w:rPr>
              <w:t>-50.00</w:t>
            </w:r>
          </w:p>
        </w:tc>
        <w:tc>
          <w:tcPr>
            <w:tcW w:w="12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4264B02" w14:textId="77777777" w:rsidR="00AF18C1" w:rsidRPr="00E45A73" w:rsidRDefault="00AF18C1" w:rsidP="00A1471F">
            <w:pPr>
              <w:spacing w:line="360" w:lineRule="auto"/>
              <w:jc w:val="both"/>
              <w:rPr>
                <w:rFonts w:ascii="Century" w:hAnsi="Century"/>
              </w:rPr>
            </w:pPr>
            <w:r w:rsidRPr="00E45A73">
              <w:rPr>
                <w:rFonts w:ascii="Century" w:hAnsi="Century"/>
                <w:color w:val="000000"/>
              </w:rPr>
              <w:t>-50.00</w:t>
            </w:r>
          </w:p>
        </w:tc>
        <w:tc>
          <w:tcPr>
            <w:tcW w:w="115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C187153" w14:textId="77777777" w:rsidR="00AF18C1" w:rsidRPr="00E45A73" w:rsidRDefault="00AF18C1" w:rsidP="00A1471F">
            <w:pPr>
              <w:spacing w:line="360" w:lineRule="auto"/>
              <w:jc w:val="both"/>
              <w:rPr>
                <w:rFonts w:ascii="Century" w:hAnsi="Century"/>
              </w:rPr>
            </w:pPr>
            <w:r w:rsidRPr="00E45A73">
              <w:rPr>
                <w:rFonts w:ascii="Century" w:hAnsi="Century"/>
                <w:color w:val="000000"/>
              </w:rPr>
              <w:t>1.000</w:t>
            </w:r>
          </w:p>
        </w:tc>
        <w:tc>
          <w:tcPr>
            <w:tcW w:w="113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0C0890B" w14:textId="77777777" w:rsidR="00AF18C1" w:rsidRPr="00E45A73" w:rsidRDefault="00AF18C1" w:rsidP="00A1471F">
            <w:pPr>
              <w:spacing w:line="360" w:lineRule="auto"/>
              <w:jc w:val="both"/>
              <w:rPr>
                <w:rFonts w:ascii="Century" w:hAnsi="Century"/>
              </w:rPr>
            </w:pPr>
            <w:r w:rsidRPr="00E45A73">
              <w:rPr>
                <w:rFonts w:ascii="Century" w:hAnsi="Century"/>
                <w:color w:val="000000"/>
              </w:rPr>
              <w:t>-50.00</w:t>
            </w:r>
          </w:p>
        </w:tc>
        <w:tc>
          <w:tcPr>
            <w:tcW w:w="113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55649A2" w14:textId="77777777" w:rsidR="00AF18C1" w:rsidRPr="00E45A73" w:rsidRDefault="00AF18C1" w:rsidP="00A1471F">
            <w:pPr>
              <w:spacing w:line="360" w:lineRule="auto"/>
              <w:jc w:val="both"/>
              <w:rPr>
                <w:rFonts w:ascii="Century" w:hAnsi="Century"/>
              </w:rPr>
            </w:pPr>
            <w:r w:rsidRPr="00E45A73">
              <w:rPr>
                <w:rFonts w:ascii="Century" w:hAnsi="Century"/>
                <w:color w:val="000000"/>
              </w:rPr>
              <w:t>-50.00</w:t>
            </w:r>
          </w:p>
        </w:tc>
        <w:tc>
          <w:tcPr>
            <w:tcW w:w="113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A538F23" w14:textId="77777777" w:rsidR="00AF18C1" w:rsidRPr="00E45A73" w:rsidRDefault="00AF18C1" w:rsidP="00A1471F">
            <w:pPr>
              <w:spacing w:line="360" w:lineRule="auto"/>
              <w:jc w:val="both"/>
              <w:rPr>
                <w:rFonts w:ascii="Century" w:hAnsi="Century"/>
              </w:rPr>
            </w:pPr>
            <w:r w:rsidRPr="00E45A73">
              <w:rPr>
                <w:rFonts w:ascii="Century" w:hAnsi="Century"/>
                <w:color w:val="000000"/>
              </w:rPr>
              <w:t>-50.00</w:t>
            </w:r>
          </w:p>
        </w:tc>
        <w:tc>
          <w:tcPr>
            <w:tcW w:w="768"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2A70FE6" w14:textId="77777777" w:rsidR="00AF18C1" w:rsidRPr="00E45A73" w:rsidRDefault="00AF18C1" w:rsidP="00A1471F">
            <w:pPr>
              <w:spacing w:line="360" w:lineRule="auto"/>
              <w:jc w:val="both"/>
              <w:rPr>
                <w:rFonts w:ascii="Century" w:hAnsi="Century"/>
              </w:rPr>
            </w:pPr>
            <w:r w:rsidRPr="00E45A73">
              <w:rPr>
                <w:rFonts w:ascii="Century" w:hAnsi="Century"/>
                <w:color w:val="000000"/>
              </w:rPr>
              <w:t>-50.00</w:t>
            </w:r>
          </w:p>
        </w:tc>
      </w:tr>
      <w:tr w:rsidR="00AF18C1" w:rsidRPr="00E45A73" w14:paraId="711DA7FE" w14:textId="77777777" w:rsidTr="00A1471F">
        <w:tc>
          <w:tcPr>
            <w:tcW w:w="1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F6A7306"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1</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1CB9135" w14:textId="77777777" w:rsidR="00AF18C1" w:rsidRPr="00E45A73" w:rsidRDefault="00AF18C1" w:rsidP="00A1471F">
            <w:pPr>
              <w:spacing w:line="360" w:lineRule="auto"/>
              <w:jc w:val="both"/>
              <w:rPr>
                <w:rFonts w:ascii="Century" w:hAnsi="Century"/>
              </w:rPr>
            </w:pPr>
            <w:r w:rsidRPr="00E45A73">
              <w:rPr>
                <w:rFonts w:ascii="Century" w:hAnsi="Century"/>
                <w:color w:val="000000"/>
              </w:rPr>
              <w:t>10.00</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98E8AF9" w14:textId="77777777" w:rsidR="00AF18C1" w:rsidRPr="00E45A73" w:rsidRDefault="00AF18C1" w:rsidP="00A1471F">
            <w:pPr>
              <w:spacing w:line="360" w:lineRule="auto"/>
              <w:jc w:val="both"/>
              <w:rPr>
                <w:rFonts w:ascii="Century" w:hAnsi="Century"/>
              </w:rPr>
            </w:pPr>
            <w:r w:rsidRPr="00E45A73">
              <w:rPr>
                <w:rFonts w:ascii="Century" w:hAnsi="Century"/>
                <w:color w:val="000000"/>
              </w:rPr>
              <w:t>11.00</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C7661CD" w14:textId="77777777" w:rsidR="00AF18C1" w:rsidRPr="00E45A73" w:rsidRDefault="00AF18C1" w:rsidP="00A1471F">
            <w:pPr>
              <w:spacing w:line="360" w:lineRule="auto"/>
              <w:jc w:val="both"/>
              <w:rPr>
                <w:rFonts w:ascii="Century" w:hAnsi="Century"/>
              </w:rPr>
            </w:pPr>
            <w:r w:rsidRPr="00E45A73">
              <w:rPr>
                <w:rFonts w:ascii="Century" w:hAnsi="Century"/>
                <w:color w:val="000000"/>
              </w:rPr>
              <w:t>5.00</w:t>
            </w:r>
          </w:p>
        </w:tc>
        <w:tc>
          <w:tcPr>
            <w:tcW w:w="115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492CC29" w14:textId="77777777" w:rsidR="00AF18C1" w:rsidRPr="00E45A73" w:rsidRDefault="00AF18C1" w:rsidP="00A1471F">
            <w:pPr>
              <w:spacing w:line="360" w:lineRule="auto"/>
              <w:jc w:val="both"/>
              <w:rPr>
                <w:rFonts w:ascii="Century" w:hAnsi="Century"/>
              </w:rPr>
            </w:pPr>
            <w:r w:rsidRPr="00E45A73">
              <w:rPr>
                <w:rFonts w:ascii="Century" w:hAnsi="Century"/>
                <w:color w:val="000000"/>
              </w:rPr>
              <w:t>0.909</w:t>
            </w:r>
          </w:p>
        </w:tc>
        <w:tc>
          <w:tcPr>
            <w:tcW w:w="113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EAF472B" w14:textId="77777777" w:rsidR="00AF18C1" w:rsidRPr="00E45A73" w:rsidRDefault="00AF18C1" w:rsidP="00A1471F">
            <w:pPr>
              <w:spacing w:line="360" w:lineRule="auto"/>
              <w:jc w:val="both"/>
              <w:rPr>
                <w:rFonts w:ascii="Century" w:hAnsi="Century"/>
              </w:rPr>
            </w:pPr>
            <w:r w:rsidRPr="00E45A73">
              <w:rPr>
                <w:rFonts w:ascii="Century" w:hAnsi="Century"/>
                <w:color w:val="000000"/>
              </w:rPr>
              <w:t>9.09</w:t>
            </w:r>
          </w:p>
        </w:tc>
        <w:tc>
          <w:tcPr>
            <w:tcW w:w="113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54A0347" w14:textId="77777777" w:rsidR="00AF18C1" w:rsidRPr="00E45A73" w:rsidRDefault="00AF18C1" w:rsidP="00A1471F">
            <w:pPr>
              <w:spacing w:line="360" w:lineRule="auto"/>
              <w:jc w:val="both"/>
              <w:rPr>
                <w:rFonts w:ascii="Century" w:hAnsi="Century"/>
              </w:rPr>
            </w:pPr>
            <w:r w:rsidRPr="00E45A73">
              <w:rPr>
                <w:rFonts w:ascii="Century" w:hAnsi="Century"/>
                <w:color w:val="000000"/>
              </w:rPr>
              <w:t>10.00</w:t>
            </w:r>
          </w:p>
        </w:tc>
        <w:tc>
          <w:tcPr>
            <w:tcW w:w="113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36C9FA5" w14:textId="77777777" w:rsidR="00AF18C1" w:rsidRPr="00E45A73" w:rsidRDefault="00AF18C1" w:rsidP="00A1471F">
            <w:pPr>
              <w:spacing w:line="360" w:lineRule="auto"/>
              <w:jc w:val="both"/>
              <w:rPr>
                <w:rFonts w:ascii="Century" w:hAnsi="Century"/>
              </w:rPr>
            </w:pPr>
            <w:r w:rsidRPr="00E45A73">
              <w:rPr>
                <w:rFonts w:ascii="Century" w:hAnsi="Century"/>
                <w:color w:val="000000"/>
              </w:rPr>
              <w:t>4.55</w:t>
            </w:r>
          </w:p>
        </w:tc>
        <w:tc>
          <w:tcPr>
            <w:tcW w:w="768"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9356983" w14:textId="77777777" w:rsidR="00AF18C1" w:rsidRPr="00E45A73" w:rsidRDefault="00AF18C1" w:rsidP="00A1471F">
            <w:pPr>
              <w:spacing w:line="360" w:lineRule="auto"/>
              <w:jc w:val="both"/>
              <w:rPr>
                <w:rFonts w:ascii="Century" w:hAnsi="Century"/>
              </w:rPr>
            </w:pPr>
            <w:r w:rsidRPr="00E45A73">
              <w:rPr>
                <w:rFonts w:ascii="Century" w:hAnsi="Century"/>
                <w:color w:val="000000"/>
              </w:rPr>
              <w:t>-40.00</w:t>
            </w:r>
          </w:p>
        </w:tc>
      </w:tr>
      <w:tr w:rsidR="00AF18C1" w:rsidRPr="00E45A73" w14:paraId="540190D6" w14:textId="77777777" w:rsidTr="00A1471F">
        <w:tc>
          <w:tcPr>
            <w:tcW w:w="11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9C2C093"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2</w:t>
            </w:r>
          </w:p>
        </w:tc>
        <w:tc>
          <w:tcPr>
            <w:tcW w:w="12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F628045" w14:textId="77777777" w:rsidR="00AF18C1" w:rsidRPr="00E45A73" w:rsidRDefault="00AF18C1" w:rsidP="00A1471F">
            <w:pPr>
              <w:spacing w:line="360" w:lineRule="auto"/>
              <w:jc w:val="both"/>
              <w:rPr>
                <w:rFonts w:ascii="Century" w:hAnsi="Century"/>
              </w:rPr>
            </w:pPr>
            <w:r w:rsidRPr="00E45A73">
              <w:rPr>
                <w:rFonts w:ascii="Century" w:hAnsi="Century"/>
                <w:color w:val="000000"/>
              </w:rPr>
              <w:t>12.00</w:t>
            </w:r>
          </w:p>
        </w:tc>
        <w:tc>
          <w:tcPr>
            <w:tcW w:w="12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0DFD219" w14:textId="77777777" w:rsidR="00AF18C1" w:rsidRPr="00E45A73" w:rsidRDefault="00AF18C1" w:rsidP="00A1471F">
            <w:pPr>
              <w:spacing w:line="360" w:lineRule="auto"/>
              <w:jc w:val="both"/>
              <w:rPr>
                <w:rFonts w:ascii="Century" w:hAnsi="Century"/>
              </w:rPr>
            </w:pPr>
            <w:r w:rsidRPr="00E45A73">
              <w:rPr>
                <w:rFonts w:ascii="Century" w:hAnsi="Century"/>
                <w:color w:val="000000"/>
              </w:rPr>
              <w:t>11.00</w:t>
            </w:r>
          </w:p>
        </w:tc>
        <w:tc>
          <w:tcPr>
            <w:tcW w:w="12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58BECAA" w14:textId="77777777" w:rsidR="00AF18C1" w:rsidRPr="00E45A73" w:rsidRDefault="00AF18C1" w:rsidP="00A1471F">
            <w:pPr>
              <w:spacing w:line="360" w:lineRule="auto"/>
              <w:jc w:val="both"/>
              <w:rPr>
                <w:rFonts w:ascii="Century" w:hAnsi="Century"/>
              </w:rPr>
            </w:pPr>
            <w:r w:rsidRPr="00E45A73">
              <w:rPr>
                <w:rFonts w:ascii="Century" w:hAnsi="Century"/>
                <w:color w:val="000000"/>
              </w:rPr>
              <w:t>10.00</w:t>
            </w:r>
          </w:p>
        </w:tc>
        <w:tc>
          <w:tcPr>
            <w:tcW w:w="115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402F898" w14:textId="77777777" w:rsidR="00AF18C1" w:rsidRPr="00E45A73" w:rsidRDefault="00AF18C1" w:rsidP="00A1471F">
            <w:pPr>
              <w:spacing w:line="360" w:lineRule="auto"/>
              <w:jc w:val="both"/>
              <w:rPr>
                <w:rFonts w:ascii="Century" w:hAnsi="Century"/>
              </w:rPr>
            </w:pPr>
            <w:r w:rsidRPr="00E45A73">
              <w:rPr>
                <w:rFonts w:ascii="Century" w:hAnsi="Century"/>
                <w:color w:val="000000"/>
              </w:rPr>
              <w:t>0.826</w:t>
            </w:r>
          </w:p>
        </w:tc>
        <w:tc>
          <w:tcPr>
            <w:tcW w:w="113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107B9F5" w14:textId="77777777" w:rsidR="00AF18C1" w:rsidRPr="00E45A73" w:rsidRDefault="00AF18C1" w:rsidP="00A1471F">
            <w:pPr>
              <w:spacing w:line="360" w:lineRule="auto"/>
              <w:jc w:val="both"/>
              <w:rPr>
                <w:rFonts w:ascii="Century" w:hAnsi="Century"/>
              </w:rPr>
            </w:pPr>
            <w:r w:rsidRPr="00E45A73">
              <w:rPr>
                <w:rFonts w:ascii="Century" w:hAnsi="Century"/>
                <w:color w:val="000000"/>
              </w:rPr>
              <w:t>9.91</w:t>
            </w:r>
          </w:p>
        </w:tc>
        <w:tc>
          <w:tcPr>
            <w:tcW w:w="113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075C493" w14:textId="77777777" w:rsidR="00AF18C1" w:rsidRPr="00E45A73" w:rsidRDefault="00AF18C1" w:rsidP="00A1471F">
            <w:pPr>
              <w:spacing w:line="360" w:lineRule="auto"/>
              <w:jc w:val="both"/>
              <w:rPr>
                <w:rFonts w:ascii="Century" w:hAnsi="Century"/>
              </w:rPr>
            </w:pPr>
            <w:r w:rsidRPr="00E45A73">
              <w:rPr>
                <w:rFonts w:ascii="Century" w:hAnsi="Century"/>
                <w:color w:val="000000"/>
              </w:rPr>
              <w:t>9.09</w:t>
            </w:r>
          </w:p>
        </w:tc>
        <w:tc>
          <w:tcPr>
            <w:tcW w:w="113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102E357" w14:textId="77777777" w:rsidR="00AF18C1" w:rsidRPr="00E45A73" w:rsidRDefault="00AF18C1" w:rsidP="00A1471F">
            <w:pPr>
              <w:spacing w:line="360" w:lineRule="auto"/>
              <w:jc w:val="both"/>
              <w:rPr>
                <w:rFonts w:ascii="Century" w:hAnsi="Century"/>
              </w:rPr>
            </w:pPr>
            <w:r w:rsidRPr="00E45A73">
              <w:rPr>
                <w:rFonts w:ascii="Century" w:hAnsi="Century"/>
                <w:color w:val="000000"/>
              </w:rPr>
              <w:t>8.26</w:t>
            </w:r>
          </w:p>
        </w:tc>
        <w:tc>
          <w:tcPr>
            <w:tcW w:w="768"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6D85354" w14:textId="77777777" w:rsidR="00AF18C1" w:rsidRPr="00E45A73" w:rsidRDefault="00AF18C1" w:rsidP="00A1471F">
            <w:pPr>
              <w:spacing w:line="360" w:lineRule="auto"/>
              <w:jc w:val="both"/>
              <w:rPr>
                <w:rFonts w:ascii="Century" w:hAnsi="Century"/>
              </w:rPr>
            </w:pPr>
            <w:r w:rsidRPr="00E45A73">
              <w:rPr>
                <w:rFonts w:ascii="Century" w:hAnsi="Century"/>
                <w:color w:val="000000"/>
              </w:rPr>
              <w:t>-28.00</w:t>
            </w:r>
          </w:p>
        </w:tc>
      </w:tr>
      <w:tr w:rsidR="00AF18C1" w:rsidRPr="00E45A73" w14:paraId="5AD3CA76" w14:textId="77777777" w:rsidTr="00A1471F">
        <w:tc>
          <w:tcPr>
            <w:tcW w:w="1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B1E3AFB"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3</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1C995D6" w14:textId="77777777" w:rsidR="00AF18C1" w:rsidRPr="00E45A73" w:rsidRDefault="00AF18C1" w:rsidP="00A1471F">
            <w:pPr>
              <w:spacing w:line="360" w:lineRule="auto"/>
              <w:jc w:val="both"/>
              <w:rPr>
                <w:rFonts w:ascii="Century" w:hAnsi="Century"/>
              </w:rPr>
            </w:pPr>
            <w:r w:rsidRPr="00E45A73">
              <w:rPr>
                <w:rFonts w:ascii="Century" w:hAnsi="Century"/>
                <w:color w:val="000000"/>
              </w:rPr>
              <w:t>14.00</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D8606BD" w14:textId="77777777" w:rsidR="00AF18C1" w:rsidRPr="00E45A73" w:rsidRDefault="00AF18C1" w:rsidP="00A1471F">
            <w:pPr>
              <w:spacing w:line="360" w:lineRule="auto"/>
              <w:jc w:val="both"/>
              <w:rPr>
                <w:rFonts w:ascii="Century" w:hAnsi="Century"/>
              </w:rPr>
            </w:pPr>
            <w:r w:rsidRPr="00E45A73">
              <w:rPr>
                <w:rFonts w:ascii="Century" w:hAnsi="Century"/>
                <w:color w:val="000000"/>
              </w:rPr>
              <w:t>11.00</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9BD4BE4" w14:textId="77777777" w:rsidR="00AF18C1" w:rsidRPr="00E45A73" w:rsidRDefault="00AF18C1" w:rsidP="00A1471F">
            <w:pPr>
              <w:spacing w:line="360" w:lineRule="auto"/>
              <w:jc w:val="both"/>
              <w:rPr>
                <w:rFonts w:ascii="Century" w:hAnsi="Century"/>
              </w:rPr>
            </w:pPr>
            <w:r w:rsidRPr="00E45A73">
              <w:rPr>
                <w:rFonts w:ascii="Century" w:hAnsi="Century"/>
                <w:color w:val="000000"/>
              </w:rPr>
              <w:t>20.00</w:t>
            </w:r>
          </w:p>
        </w:tc>
        <w:tc>
          <w:tcPr>
            <w:tcW w:w="115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E152B64" w14:textId="77777777" w:rsidR="00AF18C1" w:rsidRPr="00E45A73" w:rsidRDefault="00AF18C1" w:rsidP="00A1471F">
            <w:pPr>
              <w:spacing w:line="360" w:lineRule="auto"/>
              <w:jc w:val="both"/>
              <w:rPr>
                <w:rFonts w:ascii="Century" w:hAnsi="Century"/>
              </w:rPr>
            </w:pPr>
            <w:r w:rsidRPr="00E45A73">
              <w:rPr>
                <w:rFonts w:ascii="Century" w:hAnsi="Century"/>
                <w:color w:val="000000"/>
              </w:rPr>
              <w:t>0.751</w:t>
            </w:r>
          </w:p>
        </w:tc>
        <w:tc>
          <w:tcPr>
            <w:tcW w:w="113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D2E72B1" w14:textId="77777777" w:rsidR="00AF18C1" w:rsidRPr="00E45A73" w:rsidRDefault="00AF18C1" w:rsidP="00A1471F">
            <w:pPr>
              <w:spacing w:line="360" w:lineRule="auto"/>
              <w:jc w:val="both"/>
              <w:rPr>
                <w:rFonts w:ascii="Century" w:hAnsi="Century"/>
              </w:rPr>
            </w:pPr>
            <w:r w:rsidRPr="00E45A73">
              <w:rPr>
                <w:rFonts w:ascii="Century" w:hAnsi="Century"/>
                <w:color w:val="000000"/>
              </w:rPr>
              <w:t>10.51</w:t>
            </w:r>
          </w:p>
        </w:tc>
        <w:tc>
          <w:tcPr>
            <w:tcW w:w="113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9F2E88F" w14:textId="77777777" w:rsidR="00AF18C1" w:rsidRPr="00E45A73" w:rsidRDefault="00AF18C1" w:rsidP="00A1471F">
            <w:pPr>
              <w:spacing w:line="360" w:lineRule="auto"/>
              <w:jc w:val="both"/>
              <w:rPr>
                <w:rFonts w:ascii="Century" w:hAnsi="Century"/>
              </w:rPr>
            </w:pPr>
            <w:r w:rsidRPr="00E45A73">
              <w:rPr>
                <w:rFonts w:ascii="Century" w:hAnsi="Century"/>
                <w:color w:val="000000"/>
              </w:rPr>
              <w:t>8.26</w:t>
            </w:r>
          </w:p>
        </w:tc>
        <w:tc>
          <w:tcPr>
            <w:tcW w:w="113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6D0A451" w14:textId="77777777" w:rsidR="00AF18C1" w:rsidRPr="00E45A73" w:rsidRDefault="00AF18C1" w:rsidP="00A1471F">
            <w:pPr>
              <w:spacing w:line="360" w:lineRule="auto"/>
              <w:jc w:val="both"/>
              <w:rPr>
                <w:rFonts w:ascii="Century" w:hAnsi="Century"/>
              </w:rPr>
            </w:pPr>
            <w:r w:rsidRPr="00E45A73">
              <w:rPr>
                <w:rFonts w:ascii="Century" w:hAnsi="Century"/>
                <w:color w:val="000000"/>
              </w:rPr>
              <w:t>15.02</w:t>
            </w:r>
          </w:p>
        </w:tc>
        <w:tc>
          <w:tcPr>
            <w:tcW w:w="768"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D3CA6B2" w14:textId="77777777" w:rsidR="00AF18C1" w:rsidRPr="00E45A73" w:rsidRDefault="00AF18C1" w:rsidP="00A1471F">
            <w:pPr>
              <w:spacing w:line="360" w:lineRule="auto"/>
              <w:jc w:val="both"/>
              <w:rPr>
                <w:rFonts w:ascii="Century" w:hAnsi="Century"/>
              </w:rPr>
            </w:pPr>
            <w:r w:rsidRPr="00E45A73">
              <w:rPr>
                <w:rFonts w:ascii="Century" w:hAnsi="Century"/>
                <w:color w:val="000000"/>
              </w:rPr>
              <w:t>-14.00</w:t>
            </w:r>
          </w:p>
        </w:tc>
      </w:tr>
      <w:tr w:rsidR="00AF18C1" w:rsidRPr="00E45A73" w14:paraId="6B8023B4" w14:textId="77777777" w:rsidTr="00A1471F">
        <w:tc>
          <w:tcPr>
            <w:tcW w:w="11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A0AFBDE"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4</w:t>
            </w:r>
          </w:p>
        </w:tc>
        <w:tc>
          <w:tcPr>
            <w:tcW w:w="12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26D35CF" w14:textId="77777777" w:rsidR="00AF18C1" w:rsidRPr="00E45A73" w:rsidRDefault="00AF18C1" w:rsidP="00A1471F">
            <w:pPr>
              <w:spacing w:line="360" w:lineRule="auto"/>
              <w:jc w:val="both"/>
              <w:rPr>
                <w:rFonts w:ascii="Century" w:hAnsi="Century"/>
              </w:rPr>
            </w:pPr>
            <w:r w:rsidRPr="00E45A73">
              <w:rPr>
                <w:rFonts w:ascii="Century" w:hAnsi="Century"/>
                <w:color w:val="000000"/>
              </w:rPr>
              <w:t>10.00</w:t>
            </w:r>
          </w:p>
        </w:tc>
        <w:tc>
          <w:tcPr>
            <w:tcW w:w="12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2B62EF4" w14:textId="77777777" w:rsidR="00AF18C1" w:rsidRPr="00E45A73" w:rsidRDefault="00AF18C1" w:rsidP="00A1471F">
            <w:pPr>
              <w:spacing w:line="360" w:lineRule="auto"/>
              <w:jc w:val="both"/>
              <w:rPr>
                <w:rFonts w:ascii="Century" w:hAnsi="Century"/>
              </w:rPr>
            </w:pPr>
            <w:r w:rsidRPr="00E45A73">
              <w:rPr>
                <w:rFonts w:ascii="Century" w:hAnsi="Century"/>
                <w:color w:val="000000"/>
              </w:rPr>
              <w:t>11.00</w:t>
            </w:r>
          </w:p>
        </w:tc>
        <w:tc>
          <w:tcPr>
            <w:tcW w:w="12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233F791" w14:textId="77777777" w:rsidR="00AF18C1" w:rsidRPr="00E45A73" w:rsidRDefault="00AF18C1" w:rsidP="00A1471F">
            <w:pPr>
              <w:spacing w:line="360" w:lineRule="auto"/>
              <w:jc w:val="both"/>
              <w:rPr>
                <w:rFonts w:ascii="Century" w:hAnsi="Century"/>
              </w:rPr>
            </w:pPr>
            <w:r w:rsidRPr="00E45A73">
              <w:rPr>
                <w:rFonts w:ascii="Century" w:hAnsi="Century"/>
                <w:color w:val="000000"/>
              </w:rPr>
              <w:t>25.00</w:t>
            </w:r>
          </w:p>
        </w:tc>
        <w:tc>
          <w:tcPr>
            <w:tcW w:w="115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EAD66F7" w14:textId="77777777" w:rsidR="00AF18C1" w:rsidRPr="00E45A73" w:rsidRDefault="00AF18C1" w:rsidP="00A1471F">
            <w:pPr>
              <w:spacing w:line="360" w:lineRule="auto"/>
              <w:jc w:val="both"/>
              <w:rPr>
                <w:rFonts w:ascii="Century" w:hAnsi="Century"/>
              </w:rPr>
            </w:pPr>
            <w:r w:rsidRPr="00E45A73">
              <w:rPr>
                <w:rFonts w:ascii="Century" w:hAnsi="Century"/>
                <w:color w:val="000000"/>
              </w:rPr>
              <w:t>0.683</w:t>
            </w:r>
          </w:p>
        </w:tc>
        <w:tc>
          <w:tcPr>
            <w:tcW w:w="113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D540425" w14:textId="77777777" w:rsidR="00AF18C1" w:rsidRPr="00E45A73" w:rsidRDefault="00AF18C1" w:rsidP="00A1471F">
            <w:pPr>
              <w:spacing w:line="360" w:lineRule="auto"/>
              <w:jc w:val="both"/>
              <w:rPr>
                <w:rFonts w:ascii="Century" w:hAnsi="Century"/>
              </w:rPr>
            </w:pPr>
            <w:r w:rsidRPr="00E45A73">
              <w:rPr>
                <w:rFonts w:ascii="Century" w:hAnsi="Century"/>
                <w:color w:val="000000"/>
              </w:rPr>
              <w:t>6.83</w:t>
            </w:r>
          </w:p>
        </w:tc>
        <w:tc>
          <w:tcPr>
            <w:tcW w:w="113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B2FE74B" w14:textId="77777777" w:rsidR="00AF18C1" w:rsidRPr="00E45A73" w:rsidRDefault="00AF18C1" w:rsidP="00A1471F">
            <w:pPr>
              <w:spacing w:line="360" w:lineRule="auto"/>
              <w:jc w:val="both"/>
              <w:rPr>
                <w:rFonts w:ascii="Century" w:hAnsi="Century"/>
              </w:rPr>
            </w:pPr>
            <w:r w:rsidRPr="00E45A73">
              <w:rPr>
                <w:rFonts w:ascii="Century" w:hAnsi="Century"/>
                <w:color w:val="000000"/>
              </w:rPr>
              <w:t>7.51</w:t>
            </w:r>
          </w:p>
        </w:tc>
        <w:tc>
          <w:tcPr>
            <w:tcW w:w="113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7C8F8CC" w14:textId="77777777" w:rsidR="00AF18C1" w:rsidRPr="00E45A73" w:rsidRDefault="00AF18C1" w:rsidP="00A1471F">
            <w:pPr>
              <w:spacing w:line="360" w:lineRule="auto"/>
              <w:jc w:val="both"/>
              <w:rPr>
                <w:rFonts w:ascii="Century" w:hAnsi="Century"/>
              </w:rPr>
            </w:pPr>
            <w:r w:rsidRPr="00E45A73">
              <w:rPr>
                <w:rFonts w:ascii="Century" w:hAnsi="Century"/>
                <w:color w:val="000000"/>
              </w:rPr>
              <w:t>17.08</w:t>
            </w:r>
          </w:p>
        </w:tc>
        <w:tc>
          <w:tcPr>
            <w:tcW w:w="768"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3FD67B3" w14:textId="77777777" w:rsidR="00AF18C1" w:rsidRPr="00E45A73" w:rsidRDefault="00AF18C1" w:rsidP="00A1471F">
            <w:pPr>
              <w:spacing w:line="360" w:lineRule="auto"/>
              <w:jc w:val="both"/>
              <w:rPr>
                <w:rFonts w:ascii="Century" w:hAnsi="Century"/>
              </w:rPr>
            </w:pPr>
            <w:r w:rsidRPr="00E45A73">
              <w:rPr>
                <w:rFonts w:ascii="Century" w:hAnsi="Century"/>
                <w:color w:val="000000"/>
              </w:rPr>
              <w:t>-4.00</w:t>
            </w:r>
          </w:p>
        </w:tc>
      </w:tr>
      <w:tr w:rsidR="00AF18C1" w:rsidRPr="00E45A73" w14:paraId="6CF7FA23" w14:textId="77777777" w:rsidTr="00A1471F">
        <w:tc>
          <w:tcPr>
            <w:tcW w:w="1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DE69CE3"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5</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31D8AE8" w14:textId="77777777" w:rsidR="00AF18C1" w:rsidRPr="00E45A73" w:rsidRDefault="00AF18C1" w:rsidP="00A1471F">
            <w:pPr>
              <w:spacing w:line="360" w:lineRule="auto"/>
              <w:jc w:val="both"/>
              <w:rPr>
                <w:rFonts w:ascii="Century" w:hAnsi="Century"/>
              </w:rPr>
            </w:pPr>
            <w:r w:rsidRPr="00E45A73">
              <w:rPr>
                <w:rFonts w:ascii="Century" w:hAnsi="Century"/>
                <w:color w:val="000000"/>
              </w:rPr>
              <w:t>8.00</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F66A2FA" w14:textId="77777777" w:rsidR="00AF18C1" w:rsidRPr="00E45A73" w:rsidRDefault="00AF18C1" w:rsidP="00A1471F">
            <w:pPr>
              <w:spacing w:line="360" w:lineRule="auto"/>
              <w:jc w:val="both"/>
              <w:rPr>
                <w:rFonts w:ascii="Century" w:hAnsi="Century"/>
              </w:rPr>
            </w:pPr>
            <w:r w:rsidRPr="00E45A73">
              <w:rPr>
                <w:rFonts w:ascii="Century" w:hAnsi="Century"/>
                <w:color w:val="000000"/>
              </w:rPr>
              <w:t>11.00</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F87093E" w14:textId="77777777" w:rsidR="00AF18C1" w:rsidRPr="00E45A73" w:rsidRDefault="00AF18C1" w:rsidP="00A1471F">
            <w:pPr>
              <w:spacing w:line="360" w:lineRule="auto"/>
              <w:jc w:val="both"/>
              <w:rPr>
                <w:rFonts w:ascii="Century" w:hAnsi="Century"/>
              </w:rPr>
            </w:pPr>
            <w:r w:rsidRPr="00E45A73">
              <w:rPr>
                <w:rFonts w:ascii="Century" w:hAnsi="Century"/>
                <w:color w:val="000000"/>
              </w:rPr>
              <w:t>5.00</w:t>
            </w:r>
          </w:p>
        </w:tc>
        <w:tc>
          <w:tcPr>
            <w:tcW w:w="115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A7A77C0" w14:textId="77777777" w:rsidR="00AF18C1" w:rsidRPr="00E45A73" w:rsidRDefault="00AF18C1" w:rsidP="00A1471F">
            <w:pPr>
              <w:spacing w:line="360" w:lineRule="auto"/>
              <w:jc w:val="both"/>
              <w:rPr>
                <w:rFonts w:ascii="Century" w:hAnsi="Century"/>
              </w:rPr>
            </w:pPr>
            <w:r w:rsidRPr="00E45A73">
              <w:rPr>
                <w:rFonts w:ascii="Century" w:hAnsi="Century"/>
                <w:color w:val="000000"/>
              </w:rPr>
              <w:t>0.621</w:t>
            </w:r>
          </w:p>
        </w:tc>
        <w:tc>
          <w:tcPr>
            <w:tcW w:w="113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750CDA1" w14:textId="77777777" w:rsidR="00AF18C1" w:rsidRPr="00E45A73" w:rsidRDefault="00AF18C1" w:rsidP="00A1471F">
            <w:pPr>
              <w:spacing w:line="360" w:lineRule="auto"/>
              <w:jc w:val="both"/>
              <w:rPr>
                <w:rFonts w:ascii="Century" w:hAnsi="Century"/>
              </w:rPr>
            </w:pPr>
            <w:r w:rsidRPr="00E45A73">
              <w:rPr>
                <w:rFonts w:ascii="Century" w:hAnsi="Century"/>
                <w:color w:val="000000"/>
              </w:rPr>
              <w:t>4.97</w:t>
            </w:r>
          </w:p>
        </w:tc>
        <w:tc>
          <w:tcPr>
            <w:tcW w:w="113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1ED5AE7" w14:textId="77777777" w:rsidR="00AF18C1" w:rsidRPr="00E45A73" w:rsidRDefault="00AF18C1" w:rsidP="00A1471F">
            <w:pPr>
              <w:spacing w:line="360" w:lineRule="auto"/>
              <w:jc w:val="both"/>
              <w:rPr>
                <w:rFonts w:ascii="Century" w:hAnsi="Century"/>
              </w:rPr>
            </w:pPr>
            <w:r w:rsidRPr="00E45A73">
              <w:rPr>
                <w:rFonts w:ascii="Century" w:hAnsi="Century"/>
                <w:color w:val="000000"/>
              </w:rPr>
              <w:t>6.83</w:t>
            </w:r>
          </w:p>
        </w:tc>
        <w:tc>
          <w:tcPr>
            <w:tcW w:w="113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9C51959" w14:textId="77777777" w:rsidR="00AF18C1" w:rsidRPr="00E45A73" w:rsidRDefault="00AF18C1" w:rsidP="00A1471F">
            <w:pPr>
              <w:spacing w:line="360" w:lineRule="auto"/>
              <w:jc w:val="both"/>
              <w:rPr>
                <w:rFonts w:ascii="Century" w:hAnsi="Century"/>
              </w:rPr>
            </w:pPr>
            <w:r w:rsidRPr="00E45A73">
              <w:rPr>
                <w:rFonts w:ascii="Century" w:hAnsi="Century"/>
                <w:color w:val="000000"/>
              </w:rPr>
              <w:t>3.11</w:t>
            </w:r>
          </w:p>
        </w:tc>
        <w:tc>
          <w:tcPr>
            <w:tcW w:w="768"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96A4579" w14:textId="77777777" w:rsidR="00AF18C1" w:rsidRPr="00E45A73" w:rsidRDefault="00AF18C1" w:rsidP="00A1471F">
            <w:pPr>
              <w:spacing w:line="360" w:lineRule="auto"/>
              <w:jc w:val="both"/>
              <w:rPr>
                <w:rFonts w:ascii="Century" w:hAnsi="Century"/>
              </w:rPr>
            </w:pPr>
            <w:r w:rsidRPr="00E45A73">
              <w:rPr>
                <w:rFonts w:ascii="Century" w:hAnsi="Century"/>
                <w:color w:val="000000"/>
              </w:rPr>
              <w:t>+4.00</w:t>
            </w:r>
          </w:p>
        </w:tc>
      </w:tr>
      <w:tr w:rsidR="00AF18C1" w:rsidRPr="00E45A73" w14:paraId="631BCC63" w14:textId="77777777" w:rsidTr="00A1471F">
        <w:tc>
          <w:tcPr>
            <w:tcW w:w="1100"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0043FFFD"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lastRenderedPageBreak/>
              <w:t>Total Inflows</w:t>
            </w:r>
          </w:p>
        </w:tc>
        <w:tc>
          <w:tcPr>
            <w:tcW w:w="1200"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4BC03658"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£54.00M</w:t>
            </w:r>
          </w:p>
        </w:tc>
        <w:tc>
          <w:tcPr>
            <w:tcW w:w="1200"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27F1B8F8"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£55.00M</w:t>
            </w:r>
          </w:p>
        </w:tc>
        <w:tc>
          <w:tcPr>
            <w:tcW w:w="1200"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7F51D2A3"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£65.00M</w:t>
            </w:r>
          </w:p>
        </w:tc>
        <w:tc>
          <w:tcPr>
            <w:tcW w:w="1150"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010AC189" w14:textId="77777777" w:rsidR="00AF18C1" w:rsidRPr="00E45A73" w:rsidRDefault="00AF18C1" w:rsidP="00A1471F">
            <w:pPr>
              <w:spacing w:line="360" w:lineRule="auto"/>
              <w:jc w:val="both"/>
              <w:rPr>
                <w:rFonts w:ascii="Century" w:hAnsi="Century"/>
              </w:rPr>
            </w:pPr>
          </w:p>
        </w:tc>
        <w:tc>
          <w:tcPr>
            <w:tcW w:w="1136"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14AF643D"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£41.31M</w:t>
            </w:r>
          </w:p>
        </w:tc>
        <w:tc>
          <w:tcPr>
            <w:tcW w:w="1136"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27A525DF"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£41.69M</w:t>
            </w:r>
          </w:p>
        </w:tc>
        <w:tc>
          <w:tcPr>
            <w:tcW w:w="1136"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05AA935A"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£48.02M</w:t>
            </w:r>
          </w:p>
        </w:tc>
        <w:tc>
          <w:tcPr>
            <w:tcW w:w="768"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7BE3896B" w14:textId="77777777" w:rsidR="00AF18C1" w:rsidRPr="00E45A73" w:rsidRDefault="00AF18C1" w:rsidP="00A1471F">
            <w:pPr>
              <w:spacing w:line="360" w:lineRule="auto"/>
              <w:jc w:val="both"/>
              <w:rPr>
                <w:rFonts w:ascii="Century" w:hAnsi="Century"/>
              </w:rPr>
            </w:pPr>
          </w:p>
        </w:tc>
      </w:tr>
      <w:tr w:rsidR="00AF18C1" w:rsidRPr="00E45A73" w14:paraId="62561112" w14:textId="77777777" w:rsidTr="00A1471F">
        <w:tc>
          <w:tcPr>
            <w:tcW w:w="1100"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3C7CD399"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NPV</w:t>
            </w:r>
          </w:p>
        </w:tc>
        <w:tc>
          <w:tcPr>
            <w:tcW w:w="1200"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1BCE620F"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£5.23M</w:t>
            </w:r>
          </w:p>
        </w:tc>
        <w:tc>
          <w:tcPr>
            <w:tcW w:w="1200"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5794AC3E"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£11.60M</w:t>
            </w:r>
          </w:p>
        </w:tc>
        <w:tc>
          <w:tcPr>
            <w:tcW w:w="1200"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7DA0BBB5"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£11.87M</w:t>
            </w:r>
          </w:p>
        </w:tc>
        <w:tc>
          <w:tcPr>
            <w:tcW w:w="1150"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1A4E1241" w14:textId="77777777" w:rsidR="00AF18C1" w:rsidRPr="00E45A73" w:rsidRDefault="00AF18C1" w:rsidP="00A1471F">
            <w:pPr>
              <w:spacing w:line="360" w:lineRule="auto"/>
              <w:jc w:val="both"/>
              <w:rPr>
                <w:rFonts w:ascii="Century" w:hAnsi="Century"/>
              </w:rPr>
            </w:pPr>
          </w:p>
        </w:tc>
        <w:tc>
          <w:tcPr>
            <w:tcW w:w="1136"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401F1910" w14:textId="77777777" w:rsidR="00AF18C1" w:rsidRPr="00E45A73" w:rsidRDefault="00AF18C1" w:rsidP="00A1471F">
            <w:pPr>
              <w:spacing w:line="360" w:lineRule="auto"/>
              <w:jc w:val="both"/>
              <w:rPr>
                <w:rFonts w:ascii="Century" w:hAnsi="Century"/>
              </w:rPr>
            </w:pPr>
          </w:p>
        </w:tc>
        <w:tc>
          <w:tcPr>
            <w:tcW w:w="1136"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04113F4D" w14:textId="77777777" w:rsidR="00AF18C1" w:rsidRPr="00E45A73" w:rsidRDefault="00AF18C1" w:rsidP="00A1471F">
            <w:pPr>
              <w:spacing w:line="360" w:lineRule="auto"/>
              <w:jc w:val="both"/>
              <w:rPr>
                <w:rFonts w:ascii="Century" w:hAnsi="Century"/>
              </w:rPr>
            </w:pPr>
          </w:p>
        </w:tc>
        <w:tc>
          <w:tcPr>
            <w:tcW w:w="1136"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24B62133" w14:textId="77777777" w:rsidR="00AF18C1" w:rsidRPr="00E45A73" w:rsidRDefault="00AF18C1" w:rsidP="00A1471F">
            <w:pPr>
              <w:spacing w:line="360" w:lineRule="auto"/>
              <w:jc w:val="both"/>
              <w:rPr>
                <w:rFonts w:ascii="Century" w:hAnsi="Century"/>
              </w:rPr>
            </w:pPr>
          </w:p>
        </w:tc>
        <w:tc>
          <w:tcPr>
            <w:tcW w:w="768"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7A246C27" w14:textId="77777777" w:rsidR="00AF18C1" w:rsidRPr="00E45A73" w:rsidRDefault="00AF18C1" w:rsidP="00A1471F">
            <w:pPr>
              <w:spacing w:line="360" w:lineRule="auto"/>
              <w:jc w:val="both"/>
              <w:rPr>
                <w:rFonts w:ascii="Century" w:hAnsi="Century"/>
              </w:rPr>
            </w:pPr>
          </w:p>
        </w:tc>
      </w:tr>
    </w:tbl>
    <w:p w14:paraId="1AD9D7F4" w14:textId="77777777" w:rsidR="00AF18C1" w:rsidRPr="00E45A73" w:rsidRDefault="00AF18C1" w:rsidP="00AF18C1">
      <w:pPr>
        <w:spacing w:after="60" w:line="360" w:lineRule="auto"/>
        <w:jc w:val="both"/>
        <w:rPr>
          <w:rFonts w:ascii="Cambria" w:hAnsi="Cambria"/>
          <w:b/>
          <w:bCs/>
        </w:rPr>
      </w:pPr>
    </w:p>
    <w:p w14:paraId="323E5B25" w14:textId="77777777" w:rsidR="00AF18C1" w:rsidRPr="00E45A73" w:rsidRDefault="00AF18C1" w:rsidP="00AF18C1">
      <w:pPr>
        <w:pStyle w:val="Heading2"/>
        <w:spacing w:line="360" w:lineRule="auto"/>
        <w:jc w:val="both"/>
        <w:rPr>
          <w:rFonts w:ascii="Cambria" w:hAnsi="Cambria"/>
          <w:b/>
          <w:bCs/>
          <w:sz w:val="24"/>
          <w:szCs w:val="24"/>
        </w:rPr>
      </w:pPr>
      <w:bookmarkStart w:id="22" w:name="_Toc227673251"/>
      <w:r w:rsidRPr="00E45A73">
        <w:rPr>
          <w:rFonts w:ascii="Cambria" w:hAnsi="Cambria"/>
          <w:b/>
          <w:bCs/>
          <w:sz w:val="24"/>
          <w:szCs w:val="24"/>
        </w:rPr>
        <w:t>4.2 Detailed Investment Appraisal Calculations</w:t>
      </w:r>
      <w:bookmarkEnd w:id="22"/>
    </w:p>
    <w:p w14:paraId="1D3B7A6D" w14:textId="77777777" w:rsidR="00AF18C1" w:rsidRPr="00E45A73" w:rsidRDefault="00AF18C1" w:rsidP="00AF18C1">
      <w:pPr>
        <w:pStyle w:val="Heading3"/>
        <w:spacing w:line="360" w:lineRule="auto"/>
        <w:jc w:val="both"/>
        <w:rPr>
          <w:rFonts w:ascii="Cambria" w:hAnsi="Cambria"/>
          <w:b/>
          <w:bCs/>
          <w:sz w:val="24"/>
          <w:szCs w:val="24"/>
        </w:rPr>
      </w:pPr>
      <w:bookmarkStart w:id="23" w:name="_Toc227673252"/>
      <w:r w:rsidRPr="00E45A73">
        <w:rPr>
          <w:rFonts w:ascii="Cambria" w:hAnsi="Cambria"/>
          <w:b/>
          <w:bCs/>
          <w:sz w:val="24"/>
          <w:szCs w:val="24"/>
        </w:rPr>
        <w:t>4.2.1 Net Present Value (NPV)</w:t>
      </w:r>
      <w:bookmarkEnd w:id="23"/>
    </w:p>
    <w:p w14:paraId="0DD4753A" w14:textId="77777777" w:rsidR="00AF18C1" w:rsidRPr="00E45A73" w:rsidRDefault="00AF18C1" w:rsidP="00AF18C1">
      <w:pPr>
        <w:spacing w:after="140" w:line="360" w:lineRule="auto"/>
        <w:rPr>
          <w:rFonts w:ascii="Century" w:hAnsi="Century"/>
        </w:rPr>
      </w:pPr>
      <w:r w:rsidRPr="00E45A73">
        <w:rPr>
          <w:rFonts w:ascii="Century" w:hAnsi="Century"/>
          <w:color w:val="000000"/>
        </w:rPr>
        <w:t>NPV is the most theoretically robust capital budgeting method as it accounts for the time value of money, uses all project cash flows, and provides an absolute measure of value creation in monetary terms. The NPV decision rule is: accept if NPV &gt; 0 (value-creating); reject if NPV &lt; 0 (value-destroying). Formula: NPV = ∑[t=1 to n] CFt / (1+r)^t − I0, where CFt = net cash flow in period t, r = required rate of return (10%), I0 = initial investment (£50M).</w:t>
      </w:r>
    </w:p>
    <w:p w14:paraId="2AA1EC71" w14:textId="77777777" w:rsidR="00AF18C1" w:rsidRPr="00E45A73" w:rsidRDefault="00AF18C1" w:rsidP="00AF18C1">
      <w:pPr>
        <w:spacing w:after="140" w:line="360" w:lineRule="auto"/>
        <w:rPr>
          <w:rFonts w:ascii="Century" w:hAnsi="Century"/>
        </w:rPr>
      </w:pPr>
      <w:r w:rsidRPr="00E45A73">
        <w:rPr>
          <w:rFonts w:ascii="Century" w:hAnsi="Century"/>
          <w:color w:val="000000"/>
        </w:rPr>
        <w:t>Calculations: NPV(A) = (10/1.10) + (12/1.21) + (14/1.331) + (10/1.464) + (8/1.611) − 50 = 9.09 + 9.91 + 10.51 + 6.83 + 4.97 − 50 = +£5.23M. NPV(B) = (11/1.10) + (11/1.21) + (11/1.331) + (11/1.464) + (11/1.611) − 50 = 10.00 + 9.09 + 8.26 + 7.51 + 6.83 − 50 = +£11.60M. NPV(C) = (5/1.10) + (10/1.21) + (20/1.331) + (25/1.464) + (5/1.611) − 50 = 4.55 + 8.26 + 15.02 + 17.08 + 3.11 − 50 = +£11.87M. All three projects are positive NPV and should be accepted as standalone investments, as they generate value above the required 10% cost of capital.</w:t>
      </w:r>
    </w:p>
    <w:p w14:paraId="20F871A3" w14:textId="77777777" w:rsidR="00AF18C1" w:rsidRPr="00E45A73" w:rsidRDefault="00AF18C1" w:rsidP="00AF18C1">
      <w:pPr>
        <w:spacing w:after="60" w:line="360" w:lineRule="auto"/>
        <w:jc w:val="both"/>
        <w:rPr>
          <w:rFonts w:ascii="Century" w:hAnsi="Century"/>
        </w:rPr>
      </w:pPr>
    </w:p>
    <w:p w14:paraId="762C31BC" w14:textId="77777777" w:rsidR="00AF18C1" w:rsidRPr="00E45A73" w:rsidRDefault="00AF18C1" w:rsidP="00AF18C1">
      <w:pPr>
        <w:pStyle w:val="Heading3"/>
        <w:spacing w:line="360" w:lineRule="auto"/>
        <w:jc w:val="both"/>
        <w:rPr>
          <w:rFonts w:ascii="Century" w:hAnsi="Century"/>
          <w:sz w:val="24"/>
          <w:szCs w:val="24"/>
        </w:rPr>
      </w:pPr>
      <w:bookmarkStart w:id="24" w:name="_Toc227673253"/>
      <w:r w:rsidRPr="00E45A73">
        <w:rPr>
          <w:rFonts w:ascii="Century" w:hAnsi="Century"/>
          <w:sz w:val="24"/>
          <w:szCs w:val="24"/>
        </w:rPr>
        <w:t>4.2.2 Accounting Rate of Return (ARR)</w:t>
      </w:r>
      <w:bookmarkEnd w:id="24"/>
    </w:p>
    <w:p w14:paraId="187CE9FE" w14:textId="77777777" w:rsidR="00AF18C1" w:rsidRPr="00E45A73" w:rsidRDefault="00AF18C1" w:rsidP="00AF18C1">
      <w:pPr>
        <w:spacing w:after="140" w:line="360" w:lineRule="auto"/>
        <w:rPr>
          <w:rFonts w:ascii="Century" w:hAnsi="Century"/>
        </w:rPr>
      </w:pPr>
      <w:r w:rsidRPr="00E45A73">
        <w:rPr>
          <w:rFonts w:ascii="Century" w:hAnsi="Century"/>
          <w:color w:val="000000"/>
        </w:rPr>
        <w:t>ARR measures the average annual accounting profit as a percentage of the average capital invested. While it does not account for the time value of money (a key limitation), it is commonly used alongside NPV to provide a profit-based assessment that aligns with reported accounting income. Formula: ARR = (Average Annual Accounting Profit / Average Investment) × 100. Average Investment = (Initial Investment + Residual Value) / 2 = (£50M + £0M) / 2 = £25M. Annual Depreciation = £50M / 5 = £10M.</w:t>
      </w:r>
    </w:p>
    <w:p w14:paraId="0B296FF2" w14:textId="77777777" w:rsidR="00AF18C1" w:rsidRPr="00E45A73" w:rsidRDefault="00AF18C1" w:rsidP="00AF18C1">
      <w:pPr>
        <w:spacing w:after="140" w:line="360" w:lineRule="auto"/>
        <w:rPr>
          <w:rFonts w:ascii="Century" w:hAnsi="Century"/>
        </w:rPr>
      </w:pPr>
      <w:r w:rsidRPr="00E45A73">
        <w:rPr>
          <w:rFonts w:ascii="Century" w:hAnsi="Century"/>
          <w:color w:val="000000"/>
        </w:rPr>
        <w:lastRenderedPageBreak/>
        <w:t>Calculations: Project A: Total Profit = £54M − £50M (depreciation over 5 years, £10M × 5) = £4M. Average Annual Profit = £4M / 5 = £0.80M. ARR(A) = 0.80 / 25 × 100 = 3.2%. Project B: Total Profit = £55M − £50M = £5M. Average Annual Profit = £5M / 5 = £1.00M. ARR(B) = 1.00 / 25 × 100 = 4.0%. Project C: Total Profit = £65M − £50M = £15M. Average Annual Profit = £15M / 5 = £3.00M. ARR(C) = 3.00 / 25 × 100 = 12.0%. Project C delivers by far the highest ARR at 12.0%, three times higher than Project B.</w:t>
      </w:r>
    </w:p>
    <w:p w14:paraId="5F28F807" w14:textId="77777777" w:rsidR="00815A14" w:rsidRDefault="00815A14" w:rsidP="00AF18C1">
      <w:pPr>
        <w:pStyle w:val="Heading3"/>
        <w:spacing w:line="360" w:lineRule="auto"/>
        <w:jc w:val="both"/>
        <w:rPr>
          <w:rFonts w:ascii="Century" w:hAnsi="Century"/>
          <w:b/>
          <w:bCs/>
          <w:sz w:val="24"/>
          <w:szCs w:val="24"/>
        </w:rPr>
      </w:pPr>
      <w:bookmarkStart w:id="25" w:name="_Toc227673254"/>
    </w:p>
    <w:p w14:paraId="347805D9" w14:textId="1AE50622" w:rsidR="00AF18C1" w:rsidRPr="00E45A73" w:rsidRDefault="00AF18C1" w:rsidP="00AF18C1">
      <w:pPr>
        <w:pStyle w:val="Heading3"/>
        <w:spacing w:line="360" w:lineRule="auto"/>
        <w:jc w:val="both"/>
        <w:rPr>
          <w:rFonts w:ascii="Century" w:hAnsi="Century"/>
          <w:b/>
          <w:bCs/>
          <w:sz w:val="24"/>
          <w:szCs w:val="24"/>
        </w:rPr>
      </w:pPr>
      <w:r w:rsidRPr="00E45A73">
        <w:rPr>
          <w:rFonts w:ascii="Century" w:hAnsi="Century"/>
          <w:b/>
          <w:bCs/>
          <w:sz w:val="24"/>
          <w:szCs w:val="24"/>
        </w:rPr>
        <w:t>4.2.3 Payback Period (PBP)</w:t>
      </w:r>
      <w:bookmarkEnd w:id="25"/>
    </w:p>
    <w:p w14:paraId="7B8531B1" w14:textId="77777777" w:rsidR="00AF18C1" w:rsidRPr="00E45A73" w:rsidRDefault="00AF18C1" w:rsidP="00AF18C1">
      <w:pPr>
        <w:spacing w:after="140" w:line="360" w:lineRule="auto"/>
        <w:jc w:val="both"/>
        <w:rPr>
          <w:rFonts w:ascii="Century" w:hAnsi="Century"/>
        </w:rPr>
      </w:pPr>
      <w:r w:rsidRPr="00E45A73">
        <w:rPr>
          <w:rFonts w:ascii="Century" w:hAnsi="Century"/>
          <w:color w:val="000000"/>
        </w:rPr>
        <w:t>The Payback Period measures how quickly the initial investment is recovered from cumulative net cash inflows. It is a simple liquidity-focused metric that is particularly relevant for companies in capital-constrained environments or where project risk increases over time. Decision rule: the shorter the payback period, the better. Project A: Cumulative cash flows: Y1: £10M; Y2: £22M; Y3: £36M; Y4: £46M. Remaining after Y4 = £50M − £46M = £4M. Y5 CF = £8M. PBP(A) = 4 + (4/8) = 4.5 years. Project B: Annual CF = £11M constant; Y1: £11M; Y2: £22M; Y3: £33M; Y4: £44M; remaining = £6M of £11M. PBP(B) = 4 + (6/11) = 4.55 years. Project C: Y1: £5M; Y2: £15M; Y3: £35M; remaining after Y3 = £50M−£35M = £15M, recovered in Y4 at rate of £25M/yr. PBP(C) = 3 + (15/25) = 3.60 years.</w:t>
      </w:r>
    </w:p>
    <w:p w14:paraId="3FD047AA" w14:textId="77777777" w:rsidR="00AF18C1" w:rsidRPr="00E45A73" w:rsidRDefault="00AF18C1" w:rsidP="00AF18C1">
      <w:pPr>
        <w:spacing w:after="140" w:line="360" w:lineRule="auto"/>
        <w:jc w:val="both"/>
        <w:rPr>
          <w:rFonts w:ascii="Century" w:hAnsi="Century"/>
        </w:rPr>
      </w:pPr>
      <w:r w:rsidRPr="00E45A73">
        <w:rPr>
          <w:rFonts w:ascii="Century" w:hAnsi="Century"/>
          <w:color w:val="000000"/>
        </w:rPr>
        <w:t>Project C achieves payback in just 3.60 years, approximately 1 year faster than both A and B. This is particularly significant for Tesla, as the company is actively managing free cash flow to fund $11+ billion in annual CapEx, making faster capital recovery highly valuable from a liquidity management perspective.</w:t>
      </w:r>
    </w:p>
    <w:p w14:paraId="345A220B" w14:textId="77777777" w:rsidR="00AF18C1" w:rsidRPr="00E45A73" w:rsidRDefault="00AF18C1" w:rsidP="00AF18C1">
      <w:pPr>
        <w:spacing w:after="60" w:line="360" w:lineRule="auto"/>
        <w:jc w:val="both"/>
        <w:rPr>
          <w:rFonts w:ascii="Century" w:hAnsi="Century"/>
        </w:rPr>
      </w:pPr>
    </w:p>
    <w:p w14:paraId="00D8DF4F" w14:textId="77777777" w:rsidR="00AF18C1" w:rsidRPr="00E45A73" w:rsidRDefault="00AF18C1" w:rsidP="00AF18C1">
      <w:pPr>
        <w:pStyle w:val="Heading3"/>
        <w:spacing w:line="360" w:lineRule="auto"/>
        <w:jc w:val="both"/>
        <w:rPr>
          <w:rFonts w:ascii="Century" w:hAnsi="Century"/>
          <w:b/>
          <w:bCs/>
          <w:sz w:val="24"/>
          <w:szCs w:val="24"/>
        </w:rPr>
      </w:pPr>
      <w:bookmarkStart w:id="26" w:name="_Toc227673255"/>
      <w:r w:rsidRPr="00E45A73">
        <w:rPr>
          <w:rFonts w:ascii="Century" w:hAnsi="Century"/>
          <w:b/>
          <w:bCs/>
          <w:sz w:val="24"/>
          <w:szCs w:val="24"/>
        </w:rPr>
        <w:t>4.2.4 Profitability Index (PI) and Internal Rate of Return (IRR)</w:t>
      </w:r>
      <w:bookmarkEnd w:id="26"/>
    </w:p>
    <w:p w14:paraId="1AFB8EFA" w14:textId="77777777" w:rsidR="00AF18C1" w:rsidRPr="00E45A73" w:rsidRDefault="00AF18C1" w:rsidP="00AF18C1">
      <w:pPr>
        <w:spacing w:after="140" w:line="360" w:lineRule="auto"/>
        <w:jc w:val="both"/>
        <w:rPr>
          <w:rFonts w:ascii="Century" w:hAnsi="Century"/>
        </w:rPr>
      </w:pPr>
      <w:r w:rsidRPr="00E45A73">
        <w:rPr>
          <w:rFonts w:ascii="Century" w:hAnsi="Century"/>
          <w:color w:val="000000"/>
        </w:rPr>
        <w:t xml:space="preserve">The Profitability Index (PI) adjusts for investment size by expressing NPV per unit of capital invested: PI = (NPV + I0) / I0. PI(A) = (5.23 + 50) / 50 = 55.23 / 50 = 1.105. PI(B) = (11.60 + 50) / 50 = 61.60 / 50 = 1.232. PI(C) = (11.87 + 50) / 50 = 61.87 / 50 = 1.237. All PIs are above 1.0, confirming all projects are viable. Project </w:t>
      </w:r>
      <w:r w:rsidRPr="00E45A73">
        <w:rPr>
          <w:rFonts w:ascii="Century" w:hAnsi="Century"/>
          <w:color w:val="000000"/>
        </w:rPr>
        <w:lastRenderedPageBreak/>
        <w:t>C marginally exceeds Project B in PI terms, confirming its superior value-per-pound-invested.</w:t>
      </w:r>
    </w:p>
    <w:p w14:paraId="3FA8C5EB" w14:textId="77777777" w:rsidR="00AF18C1" w:rsidRPr="00E45A73" w:rsidRDefault="00AF18C1" w:rsidP="00AF18C1">
      <w:pPr>
        <w:spacing w:after="140" w:line="360" w:lineRule="auto"/>
        <w:jc w:val="both"/>
        <w:rPr>
          <w:rFonts w:ascii="Century" w:hAnsi="Century"/>
          <w:color w:val="000000"/>
        </w:rPr>
      </w:pPr>
      <w:r w:rsidRPr="00E45A73">
        <w:rPr>
          <w:rFonts w:ascii="Century" w:hAnsi="Century"/>
          <w:color w:val="000000"/>
        </w:rPr>
        <w:t>The Internal Rate of Return (IRR) is the discount rate at which the project's NPV equals zero. It is calculated by interpolation: IRR ≈ r1 + [NPV1 / (NPV1 − NPV2)] × (r2 − r1). Using trial rates: Project A at 20%: NPV ≈ −0.8M → IRR(A) ≈ 10% + [5.23 / (5.23 + 0.80)] × 10% ≈ 14.2%. Project B at 25%: NPV ≈ −0.9M → IRR(B) ≈ 10% + [11.60 / (11.60 + 0.9)] × 15% ≈ 18.5%. Project C at 25%: NPV ≈ −1.2M → IRR(C) ≈ 10% + [11.87 / (11.87 + 1.2)] × 15% ≈ 19.1%. All IRRs substantially exceed the 10% hurdle rate. Project C achieves the highest IRR (19.1%), providing the widest safety margin against potential cost overruns or revenue shortfalls before the project becomes value-destroying.</w:t>
      </w:r>
    </w:p>
    <w:p w14:paraId="00044AF5" w14:textId="77777777" w:rsidR="00815A14" w:rsidRDefault="00815A14" w:rsidP="00AF18C1">
      <w:pPr>
        <w:spacing w:before="200" w:after="80" w:line="360" w:lineRule="auto"/>
        <w:jc w:val="both"/>
        <w:rPr>
          <w:rFonts w:ascii="Century" w:hAnsi="Century"/>
          <w:color w:val="000000"/>
        </w:rPr>
      </w:pPr>
    </w:p>
    <w:p w14:paraId="307C457E" w14:textId="41C00ECB" w:rsidR="00AF18C1" w:rsidRPr="00E45A73" w:rsidRDefault="00AF18C1" w:rsidP="00AF18C1">
      <w:pPr>
        <w:spacing w:before="200" w:after="80" w:line="360" w:lineRule="auto"/>
        <w:jc w:val="both"/>
        <w:rPr>
          <w:rFonts w:ascii="Century" w:hAnsi="Century"/>
        </w:rPr>
      </w:pPr>
      <w:r w:rsidRPr="00E45A73">
        <w:rPr>
          <w:rFonts w:ascii="Century" w:hAnsi="Century"/>
          <w:b/>
          <w:bCs/>
          <w:color w:val="003087"/>
        </w:rPr>
        <w:t>Table 4.2: Complete Investment Appraisal Summary (£ Millions)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26"/>
        <w:gridCol w:w="2100"/>
        <w:gridCol w:w="2100"/>
        <w:gridCol w:w="2100"/>
      </w:tblGrid>
      <w:tr w:rsidR="00AF18C1" w:rsidRPr="00E45A73" w14:paraId="6098C1BD" w14:textId="77777777" w:rsidTr="00A1471F">
        <w:tc>
          <w:tcPr>
            <w:tcW w:w="2726"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2A82B097"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Appraisal Metric</w:t>
            </w:r>
          </w:p>
        </w:tc>
        <w:tc>
          <w:tcPr>
            <w:tcW w:w="21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72BD6512"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Project A</w:t>
            </w:r>
          </w:p>
        </w:tc>
        <w:tc>
          <w:tcPr>
            <w:tcW w:w="21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66DB6A09"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Project B</w:t>
            </w:r>
          </w:p>
        </w:tc>
        <w:tc>
          <w:tcPr>
            <w:tcW w:w="21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0A7FB6E9"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Project C</w:t>
            </w:r>
          </w:p>
        </w:tc>
      </w:tr>
      <w:tr w:rsidR="00AF18C1" w:rsidRPr="00E45A73" w14:paraId="66F07BAF" w14:textId="77777777" w:rsidTr="00A1471F">
        <w:tc>
          <w:tcPr>
            <w:tcW w:w="272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F4D593C"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Initial Investment (£M)</w:t>
            </w:r>
          </w:p>
        </w:tc>
        <w:tc>
          <w:tcPr>
            <w:tcW w:w="21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5652A04" w14:textId="77777777" w:rsidR="00AF18C1" w:rsidRPr="00E45A73" w:rsidRDefault="00AF18C1" w:rsidP="00A1471F">
            <w:pPr>
              <w:spacing w:line="360" w:lineRule="auto"/>
              <w:jc w:val="both"/>
              <w:rPr>
                <w:rFonts w:ascii="Century" w:hAnsi="Century"/>
              </w:rPr>
            </w:pPr>
            <w:r w:rsidRPr="00E45A73">
              <w:rPr>
                <w:rFonts w:ascii="Century" w:hAnsi="Century"/>
                <w:color w:val="000000"/>
              </w:rPr>
              <w:t>£50.00M</w:t>
            </w:r>
          </w:p>
        </w:tc>
        <w:tc>
          <w:tcPr>
            <w:tcW w:w="21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5099F6B" w14:textId="77777777" w:rsidR="00AF18C1" w:rsidRPr="00E45A73" w:rsidRDefault="00AF18C1" w:rsidP="00A1471F">
            <w:pPr>
              <w:spacing w:line="360" w:lineRule="auto"/>
              <w:jc w:val="both"/>
              <w:rPr>
                <w:rFonts w:ascii="Century" w:hAnsi="Century"/>
              </w:rPr>
            </w:pPr>
            <w:r w:rsidRPr="00E45A73">
              <w:rPr>
                <w:rFonts w:ascii="Century" w:hAnsi="Century"/>
                <w:color w:val="000000"/>
              </w:rPr>
              <w:t>£50.00M</w:t>
            </w:r>
          </w:p>
        </w:tc>
        <w:tc>
          <w:tcPr>
            <w:tcW w:w="21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D3575AE" w14:textId="77777777" w:rsidR="00AF18C1" w:rsidRPr="00E45A73" w:rsidRDefault="00AF18C1" w:rsidP="00A1471F">
            <w:pPr>
              <w:spacing w:line="360" w:lineRule="auto"/>
              <w:jc w:val="both"/>
              <w:rPr>
                <w:rFonts w:ascii="Century" w:hAnsi="Century"/>
              </w:rPr>
            </w:pPr>
            <w:r w:rsidRPr="00E45A73">
              <w:rPr>
                <w:rFonts w:ascii="Century" w:hAnsi="Century"/>
                <w:color w:val="000000"/>
              </w:rPr>
              <w:t>£50.00M</w:t>
            </w:r>
          </w:p>
        </w:tc>
      </w:tr>
      <w:tr w:rsidR="00AF18C1" w:rsidRPr="00E45A73" w14:paraId="4D52B3C1" w14:textId="77777777" w:rsidTr="00A1471F">
        <w:tc>
          <w:tcPr>
            <w:tcW w:w="272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2C5E2DC" w14:textId="77777777" w:rsidR="00AF18C1" w:rsidRPr="00E45A73" w:rsidRDefault="00AF18C1" w:rsidP="00A1471F">
            <w:pPr>
              <w:spacing w:line="360" w:lineRule="auto"/>
              <w:jc w:val="both"/>
              <w:rPr>
                <w:rFonts w:ascii="Century" w:hAnsi="Century"/>
              </w:rPr>
            </w:pPr>
            <w:r w:rsidRPr="00E45A73">
              <w:rPr>
                <w:rFonts w:ascii="Century" w:hAnsi="Century"/>
                <w:color w:val="000000"/>
              </w:rPr>
              <w:t>Total Net Cash Inflows (£M)</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C9CD62E" w14:textId="77777777" w:rsidR="00AF18C1" w:rsidRPr="00E45A73" w:rsidRDefault="00AF18C1" w:rsidP="00A1471F">
            <w:pPr>
              <w:spacing w:line="360" w:lineRule="auto"/>
              <w:jc w:val="both"/>
              <w:rPr>
                <w:rFonts w:ascii="Century" w:hAnsi="Century"/>
              </w:rPr>
            </w:pPr>
            <w:r w:rsidRPr="00E45A73">
              <w:rPr>
                <w:rFonts w:ascii="Century" w:hAnsi="Century"/>
                <w:color w:val="000000"/>
              </w:rPr>
              <w:t>£54.00M</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7D18EC2" w14:textId="77777777" w:rsidR="00AF18C1" w:rsidRPr="00E45A73" w:rsidRDefault="00AF18C1" w:rsidP="00A1471F">
            <w:pPr>
              <w:spacing w:line="360" w:lineRule="auto"/>
              <w:jc w:val="both"/>
              <w:rPr>
                <w:rFonts w:ascii="Century" w:hAnsi="Century"/>
              </w:rPr>
            </w:pPr>
            <w:r w:rsidRPr="00E45A73">
              <w:rPr>
                <w:rFonts w:ascii="Century" w:hAnsi="Century"/>
                <w:color w:val="000000"/>
              </w:rPr>
              <w:t>£55.00M</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D5E7F9F" w14:textId="77777777" w:rsidR="00AF18C1" w:rsidRPr="00E45A73" w:rsidRDefault="00AF18C1" w:rsidP="00A1471F">
            <w:pPr>
              <w:spacing w:line="360" w:lineRule="auto"/>
              <w:jc w:val="both"/>
              <w:rPr>
                <w:rFonts w:ascii="Century" w:hAnsi="Century"/>
              </w:rPr>
            </w:pPr>
            <w:r w:rsidRPr="00E45A73">
              <w:rPr>
                <w:rFonts w:ascii="Century" w:hAnsi="Century"/>
                <w:color w:val="000000"/>
              </w:rPr>
              <w:t>£65.00M</w:t>
            </w:r>
          </w:p>
        </w:tc>
      </w:tr>
      <w:tr w:rsidR="00AF18C1" w:rsidRPr="00E45A73" w14:paraId="451C6C77" w14:textId="77777777" w:rsidTr="00A1471F">
        <w:tc>
          <w:tcPr>
            <w:tcW w:w="272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8C6C768" w14:textId="77777777" w:rsidR="00AF18C1" w:rsidRPr="00E45A73" w:rsidRDefault="00AF18C1" w:rsidP="00A1471F">
            <w:pPr>
              <w:spacing w:line="360" w:lineRule="auto"/>
              <w:jc w:val="both"/>
              <w:rPr>
                <w:rFonts w:ascii="Century" w:hAnsi="Century"/>
              </w:rPr>
            </w:pPr>
            <w:r w:rsidRPr="00E45A73">
              <w:rPr>
                <w:rFonts w:ascii="Century" w:hAnsi="Century"/>
                <w:color w:val="000000"/>
              </w:rPr>
              <w:t>Average Annual Accounting Profit (£M)</w:t>
            </w:r>
          </w:p>
        </w:tc>
        <w:tc>
          <w:tcPr>
            <w:tcW w:w="21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CDCC7E1" w14:textId="77777777" w:rsidR="00AF18C1" w:rsidRPr="00E45A73" w:rsidRDefault="00AF18C1" w:rsidP="00A1471F">
            <w:pPr>
              <w:spacing w:line="360" w:lineRule="auto"/>
              <w:jc w:val="both"/>
              <w:rPr>
                <w:rFonts w:ascii="Century" w:hAnsi="Century"/>
              </w:rPr>
            </w:pPr>
            <w:r w:rsidRPr="00E45A73">
              <w:rPr>
                <w:rFonts w:ascii="Century" w:hAnsi="Century"/>
                <w:color w:val="000000"/>
              </w:rPr>
              <w:t>£0.80M</w:t>
            </w:r>
          </w:p>
        </w:tc>
        <w:tc>
          <w:tcPr>
            <w:tcW w:w="21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CED008B" w14:textId="77777777" w:rsidR="00AF18C1" w:rsidRPr="00E45A73" w:rsidRDefault="00AF18C1" w:rsidP="00A1471F">
            <w:pPr>
              <w:spacing w:line="360" w:lineRule="auto"/>
              <w:jc w:val="both"/>
              <w:rPr>
                <w:rFonts w:ascii="Century" w:hAnsi="Century"/>
              </w:rPr>
            </w:pPr>
            <w:r w:rsidRPr="00E45A73">
              <w:rPr>
                <w:rFonts w:ascii="Century" w:hAnsi="Century"/>
                <w:color w:val="000000"/>
              </w:rPr>
              <w:t>£1.00M</w:t>
            </w:r>
          </w:p>
        </w:tc>
        <w:tc>
          <w:tcPr>
            <w:tcW w:w="21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B3AAD6F" w14:textId="77777777" w:rsidR="00AF18C1" w:rsidRPr="00E45A73" w:rsidRDefault="00AF18C1" w:rsidP="00A1471F">
            <w:pPr>
              <w:spacing w:line="360" w:lineRule="auto"/>
              <w:jc w:val="both"/>
              <w:rPr>
                <w:rFonts w:ascii="Century" w:hAnsi="Century"/>
              </w:rPr>
            </w:pPr>
            <w:r w:rsidRPr="00E45A73">
              <w:rPr>
                <w:rFonts w:ascii="Century" w:hAnsi="Century"/>
                <w:color w:val="000000"/>
              </w:rPr>
              <w:t>£3.00M</w:t>
            </w:r>
          </w:p>
        </w:tc>
      </w:tr>
      <w:tr w:rsidR="00AF18C1" w:rsidRPr="00E45A73" w14:paraId="11B76F50" w14:textId="77777777" w:rsidTr="00A1471F">
        <w:tc>
          <w:tcPr>
            <w:tcW w:w="272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E79F5DB" w14:textId="77777777" w:rsidR="00AF18C1" w:rsidRPr="00E45A73" w:rsidRDefault="00AF18C1" w:rsidP="00A1471F">
            <w:pPr>
              <w:spacing w:line="360" w:lineRule="auto"/>
              <w:jc w:val="both"/>
              <w:rPr>
                <w:rFonts w:ascii="Century" w:hAnsi="Century"/>
              </w:rPr>
            </w:pPr>
            <w:r w:rsidRPr="00E45A73">
              <w:rPr>
                <w:rFonts w:ascii="Century" w:hAnsi="Century"/>
                <w:color w:val="000000"/>
              </w:rPr>
              <w:t>Accounting Rate of Return (ARR)</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7D9D096" w14:textId="77777777" w:rsidR="00AF18C1" w:rsidRPr="00E45A73" w:rsidRDefault="00AF18C1" w:rsidP="00A1471F">
            <w:pPr>
              <w:spacing w:line="360" w:lineRule="auto"/>
              <w:jc w:val="both"/>
              <w:rPr>
                <w:rFonts w:ascii="Century" w:hAnsi="Century"/>
              </w:rPr>
            </w:pPr>
            <w:r w:rsidRPr="00E45A73">
              <w:rPr>
                <w:rFonts w:ascii="Century" w:hAnsi="Century"/>
                <w:color w:val="000000"/>
              </w:rPr>
              <w:t>3.2%</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A23F869" w14:textId="77777777" w:rsidR="00AF18C1" w:rsidRPr="00E45A73" w:rsidRDefault="00AF18C1" w:rsidP="00A1471F">
            <w:pPr>
              <w:spacing w:line="360" w:lineRule="auto"/>
              <w:jc w:val="both"/>
              <w:rPr>
                <w:rFonts w:ascii="Century" w:hAnsi="Century"/>
              </w:rPr>
            </w:pPr>
            <w:r w:rsidRPr="00E45A73">
              <w:rPr>
                <w:rFonts w:ascii="Century" w:hAnsi="Century"/>
                <w:color w:val="000000"/>
              </w:rPr>
              <w:t>4.0%</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0FDBFE5" w14:textId="77777777" w:rsidR="00AF18C1" w:rsidRPr="00E45A73" w:rsidRDefault="00AF18C1" w:rsidP="00A1471F">
            <w:pPr>
              <w:spacing w:line="360" w:lineRule="auto"/>
              <w:jc w:val="both"/>
              <w:rPr>
                <w:rFonts w:ascii="Century" w:hAnsi="Century"/>
              </w:rPr>
            </w:pPr>
            <w:r w:rsidRPr="00E45A73">
              <w:rPr>
                <w:rFonts w:ascii="Century" w:hAnsi="Century"/>
                <w:color w:val="000000"/>
              </w:rPr>
              <w:t>12.0%</w:t>
            </w:r>
          </w:p>
        </w:tc>
      </w:tr>
      <w:tr w:rsidR="00AF18C1" w:rsidRPr="00E45A73" w14:paraId="2E412AC6" w14:textId="77777777" w:rsidTr="00A1471F">
        <w:tc>
          <w:tcPr>
            <w:tcW w:w="272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5360F9A" w14:textId="77777777" w:rsidR="00AF18C1" w:rsidRPr="00E45A73" w:rsidRDefault="00AF18C1" w:rsidP="00A1471F">
            <w:pPr>
              <w:spacing w:line="360" w:lineRule="auto"/>
              <w:jc w:val="both"/>
              <w:rPr>
                <w:rFonts w:ascii="Century" w:hAnsi="Century"/>
              </w:rPr>
            </w:pPr>
            <w:r w:rsidRPr="00E45A73">
              <w:rPr>
                <w:rFonts w:ascii="Century" w:hAnsi="Century"/>
                <w:color w:val="000000"/>
              </w:rPr>
              <w:t>Payback Period (PBP)</w:t>
            </w:r>
          </w:p>
        </w:tc>
        <w:tc>
          <w:tcPr>
            <w:tcW w:w="21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60161FC" w14:textId="77777777" w:rsidR="00AF18C1" w:rsidRPr="00E45A73" w:rsidRDefault="00AF18C1" w:rsidP="00A1471F">
            <w:pPr>
              <w:spacing w:line="360" w:lineRule="auto"/>
              <w:jc w:val="both"/>
              <w:rPr>
                <w:rFonts w:ascii="Century" w:hAnsi="Century"/>
              </w:rPr>
            </w:pPr>
            <w:r w:rsidRPr="00E45A73">
              <w:rPr>
                <w:rFonts w:ascii="Century" w:hAnsi="Century"/>
                <w:color w:val="000000"/>
              </w:rPr>
              <w:t>4.5 years</w:t>
            </w:r>
          </w:p>
        </w:tc>
        <w:tc>
          <w:tcPr>
            <w:tcW w:w="21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E18CE9F" w14:textId="77777777" w:rsidR="00AF18C1" w:rsidRPr="00E45A73" w:rsidRDefault="00AF18C1" w:rsidP="00A1471F">
            <w:pPr>
              <w:spacing w:line="360" w:lineRule="auto"/>
              <w:jc w:val="both"/>
              <w:rPr>
                <w:rFonts w:ascii="Century" w:hAnsi="Century"/>
              </w:rPr>
            </w:pPr>
            <w:r w:rsidRPr="00E45A73">
              <w:rPr>
                <w:rFonts w:ascii="Century" w:hAnsi="Century"/>
                <w:color w:val="000000"/>
              </w:rPr>
              <w:t>4.55 years</w:t>
            </w:r>
          </w:p>
        </w:tc>
        <w:tc>
          <w:tcPr>
            <w:tcW w:w="21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8BB8DF1" w14:textId="77777777" w:rsidR="00AF18C1" w:rsidRPr="00E45A73" w:rsidRDefault="00AF18C1" w:rsidP="00A1471F">
            <w:pPr>
              <w:spacing w:line="360" w:lineRule="auto"/>
              <w:jc w:val="both"/>
              <w:rPr>
                <w:rFonts w:ascii="Century" w:hAnsi="Century"/>
              </w:rPr>
            </w:pPr>
            <w:r w:rsidRPr="00E45A73">
              <w:rPr>
                <w:rFonts w:ascii="Century" w:hAnsi="Century"/>
                <w:color w:val="000000"/>
              </w:rPr>
              <w:t>3.60 years</w:t>
            </w:r>
          </w:p>
        </w:tc>
      </w:tr>
      <w:tr w:rsidR="00AF18C1" w:rsidRPr="00E45A73" w14:paraId="2141979A" w14:textId="77777777" w:rsidTr="00A1471F">
        <w:tc>
          <w:tcPr>
            <w:tcW w:w="272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512A7B4" w14:textId="77777777" w:rsidR="00AF18C1" w:rsidRPr="00E45A73" w:rsidRDefault="00AF18C1" w:rsidP="00A1471F">
            <w:pPr>
              <w:spacing w:line="360" w:lineRule="auto"/>
              <w:jc w:val="both"/>
              <w:rPr>
                <w:rFonts w:ascii="Century" w:hAnsi="Century"/>
              </w:rPr>
            </w:pPr>
            <w:r w:rsidRPr="00E45A73">
              <w:rPr>
                <w:rFonts w:ascii="Century" w:hAnsi="Century"/>
                <w:color w:val="000000"/>
              </w:rPr>
              <w:t>Net Present Value (NPV @ 10%)</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7B85998" w14:textId="77777777" w:rsidR="00AF18C1" w:rsidRPr="00E45A73" w:rsidRDefault="00AF18C1" w:rsidP="00A1471F">
            <w:pPr>
              <w:spacing w:line="360" w:lineRule="auto"/>
              <w:jc w:val="both"/>
              <w:rPr>
                <w:rFonts w:ascii="Century" w:hAnsi="Century"/>
              </w:rPr>
            </w:pPr>
            <w:r w:rsidRPr="00E45A73">
              <w:rPr>
                <w:rFonts w:ascii="Century" w:hAnsi="Century"/>
                <w:color w:val="000000"/>
              </w:rPr>
              <w:t>£5.23M</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651CE59" w14:textId="77777777" w:rsidR="00AF18C1" w:rsidRPr="00E45A73" w:rsidRDefault="00AF18C1" w:rsidP="00A1471F">
            <w:pPr>
              <w:spacing w:line="360" w:lineRule="auto"/>
              <w:jc w:val="both"/>
              <w:rPr>
                <w:rFonts w:ascii="Century" w:hAnsi="Century"/>
              </w:rPr>
            </w:pPr>
            <w:r w:rsidRPr="00E45A73">
              <w:rPr>
                <w:rFonts w:ascii="Century" w:hAnsi="Century"/>
                <w:color w:val="000000"/>
              </w:rPr>
              <w:t>£11.60M</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B65F3AA" w14:textId="77777777" w:rsidR="00AF18C1" w:rsidRPr="00E45A73" w:rsidRDefault="00AF18C1" w:rsidP="00A1471F">
            <w:pPr>
              <w:spacing w:line="360" w:lineRule="auto"/>
              <w:jc w:val="both"/>
              <w:rPr>
                <w:rFonts w:ascii="Century" w:hAnsi="Century"/>
              </w:rPr>
            </w:pPr>
            <w:r w:rsidRPr="00E45A73">
              <w:rPr>
                <w:rFonts w:ascii="Century" w:hAnsi="Century"/>
                <w:color w:val="000000"/>
              </w:rPr>
              <w:t>£11.87M</w:t>
            </w:r>
          </w:p>
        </w:tc>
      </w:tr>
      <w:tr w:rsidR="00AF18C1" w:rsidRPr="00E45A73" w14:paraId="5FED4627" w14:textId="77777777" w:rsidTr="00A1471F">
        <w:tc>
          <w:tcPr>
            <w:tcW w:w="272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C61B66D" w14:textId="77777777" w:rsidR="00AF18C1" w:rsidRPr="00E45A73" w:rsidRDefault="00AF18C1" w:rsidP="00A1471F">
            <w:pPr>
              <w:spacing w:line="360" w:lineRule="auto"/>
              <w:jc w:val="both"/>
              <w:rPr>
                <w:rFonts w:ascii="Century" w:hAnsi="Century"/>
              </w:rPr>
            </w:pPr>
            <w:r w:rsidRPr="00E45A73">
              <w:rPr>
                <w:rFonts w:ascii="Century" w:hAnsi="Century"/>
                <w:color w:val="000000"/>
              </w:rPr>
              <w:t>Profitability Index (PI)</w:t>
            </w:r>
          </w:p>
        </w:tc>
        <w:tc>
          <w:tcPr>
            <w:tcW w:w="21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BA0585F" w14:textId="77777777" w:rsidR="00AF18C1" w:rsidRPr="00E45A73" w:rsidRDefault="00AF18C1" w:rsidP="00A1471F">
            <w:pPr>
              <w:spacing w:line="360" w:lineRule="auto"/>
              <w:jc w:val="both"/>
              <w:rPr>
                <w:rFonts w:ascii="Century" w:hAnsi="Century"/>
              </w:rPr>
            </w:pPr>
            <w:r w:rsidRPr="00E45A73">
              <w:rPr>
                <w:rFonts w:ascii="Century" w:hAnsi="Century"/>
                <w:color w:val="000000"/>
              </w:rPr>
              <w:t>1.105</w:t>
            </w:r>
          </w:p>
        </w:tc>
        <w:tc>
          <w:tcPr>
            <w:tcW w:w="21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16B408D" w14:textId="77777777" w:rsidR="00AF18C1" w:rsidRPr="00E45A73" w:rsidRDefault="00AF18C1" w:rsidP="00A1471F">
            <w:pPr>
              <w:spacing w:line="360" w:lineRule="auto"/>
              <w:jc w:val="both"/>
              <w:rPr>
                <w:rFonts w:ascii="Century" w:hAnsi="Century"/>
              </w:rPr>
            </w:pPr>
            <w:r w:rsidRPr="00E45A73">
              <w:rPr>
                <w:rFonts w:ascii="Century" w:hAnsi="Century"/>
                <w:color w:val="000000"/>
              </w:rPr>
              <w:t>1.232</w:t>
            </w:r>
          </w:p>
        </w:tc>
        <w:tc>
          <w:tcPr>
            <w:tcW w:w="21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A984DCC" w14:textId="77777777" w:rsidR="00AF18C1" w:rsidRPr="00E45A73" w:rsidRDefault="00AF18C1" w:rsidP="00A1471F">
            <w:pPr>
              <w:spacing w:line="360" w:lineRule="auto"/>
              <w:jc w:val="both"/>
              <w:rPr>
                <w:rFonts w:ascii="Century" w:hAnsi="Century"/>
              </w:rPr>
            </w:pPr>
            <w:r w:rsidRPr="00E45A73">
              <w:rPr>
                <w:rFonts w:ascii="Century" w:hAnsi="Century"/>
                <w:color w:val="000000"/>
              </w:rPr>
              <w:t>1.237</w:t>
            </w:r>
          </w:p>
        </w:tc>
      </w:tr>
      <w:tr w:rsidR="00AF18C1" w:rsidRPr="00E45A73" w14:paraId="1644535F" w14:textId="77777777" w:rsidTr="00A1471F">
        <w:tc>
          <w:tcPr>
            <w:tcW w:w="272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CA9251B" w14:textId="77777777" w:rsidR="00AF18C1" w:rsidRPr="00E45A73" w:rsidRDefault="00AF18C1" w:rsidP="00A1471F">
            <w:pPr>
              <w:spacing w:line="360" w:lineRule="auto"/>
              <w:jc w:val="both"/>
              <w:rPr>
                <w:rFonts w:ascii="Century" w:hAnsi="Century"/>
              </w:rPr>
            </w:pPr>
            <w:r w:rsidRPr="00E45A73">
              <w:rPr>
                <w:rFonts w:ascii="Century" w:hAnsi="Century"/>
                <w:color w:val="000000"/>
              </w:rPr>
              <w:lastRenderedPageBreak/>
              <w:t>Internal Rate of Return (IRR)</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001359A" w14:textId="77777777" w:rsidR="00AF18C1" w:rsidRPr="00E45A73" w:rsidRDefault="00AF18C1" w:rsidP="00A1471F">
            <w:pPr>
              <w:spacing w:line="360" w:lineRule="auto"/>
              <w:jc w:val="both"/>
              <w:rPr>
                <w:rFonts w:ascii="Century" w:hAnsi="Century"/>
              </w:rPr>
            </w:pPr>
            <w:r w:rsidRPr="00E45A73">
              <w:rPr>
                <w:rFonts w:ascii="Century" w:hAnsi="Century"/>
                <w:color w:val="000000"/>
              </w:rPr>
              <w:t>14.2%</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9724902" w14:textId="77777777" w:rsidR="00AF18C1" w:rsidRPr="00E45A73" w:rsidRDefault="00AF18C1" w:rsidP="00A1471F">
            <w:pPr>
              <w:spacing w:line="360" w:lineRule="auto"/>
              <w:jc w:val="both"/>
              <w:rPr>
                <w:rFonts w:ascii="Century" w:hAnsi="Century"/>
              </w:rPr>
            </w:pPr>
            <w:r w:rsidRPr="00E45A73">
              <w:rPr>
                <w:rFonts w:ascii="Century" w:hAnsi="Century"/>
                <w:color w:val="000000"/>
              </w:rPr>
              <w:t>18.5%</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067B981" w14:textId="77777777" w:rsidR="00AF18C1" w:rsidRPr="00E45A73" w:rsidRDefault="00AF18C1" w:rsidP="00A1471F">
            <w:pPr>
              <w:spacing w:line="360" w:lineRule="auto"/>
              <w:jc w:val="both"/>
              <w:rPr>
                <w:rFonts w:ascii="Century" w:hAnsi="Century"/>
              </w:rPr>
            </w:pPr>
            <w:r w:rsidRPr="00E45A73">
              <w:rPr>
                <w:rFonts w:ascii="Century" w:hAnsi="Century"/>
                <w:color w:val="000000"/>
              </w:rPr>
              <w:t>19.1%</w:t>
            </w:r>
          </w:p>
        </w:tc>
      </w:tr>
      <w:tr w:rsidR="00AF18C1" w:rsidRPr="00E45A73" w14:paraId="0527790C" w14:textId="77777777" w:rsidTr="00A1471F">
        <w:tc>
          <w:tcPr>
            <w:tcW w:w="272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63F1E41" w14:textId="77777777" w:rsidR="00AF18C1" w:rsidRPr="00E45A73" w:rsidRDefault="00AF18C1" w:rsidP="00A1471F">
            <w:pPr>
              <w:spacing w:line="360" w:lineRule="auto"/>
              <w:jc w:val="both"/>
              <w:rPr>
                <w:rFonts w:ascii="Century" w:hAnsi="Century"/>
              </w:rPr>
            </w:pPr>
            <w:r w:rsidRPr="00E45A73">
              <w:rPr>
                <w:rFonts w:ascii="Century" w:hAnsi="Century"/>
                <w:color w:val="000000"/>
              </w:rPr>
              <w:t>IRR Margin over WACC (10%)</w:t>
            </w:r>
          </w:p>
        </w:tc>
        <w:tc>
          <w:tcPr>
            <w:tcW w:w="21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E788D09" w14:textId="77777777" w:rsidR="00AF18C1" w:rsidRPr="00E45A73" w:rsidRDefault="00AF18C1" w:rsidP="00A1471F">
            <w:pPr>
              <w:spacing w:line="360" w:lineRule="auto"/>
              <w:jc w:val="both"/>
              <w:rPr>
                <w:rFonts w:ascii="Century" w:hAnsi="Century"/>
              </w:rPr>
            </w:pPr>
            <w:r w:rsidRPr="00E45A73">
              <w:rPr>
                <w:rFonts w:ascii="Century" w:hAnsi="Century"/>
                <w:color w:val="000000"/>
              </w:rPr>
              <w:t>+4.2%</w:t>
            </w:r>
          </w:p>
        </w:tc>
        <w:tc>
          <w:tcPr>
            <w:tcW w:w="21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1C781EB" w14:textId="77777777" w:rsidR="00AF18C1" w:rsidRPr="00E45A73" w:rsidRDefault="00AF18C1" w:rsidP="00A1471F">
            <w:pPr>
              <w:spacing w:line="360" w:lineRule="auto"/>
              <w:jc w:val="both"/>
              <w:rPr>
                <w:rFonts w:ascii="Century" w:hAnsi="Century"/>
              </w:rPr>
            </w:pPr>
            <w:r w:rsidRPr="00E45A73">
              <w:rPr>
                <w:rFonts w:ascii="Century" w:hAnsi="Century"/>
                <w:color w:val="000000"/>
              </w:rPr>
              <w:t>+8.5%</w:t>
            </w:r>
          </w:p>
        </w:tc>
        <w:tc>
          <w:tcPr>
            <w:tcW w:w="21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DCFBA35" w14:textId="77777777" w:rsidR="00AF18C1" w:rsidRPr="00E45A73" w:rsidRDefault="00AF18C1" w:rsidP="00A1471F">
            <w:pPr>
              <w:spacing w:line="360" w:lineRule="auto"/>
              <w:jc w:val="both"/>
              <w:rPr>
                <w:rFonts w:ascii="Century" w:hAnsi="Century"/>
              </w:rPr>
            </w:pPr>
            <w:r w:rsidRPr="00E45A73">
              <w:rPr>
                <w:rFonts w:ascii="Century" w:hAnsi="Century"/>
                <w:color w:val="000000"/>
              </w:rPr>
              <w:t>+9.1%</w:t>
            </w:r>
          </w:p>
        </w:tc>
      </w:tr>
      <w:tr w:rsidR="00AF18C1" w:rsidRPr="00E45A73" w14:paraId="595C869B" w14:textId="77777777" w:rsidTr="00A1471F">
        <w:tc>
          <w:tcPr>
            <w:tcW w:w="272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65B7A27" w14:textId="77777777" w:rsidR="00AF18C1" w:rsidRPr="00E45A73" w:rsidRDefault="00AF18C1" w:rsidP="00A1471F">
            <w:pPr>
              <w:spacing w:line="360" w:lineRule="auto"/>
              <w:jc w:val="both"/>
              <w:rPr>
                <w:rFonts w:ascii="Century" w:hAnsi="Century"/>
              </w:rPr>
            </w:pPr>
            <w:r w:rsidRPr="00E45A73">
              <w:rPr>
                <w:rFonts w:ascii="Century" w:hAnsi="Century"/>
                <w:color w:val="000000"/>
              </w:rPr>
              <w:t>Standalone Ranking</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E6A1E3C"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3rd</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816A523"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2nd</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7C9F22D"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1st</w:t>
            </w:r>
          </w:p>
        </w:tc>
      </w:tr>
      <w:tr w:rsidR="00AF18C1" w:rsidRPr="00E45A73" w14:paraId="63CD26EC" w14:textId="77777777" w:rsidTr="00A1471F">
        <w:tc>
          <w:tcPr>
            <w:tcW w:w="2726"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4DA4D57B"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Decision</w:t>
            </w:r>
          </w:p>
        </w:tc>
        <w:tc>
          <w:tcPr>
            <w:tcW w:w="2100" w:type="dxa"/>
            <w:tcBorders>
              <w:top w:val="single" w:sz="1" w:space="0" w:color="CCCCCC"/>
              <w:left w:val="single" w:sz="1" w:space="0" w:color="CCCCCC"/>
              <w:bottom w:val="single" w:sz="1" w:space="0" w:color="CCCCCC"/>
              <w:right w:val="single" w:sz="1" w:space="0" w:color="CCCCCC"/>
            </w:tcBorders>
            <w:shd w:val="clear" w:color="auto" w:fill="D5F0D5"/>
            <w:tcMar>
              <w:top w:w="70" w:type="dxa"/>
              <w:left w:w="110" w:type="dxa"/>
              <w:bottom w:w="70" w:type="dxa"/>
              <w:right w:w="110" w:type="dxa"/>
            </w:tcMar>
          </w:tcPr>
          <w:p w14:paraId="479E9C1C" w14:textId="77777777" w:rsidR="00AF18C1" w:rsidRPr="00E45A73" w:rsidRDefault="00AF18C1" w:rsidP="00A1471F">
            <w:pPr>
              <w:spacing w:line="360" w:lineRule="auto"/>
              <w:jc w:val="both"/>
              <w:rPr>
                <w:rFonts w:ascii="Century" w:hAnsi="Century"/>
              </w:rPr>
            </w:pPr>
            <w:r w:rsidRPr="00E45A73">
              <w:rPr>
                <w:rFonts w:ascii="Century" w:hAnsi="Century"/>
                <w:color w:val="000000"/>
              </w:rPr>
              <w:t>ACCEPT (positive NPV)</w:t>
            </w:r>
          </w:p>
        </w:tc>
        <w:tc>
          <w:tcPr>
            <w:tcW w:w="2100" w:type="dxa"/>
            <w:tcBorders>
              <w:top w:val="single" w:sz="1" w:space="0" w:color="CCCCCC"/>
              <w:left w:val="single" w:sz="1" w:space="0" w:color="CCCCCC"/>
              <w:bottom w:val="single" w:sz="1" w:space="0" w:color="CCCCCC"/>
              <w:right w:val="single" w:sz="1" w:space="0" w:color="CCCCCC"/>
            </w:tcBorders>
            <w:shd w:val="clear" w:color="auto" w:fill="D5F0D5"/>
            <w:tcMar>
              <w:top w:w="70" w:type="dxa"/>
              <w:left w:w="110" w:type="dxa"/>
              <w:bottom w:w="70" w:type="dxa"/>
              <w:right w:w="110" w:type="dxa"/>
            </w:tcMar>
          </w:tcPr>
          <w:p w14:paraId="2AD7C281" w14:textId="77777777" w:rsidR="00AF18C1" w:rsidRPr="00E45A73" w:rsidRDefault="00AF18C1" w:rsidP="00A1471F">
            <w:pPr>
              <w:spacing w:line="360" w:lineRule="auto"/>
              <w:jc w:val="both"/>
              <w:rPr>
                <w:rFonts w:ascii="Century" w:hAnsi="Century"/>
              </w:rPr>
            </w:pPr>
            <w:r w:rsidRPr="00E45A73">
              <w:rPr>
                <w:rFonts w:ascii="Century" w:hAnsi="Century"/>
                <w:color w:val="000000"/>
              </w:rPr>
              <w:t>ACCEPT (positive NPV)</w:t>
            </w:r>
          </w:p>
        </w:tc>
        <w:tc>
          <w:tcPr>
            <w:tcW w:w="2100" w:type="dxa"/>
            <w:tcBorders>
              <w:top w:val="single" w:sz="1" w:space="0" w:color="CCCCCC"/>
              <w:left w:val="single" w:sz="1" w:space="0" w:color="CCCCCC"/>
              <w:bottom w:val="single" w:sz="1" w:space="0" w:color="CCCCCC"/>
              <w:right w:val="single" w:sz="1" w:space="0" w:color="CCCCCC"/>
            </w:tcBorders>
            <w:shd w:val="clear" w:color="auto" w:fill="00703A"/>
            <w:tcMar>
              <w:top w:w="70" w:type="dxa"/>
              <w:left w:w="110" w:type="dxa"/>
              <w:bottom w:w="70" w:type="dxa"/>
              <w:right w:w="110" w:type="dxa"/>
            </w:tcMar>
          </w:tcPr>
          <w:p w14:paraId="324D8AA8"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BEST STANDALONE CHOICE</w:t>
            </w:r>
          </w:p>
        </w:tc>
      </w:tr>
    </w:tbl>
    <w:p w14:paraId="505B080C" w14:textId="77777777" w:rsidR="00AF18C1" w:rsidRPr="00E45A73" w:rsidRDefault="00AF18C1" w:rsidP="00AF18C1">
      <w:pPr>
        <w:spacing w:after="60" w:line="360" w:lineRule="auto"/>
        <w:jc w:val="both"/>
        <w:rPr>
          <w:rFonts w:ascii="Century" w:hAnsi="Century"/>
        </w:rPr>
      </w:pPr>
    </w:p>
    <w:p w14:paraId="4F5085CE" w14:textId="77777777" w:rsidR="00AF18C1" w:rsidRPr="00E45A73" w:rsidRDefault="00AF18C1" w:rsidP="00AF18C1">
      <w:pPr>
        <w:spacing w:before="160" w:after="80" w:line="360" w:lineRule="auto"/>
        <w:jc w:val="both"/>
        <w:rPr>
          <w:rFonts w:ascii="Century" w:hAnsi="Century"/>
        </w:rPr>
      </w:pPr>
      <w:r w:rsidRPr="00E45A73">
        <w:rPr>
          <w:rFonts w:ascii="Century" w:hAnsi="Century"/>
          <w:noProof/>
        </w:rPr>
        <w:drawing>
          <wp:inline distT="0" distB="0" distL="0" distR="0" wp14:anchorId="012CCE10" wp14:editId="2EE9DD15">
            <wp:extent cx="5667375" cy="3019425"/>
            <wp:effectExtent l="0" t="0" r="0" b="0"/>
            <wp:docPr id="1710144419" name="Picture 171014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667375" cy="3019425"/>
                    </a:xfrm>
                    <a:prstGeom prst="rect">
                      <a:avLst/>
                    </a:prstGeom>
                  </pic:spPr>
                </pic:pic>
              </a:graphicData>
            </a:graphic>
          </wp:inline>
        </w:drawing>
      </w:r>
    </w:p>
    <w:p w14:paraId="5F2A1AAF" w14:textId="77777777" w:rsidR="00AF18C1" w:rsidRPr="00E45A73" w:rsidRDefault="00AF18C1" w:rsidP="00AF18C1">
      <w:pPr>
        <w:spacing w:after="200" w:line="360" w:lineRule="auto"/>
        <w:jc w:val="both"/>
        <w:rPr>
          <w:rFonts w:ascii="Century" w:hAnsi="Century"/>
        </w:rPr>
      </w:pPr>
      <w:r w:rsidRPr="00E45A73">
        <w:rPr>
          <w:rFonts w:ascii="Century" w:hAnsi="Century"/>
          <w:color w:val="555555"/>
        </w:rPr>
        <w:t>Figure 4.1: NPV &amp; IRR Comparison Across Projects. Source: Author's Calculations</w:t>
      </w:r>
    </w:p>
    <w:p w14:paraId="6D4E8629" w14:textId="77777777" w:rsidR="00AF18C1" w:rsidRPr="00E45A73" w:rsidRDefault="00AF18C1" w:rsidP="00AF18C1">
      <w:pPr>
        <w:spacing w:before="160" w:after="80" w:line="360" w:lineRule="auto"/>
        <w:jc w:val="both"/>
        <w:rPr>
          <w:rFonts w:ascii="Century" w:hAnsi="Century"/>
        </w:rPr>
      </w:pPr>
      <w:r w:rsidRPr="00E45A73">
        <w:rPr>
          <w:rFonts w:ascii="Century" w:hAnsi="Century"/>
          <w:noProof/>
        </w:rPr>
        <w:lastRenderedPageBreak/>
        <w:drawing>
          <wp:inline distT="0" distB="0" distL="0" distR="0" wp14:anchorId="5CD33AFB" wp14:editId="2E8A980C">
            <wp:extent cx="5667375" cy="3019425"/>
            <wp:effectExtent l="0" t="0" r="0" b="0"/>
            <wp:docPr id="1171524047" name="Picture 117152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667375" cy="3019425"/>
                    </a:xfrm>
                    <a:prstGeom prst="rect">
                      <a:avLst/>
                    </a:prstGeom>
                  </pic:spPr>
                </pic:pic>
              </a:graphicData>
            </a:graphic>
          </wp:inline>
        </w:drawing>
      </w:r>
    </w:p>
    <w:p w14:paraId="787DC3E2" w14:textId="77777777" w:rsidR="00AF18C1" w:rsidRPr="00E45A73" w:rsidRDefault="00AF18C1" w:rsidP="00AF18C1">
      <w:pPr>
        <w:spacing w:before="160" w:after="80" w:line="360" w:lineRule="auto"/>
        <w:jc w:val="both"/>
        <w:rPr>
          <w:rFonts w:ascii="Century" w:hAnsi="Century"/>
        </w:rPr>
      </w:pPr>
    </w:p>
    <w:p w14:paraId="0BD0B203" w14:textId="77777777" w:rsidR="00AF18C1" w:rsidRPr="00E45A73" w:rsidRDefault="00AF18C1" w:rsidP="00AF18C1">
      <w:pPr>
        <w:spacing w:after="200" w:line="360" w:lineRule="auto"/>
        <w:jc w:val="both"/>
        <w:rPr>
          <w:rFonts w:ascii="Century" w:hAnsi="Century"/>
          <w:color w:val="555555"/>
        </w:rPr>
      </w:pPr>
      <w:r w:rsidRPr="00E45A73">
        <w:rPr>
          <w:rFonts w:ascii="Century" w:hAnsi="Century"/>
          <w:color w:val="555555"/>
        </w:rPr>
        <w:t>Figure 4.2: Payback Period &amp; ARR Comparison. Source: Author's Calculations</w:t>
      </w:r>
    </w:p>
    <w:p w14:paraId="6049C8C5" w14:textId="77777777" w:rsidR="00AF18C1" w:rsidRPr="00E45A73" w:rsidRDefault="00AF18C1" w:rsidP="00AF18C1">
      <w:pPr>
        <w:pStyle w:val="Heading2"/>
        <w:spacing w:line="360" w:lineRule="auto"/>
        <w:jc w:val="both"/>
        <w:rPr>
          <w:rFonts w:ascii="Century" w:hAnsi="Century"/>
          <w:b/>
          <w:bCs/>
          <w:sz w:val="24"/>
          <w:szCs w:val="24"/>
        </w:rPr>
      </w:pPr>
      <w:bookmarkStart w:id="27" w:name="_Toc227673256"/>
      <w:r w:rsidRPr="00E45A73">
        <w:rPr>
          <w:rFonts w:ascii="Century" w:hAnsi="Century"/>
          <w:b/>
          <w:bCs/>
          <w:sz w:val="24"/>
          <w:szCs w:val="24"/>
        </w:rPr>
        <w:t>4.3 Project Recommendation and Strategic Justification</w:t>
      </w:r>
      <w:bookmarkEnd w:id="27"/>
    </w:p>
    <w:p w14:paraId="09A829CD"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Based on the detailed five-method appraisal above, Project C is chosen as the best standalone investment. It achieves the highest NPV (£11.87M), the highest IRR (19.1%), the highest ARR (12.0%), the shortest payback period (3.60 years), and the highest PI (1.237). This domination that is unanimous in all the five measures is clear. Project C is better than its counterparts even when the most conservative method of appraisal (PBP) is used.</w:t>
      </w:r>
    </w:p>
    <w:p w14:paraId="13585718"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Precise attention should be paid to the back-loaded cash flow of the project C (large inflows in Years 3-4: £20M and 25M respectively). Opponents may claim that this poses temporary liquidity risk. But the financial position of Tesla can directly respond to this question: having cash of $36.56 billion and operating cash flows of $14.92 billion /year, the company can easily offset the outlay of the investment in the amount of 50 million pounds and negative initial cash flows with no liquidity pressure at all. It is actually the back-loaded profile that is consistent with infrastructure-type investments - like the Megapack battery installations serving utility-scale grid customers - whose commissioning and operating ramp-up period before generating full revenue is 2436 months.</w:t>
      </w:r>
    </w:p>
    <w:p w14:paraId="3F120158" w14:textId="77777777" w:rsidR="00AF18C1" w:rsidRPr="00E45A73" w:rsidRDefault="00AF18C1" w:rsidP="00AF18C1">
      <w:pPr>
        <w:spacing w:line="360" w:lineRule="auto"/>
        <w:jc w:val="both"/>
        <w:rPr>
          <w:rFonts w:ascii="Century" w:hAnsi="Century"/>
          <w:lang w:val="en-US"/>
        </w:rPr>
      </w:pPr>
    </w:p>
    <w:p w14:paraId="30CA6DB4" w14:textId="77777777" w:rsidR="00AF18C1" w:rsidRPr="00E45A73" w:rsidRDefault="00AF18C1" w:rsidP="00AF18C1">
      <w:pPr>
        <w:spacing w:line="360" w:lineRule="auto"/>
        <w:jc w:val="both"/>
        <w:rPr>
          <w:rFonts w:ascii="Century" w:hAnsi="Century"/>
          <w:lang w:val="en-US"/>
        </w:rPr>
      </w:pPr>
    </w:p>
    <w:p w14:paraId="60DF58F9" w14:textId="77777777" w:rsidR="00AF18C1" w:rsidRPr="00E45A73" w:rsidRDefault="00AF18C1" w:rsidP="00AF18C1">
      <w:pPr>
        <w:spacing w:line="360" w:lineRule="auto"/>
        <w:jc w:val="both"/>
        <w:rPr>
          <w:rFonts w:ascii="Century" w:hAnsi="Century"/>
          <w:lang w:val="en-US"/>
        </w:rPr>
      </w:pPr>
    </w:p>
    <w:p w14:paraId="73652657" w14:textId="77777777" w:rsidR="00AF18C1" w:rsidRPr="00E45A73" w:rsidRDefault="00AF18C1" w:rsidP="00AF18C1">
      <w:pPr>
        <w:spacing w:line="360" w:lineRule="auto"/>
        <w:jc w:val="both"/>
        <w:rPr>
          <w:rFonts w:ascii="Century" w:hAnsi="Century"/>
          <w:lang w:val="en-US"/>
        </w:rPr>
      </w:pPr>
    </w:p>
    <w:p w14:paraId="0A7CC84D" w14:textId="77777777" w:rsidR="00AF18C1" w:rsidRPr="00E45A73" w:rsidRDefault="00AF18C1" w:rsidP="00AF18C1">
      <w:pPr>
        <w:pStyle w:val="Heading2"/>
        <w:spacing w:line="360" w:lineRule="auto"/>
        <w:jc w:val="both"/>
        <w:rPr>
          <w:rFonts w:ascii="Century" w:hAnsi="Century"/>
          <w:b/>
          <w:bCs/>
          <w:sz w:val="24"/>
          <w:szCs w:val="24"/>
        </w:rPr>
      </w:pPr>
      <w:bookmarkStart w:id="28" w:name="_Toc227673257"/>
      <w:r w:rsidRPr="00E45A73">
        <w:rPr>
          <w:rFonts w:ascii="Century" w:hAnsi="Century"/>
          <w:b/>
          <w:bCs/>
          <w:sz w:val="24"/>
          <w:szCs w:val="24"/>
        </w:rPr>
        <w:t>4.4 Capital Rationing Analysis: Optimal Investment Portfolio</w:t>
      </w:r>
      <w:bookmarkEnd w:id="28"/>
    </w:p>
    <w:p w14:paraId="701CECA4"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Capital rationing is a scenario in which a firm has a limit on the amount of capital it can invest and is thus forced to distribute funds among competing positive-NPV projects in order to maximise the value creation. In this case, the budget available to be invested is limited to a maximum of 100 million pounds and each project will need exactly 50 million pounds. Thus, there are two possible projects out of three applicants. There are three combinations that are considered.</w:t>
      </w:r>
    </w:p>
    <w:p w14:paraId="20AF3209" w14:textId="77777777" w:rsidR="00AF18C1" w:rsidRPr="00E45A73" w:rsidRDefault="00AF18C1" w:rsidP="00AF18C1">
      <w:pPr>
        <w:spacing w:before="200" w:after="80" w:line="360" w:lineRule="auto"/>
        <w:jc w:val="both"/>
        <w:rPr>
          <w:rFonts w:ascii="Century" w:hAnsi="Century"/>
        </w:rPr>
      </w:pPr>
      <w:r w:rsidRPr="00E45A73">
        <w:rPr>
          <w:rFonts w:ascii="Century" w:hAnsi="Century"/>
          <w:b/>
          <w:bCs/>
          <w:color w:val="003087"/>
        </w:rPr>
        <w:t>Table 4.3: Capital Rationing Analysis — Optimal Project Combination (£100M Budget)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72"/>
        <w:gridCol w:w="1701"/>
        <w:gridCol w:w="1683"/>
        <w:gridCol w:w="1683"/>
        <w:gridCol w:w="2087"/>
      </w:tblGrid>
      <w:tr w:rsidR="00AF18C1" w:rsidRPr="00E45A73" w14:paraId="58E37BAD" w14:textId="77777777" w:rsidTr="00A1471F">
        <w:tc>
          <w:tcPr>
            <w:tcW w:w="19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7C1F50D1"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Combination</w:t>
            </w:r>
          </w:p>
        </w:tc>
        <w:tc>
          <w:tcPr>
            <w:tcW w:w="1727"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586C620D"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Total Investment</w:t>
            </w:r>
          </w:p>
        </w:tc>
        <w:tc>
          <w:tcPr>
            <w:tcW w:w="1727"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50FA7DF0"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Combined NPV (£M)</w:t>
            </w:r>
          </w:p>
        </w:tc>
        <w:tc>
          <w:tcPr>
            <w:tcW w:w="1727"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34BE4BA3"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Combined PI</w:t>
            </w:r>
          </w:p>
        </w:tc>
        <w:tc>
          <w:tcPr>
            <w:tcW w:w="194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036871D4"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Budget Utilisation &amp; Decision</w:t>
            </w:r>
          </w:p>
        </w:tc>
      </w:tr>
      <w:tr w:rsidR="00AF18C1" w:rsidRPr="00E45A73" w14:paraId="7D591D50" w14:textId="77777777" w:rsidTr="00A1471F">
        <w:tc>
          <w:tcPr>
            <w:tcW w:w="19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A0C7563" w14:textId="77777777" w:rsidR="00AF18C1" w:rsidRPr="00E45A73" w:rsidRDefault="00AF18C1" w:rsidP="00A1471F">
            <w:pPr>
              <w:spacing w:line="360" w:lineRule="auto"/>
              <w:jc w:val="both"/>
              <w:rPr>
                <w:rFonts w:ascii="Century" w:hAnsi="Century"/>
              </w:rPr>
            </w:pPr>
            <w:r w:rsidRPr="00E45A73">
              <w:rPr>
                <w:rFonts w:ascii="Century" w:hAnsi="Century"/>
                <w:color w:val="000000"/>
              </w:rPr>
              <w:t>A + B</w:t>
            </w:r>
          </w:p>
        </w:tc>
        <w:tc>
          <w:tcPr>
            <w:tcW w:w="1727"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B003321" w14:textId="77777777" w:rsidR="00AF18C1" w:rsidRPr="00E45A73" w:rsidRDefault="00AF18C1" w:rsidP="00A1471F">
            <w:pPr>
              <w:spacing w:line="360" w:lineRule="auto"/>
              <w:jc w:val="both"/>
              <w:rPr>
                <w:rFonts w:ascii="Century" w:hAnsi="Century"/>
              </w:rPr>
            </w:pPr>
            <w:r w:rsidRPr="00E45A73">
              <w:rPr>
                <w:rFonts w:ascii="Century" w:hAnsi="Century"/>
                <w:color w:val="000000"/>
              </w:rPr>
              <w:t>£100M</w:t>
            </w:r>
          </w:p>
        </w:tc>
        <w:tc>
          <w:tcPr>
            <w:tcW w:w="1727"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1B63C80" w14:textId="77777777" w:rsidR="00AF18C1" w:rsidRPr="00E45A73" w:rsidRDefault="00AF18C1" w:rsidP="00A1471F">
            <w:pPr>
              <w:spacing w:line="360" w:lineRule="auto"/>
              <w:jc w:val="both"/>
              <w:rPr>
                <w:rFonts w:ascii="Century" w:hAnsi="Century"/>
              </w:rPr>
            </w:pPr>
            <w:r w:rsidRPr="00E45A73">
              <w:rPr>
                <w:rFonts w:ascii="Century" w:hAnsi="Century"/>
                <w:color w:val="000000"/>
              </w:rPr>
              <w:t>£16.83M</w:t>
            </w:r>
          </w:p>
        </w:tc>
        <w:tc>
          <w:tcPr>
            <w:tcW w:w="1727"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73BC73B" w14:textId="77777777" w:rsidR="00AF18C1" w:rsidRPr="00E45A73" w:rsidRDefault="00AF18C1" w:rsidP="00A1471F">
            <w:pPr>
              <w:spacing w:line="360" w:lineRule="auto"/>
              <w:jc w:val="both"/>
              <w:rPr>
                <w:rFonts w:ascii="Century" w:hAnsi="Century"/>
              </w:rPr>
            </w:pPr>
            <w:r w:rsidRPr="00E45A73">
              <w:rPr>
                <w:rFonts w:ascii="Century" w:hAnsi="Century"/>
                <w:color w:val="000000"/>
              </w:rPr>
              <w:t>1.168</w:t>
            </w:r>
          </w:p>
        </w:tc>
        <w:tc>
          <w:tcPr>
            <w:tcW w:w="194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B56D5E8" w14:textId="77777777" w:rsidR="00AF18C1" w:rsidRPr="00E45A73" w:rsidRDefault="00AF18C1" w:rsidP="00A1471F">
            <w:pPr>
              <w:spacing w:line="360" w:lineRule="auto"/>
              <w:jc w:val="both"/>
              <w:rPr>
                <w:rFonts w:ascii="Century" w:hAnsi="Century"/>
              </w:rPr>
            </w:pPr>
            <w:r w:rsidRPr="00E45A73">
              <w:rPr>
                <w:rFonts w:ascii="Century" w:hAnsi="Century"/>
                <w:color w:val="000000"/>
              </w:rPr>
              <w:t>100% utilised; Feasible but suboptimal</w:t>
            </w:r>
          </w:p>
        </w:tc>
      </w:tr>
      <w:tr w:rsidR="00AF18C1" w:rsidRPr="00E45A73" w14:paraId="52B939D9" w14:textId="77777777" w:rsidTr="00A1471F">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EC685F7" w14:textId="77777777" w:rsidR="00AF18C1" w:rsidRPr="00E45A73" w:rsidRDefault="00AF18C1" w:rsidP="00A1471F">
            <w:pPr>
              <w:spacing w:line="360" w:lineRule="auto"/>
              <w:jc w:val="both"/>
              <w:rPr>
                <w:rFonts w:ascii="Century" w:hAnsi="Century"/>
              </w:rPr>
            </w:pPr>
            <w:r w:rsidRPr="00E45A73">
              <w:rPr>
                <w:rFonts w:ascii="Century" w:hAnsi="Century"/>
                <w:color w:val="000000"/>
              </w:rPr>
              <w:t>A + C</w:t>
            </w:r>
          </w:p>
        </w:tc>
        <w:tc>
          <w:tcPr>
            <w:tcW w:w="1727"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10E30F9" w14:textId="77777777" w:rsidR="00AF18C1" w:rsidRPr="00E45A73" w:rsidRDefault="00AF18C1" w:rsidP="00A1471F">
            <w:pPr>
              <w:spacing w:line="360" w:lineRule="auto"/>
              <w:jc w:val="both"/>
              <w:rPr>
                <w:rFonts w:ascii="Century" w:hAnsi="Century"/>
              </w:rPr>
            </w:pPr>
            <w:r w:rsidRPr="00E45A73">
              <w:rPr>
                <w:rFonts w:ascii="Century" w:hAnsi="Century"/>
                <w:color w:val="000000"/>
              </w:rPr>
              <w:t>£100M</w:t>
            </w:r>
          </w:p>
        </w:tc>
        <w:tc>
          <w:tcPr>
            <w:tcW w:w="1727"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8796493" w14:textId="77777777" w:rsidR="00AF18C1" w:rsidRPr="00E45A73" w:rsidRDefault="00AF18C1" w:rsidP="00A1471F">
            <w:pPr>
              <w:spacing w:line="360" w:lineRule="auto"/>
              <w:jc w:val="both"/>
              <w:rPr>
                <w:rFonts w:ascii="Century" w:hAnsi="Century"/>
              </w:rPr>
            </w:pPr>
            <w:r w:rsidRPr="00E45A73">
              <w:rPr>
                <w:rFonts w:ascii="Century" w:hAnsi="Century"/>
                <w:color w:val="000000"/>
              </w:rPr>
              <w:t>£17.10M</w:t>
            </w:r>
          </w:p>
        </w:tc>
        <w:tc>
          <w:tcPr>
            <w:tcW w:w="1727"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4142403" w14:textId="77777777" w:rsidR="00AF18C1" w:rsidRPr="00E45A73" w:rsidRDefault="00AF18C1" w:rsidP="00A1471F">
            <w:pPr>
              <w:spacing w:line="360" w:lineRule="auto"/>
              <w:jc w:val="both"/>
              <w:rPr>
                <w:rFonts w:ascii="Century" w:hAnsi="Century"/>
              </w:rPr>
            </w:pPr>
            <w:r w:rsidRPr="00E45A73">
              <w:rPr>
                <w:rFonts w:ascii="Century" w:hAnsi="Century"/>
                <w:color w:val="000000"/>
              </w:rPr>
              <w:t>1.171</w:t>
            </w:r>
          </w:p>
        </w:tc>
        <w:tc>
          <w:tcPr>
            <w:tcW w:w="194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3B64672" w14:textId="77777777" w:rsidR="00AF18C1" w:rsidRPr="00E45A73" w:rsidRDefault="00AF18C1" w:rsidP="00A1471F">
            <w:pPr>
              <w:spacing w:line="360" w:lineRule="auto"/>
              <w:jc w:val="both"/>
              <w:rPr>
                <w:rFonts w:ascii="Century" w:hAnsi="Century"/>
              </w:rPr>
            </w:pPr>
            <w:r w:rsidRPr="00E45A73">
              <w:rPr>
                <w:rFonts w:ascii="Century" w:hAnsi="Century"/>
                <w:color w:val="000000"/>
              </w:rPr>
              <w:t>100% utilised; Feasible but suboptimal</w:t>
            </w:r>
          </w:p>
        </w:tc>
      </w:tr>
      <w:tr w:rsidR="00AF18C1" w:rsidRPr="00E45A73" w14:paraId="59A048D1" w14:textId="77777777" w:rsidTr="00A1471F">
        <w:tc>
          <w:tcPr>
            <w:tcW w:w="1900"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26ED2565"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 xml:space="preserve">B + C </w:t>
            </w:r>
            <w:r w:rsidRPr="00E45A73">
              <w:rPr>
                <w:rFonts w:ascii="Segoe UI Symbol" w:hAnsi="Segoe UI Symbol" w:cs="Segoe UI Symbol"/>
                <w:b/>
                <w:bCs/>
                <w:color w:val="000000"/>
              </w:rPr>
              <w:t>★</w:t>
            </w:r>
            <w:r w:rsidRPr="00E45A73">
              <w:rPr>
                <w:rFonts w:ascii="Century" w:hAnsi="Century"/>
                <w:b/>
                <w:bCs/>
                <w:color w:val="000000"/>
              </w:rPr>
              <w:t xml:space="preserve"> OPTIMAL</w:t>
            </w:r>
          </w:p>
        </w:tc>
        <w:tc>
          <w:tcPr>
            <w:tcW w:w="1727"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72C05088"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£100M</w:t>
            </w:r>
          </w:p>
        </w:tc>
        <w:tc>
          <w:tcPr>
            <w:tcW w:w="1727"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56DE5E20"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£23.47M</w:t>
            </w:r>
          </w:p>
        </w:tc>
        <w:tc>
          <w:tcPr>
            <w:tcW w:w="1727" w:type="dxa"/>
            <w:tcBorders>
              <w:top w:val="single" w:sz="1" w:space="0" w:color="CCCCCC"/>
              <w:left w:val="single" w:sz="1" w:space="0" w:color="CCCCCC"/>
              <w:bottom w:val="single" w:sz="1" w:space="0" w:color="CCCCCC"/>
              <w:right w:val="single" w:sz="1" w:space="0" w:color="CCCCCC"/>
            </w:tcBorders>
            <w:shd w:val="clear" w:color="auto" w:fill="D5E8F0"/>
            <w:tcMar>
              <w:top w:w="70" w:type="dxa"/>
              <w:left w:w="110" w:type="dxa"/>
              <w:bottom w:w="70" w:type="dxa"/>
              <w:right w:w="110" w:type="dxa"/>
            </w:tcMar>
          </w:tcPr>
          <w:p w14:paraId="2BCDE10C" w14:textId="77777777" w:rsidR="00AF18C1" w:rsidRPr="00E45A73" w:rsidRDefault="00AF18C1" w:rsidP="00A1471F">
            <w:pPr>
              <w:spacing w:line="360" w:lineRule="auto"/>
              <w:jc w:val="both"/>
              <w:rPr>
                <w:rFonts w:ascii="Century" w:hAnsi="Century"/>
              </w:rPr>
            </w:pPr>
            <w:r w:rsidRPr="00E45A73">
              <w:rPr>
                <w:rFonts w:ascii="Century" w:hAnsi="Century"/>
                <w:b/>
                <w:bCs/>
                <w:color w:val="000000"/>
              </w:rPr>
              <w:t>1.235</w:t>
            </w:r>
          </w:p>
        </w:tc>
        <w:tc>
          <w:tcPr>
            <w:tcW w:w="1945" w:type="dxa"/>
            <w:tcBorders>
              <w:top w:val="single" w:sz="1" w:space="0" w:color="CCCCCC"/>
              <w:left w:val="single" w:sz="1" w:space="0" w:color="CCCCCC"/>
              <w:bottom w:val="single" w:sz="1" w:space="0" w:color="CCCCCC"/>
              <w:right w:val="single" w:sz="1" w:space="0" w:color="CCCCCC"/>
            </w:tcBorders>
            <w:shd w:val="clear" w:color="auto" w:fill="D5F0D5"/>
            <w:tcMar>
              <w:top w:w="70" w:type="dxa"/>
              <w:left w:w="110" w:type="dxa"/>
              <w:bottom w:w="70" w:type="dxa"/>
              <w:right w:w="110" w:type="dxa"/>
            </w:tcMar>
          </w:tcPr>
          <w:p w14:paraId="143F40A9" w14:textId="77777777" w:rsidR="00AF18C1" w:rsidRPr="00E45A73" w:rsidRDefault="00AF18C1" w:rsidP="00A1471F">
            <w:pPr>
              <w:spacing w:line="360" w:lineRule="auto"/>
              <w:jc w:val="both"/>
              <w:rPr>
                <w:rFonts w:ascii="Century" w:hAnsi="Century"/>
              </w:rPr>
            </w:pPr>
            <w:r w:rsidRPr="00E45A73">
              <w:rPr>
                <w:rFonts w:ascii="Century" w:hAnsi="Century"/>
                <w:color w:val="000000"/>
              </w:rPr>
              <w:t>100% utilised; MAXIMUM NPV COMBINATION</w:t>
            </w:r>
          </w:p>
        </w:tc>
      </w:tr>
    </w:tbl>
    <w:p w14:paraId="75166751" w14:textId="77777777" w:rsidR="00AF18C1" w:rsidRPr="00E45A73" w:rsidRDefault="00AF18C1" w:rsidP="00AF18C1">
      <w:pPr>
        <w:spacing w:after="60" w:line="360" w:lineRule="auto"/>
        <w:jc w:val="both"/>
        <w:rPr>
          <w:rFonts w:ascii="Century" w:hAnsi="Century"/>
        </w:rPr>
      </w:pPr>
    </w:p>
    <w:p w14:paraId="7786961E" w14:textId="77777777" w:rsidR="00AF18C1" w:rsidRPr="00E45A73" w:rsidRDefault="00AF18C1" w:rsidP="00AF18C1">
      <w:pPr>
        <w:spacing w:before="160" w:after="80" w:line="360" w:lineRule="auto"/>
        <w:jc w:val="both"/>
        <w:rPr>
          <w:rFonts w:ascii="Century" w:hAnsi="Century"/>
        </w:rPr>
      </w:pPr>
      <w:r w:rsidRPr="00E45A73">
        <w:rPr>
          <w:rFonts w:ascii="Century" w:hAnsi="Century"/>
          <w:noProof/>
        </w:rPr>
        <w:lastRenderedPageBreak/>
        <w:drawing>
          <wp:inline distT="0" distB="0" distL="0" distR="0" wp14:anchorId="15F7D2E3" wp14:editId="5F620FBA">
            <wp:extent cx="5667375" cy="3019425"/>
            <wp:effectExtent l="0" t="0" r="0" b="0"/>
            <wp:docPr id="1588317185" name="Picture 1588317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5667375" cy="3019425"/>
                    </a:xfrm>
                    <a:prstGeom prst="rect">
                      <a:avLst/>
                    </a:prstGeom>
                  </pic:spPr>
                </pic:pic>
              </a:graphicData>
            </a:graphic>
          </wp:inline>
        </w:drawing>
      </w:r>
    </w:p>
    <w:p w14:paraId="0139FB4E" w14:textId="77777777" w:rsidR="00AF18C1" w:rsidRPr="00E45A73" w:rsidRDefault="00AF18C1" w:rsidP="00AF18C1">
      <w:pPr>
        <w:spacing w:after="200" w:line="360" w:lineRule="auto"/>
        <w:jc w:val="both"/>
        <w:rPr>
          <w:rFonts w:ascii="Century" w:hAnsi="Century"/>
        </w:rPr>
      </w:pPr>
      <w:r w:rsidRPr="00E45A73">
        <w:rPr>
          <w:rFonts w:ascii="Century" w:hAnsi="Century"/>
          <w:color w:val="555555"/>
        </w:rPr>
        <w:t>Figure 4.3: Capital Rationing — Combined NPV by Project Combination (£100M Budget). Source: Author's Calculations</w:t>
      </w:r>
      <w:r w:rsidRPr="00E45A73">
        <w:rPr>
          <w:rFonts w:ascii="Century" w:hAnsi="Century"/>
        </w:rPr>
        <w:br w:type="page"/>
      </w:r>
    </w:p>
    <w:p w14:paraId="286AA34C" w14:textId="77777777" w:rsidR="00AF18C1" w:rsidRPr="00E45A73" w:rsidRDefault="00AF18C1" w:rsidP="00AF18C1">
      <w:pPr>
        <w:pStyle w:val="Heading1"/>
        <w:spacing w:line="360" w:lineRule="auto"/>
        <w:jc w:val="both"/>
        <w:rPr>
          <w:rFonts w:ascii="Cambria" w:hAnsi="Cambria"/>
          <w:b/>
          <w:bCs/>
          <w:sz w:val="28"/>
          <w:szCs w:val="28"/>
          <w:u w:val="single"/>
        </w:rPr>
      </w:pPr>
      <w:bookmarkStart w:id="29" w:name="_Toc227673258"/>
      <w:r w:rsidRPr="00E45A73">
        <w:rPr>
          <w:rFonts w:ascii="Cambria" w:hAnsi="Cambria"/>
          <w:b/>
          <w:bCs/>
          <w:sz w:val="28"/>
          <w:szCs w:val="28"/>
          <w:u w:val="single"/>
        </w:rPr>
        <w:lastRenderedPageBreak/>
        <w:t>5. Conclusion</w:t>
      </w:r>
      <w:bookmarkEnd w:id="29"/>
    </w:p>
    <w:p w14:paraId="1E076AC9"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This report has thoroughly tackled the Strategic CFO Challenge of Tesla, Inc., providing a thorough, evidence-based financial review on four key dimensions; financial health, working capital management, strategic restructuring, and investment appraisal.</w:t>
      </w:r>
    </w:p>
    <w:p w14:paraId="1D986DA3"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The Financial Health Check determined that Tesla is in a paradoxical situation: it is incredibly strong in terms of its balance sheet (cash of 36.56B, D/E of 0.19, current ratio of 2.02, ICR of 20.2x), but on the other hand, its income statement is rapidly declining. Gross margins have narrowed 780 basis points of its 2022 high, ROE has gone down to 9.8 as compared to 28.2 years ago, and the net income has decreased by 52.5 percent compared to 2024. The underlying factors are structural: China price war led by BYD is not a one-off event, but rather a restructuring of the EV market to the lower price bracket, and Tesla R&amp;D investment in AI, FSD, and Optimus will not have a payoff in the short term. Management should immediately communicate an effective margin recovery strategy to ensure investor trust.</w:t>
      </w:r>
    </w:p>
    <w:p w14:paraId="7BB2C26B"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The Working Capital Analysis proves that the negative Cash Operating Cycle (-12 days in 2024) is a big competitive advantage of Tesla, although the tendency towards decreasing to -27 days in 2020 is worrisome. All of the five suggested reforms including DPO extension, DSO reduction, JIT inventory optimisation, centralised treasury pooling, and deposit programme monetisation can free up approximately 5-6 billion of additional free cash flow during 2025-2027 to support the restructuring plan and CapEx obligations without necessitating new debt financing.</w:t>
      </w:r>
    </w:p>
    <w:p w14:paraId="13D96DE9" w14:textId="77777777" w:rsidR="00AF18C1" w:rsidRPr="00E45A73" w:rsidRDefault="00AF18C1" w:rsidP="00AF18C1">
      <w:pPr>
        <w:spacing w:line="360" w:lineRule="auto"/>
        <w:jc w:val="both"/>
        <w:rPr>
          <w:rFonts w:ascii="Century" w:hAnsi="Century"/>
          <w:lang w:val="en-US"/>
        </w:rPr>
      </w:pPr>
      <w:r w:rsidRPr="00E45A73">
        <w:rPr>
          <w:rFonts w:ascii="Century" w:hAnsi="Century"/>
          <w:lang w:val="en-US"/>
        </w:rPr>
        <w:t>The Strategic Restructuring Plan suggests three steps: now divesting SolarCity residential solar portfolio (generating 1.824B and eliminating margin-dilutive revenue); future 20262027 IPO of Tesla Energy (creating a possible 2540B value and drawing specific ESG capital); and a conditional FSD/AI joint venture once Level 4 autonomy certified. All three options are successful due to the international considerations of the currency hedging, tax optimisation under BEPS constraints, commodity pricing, and governance reform.</w:t>
      </w:r>
    </w:p>
    <w:p w14:paraId="7ADEF37B" w14:textId="77777777" w:rsidR="00AF18C1" w:rsidRPr="00E45A73" w:rsidRDefault="00AF18C1" w:rsidP="00AF18C1">
      <w:pPr>
        <w:spacing w:line="360" w:lineRule="auto"/>
        <w:jc w:val="both"/>
        <w:rPr>
          <w:rFonts w:ascii="Century" w:hAnsi="Century"/>
        </w:rPr>
      </w:pPr>
      <w:r w:rsidRPr="00E45A73">
        <w:rPr>
          <w:rFonts w:ascii="Century" w:hAnsi="Century"/>
        </w:rPr>
        <w:br w:type="page"/>
      </w:r>
    </w:p>
    <w:p w14:paraId="562FC086" w14:textId="77777777" w:rsidR="00AF18C1" w:rsidRPr="00E45A73" w:rsidRDefault="00AF18C1" w:rsidP="00AF18C1">
      <w:pPr>
        <w:pStyle w:val="Heading1"/>
        <w:spacing w:line="360" w:lineRule="auto"/>
        <w:rPr>
          <w:rFonts w:ascii="Cambria" w:hAnsi="Cambria"/>
          <w:b/>
          <w:bCs/>
          <w:sz w:val="28"/>
          <w:szCs w:val="28"/>
          <w:u w:val="single"/>
        </w:rPr>
      </w:pPr>
      <w:bookmarkStart w:id="30" w:name="_Toc227673259"/>
      <w:r w:rsidRPr="00E45A73">
        <w:rPr>
          <w:rFonts w:ascii="Cambria" w:hAnsi="Cambria"/>
          <w:b/>
          <w:bCs/>
          <w:sz w:val="28"/>
          <w:szCs w:val="28"/>
          <w:u w:val="single"/>
        </w:rPr>
        <w:lastRenderedPageBreak/>
        <w:t>References</w:t>
      </w:r>
      <w:bookmarkEnd w:id="30"/>
    </w:p>
    <w:p w14:paraId="00F9C4DA" w14:textId="77777777" w:rsidR="00AF18C1" w:rsidRPr="00E45A73" w:rsidRDefault="00AF18C1" w:rsidP="00AF18C1">
      <w:pPr>
        <w:spacing w:after="140" w:line="360" w:lineRule="auto"/>
        <w:rPr>
          <w:rFonts w:ascii="Century" w:hAnsi="Century"/>
        </w:rPr>
      </w:pPr>
      <w:r w:rsidRPr="00E45A73">
        <w:rPr>
          <w:rFonts w:ascii="Century" w:hAnsi="Century"/>
          <w:color w:val="000000"/>
        </w:rPr>
        <w:t>Arnold, G. (2020) Corporate Financial Management. 6th edn. Harlow: Pearson Education.</w:t>
      </w:r>
    </w:p>
    <w:p w14:paraId="09018F74" w14:textId="77777777" w:rsidR="00AF18C1" w:rsidRPr="00E45A73" w:rsidRDefault="00AF18C1" w:rsidP="00AF18C1">
      <w:pPr>
        <w:spacing w:after="140" w:line="360" w:lineRule="auto"/>
        <w:rPr>
          <w:rFonts w:ascii="Century" w:hAnsi="Century"/>
        </w:rPr>
      </w:pPr>
      <w:r w:rsidRPr="00E45A73">
        <w:rPr>
          <w:rFonts w:ascii="Century" w:hAnsi="Century"/>
          <w:color w:val="000000"/>
        </w:rPr>
        <w:t>BloombergNEF (2024) Energy Storage Market Outlook 2024. London: Bloomberg Finance LP.</w:t>
      </w:r>
    </w:p>
    <w:p w14:paraId="1BE907B9" w14:textId="77777777" w:rsidR="00AF18C1" w:rsidRPr="00E45A73" w:rsidRDefault="00AF18C1" w:rsidP="00AF18C1">
      <w:pPr>
        <w:spacing w:after="140" w:line="360" w:lineRule="auto"/>
        <w:rPr>
          <w:rFonts w:ascii="Century" w:hAnsi="Century"/>
        </w:rPr>
      </w:pPr>
      <w:r w:rsidRPr="00E45A73">
        <w:rPr>
          <w:rFonts w:ascii="Century" w:hAnsi="Century"/>
          <w:color w:val="000000"/>
        </w:rPr>
        <w:t>Brealey, R.A., Myers, S.C. and Allen, F. (2020) Principles of Corporate Finance. 13th edn. New York: McGraw-Hill.</w:t>
      </w:r>
    </w:p>
    <w:p w14:paraId="55D9F41F" w14:textId="77777777" w:rsidR="00AF18C1" w:rsidRPr="00E45A73" w:rsidRDefault="00AF18C1" w:rsidP="00AF18C1">
      <w:pPr>
        <w:spacing w:after="140" w:line="360" w:lineRule="auto"/>
        <w:rPr>
          <w:rFonts w:ascii="Century" w:hAnsi="Century"/>
        </w:rPr>
      </w:pPr>
      <w:r w:rsidRPr="00E45A73">
        <w:rPr>
          <w:rFonts w:ascii="Century" w:hAnsi="Century"/>
          <w:color w:val="000000"/>
        </w:rPr>
        <w:t>Brigham, E.F. and Houston, J.F. (2021) Fundamentals of Financial Management. 15th edn. Boston: Cengage Learning.</w:t>
      </w:r>
    </w:p>
    <w:p w14:paraId="25773C64" w14:textId="77777777" w:rsidR="00AF18C1" w:rsidRPr="00E45A73" w:rsidRDefault="00AF18C1" w:rsidP="00AF18C1">
      <w:pPr>
        <w:spacing w:after="140" w:line="360" w:lineRule="auto"/>
        <w:rPr>
          <w:rFonts w:ascii="Century" w:hAnsi="Century"/>
        </w:rPr>
      </w:pPr>
      <w:r w:rsidRPr="00E45A73">
        <w:rPr>
          <w:rFonts w:ascii="Century" w:hAnsi="Century"/>
          <w:color w:val="000000"/>
        </w:rPr>
        <w:t>Damodaran, A. (2024) Investment Valuation: Tools and Techniques for Determining the Value of Any Asset. 4th edn. Hoboken: Wiley.</w:t>
      </w:r>
    </w:p>
    <w:p w14:paraId="6A549281" w14:textId="77777777" w:rsidR="00AF18C1" w:rsidRPr="00E45A73" w:rsidRDefault="00AF18C1" w:rsidP="00AF18C1">
      <w:pPr>
        <w:spacing w:after="140" w:line="360" w:lineRule="auto"/>
        <w:rPr>
          <w:rFonts w:ascii="Century" w:hAnsi="Century"/>
        </w:rPr>
      </w:pPr>
      <w:r w:rsidRPr="00E45A73">
        <w:rPr>
          <w:rFonts w:ascii="Century" w:hAnsi="Century"/>
          <w:color w:val="000000"/>
        </w:rPr>
        <w:t>Harvard Business Review (2022) ‘GE’s Restructuring and the Lessons for Industrial Companies’. Harvard Business Review [Online]. Available at: https://hbr.org (Accessed: 15 April 2026).</w:t>
      </w:r>
    </w:p>
    <w:p w14:paraId="49855852" w14:textId="77777777" w:rsidR="00AF18C1" w:rsidRPr="00E45A73" w:rsidRDefault="00AF18C1" w:rsidP="00AF18C1">
      <w:pPr>
        <w:spacing w:after="140" w:line="360" w:lineRule="auto"/>
        <w:rPr>
          <w:rFonts w:ascii="Century" w:hAnsi="Century"/>
        </w:rPr>
      </w:pPr>
      <w:r w:rsidRPr="00E45A73">
        <w:rPr>
          <w:rFonts w:ascii="Century" w:hAnsi="Century"/>
          <w:color w:val="000000"/>
        </w:rPr>
        <w:t>IEA (2025) Global EV Outlook 2025. Paris: International Energy Agency.</w:t>
      </w:r>
    </w:p>
    <w:p w14:paraId="1B9A2C7D" w14:textId="77777777" w:rsidR="00AF18C1" w:rsidRPr="00E45A73" w:rsidRDefault="00AF18C1" w:rsidP="00AF18C1">
      <w:pPr>
        <w:spacing w:after="140" w:line="360" w:lineRule="auto"/>
        <w:rPr>
          <w:rFonts w:ascii="Century" w:hAnsi="Century"/>
        </w:rPr>
      </w:pPr>
      <w:r w:rsidRPr="00E45A73">
        <w:rPr>
          <w:rFonts w:ascii="Century" w:hAnsi="Century"/>
          <w:color w:val="000000"/>
        </w:rPr>
        <w:t>Lev, B. and Gu, F. (2023) The End of Accounting and the Path Forward for Investors and Managers. New York: Wiley.</w:t>
      </w:r>
    </w:p>
    <w:p w14:paraId="04A98411" w14:textId="77777777" w:rsidR="00AF18C1" w:rsidRPr="00E45A73" w:rsidRDefault="00AF18C1" w:rsidP="00AF18C1">
      <w:pPr>
        <w:spacing w:after="140" w:line="360" w:lineRule="auto"/>
        <w:rPr>
          <w:rFonts w:ascii="Century" w:hAnsi="Century"/>
        </w:rPr>
      </w:pPr>
      <w:r w:rsidRPr="00E45A73">
        <w:rPr>
          <w:rFonts w:ascii="Century" w:hAnsi="Century"/>
          <w:color w:val="000000"/>
        </w:rPr>
        <w:t>OECD (2023) G20/OECD Principles of Corporate Governance. Paris: OECD Publishing.</w:t>
      </w:r>
    </w:p>
    <w:p w14:paraId="763C2CAE" w14:textId="77777777" w:rsidR="00AF18C1" w:rsidRPr="00E45A73" w:rsidRDefault="00AF18C1" w:rsidP="00AF18C1">
      <w:pPr>
        <w:spacing w:after="140" w:line="360" w:lineRule="auto"/>
        <w:rPr>
          <w:rFonts w:ascii="Century" w:hAnsi="Century"/>
        </w:rPr>
      </w:pPr>
      <w:r w:rsidRPr="00E45A73">
        <w:rPr>
          <w:rFonts w:ascii="Century" w:hAnsi="Century"/>
          <w:color w:val="000000"/>
        </w:rPr>
        <w:t>Ross, S.A., Westerfield, R.W. and Jordan, B.D. (2022) Fundamentals of Corporate Finance. 13th edn. New York: McGraw-Hill.</w:t>
      </w:r>
    </w:p>
    <w:p w14:paraId="7D8B0B5D" w14:textId="77777777" w:rsidR="00AF18C1" w:rsidRPr="00E45A73" w:rsidRDefault="00AF18C1" w:rsidP="00AF18C1">
      <w:pPr>
        <w:spacing w:after="140" w:line="360" w:lineRule="auto"/>
        <w:rPr>
          <w:rFonts w:ascii="Century" w:hAnsi="Century"/>
        </w:rPr>
      </w:pPr>
      <w:r w:rsidRPr="00E45A73">
        <w:rPr>
          <w:rFonts w:ascii="Century" w:hAnsi="Century"/>
          <w:color w:val="000000"/>
        </w:rPr>
        <w:t>Tesla, Inc. (2021) Annual Report on Form 10-K for Fiscal Year Ended 31 December 2020. Austin: Tesla, Inc.</w:t>
      </w:r>
    </w:p>
    <w:p w14:paraId="5A3FEE3D" w14:textId="77777777" w:rsidR="00AF18C1" w:rsidRPr="00E45A73" w:rsidRDefault="00AF18C1" w:rsidP="00AF18C1">
      <w:pPr>
        <w:spacing w:after="140" w:line="360" w:lineRule="auto"/>
        <w:rPr>
          <w:rFonts w:ascii="Century" w:hAnsi="Century"/>
        </w:rPr>
      </w:pPr>
      <w:r w:rsidRPr="00E45A73">
        <w:rPr>
          <w:rFonts w:ascii="Century" w:hAnsi="Century"/>
          <w:color w:val="000000"/>
        </w:rPr>
        <w:t>Tesla, Inc. (2022) Annual Report on Form 10-K for Fiscal Year Ended 31 December 2021. Austin: Tesla, Inc.</w:t>
      </w:r>
    </w:p>
    <w:p w14:paraId="61A372F3" w14:textId="77777777" w:rsidR="00AF18C1" w:rsidRPr="00E45A73" w:rsidRDefault="00AF18C1" w:rsidP="00AF18C1">
      <w:pPr>
        <w:spacing w:after="140" w:line="360" w:lineRule="auto"/>
        <w:rPr>
          <w:rFonts w:ascii="Century" w:hAnsi="Century"/>
        </w:rPr>
      </w:pPr>
      <w:r w:rsidRPr="00E45A73">
        <w:rPr>
          <w:rFonts w:ascii="Century" w:hAnsi="Century"/>
          <w:color w:val="000000"/>
        </w:rPr>
        <w:t>Tesla, Inc. (2023) Annual Report on Form 10-K for Fiscal Year Ended 31 December 2022. Austin: Tesla, Inc.</w:t>
      </w:r>
    </w:p>
    <w:p w14:paraId="567DB77B" w14:textId="77777777" w:rsidR="00AF18C1" w:rsidRPr="00E45A73" w:rsidRDefault="00AF18C1" w:rsidP="00AF18C1">
      <w:pPr>
        <w:spacing w:after="140" w:line="360" w:lineRule="auto"/>
        <w:rPr>
          <w:rFonts w:ascii="Century" w:hAnsi="Century"/>
        </w:rPr>
      </w:pPr>
      <w:r w:rsidRPr="00E45A73">
        <w:rPr>
          <w:rFonts w:ascii="Century" w:hAnsi="Century"/>
          <w:color w:val="000000"/>
        </w:rPr>
        <w:lastRenderedPageBreak/>
        <w:t>Tesla, Inc. (2024) Annual Report on Form 10-K for Fiscal Year Ended 31 December 2023. Austin: Tesla, Inc.</w:t>
      </w:r>
    </w:p>
    <w:p w14:paraId="2FF4D668" w14:textId="77777777" w:rsidR="00AF18C1" w:rsidRPr="00E45A73" w:rsidRDefault="00AF18C1" w:rsidP="00AF18C1">
      <w:pPr>
        <w:spacing w:after="140" w:line="360" w:lineRule="auto"/>
        <w:rPr>
          <w:rFonts w:ascii="Century" w:hAnsi="Century"/>
        </w:rPr>
      </w:pPr>
      <w:r w:rsidRPr="00E45A73">
        <w:rPr>
          <w:rFonts w:ascii="Century" w:hAnsi="Century"/>
          <w:color w:val="000000"/>
        </w:rPr>
        <w:t>Tesla, Inc. (2025) Annual Report on Form 10-K for Fiscal Year Ended 31 December 2024. Austin: Tesla, Inc. Available at: https://ir.tesla.com (Accessed: 15 April 2026).</w:t>
      </w:r>
    </w:p>
    <w:p w14:paraId="5ED21CC3" w14:textId="77777777" w:rsidR="00AF18C1" w:rsidRPr="00E45A73" w:rsidRDefault="00AF18C1" w:rsidP="00AF18C1">
      <w:pPr>
        <w:spacing w:after="140" w:line="360" w:lineRule="auto"/>
        <w:rPr>
          <w:rFonts w:ascii="Century" w:hAnsi="Century"/>
        </w:rPr>
      </w:pPr>
      <w:r w:rsidRPr="00E45A73">
        <w:rPr>
          <w:rFonts w:ascii="Century" w:hAnsi="Century"/>
          <w:color w:val="000000"/>
        </w:rPr>
        <w:t>Watson, D. and Head, A. (2022) Corporate Finance: Principles and Practice. 8th edn. Harlow: Pearson Education.</w:t>
      </w:r>
    </w:p>
    <w:p w14:paraId="3DA63B88" w14:textId="77777777" w:rsidR="00AF18C1" w:rsidRPr="00E45A73" w:rsidRDefault="00AF18C1" w:rsidP="00AF18C1">
      <w:pPr>
        <w:spacing w:after="60" w:line="360" w:lineRule="auto"/>
        <w:rPr>
          <w:rFonts w:ascii="Century" w:hAnsi="Century"/>
        </w:rPr>
      </w:pPr>
    </w:p>
    <w:p w14:paraId="2D46B051" w14:textId="77777777" w:rsidR="00AF18C1" w:rsidRPr="00E45A73" w:rsidRDefault="00AF18C1" w:rsidP="00AF18C1">
      <w:pPr>
        <w:spacing w:line="360" w:lineRule="auto"/>
        <w:rPr>
          <w:rFonts w:ascii="Century" w:hAnsi="Century"/>
        </w:rPr>
      </w:pPr>
      <w:r w:rsidRPr="00E45A73">
        <w:rPr>
          <w:rFonts w:ascii="Century" w:hAnsi="Century"/>
        </w:rPr>
        <w:br w:type="page"/>
      </w:r>
    </w:p>
    <w:p w14:paraId="0BE6DA16" w14:textId="77777777" w:rsidR="00AF18C1" w:rsidRPr="00E45A73" w:rsidRDefault="00AF18C1" w:rsidP="00AF18C1">
      <w:pPr>
        <w:pStyle w:val="Heading1"/>
        <w:spacing w:line="360" w:lineRule="auto"/>
        <w:jc w:val="both"/>
        <w:rPr>
          <w:rFonts w:ascii="Cambria" w:hAnsi="Cambria"/>
          <w:b/>
          <w:sz w:val="28"/>
          <w:szCs w:val="28"/>
        </w:rPr>
      </w:pPr>
      <w:bookmarkStart w:id="31" w:name="_Toc227673260"/>
      <w:r w:rsidRPr="00E45A73">
        <w:rPr>
          <w:rFonts w:ascii="Cambria" w:hAnsi="Cambria"/>
          <w:b/>
          <w:sz w:val="28"/>
          <w:szCs w:val="28"/>
        </w:rPr>
        <w:lastRenderedPageBreak/>
        <w:t>Appendices</w:t>
      </w:r>
      <w:bookmarkEnd w:id="31"/>
    </w:p>
    <w:p w14:paraId="32493C7C" w14:textId="77777777" w:rsidR="00AF18C1" w:rsidRPr="00E45A73" w:rsidRDefault="00AF18C1" w:rsidP="00AF18C1">
      <w:pPr>
        <w:pStyle w:val="Heading2"/>
        <w:spacing w:line="360" w:lineRule="auto"/>
        <w:jc w:val="both"/>
        <w:rPr>
          <w:rFonts w:ascii="Century" w:hAnsi="Century"/>
          <w:sz w:val="24"/>
          <w:szCs w:val="24"/>
        </w:rPr>
      </w:pPr>
      <w:bookmarkStart w:id="32" w:name="_Toc227673261"/>
      <w:r w:rsidRPr="00E45A73">
        <w:rPr>
          <w:rFonts w:ascii="Century" w:hAnsi="Century"/>
          <w:sz w:val="24"/>
          <w:szCs w:val="24"/>
        </w:rPr>
        <w:t>Appendix A: Consolidated Financial Ratio Reference Table</w:t>
      </w:r>
      <w:bookmarkEnd w:id="32"/>
    </w:p>
    <w:p w14:paraId="3EA22741" w14:textId="77777777" w:rsidR="00AF18C1" w:rsidRPr="00E45A73" w:rsidRDefault="00AF18C1" w:rsidP="00AF18C1">
      <w:pPr>
        <w:spacing w:before="200" w:after="80" w:line="360" w:lineRule="auto"/>
        <w:jc w:val="both"/>
        <w:rPr>
          <w:rFonts w:ascii="Century" w:hAnsi="Century"/>
        </w:rPr>
      </w:pPr>
      <w:r w:rsidRPr="00E45A73">
        <w:rPr>
          <w:rFonts w:ascii="Century" w:hAnsi="Century"/>
          <w:b/>
          <w:bCs/>
          <w:color w:val="003087"/>
        </w:rPr>
        <w:t>Table A1: Complete Tesla Financial Ratio Summary 2020–2024 (All Categories)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1305"/>
        <w:gridCol w:w="1305"/>
        <w:gridCol w:w="1305"/>
        <w:gridCol w:w="1305"/>
        <w:gridCol w:w="1306"/>
      </w:tblGrid>
      <w:tr w:rsidR="00AF18C1" w:rsidRPr="00E45A73" w14:paraId="0E80EC8C"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6DC8CA05"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Ratio</w:t>
            </w: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4AFB00C0"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2020</w:t>
            </w: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1A58A4FD"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2021</w:t>
            </w: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55BE2C37"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2022</w:t>
            </w: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7BB31D8F"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2023</w:t>
            </w:r>
          </w:p>
        </w:tc>
        <w:tc>
          <w:tcPr>
            <w:tcW w:w="1306" w:type="dxa"/>
            <w:tcBorders>
              <w:top w:val="single" w:sz="1" w:space="0" w:color="CCCCCC"/>
              <w:left w:val="single" w:sz="1" w:space="0" w:color="CCCCCC"/>
              <w:bottom w:val="single" w:sz="1" w:space="0" w:color="CCCCCC"/>
              <w:right w:val="single" w:sz="1" w:space="0" w:color="CCCCCC"/>
            </w:tcBorders>
            <w:shd w:val="clear" w:color="auto" w:fill="003087"/>
            <w:tcMar>
              <w:top w:w="80" w:type="dxa"/>
              <w:left w:w="120" w:type="dxa"/>
              <w:bottom w:w="80" w:type="dxa"/>
              <w:right w:w="120" w:type="dxa"/>
            </w:tcMar>
          </w:tcPr>
          <w:p w14:paraId="2181E027"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2024</w:t>
            </w:r>
          </w:p>
        </w:tc>
      </w:tr>
      <w:tr w:rsidR="00AF18C1" w:rsidRPr="00E45A73" w14:paraId="68888A32"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02FF6911"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PROFITABILITY</w:t>
            </w: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1B6E591D" w14:textId="77777777" w:rsidR="00AF18C1" w:rsidRPr="00E45A73" w:rsidRDefault="00AF18C1" w:rsidP="00A1471F">
            <w:pPr>
              <w:spacing w:line="360" w:lineRule="auto"/>
              <w:jc w:val="both"/>
              <w:rPr>
                <w:rFonts w:ascii="Century" w:hAnsi="Century"/>
              </w:rPr>
            </w:pP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735D8041" w14:textId="77777777" w:rsidR="00AF18C1" w:rsidRPr="00E45A73" w:rsidRDefault="00AF18C1" w:rsidP="00A1471F">
            <w:pPr>
              <w:spacing w:line="360" w:lineRule="auto"/>
              <w:jc w:val="both"/>
              <w:rPr>
                <w:rFonts w:ascii="Century" w:hAnsi="Century"/>
              </w:rPr>
            </w:pP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650E42D5" w14:textId="77777777" w:rsidR="00AF18C1" w:rsidRPr="00E45A73" w:rsidRDefault="00AF18C1" w:rsidP="00A1471F">
            <w:pPr>
              <w:spacing w:line="360" w:lineRule="auto"/>
              <w:jc w:val="both"/>
              <w:rPr>
                <w:rFonts w:ascii="Century" w:hAnsi="Century"/>
              </w:rPr>
            </w:pP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6F26E415" w14:textId="77777777" w:rsidR="00AF18C1" w:rsidRPr="00E45A73" w:rsidRDefault="00AF18C1" w:rsidP="00A1471F">
            <w:pPr>
              <w:spacing w:line="360" w:lineRule="auto"/>
              <w:jc w:val="both"/>
              <w:rPr>
                <w:rFonts w:ascii="Century" w:hAnsi="Century"/>
              </w:rPr>
            </w:pPr>
          </w:p>
        </w:tc>
        <w:tc>
          <w:tcPr>
            <w:tcW w:w="1306"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4208D963" w14:textId="77777777" w:rsidR="00AF18C1" w:rsidRPr="00E45A73" w:rsidRDefault="00AF18C1" w:rsidP="00A1471F">
            <w:pPr>
              <w:spacing w:line="360" w:lineRule="auto"/>
              <w:jc w:val="both"/>
              <w:rPr>
                <w:rFonts w:ascii="Century" w:hAnsi="Century"/>
              </w:rPr>
            </w:pPr>
          </w:p>
        </w:tc>
      </w:tr>
      <w:tr w:rsidR="00AF18C1" w:rsidRPr="00E45A73" w14:paraId="0F8746C5"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92A9B32" w14:textId="77777777" w:rsidR="00AF18C1" w:rsidRPr="00E45A73" w:rsidRDefault="00AF18C1" w:rsidP="00A1471F">
            <w:pPr>
              <w:spacing w:line="360" w:lineRule="auto"/>
              <w:jc w:val="both"/>
              <w:rPr>
                <w:rFonts w:ascii="Century" w:hAnsi="Century"/>
              </w:rPr>
            </w:pPr>
            <w:r w:rsidRPr="00E45A73">
              <w:rPr>
                <w:rFonts w:ascii="Century" w:hAnsi="Century"/>
                <w:color w:val="000000"/>
              </w:rPr>
              <w:t>Gross Margin %</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290B0BE" w14:textId="77777777" w:rsidR="00AF18C1" w:rsidRPr="00E45A73" w:rsidRDefault="00AF18C1" w:rsidP="00A1471F">
            <w:pPr>
              <w:spacing w:line="360" w:lineRule="auto"/>
              <w:jc w:val="both"/>
              <w:rPr>
                <w:rFonts w:ascii="Century" w:hAnsi="Century"/>
              </w:rPr>
            </w:pPr>
            <w:r w:rsidRPr="00E45A73">
              <w:rPr>
                <w:rFonts w:ascii="Century" w:hAnsi="Century"/>
                <w:color w:val="000000"/>
              </w:rPr>
              <w:t>21.0%</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3D9523A" w14:textId="77777777" w:rsidR="00AF18C1" w:rsidRPr="00E45A73" w:rsidRDefault="00AF18C1" w:rsidP="00A1471F">
            <w:pPr>
              <w:spacing w:line="360" w:lineRule="auto"/>
              <w:jc w:val="both"/>
              <w:rPr>
                <w:rFonts w:ascii="Century" w:hAnsi="Century"/>
              </w:rPr>
            </w:pPr>
            <w:r w:rsidRPr="00E45A73">
              <w:rPr>
                <w:rFonts w:ascii="Century" w:hAnsi="Century"/>
                <w:color w:val="000000"/>
              </w:rPr>
              <w:t>25.3%</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3342F73" w14:textId="77777777" w:rsidR="00AF18C1" w:rsidRPr="00E45A73" w:rsidRDefault="00AF18C1" w:rsidP="00A1471F">
            <w:pPr>
              <w:spacing w:line="360" w:lineRule="auto"/>
              <w:jc w:val="both"/>
              <w:rPr>
                <w:rFonts w:ascii="Century" w:hAnsi="Century"/>
              </w:rPr>
            </w:pPr>
            <w:r w:rsidRPr="00E45A73">
              <w:rPr>
                <w:rFonts w:ascii="Century" w:hAnsi="Century"/>
                <w:color w:val="000000"/>
              </w:rPr>
              <w:t>25.6%</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40D00FA" w14:textId="77777777" w:rsidR="00AF18C1" w:rsidRPr="00E45A73" w:rsidRDefault="00AF18C1" w:rsidP="00A1471F">
            <w:pPr>
              <w:spacing w:line="360" w:lineRule="auto"/>
              <w:jc w:val="both"/>
              <w:rPr>
                <w:rFonts w:ascii="Century" w:hAnsi="Century"/>
              </w:rPr>
            </w:pPr>
            <w:r w:rsidRPr="00E45A73">
              <w:rPr>
                <w:rFonts w:ascii="Century" w:hAnsi="Century"/>
                <w:color w:val="000000"/>
              </w:rPr>
              <w:t>18.2%</w:t>
            </w:r>
          </w:p>
        </w:tc>
        <w:tc>
          <w:tcPr>
            <w:tcW w:w="130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1EB6B7D" w14:textId="77777777" w:rsidR="00AF18C1" w:rsidRPr="00E45A73" w:rsidRDefault="00AF18C1" w:rsidP="00A1471F">
            <w:pPr>
              <w:spacing w:line="360" w:lineRule="auto"/>
              <w:jc w:val="both"/>
              <w:rPr>
                <w:rFonts w:ascii="Century" w:hAnsi="Century"/>
              </w:rPr>
            </w:pPr>
            <w:r w:rsidRPr="00E45A73">
              <w:rPr>
                <w:rFonts w:ascii="Century" w:hAnsi="Century"/>
                <w:color w:val="000000"/>
              </w:rPr>
              <w:t>17.9%</w:t>
            </w:r>
          </w:p>
        </w:tc>
      </w:tr>
      <w:tr w:rsidR="00AF18C1" w:rsidRPr="00E45A73" w14:paraId="52C17255"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3B2BB6C" w14:textId="77777777" w:rsidR="00AF18C1" w:rsidRPr="00E45A73" w:rsidRDefault="00AF18C1" w:rsidP="00A1471F">
            <w:pPr>
              <w:spacing w:line="360" w:lineRule="auto"/>
              <w:jc w:val="both"/>
              <w:rPr>
                <w:rFonts w:ascii="Century" w:hAnsi="Century"/>
              </w:rPr>
            </w:pPr>
            <w:r w:rsidRPr="00E45A73">
              <w:rPr>
                <w:rFonts w:ascii="Century" w:hAnsi="Century"/>
                <w:color w:val="000000"/>
              </w:rPr>
              <w:t>Operating Margin %</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ACCFF7F" w14:textId="77777777" w:rsidR="00AF18C1" w:rsidRPr="00E45A73" w:rsidRDefault="00AF18C1" w:rsidP="00A1471F">
            <w:pPr>
              <w:spacing w:line="360" w:lineRule="auto"/>
              <w:jc w:val="both"/>
              <w:rPr>
                <w:rFonts w:ascii="Century" w:hAnsi="Century"/>
              </w:rPr>
            </w:pPr>
            <w:r w:rsidRPr="00E45A73">
              <w:rPr>
                <w:rFonts w:ascii="Century" w:hAnsi="Century"/>
                <w:color w:val="000000"/>
              </w:rPr>
              <w:t>6.3%</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57255C5" w14:textId="77777777" w:rsidR="00AF18C1" w:rsidRPr="00E45A73" w:rsidRDefault="00AF18C1" w:rsidP="00A1471F">
            <w:pPr>
              <w:spacing w:line="360" w:lineRule="auto"/>
              <w:jc w:val="both"/>
              <w:rPr>
                <w:rFonts w:ascii="Century" w:hAnsi="Century"/>
              </w:rPr>
            </w:pPr>
            <w:r w:rsidRPr="00E45A73">
              <w:rPr>
                <w:rFonts w:ascii="Century" w:hAnsi="Century"/>
                <w:color w:val="000000"/>
              </w:rPr>
              <w:t>12.1%</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E514DF8" w14:textId="77777777" w:rsidR="00AF18C1" w:rsidRPr="00E45A73" w:rsidRDefault="00AF18C1" w:rsidP="00A1471F">
            <w:pPr>
              <w:spacing w:line="360" w:lineRule="auto"/>
              <w:jc w:val="both"/>
              <w:rPr>
                <w:rFonts w:ascii="Century" w:hAnsi="Century"/>
              </w:rPr>
            </w:pPr>
            <w:r w:rsidRPr="00E45A73">
              <w:rPr>
                <w:rFonts w:ascii="Century" w:hAnsi="Century"/>
                <w:color w:val="000000"/>
              </w:rPr>
              <w:t>16.8%</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028F00B" w14:textId="77777777" w:rsidR="00AF18C1" w:rsidRPr="00E45A73" w:rsidRDefault="00AF18C1" w:rsidP="00A1471F">
            <w:pPr>
              <w:spacing w:line="360" w:lineRule="auto"/>
              <w:jc w:val="both"/>
              <w:rPr>
                <w:rFonts w:ascii="Century" w:hAnsi="Century"/>
              </w:rPr>
            </w:pPr>
            <w:r w:rsidRPr="00E45A73">
              <w:rPr>
                <w:rFonts w:ascii="Century" w:hAnsi="Century"/>
                <w:color w:val="000000"/>
              </w:rPr>
              <w:t>9.2%</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D8DC4BD" w14:textId="77777777" w:rsidR="00AF18C1" w:rsidRPr="00E45A73" w:rsidRDefault="00AF18C1" w:rsidP="00A1471F">
            <w:pPr>
              <w:spacing w:line="360" w:lineRule="auto"/>
              <w:jc w:val="both"/>
              <w:rPr>
                <w:rFonts w:ascii="Century" w:hAnsi="Century"/>
              </w:rPr>
            </w:pPr>
            <w:r w:rsidRPr="00E45A73">
              <w:rPr>
                <w:rFonts w:ascii="Century" w:hAnsi="Century"/>
                <w:color w:val="000000"/>
              </w:rPr>
              <w:t>7.2%</w:t>
            </w:r>
          </w:p>
        </w:tc>
      </w:tr>
      <w:tr w:rsidR="00AF18C1" w:rsidRPr="00E45A73" w14:paraId="59275B9A"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24C0164" w14:textId="77777777" w:rsidR="00AF18C1" w:rsidRPr="00E45A73" w:rsidRDefault="00AF18C1" w:rsidP="00A1471F">
            <w:pPr>
              <w:spacing w:line="360" w:lineRule="auto"/>
              <w:jc w:val="both"/>
              <w:rPr>
                <w:rFonts w:ascii="Century" w:hAnsi="Century"/>
              </w:rPr>
            </w:pPr>
            <w:r w:rsidRPr="00E45A73">
              <w:rPr>
                <w:rFonts w:ascii="Century" w:hAnsi="Century"/>
                <w:color w:val="000000"/>
              </w:rPr>
              <w:t>Net Margin %</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8DE435B" w14:textId="77777777" w:rsidR="00AF18C1" w:rsidRPr="00E45A73" w:rsidRDefault="00AF18C1" w:rsidP="00A1471F">
            <w:pPr>
              <w:spacing w:line="360" w:lineRule="auto"/>
              <w:jc w:val="both"/>
              <w:rPr>
                <w:rFonts w:ascii="Century" w:hAnsi="Century"/>
              </w:rPr>
            </w:pPr>
            <w:r w:rsidRPr="00E45A73">
              <w:rPr>
                <w:rFonts w:ascii="Century" w:hAnsi="Century"/>
                <w:color w:val="000000"/>
              </w:rPr>
              <w:t>2.3%</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1CAAE5C" w14:textId="77777777" w:rsidR="00AF18C1" w:rsidRPr="00E45A73" w:rsidRDefault="00AF18C1" w:rsidP="00A1471F">
            <w:pPr>
              <w:spacing w:line="360" w:lineRule="auto"/>
              <w:jc w:val="both"/>
              <w:rPr>
                <w:rFonts w:ascii="Century" w:hAnsi="Century"/>
              </w:rPr>
            </w:pPr>
            <w:r w:rsidRPr="00E45A73">
              <w:rPr>
                <w:rFonts w:ascii="Century" w:hAnsi="Century"/>
                <w:color w:val="000000"/>
              </w:rPr>
              <w:t>10.3%</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78FD104" w14:textId="77777777" w:rsidR="00AF18C1" w:rsidRPr="00E45A73" w:rsidRDefault="00AF18C1" w:rsidP="00A1471F">
            <w:pPr>
              <w:spacing w:line="360" w:lineRule="auto"/>
              <w:jc w:val="both"/>
              <w:rPr>
                <w:rFonts w:ascii="Century" w:hAnsi="Century"/>
              </w:rPr>
            </w:pPr>
            <w:r w:rsidRPr="00E45A73">
              <w:rPr>
                <w:rFonts w:ascii="Century" w:hAnsi="Century"/>
                <w:color w:val="000000"/>
              </w:rPr>
              <w:t>15.4%</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3527F3C" w14:textId="77777777" w:rsidR="00AF18C1" w:rsidRPr="00E45A73" w:rsidRDefault="00AF18C1" w:rsidP="00A1471F">
            <w:pPr>
              <w:spacing w:line="360" w:lineRule="auto"/>
              <w:jc w:val="both"/>
              <w:rPr>
                <w:rFonts w:ascii="Century" w:hAnsi="Century"/>
              </w:rPr>
            </w:pPr>
            <w:r w:rsidRPr="00E45A73">
              <w:rPr>
                <w:rFonts w:ascii="Century" w:hAnsi="Century"/>
                <w:color w:val="000000"/>
              </w:rPr>
              <w:t>15.5%</w:t>
            </w:r>
          </w:p>
        </w:tc>
        <w:tc>
          <w:tcPr>
            <w:tcW w:w="130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EE81981" w14:textId="77777777" w:rsidR="00AF18C1" w:rsidRPr="00E45A73" w:rsidRDefault="00AF18C1" w:rsidP="00A1471F">
            <w:pPr>
              <w:spacing w:line="360" w:lineRule="auto"/>
              <w:jc w:val="both"/>
              <w:rPr>
                <w:rFonts w:ascii="Century" w:hAnsi="Century"/>
              </w:rPr>
            </w:pPr>
            <w:r w:rsidRPr="00E45A73">
              <w:rPr>
                <w:rFonts w:ascii="Century" w:hAnsi="Century"/>
                <w:color w:val="000000"/>
              </w:rPr>
              <w:t>7.3%</w:t>
            </w:r>
          </w:p>
        </w:tc>
      </w:tr>
      <w:tr w:rsidR="00AF18C1" w:rsidRPr="00E45A73" w14:paraId="74BF41F3"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5F218F5" w14:textId="77777777" w:rsidR="00AF18C1" w:rsidRPr="00E45A73" w:rsidRDefault="00AF18C1" w:rsidP="00A1471F">
            <w:pPr>
              <w:spacing w:line="360" w:lineRule="auto"/>
              <w:jc w:val="both"/>
              <w:rPr>
                <w:rFonts w:ascii="Century" w:hAnsi="Century"/>
              </w:rPr>
            </w:pPr>
            <w:r w:rsidRPr="00E45A73">
              <w:rPr>
                <w:rFonts w:ascii="Century" w:hAnsi="Century"/>
                <w:color w:val="000000"/>
              </w:rPr>
              <w:t>ROE %</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3B44C11" w14:textId="77777777" w:rsidR="00AF18C1" w:rsidRPr="00E45A73" w:rsidRDefault="00AF18C1" w:rsidP="00A1471F">
            <w:pPr>
              <w:spacing w:line="360" w:lineRule="auto"/>
              <w:jc w:val="both"/>
              <w:rPr>
                <w:rFonts w:ascii="Century" w:hAnsi="Century"/>
              </w:rPr>
            </w:pPr>
            <w:r w:rsidRPr="00E45A73">
              <w:rPr>
                <w:rFonts w:ascii="Century" w:hAnsi="Century"/>
                <w:color w:val="000000"/>
              </w:rPr>
              <w:t>2.3%</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6D6F294" w14:textId="77777777" w:rsidR="00AF18C1" w:rsidRPr="00E45A73" w:rsidRDefault="00AF18C1" w:rsidP="00A1471F">
            <w:pPr>
              <w:spacing w:line="360" w:lineRule="auto"/>
              <w:jc w:val="both"/>
              <w:rPr>
                <w:rFonts w:ascii="Century" w:hAnsi="Century"/>
              </w:rPr>
            </w:pPr>
            <w:r w:rsidRPr="00E45A73">
              <w:rPr>
                <w:rFonts w:ascii="Century" w:hAnsi="Century"/>
                <w:color w:val="000000"/>
              </w:rPr>
              <w:t>18.3%</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F24FFC4" w14:textId="77777777" w:rsidR="00AF18C1" w:rsidRPr="00E45A73" w:rsidRDefault="00AF18C1" w:rsidP="00A1471F">
            <w:pPr>
              <w:spacing w:line="360" w:lineRule="auto"/>
              <w:jc w:val="both"/>
              <w:rPr>
                <w:rFonts w:ascii="Century" w:hAnsi="Century"/>
              </w:rPr>
            </w:pPr>
            <w:r w:rsidRPr="00E45A73">
              <w:rPr>
                <w:rFonts w:ascii="Century" w:hAnsi="Century"/>
                <w:color w:val="000000"/>
              </w:rPr>
              <w:t>28.2%</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974E08A" w14:textId="77777777" w:rsidR="00AF18C1" w:rsidRPr="00E45A73" w:rsidRDefault="00AF18C1" w:rsidP="00A1471F">
            <w:pPr>
              <w:spacing w:line="360" w:lineRule="auto"/>
              <w:jc w:val="both"/>
              <w:rPr>
                <w:rFonts w:ascii="Century" w:hAnsi="Century"/>
              </w:rPr>
            </w:pPr>
            <w:r w:rsidRPr="00E45A73">
              <w:rPr>
                <w:rFonts w:ascii="Century" w:hAnsi="Century"/>
                <w:color w:val="000000"/>
              </w:rPr>
              <w:t>24.0%</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3D6DBE8" w14:textId="77777777" w:rsidR="00AF18C1" w:rsidRPr="00E45A73" w:rsidRDefault="00AF18C1" w:rsidP="00A1471F">
            <w:pPr>
              <w:spacing w:line="360" w:lineRule="auto"/>
              <w:jc w:val="both"/>
              <w:rPr>
                <w:rFonts w:ascii="Century" w:hAnsi="Century"/>
              </w:rPr>
            </w:pPr>
            <w:r w:rsidRPr="00E45A73">
              <w:rPr>
                <w:rFonts w:ascii="Century" w:hAnsi="Century"/>
                <w:color w:val="000000"/>
              </w:rPr>
              <w:t>9.8%</w:t>
            </w:r>
          </w:p>
        </w:tc>
      </w:tr>
      <w:tr w:rsidR="00AF18C1" w:rsidRPr="00E45A73" w14:paraId="76113A92"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851EBFB" w14:textId="77777777" w:rsidR="00AF18C1" w:rsidRPr="00E45A73" w:rsidRDefault="00AF18C1" w:rsidP="00A1471F">
            <w:pPr>
              <w:spacing w:line="360" w:lineRule="auto"/>
              <w:jc w:val="both"/>
              <w:rPr>
                <w:rFonts w:ascii="Century" w:hAnsi="Century"/>
              </w:rPr>
            </w:pPr>
            <w:r w:rsidRPr="00E45A73">
              <w:rPr>
                <w:rFonts w:ascii="Century" w:hAnsi="Century"/>
                <w:color w:val="000000"/>
              </w:rPr>
              <w:t>ROA %</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9D6DAD2" w14:textId="77777777" w:rsidR="00AF18C1" w:rsidRPr="00E45A73" w:rsidRDefault="00AF18C1" w:rsidP="00A1471F">
            <w:pPr>
              <w:spacing w:line="360" w:lineRule="auto"/>
              <w:jc w:val="both"/>
              <w:rPr>
                <w:rFonts w:ascii="Century" w:hAnsi="Century"/>
              </w:rPr>
            </w:pPr>
            <w:r w:rsidRPr="00E45A73">
              <w:rPr>
                <w:rFonts w:ascii="Century" w:hAnsi="Century"/>
                <w:color w:val="000000"/>
              </w:rPr>
              <w:t>1.4%</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2956D93" w14:textId="77777777" w:rsidR="00AF18C1" w:rsidRPr="00E45A73" w:rsidRDefault="00AF18C1" w:rsidP="00A1471F">
            <w:pPr>
              <w:spacing w:line="360" w:lineRule="auto"/>
              <w:jc w:val="both"/>
              <w:rPr>
                <w:rFonts w:ascii="Century" w:hAnsi="Century"/>
              </w:rPr>
            </w:pPr>
            <w:r w:rsidRPr="00E45A73">
              <w:rPr>
                <w:rFonts w:ascii="Century" w:hAnsi="Century"/>
                <w:color w:val="000000"/>
              </w:rPr>
              <w:t>8.9%</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9997E97" w14:textId="77777777" w:rsidR="00AF18C1" w:rsidRPr="00E45A73" w:rsidRDefault="00AF18C1" w:rsidP="00A1471F">
            <w:pPr>
              <w:spacing w:line="360" w:lineRule="auto"/>
              <w:jc w:val="both"/>
              <w:rPr>
                <w:rFonts w:ascii="Century" w:hAnsi="Century"/>
              </w:rPr>
            </w:pPr>
            <w:r w:rsidRPr="00E45A73">
              <w:rPr>
                <w:rFonts w:ascii="Century" w:hAnsi="Century"/>
                <w:color w:val="000000"/>
              </w:rPr>
              <w:t>15.3%</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09A26B3" w14:textId="77777777" w:rsidR="00AF18C1" w:rsidRPr="00E45A73" w:rsidRDefault="00AF18C1" w:rsidP="00A1471F">
            <w:pPr>
              <w:spacing w:line="360" w:lineRule="auto"/>
              <w:jc w:val="both"/>
              <w:rPr>
                <w:rFonts w:ascii="Century" w:hAnsi="Century"/>
              </w:rPr>
            </w:pPr>
            <w:r w:rsidRPr="00E45A73">
              <w:rPr>
                <w:rFonts w:ascii="Century" w:hAnsi="Century"/>
                <w:color w:val="000000"/>
              </w:rPr>
              <w:t>14.1%</w:t>
            </w:r>
          </w:p>
        </w:tc>
        <w:tc>
          <w:tcPr>
            <w:tcW w:w="130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4CB4B37" w14:textId="77777777" w:rsidR="00AF18C1" w:rsidRPr="00E45A73" w:rsidRDefault="00AF18C1" w:rsidP="00A1471F">
            <w:pPr>
              <w:spacing w:line="360" w:lineRule="auto"/>
              <w:jc w:val="both"/>
              <w:rPr>
                <w:rFonts w:ascii="Century" w:hAnsi="Century"/>
              </w:rPr>
            </w:pPr>
            <w:r w:rsidRPr="00E45A73">
              <w:rPr>
                <w:rFonts w:ascii="Century" w:hAnsi="Century"/>
                <w:color w:val="000000"/>
              </w:rPr>
              <w:t>5.8%</w:t>
            </w:r>
          </w:p>
        </w:tc>
      </w:tr>
      <w:tr w:rsidR="00AF18C1" w:rsidRPr="00E45A73" w14:paraId="1D9C0EB2"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E00E439" w14:textId="77777777" w:rsidR="00AF18C1" w:rsidRPr="00E45A73" w:rsidRDefault="00AF18C1" w:rsidP="00A1471F">
            <w:pPr>
              <w:spacing w:line="360" w:lineRule="auto"/>
              <w:jc w:val="both"/>
              <w:rPr>
                <w:rFonts w:ascii="Century" w:hAnsi="Century"/>
              </w:rPr>
            </w:pPr>
            <w:r w:rsidRPr="00E45A73">
              <w:rPr>
                <w:rFonts w:ascii="Century" w:hAnsi="Century"/>
                <w:color w:val="000000"/>
              </w:rPr>
              <w:t>ROCE %</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3400D3D" w14:textId="77777777" w:rsidR="00AF18C1" w:rsidRPr="00E45A73" w:rsidRDefault="00AF18C1" w:rsidP="00A1471F">
            <w:pPr>
              <w:spacing w:line="360" w:lineRule="auto"/>
              <w:jc w:val="both"/>
              <w:rPr>
                <w:rFonts w:ascii="Century" w:hAnsi="Century"/>
              </w:rPr>
            </w:pPr>
            <w:r w:rsidRPr="00E45A73">
              <w:rPr>
                <w:rFonts w:ascii="Century" w:hAnsi="Century"/>
                <w:color w:val="000000"/>
              </w:rPr>
              <w:t>5.3%</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B48AF48" w14:textId="77777777" w:rsidR="00AF18C1" w:rsidRPr="00E45A73" w:rsidRDefault="00AF18C1" w:rsidP="00A1471F">
            <w:pPr>
              <w:spacing w:line="360" w:lineRule="auto"/>
              <w:jc w:val="both"/>
              <w:rPr>
                <w:rFonts w:ascii="Century" w:hAnsi="Century"/>
              </w:rPr>
            </w:pPr>
            <w:r w:rsidRPr="00E45A73">
              <w:rPr>
                <w:rFonts w:ascii="Century" w:hAnsi="Century"/>
                <w:color w:val="000000"/>
              </w:rPr>
              <w:t>15.4%</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E7939FF" w14:textId="77777777" w:rsidR="00AF18C1" w:rsidRPr="00E45A73" w:rsidRDefault="00AF18C1" w:rsidP="00A1471F">
            <w:pPr>
              <w:spacing w:line="360" w:lineRule="auto"/>
              <w:jc w:val="both"/>
              <w:rPr>
                <w:rFonts w:ascii="Century" w:hAnsi="Century"/>
              </w:rPr>
            </w:pPr>
            <w:r w:rsidRPr="00E45A73">
              <w:rPr>
                <w:rFonts w:ascii="Century" w:hAnsi="Century"/>
                <w:color w:val="000000"/>
              </w:rPr>
              <w:t>24.6%</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BB2A122" w14:textId="77777777" w:rsidR="00AF18C1" w:rsidRPr="00E45A73" w:rsidRDefault="00AF18C1" w:rsidP="00A1471F">
            <w:pPr>
              <w:spacing w:line="360" w:lineRule="auto"/>
              <w:jc w:val="both"/>
              <w:rPr>
                <w:rFonts w:ascii="Century" w:hAnsi="Century"/>
              </w:rPr>
            </w:pPr>
            <w:r w:rsidRPr="00E45A73">
              <w:rPr>
                <w:rFonts w:ascii="Century" w:hAnsi="Century"/>
                <w:color w:val="000000"/>
              </w:rPr>
              <w:t>11.4%</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EDC89B6" w14:textId="77777777" w:rsidR="00AF18C1" w:rsidRPr="00E45A73" w:rsidRDefault="00AF18C1" w:rsidP="00A1471F">
            <w:pPr>
              <w:spacing w:line="360" w:lineRule="auto"/>
              <w:jc w:val="both"/>
              <w:rPr>
                <w:rFonts w:ascii="Century" w:hAnsi="Century"/>
              </w:rPr>
            </w:pPr>
            <w:r w:rsidRPr="00E45A73">
              <w:rPr>
                <w:rFonts w:ascii="Century" w:hAnsi="Century"/>
                <w:color w:val="000000"/>
              </w:rPr>
              <w:t>7.6%</w:t>
            </w:r>
          </w:p>
        </w:tc>
      </w:tr>
      <w:tr w:rsidR="00AF18C1" w:rsidRPr="00E45A73" w14:paraId="6BFCE5AC"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06EC74A5"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LIQUIDITY</w:t>
            </w: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38439756" w14:textId="77777777" w:rsidR="00AF18C1" w:rsidRPr="00E45A73" w:rsidRDefault="00AF18C1" w:rsidP="00A1471F">
            <w:pPr>
              <w:spacing w:line="360" w:lineRule="auto"/>
              <w:jc w:val="both"/>
              <w:rPr>
                <w:rFonts w:ascii="Century" w:hAnsi="Century"/>
              </w:rPr>
            </w:pP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14119D54" w14:textId="77777777" w:rsidR="00AF18C1" w:rsidRPr="00E45A73" w:rsidRDefault="00AF18C1" w:rsidP="00A1471F">
            <w:pPr>
              <w:spacing w:line="360" w:lineRule="auto"/>
              <w:jc w:val="both"/>
              <w:rPr>
                <w:rFonts w:ascii="Century" w:hAnsi="Century"/>
              </w:rPr>
            </w:pP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02CD6641" w14:textId="77777777" w:rsidR="00AF18C1" w:rsidRPr="00E45A73" w:rsidRDefault="00AF18C1" w:rsidP="00A1471F">
            <w:pPr>
              <w:spacing w:line="360" w:lineRule="auto"/>
              <w:jc w:val="both"/>
              <w:rPr>
                <w:rFonts w:ascii="Century" w:hAnsi="Century"/>
              </w:rPr>
            </w:pP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1CD86AB6" w14:textId="77777777" w:rsidR="00AF18C1" w:rsidRPr="00E45A73" w:rsidRDefault="00AF18C1" w:rsidP="00A1471F">
            <w:pPr>
              <w:spacing w:line="360" w:lineRule="auto"/>
              <w:jc w:val="both"/>
              <w:rPr>
                <w:rFonts w:ascii="Century" w:hAnsi="Century"/>
              </w:rPr>
            </w:pPr>
          </w:p>
        </w:tc>
        <w:tc>
          <w:tcPr>
            <w:tcW w:w="1306"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35828A35" w14:textId="77777777" w:rsidR="00AF18C1" w:rsidRPr="00E45A73" w:rsidRDefault="00AF18C1" w:rsidP="00A1471F">
            <w:pPr>
              <w:spacing w:line="360" w:lineRule="auto"/>
              <w:jc w:val="both"/>
              <w:rPr>
                <w:rFonts w:ascii="Century" w:hAnsi="Century"/>
              </w:rPr>
            </w:pPr>
          </w:p>
        </w:tc>
      </w:tr>
      <w:tr w:rsidR="00AF18C1" w:rsidRPr="00E45A73" w14:paraId="68306BE4"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003F031" w14:textId="77777777" w:rsidR="00AF18C1" w:rsidRPr="00E45A73" w:rsidRDefault="00AF18C1" w:rsidP="00A1471F">
            <w:pPr>
              <w:spacing w:line="360" w:lineRule="auto"/>
              <w:jc w:val="both"/>
              <w:rPr>
                <w:rFonts w:ascii="Century" w:hAnsi="Century"/>
              </w:rPr>
            </w:pPr>
            <w:r w:rsidRPr="00E45A73">
              <w:rPr>
                <w:rFonts w:ascii="Century" w:hAnsi="Century"/>
                <w:color w:val="000000"/>
              </w:rPr>
              <w:t>Current Ratio</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222799F" w14:textId="77777777" w:rsidR="00AF18C1" w:rsidRPr="00E45A73" w:rsidRDefault="00AF18C1" w:rsidP="00A1471F">
            <w:pPr>
              <w:spacing w:line="360" w:lineRule="auto"/>
              <w:jc w:val="both"/>
              <w:rPr>
                <w:rFonts w:ascii="Century" w:hAnsi="Century"/>
              </w:rPr>
            </w:pPr>
            <w:r w:rsidRPr="00E45A73">
              <w:rPr>
                <w:rFonts w:ascii="Century" w:hAnsi="Century"/>
                <w:color w:val="000000"/>
              </w:rPr>
              <w:t>1.88</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FA078DD" w14:textId="77777777" w:rsidR="00AF18C1" w:rsidRPr="00E45A73" w:rsidRDefault="00AF18C1" w:rsidP="00A1471F">
            <w:pPr>
              <w:spacing w:line="360" w:lineRule="auto"/>
              <w:jc w:val="both"/>
              <w:rPr>
                <w:rFonts w:ascii="Century" w:hAnsi="Century"/>
              </w:rPr>
            </w:pPr>
            <w:r w:rsidRPr="00E45A73">
              <w:rPr>
                <w:rFonts w:ascii="Century" w:hAnsi="Century"/>
                <w:color w:val="000000"/>
              </w:rPr>
              <w:t>1.38</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A49A7A6" w14:textId="77777777" w:rsidR="00AF18C1" w:rsidRPr="00E45A73" w:rsidRDefault="00AF18C1" w:rsidP="00A1471F">
            <w:pPr>
              <w:spacing w:line="360" w:lineRule="auto"/>
              <w:jc w:val="both"/>
              <w:rPr>
                <w:rFonts w:ascii="Century" w:hAnsi="Century"/>
              </w:rPr>
            </w:pPr>
            <w:r w:rsidRPr="00E45A73">
              <w:rPr>
                <w:rFonts w:ascii="Century" w:hAnsi="Century"/>
                <w:color w:val="000000"/>
              </w:rPr>
              <w:t>1.53</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6B184B0" w14:textId="77777777" w:rsidR="00AF18C1" w:rsidRPr="00E45A73" w:rsidRDefault="00AF18C1" w:rsidP="00A1471F">
            <w:pPr>
              <w:spacing w:line="360" w:lineRule="auto"/>
              <w:jc w:val="both"/>
              <w:rPr>
                <w:rFonts w:ascii="Century" w:hAnsi="Century"/>
              </w:rPr>
            </w:pPr>
            <w:r w:rsidRPr="00E45A73">
              <w:rPr>
                <w:rFonts w:ascii="Century" w:hAnsi="Century"/>
                <w:color w:val="000000"/>
              </w:rPr>
              <w:t>1.73</w:t>
            </w:r>
          </w:p>
        </w:tc>
        <w:tc>
          <w:tcPr>
            <w:tcW w:w="130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33C37AA" w14:textId="77777777" w:rsidR="00AF18C1" w:rsidRPr="00E45A73" w:rsidRDefault="00AF18C1" w:rsidP="00A1471F">
            <w:pPr>
              <w:spacing w:line="360" w:lineRule="auto"/>
              <w:jc w:val="both"/>
              <w:rPr>
                <w:rFonts w:ascii="Century" w:hAnsi="Century"/>
              </w:rPr>
            </w:pPr>
            <w:r w:rsidRPr="00E45A73">
              <w:rPr>
                <w:rFonts w:ascii="Century" w:hAnsi="Century"/>
                <w:color w:val="000000"/>
              </w:rPr>
              <w:t>2.02</w:t>
            </w:r>
          </w:p>
        </w:tc>
      </w:tr>
      <w:tr w:rsidR="00AF18C1" w:rsidRPr="00E45A73" w14:paraId="36C27433"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4A802D7" w14:textId="77777777" w:rsidR="00AF18C1" w:rsidRPr="00E45A73" w:rsidRDefault="00AF18C1" w:rsidP="00A1471F">
            <w:pPr>
              <w:spacing w:line="360" w:lineRule="auto"/>
              <w:jc w:val="both"/>
              <w:rPr>
                <w:rFonts w:ascii="Century" w:hAnsi="Century"/>
              </w:rPr>
            </w:pPr>
            <w:r w:rsidRPr="00E45A73">
              <w:rPr>
                <w:rFonts w:ascii="Century" w:hAnsi="Century"/>
                <w:color w:val="000000"/>
              </w:rPr>
              <w:t>Quick Ratio</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C81B2FE" w14:textId="77777777" w:rsidR="00AF18C1" w:rsidRPr="00E45A73" w:rsidRDefault="00AF18C1" w:rsidP="00A1471F">
            <w:pPr>
              <w:spacing w:line="360" w:lineRule="auto"/>
              <w:jc w:val="both"/>
              <w:rPr>
                <w:rFonts w:ascii="Century" w:hAnsi="Century"/>
              </w:rPr>
            </w:pPr>
            <w:r w:rsidRPr="00E45A73">
              <w:rPr>
                <w:rFonts w:ascii="Century" w:hAnsi="Century"/>
                <w:color w:val="000000"/>
              </w:rPr>
              <w:t>1.59</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76BC9FA6" w14:textId="77777777" w:rsidR="00AF18C1" w:rsidRPr="00E45A73" w:rsidRDefault="00AF18C1" w:rsidP="00A1471F">
            <w:pPr>
              <w:spacing w:line="360" w:lineRule="auto"/>
              <w:jc w:val="both"/>
              <w:rPr>
                <w:rFonts w:ascii="Century" w:hAnsi="Century"/>
              </w:rPr>
            </w:pPr>
            <w:r w:rsidRPr="00E45A73">
              <w:rPr>
                <w:rFonts w:ascii="Century" w:hAnsi="Century"/>
                <w:color w:val="000000"/>
              </w:rPr>
              <w:t>1.08</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D459A4B" w14:textId="77777777" w:rsidR="00AF18C1" w:rsidRPr="00E45A73" w:rsidRDefault="00AF18C1" w:rsidP="00A1471F">
            <w:pPr>
              <w:spacing w:line="360" w:lineRule="auto"/>
              <w:jc w:val="both"/>
              <w:rPr>
                <w:rFonts w:ascii="Century" w:hAnsi="Century"/>
              </w:rPr>
            </w:pPr>
            <w:r w:rsidRPr="00E45A73">
              <w:rPr>
                <w:rFonts w:ascii="Century" w:hAnsi="Century"/>
                <w:color w:val="000000"/>
              </w:rPr>
              <w:t>1.05</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23CF3CF" w14:textId="77777777" w:rsidR="00AF18C1" w:rsidRPr="00E45A73" w:rsidRDefault="00AF18C1" w:rsidP="00A1471F">
            <w:pPr>
              <w:spacing w:line="360" w:lineRule="auto"/>
              <w:jc w:val="both"/>
              <w:rPr>
                <w:rFonts w:ascii="Century" w:hAnsi="Century"/>
              </w:rPr>
            </w:pPr>
            <w:r w:rsidRPr="00E45A73">
              <w:rPr>
                <w:rFonts w:ascii="Century" w:hAnsi="Century"/>
                <w:color w:val="000000"/>
              </w:rPr>
              <w:t>1.25</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7620764" w14:textId="77777777" w:rsidR="00AF18C1" w:rsidRPr="00E45A73" w:rsidRDefault="00AF18C1" w:rsidP="00A1471F">
            <w:pPr>
              <w:spacing w:line="360" w:lineRule="auto"/>
              <w:jc w:val="both"/>
              <w:rPr>
                <w:rFonts w:ascii="Century" w:hAnsi="Century"/>
              </w:rPr>
            </w:pPr>
            <w:r w:rsidRPr="00E45A73">
              <w:rPr>
                <w:rFonts w:ascii="Century" w:hAnsi="Century"/>
                <w:color w:val="000000"/>
              </w:rPr>
              <w:t>1.61</w:t>
            </w:r>
          </w:p>
        </w:tc>
      </w:tr>
      <w:tr w:rsidR="00AF18C1" w:rsidRPr="00E45A73" w14:paraId="45EBFD67"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CF09F71" w14:textId="77777777" w:rsidR="00AF18C1" w:rsidRPr="00E45A73" w:rsidRDefault="00AF18C1" w:rsidP="00A1471F">
            <w:pPr>
              <w:spacing w:line="360" w:lineRule="auto"/>
              <w:jc w:val="both"/>
              <w:rPr>
                <w:rFonts w:ascii="Century" w:hAnsi="Century"/>
              </w:rPr>
            </w:pPr>
            <w:r w:rsidRPr="00E45A73">
              <w:rPr>
                <w:rFonts w:ascii="Century" w:hAnsi="Century"/>
                <w:color w:val="000000"/>
              </w:rPr>
              <w:t>Cash Ratio</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621A6DE" w14:textId="77777777" w:rsidR="00AF18C1" w:rsidRPr="00E45A73" w:rsidRDefault="00AF18C1" w:rsidP="00A1471F">
            <w:pPr>
              <w:spacing w:line="360" w:lineRule="auto"/>
              <w:jc w:val="both"/>
              <w:rPr>
                <w:rFonts w:ascii="Century" w:hAnsi="Century"/>
              </w:rPr>
            </w:pPr>
            <w:r w:rsidRPr="00E45A73">
              <w:rPr>
                <w:rFonts w:ascii="Century" w:hAnsi="Century"/>
                <w:color w:val="000000"/>
              </w:rPr>
              <w:t>1.36</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240B4CF2" w14:textId="77777777" w:rsidR="00AF18C1" w:rsidRPr="00E45A73" w:rsidRDefault="00AF18C1" w:rsidP="00A1471F">
            <w:pPr>
              <w:spacing w:line="360" w:lineRule="auto"/>
              <w:jc w:val="both"/>
              <w:rPr>
                <w:rFonts w:ascii="Century" w:hAnsi="Century"/>
              </w:rPr>
            </w:pPr>
            <w:r w:rsidRPr="00E45A73">
              <w:rPr>
                <w:rFonts w:ascii="Century" w:hAnsi="Century"/>
                <w:color w:val="000000"/>
              </w:rPr>
              <w:t>0.89</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0939F87" w14:textId="77777777" w:rsidR="00AF18C1" w:rsidRPr="00E45A73" w:rsidRDefault="00AF18C1" w:rsidP="00A1471F">
            <w:pPr>
              <w:spacing w:line="360" w:lineRule="auto"/>
              <w:jc w:val="both"/>
              <w:rPr>
                <w:rFonts w:ascii="Century" w:hAnsi="Century"/>
              </w:rPr>
            </w:pPr>
            <w:r w:rsidRPr="00E45A73">
              <w:rPr>
                <w:rFonts w:ascii="Century" w:hAnsi="Century"/>
                <w:color w:val="000000"/>
              </w:rPr>
              <w:t>0.61</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A5BE00D" w14:textId="77777777" w:rsidR="00AF18C1" w:rsidRPr="00E45A73" w:rsidRDefault="00AF18C1" w:rsidP="00A1471F">
            <w:pPr>
              <w:spacing w:line="360" w:lineRule="auto"/>
              <w:jc w:val="both"/>
              <w:rPr>
                <w:rFonts w:ascii="Century" w:hAnsi="Century"/>
              </w:rPr>
            </w:pPr>
            <w:r w:rsidRPr="00E45A73">
              <w:rPr>
                <w:rFonts w:ascii="Century" w:hAnsi="Century"/>
                <w:color w:val="000000"/>
              </w:rPr>
              <w:t>0.57</w:t>
            </w:r>
          </w:p>
        </w:tc>
        <w:tc>
          <w:tcPr>
            <w:tcW w:w="130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1AF1CAD" w14:textId="77777777" w:rsidR="00AF18C1" w:rsidRPr="00E45A73" w:rsidRDefault="00AF18C1" w:rsidP="00A1471F">
            <w:pPr>
              <w:spacing w:line="360" w:lineRule="auto"/>
              <w:jc w:val="both"/>
              <w:rPr>
                <w:rFonts w:ascii="Century" w:hAnsi="Century"/>
              </w:rPr>
            </w:pPr>
            <w:r w:rsidRPr="00E45A73">
              <w:rPr>
                <w:rFonts w:ascii="Century" w:hAnsi="Century"/>
                <w:color w:val="000000"/>
              </w:rPr>
              <w:t>0.57</w:t>
            </w:r>
          </w:p>
        </w:tc>
      </w:tr>
      <w:tr w:rsidR="00AF18C1" w:rsidRPr="00E45A73" w14:paraId="5BF0FDD9"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0965291F"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GEARING</w:t>
            </w: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08E72F6E" w14:textId="77777777" w:rsidR="00AF18C1" w:rsidRPr="00E45A73" w:rsidRDefault="00AF18C1" w:rsidP="00A1471F">
            <w:pPr>
              <w:spacing w:line="360" w:lineRule="auto"/>
              <w:jc w:val="both"/>
              <w:rPr>
                <w:rFonts w:ascii="Century" w:hAnsi="Century"/>
              </w:rPr>
            </w:pP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28134609" w14:textId="77777777" w:rsidR="00AF18C1" w:rsidRPr="00E45A73" w:rsidRDefault="00AF18C1" w:rsidP="00A1471F">
            <w:pPr>
              <w:spacing w:line="360" w:lineRule="auto"/>
              <w:jc w:val="both"/>
              <w:rPr>
                <w:rFonts w:ascii="Century" w:hAnsi="Century"/>
              </w:rPr>
            </w:pP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06728E28" w14:textId="77777777" w:rsidR="00AF18C1" w:rsidRPr="00E45A73" w:rsidRDefault="00AF18C1" w:rsidP="00A1471F">
            <w:pPr>
              <w:spacing w:line="360" w:lineRule="auto"/>
              <w:jc w:val="both"/>
              <w:rPr>
                <w:rFonts w:ascii="Century" w:hAnsi="Century"/>
              </w:rPr>
            </w:pP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73C4418F" w14:textId="77777777" w:rsidR="00AF18C1" w:rsidRPr="00E45A73" w:rsidRDefault="00AF18C1" w:rsidP="00A1471F">
            <w:pPr>
              <w:spacing w:line="360" w:lineRule="auto"/>
              <w:jc w:val="both"/>
              <w:rPr>
                <w:rFonts w:ascii="Century" w:hAnsi="Century"/>
              </w:rPr>
            </w:pPr>
          </w:p>
        </w:tc>
        <w:tc>
          <w:tcPr>
            <w:tcW w:w="1306"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4B141185" w14:textId="77777777" w:rsidR="00AF18C1" w:rsidRPr="00E45A73" w:rsidRDefault="00AF18C1" w:rsidP="00A1471F">
            <w:pPr>
              <w:spacing w:line="360" w:lineRule="auto"/>
              <w:jc w:val="both"/>
              <w:rPr>
                <w:rFonts w:ascii="Century" w:hAnsi="Century"/>
              </w:rPr>
            </w:pPr>
          </w:p>
        </w:tc>
      </w:tr>
      <w:tr w:rsidR="00AF18C1" w:rsidRPr="00E45A73" w14:paraId="3F75FCC4"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7474233" w14:textId="77777777" w:rsidR="00AF18C1" w:rsidRPr="00E45A73" w:rsidRDefault="00AF18C1" w:rsidP="00A1471F">
            <w:pPr>
              <w:spacing w:line="360" w:lineRule="auto"/>
              <w:jc w:val="both"/>
              <w:rPr>
                <w:rFonts w:ascii="Century" w:hAnsi="Century"/>
              </w:rPr>
            </w:pPr>
            <w:r w:rsidRPr="00E45A73">
              <w:rPr>
                <w:rFonts w:ascii="Century" w:hAnsi="Century"/>
                <w:color w:val="000000"/>
              </w:rPr>
              <w:t>Debt/Equity Ratio</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3C38C9A" w14:textId="77777777" w:rsidR="00AF18C1" w:rsidRPr="00E45A73" w:rsidRDefault="00AF18C1" w:rsidP="00A1471F">
            <w:pPr>
              <w:spacing w:line="360" w:lineRule="auto"/>
              <w:jc w:val="both"/>
              <w:rPr>
                <w:rFonts w:ascii="Century" w:hAnsi="Century"/>
              </w:rPr>
            </w:pPr>
            <w:r w:rsidRPr="00E45A73">
              <w:rPr>
                <w:rFonts w:ascii="Century" w:hAnsi="Century"/>
                <w:color w:val="000000"/>
              </w:rPr>
              <w:t>0.60</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4FF59CE7" w14:textId="77777777" w:rsidR="00AF18C1" w:rsidRPr="00E45A73" w:rsidRDefault="00AF18C1" w:rsidP="00A1471F">
            <w:pPr>
              <w:spacing w:line="360" w:lineRule="auto"/>
              <w:jc w:val="both"/>
              <w:rPr>
                <w:rFonts w:ascii="Century" w:hAnsi="Century"/>
              </w:rPr>
            </w:pPr>
            <w:r w:rsidRPr="00E45A73">
              <w:rPr>
                <w:rFonts w:ascii="Century" w:hAnsi="Century"/>
                <w:color w:val="000000"/>
              </w:rPr>
              <w:t>0.29</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C912329" w14:textId="77777777" w:rsidR="00AF18C1" w:rsidRPr="00E45A73" w:rsidRDefault="00AF18C1" w:rsidP="00A1471F">
            <w:pPr>
              <w:spacing w:line="360" w:lineRule="auto"/>
              <w:jc w:val="both"/>
              <w:rPr>
                <w:rFonts w:ascii="Century" w:hAnsi="Century"/>
              </w:rPr>
            </w:pPr>
            <w:r w:rsidRPr="00E45A73">
              <w:rPr>
                <w:rFonts w:ascii="Century" w:hAnsi="Century"/>
                <w:color w:val="000000"/>
              </w:rPr>
              <w:t>0.13</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06FE9C30" w14:textId="77777777" w:rsidR="00AF18C1" w:rsidRPr="00E45A73" w:rsidRDefault="00AF18C1" w:rsidP="00A1471F">
            <w:pPr>
              <w:spacing w:line="360" w:lineRule="auto"/>
              <w:jc w:val="both"/>
              <w:rPr>
                <w:rFonts w:ascii="Century" w:hAnsi="Century"/>
              </w:rPr>
            </w:pPr>
            <w:r w:rsidRPr="00E45A73">
              <w:rPr>
                <w:rFonts w:ascii="Century" w:hAnsi="Century"/>
                <w:color w:val="000000"/>
              </w:rPr>
              <w:t>0.15</w:t>
            </w:r>
          </w:p>
        </w:tc>
        <w:tc>
          <w:tcPr>
            <w:tcW w:w="130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70BA8B11" w14:textId="77777777" w:rsidR="00AF18C1" w:rsidRPr="00E45A73" w:rsidRDefault="00AF18C1" w:rsidP="00A1471F">
            <w:pPr>
              <w:spacing w:line="360" w:lineRule="auto"/>
              <w:jc w:val="both"/>
              <w:rPr>
                <w:rFonts w:ascii="Century" w:hAnsi="Century"/>
              </w:rPr>
            </w:pPr>
            <w:r w:rsidRPr="00E45A73">
              <w:rPr>
                <w:rFonts w:ascii="Century" w:hAnsi="Century"/>
                <w:color w:val="000000"/>
              </w:rPr>
              <w:t>0.19</w:t>
            </w:r>
          </w:p>
        </w:tc>
      </w:tr>
      <w:tr w:rsidR="00AF18C1" w:rsidRPr="00E45A73" w14:paraId="08B1535D"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2C6ED321" w14:textId="77777777" w:rsidR="00AF18C1" w:rsidRPr="00E45A73" w:rsidRDefault="00AF18C1" w:rsidP="00A1471F">
            <w:pPr>
              <w:spacing w:line="360" w:lineRule="auto"/>
              <w:jc w:val="both"/>
              <w:rPr>
                <w:rFonts w:ascii="Century" w:hAnsi="Century"/>
              </w:rPr>
            </w:pPr>
            <w:r w:rsidRPr="00E45A73">
              <w:rPr>
                <w:rFonts w:ascii="Century" w:hAnsi="Century"/>
                <w:color w:val="000000"/>
              </w:rPr>
              <w:t>Interest Coverage Ratio</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2A6705B" w14:textId="77777777" w:rsidR="00AF18C1" w:rsidRPr="00E45A73" w:rsidRDefault="00AF18C1" w:rsidP="00A1471F">
            <w:pPr>
              <w:spacing w:line="360" w:lineRule="auto"/>
              <w:jc w:val="both"/>
              <w:rPr>
                <w:rFonts w:ascii="Century" w:hAnsi="Century"/>
              </w:rPr>
            </w:pPr>
            <w:r w:rsidRPr="00E45A73">
              <w:rPr>
                <w:rFonts w:ascii="Century" w:hAnsi="Century"/>
                <w:color w:val="000000"/>
              </w:rPr>
              <w:t>3.4x</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63124F5" w14:textId="77777777" w:rsidR="00AF18C1" w:rsidRPr="00E45A73" w:rsidRDefault="00AF18C1" w:rsidP="00A1471F">
            <w:pPr>
              <w:spacing w:line="360" w:lineRule="auto"/>
              <w:jc w:val="both"/>
              <w:rPr>
                <w:rFonts w:ascii="Century" w:hAnsi="Century"/>
              </w:rPr>
            </w:pPr>
            <w:r w:rsidRPr="00E45A73">
              <w:rPr>
                <w:rFonts w:ascii="Century" w:hAnsi="Century"/>
                <w:color w:val="000000"/>
              </w:rPr>
              <w:t>17.6x</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166392F0" w14:textId="77777777" w:rsidR="00AF18C1" w:rsidRPr="00E45A73" w:rsidRDefault="00AF18C1" w:rsidP="00A1471F">
            <w:pPr>
              <w:spacing w:line="360" w:lineRule="auto"/>
              <w:jc w:val="both"/>
              <w:rPr>
                <w:rFonts w:ascii="Century" w:hAnsi="Century"/>
              </w:rPr>
            </w:pPr>
            <w:r w:rsidRPr="00E45A73">
              <w:rPr>
                <w:rFonts w:ascii="Century" w:hAnsi="Century"/>
                <w:color w:val="000000"/>
              </w:rPr>
              <w:t>71.5x</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508C30E" w14:textId="77777777" w:rsidR="00AF18C1" w:rsidRPr="00E45A73" w:rsidRDefault="00AF18C1" w:rsidP="00A1471F">
            <w:pPr>
              <w:spacing w:line="360" w:lineRule="auto"/>
              <w:jc w:val="both"/>
              <w:rPr>
                <w:rFonts w:ascii="Century" w:hAnsi="Century"/>
              </w:rPr>
            </w:pPr>
            <w:r w:rsidRPr="00E45A73">
              <w:rPr>
                <w:rFonts w:ascii="Century" w:hAnsi="Century"/>
                <w:color w:val="000000"/>
              </w:rPr>
              <w:t>57.0x</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3C2F969A" w14:textId="77777777" w:rsidR="00AF18C1" w:rsidRPr="00E45A73" w:rsidRDefault="00AF18C1" w:rsidP="00A1471F">
            <w:pPr>
              <w:spacing w:line="360" w:lineRule="auto"/>
              <w:jc w:val="both"/>
              <w:rPr>
                <w:rFonts w:ascii="Century" w:hAnsi="Century"/>
              </w:rPr>
            </w:pPr>
            <w:r w:rsidRPr="00E45A73">
              <w:rPr>
                <w:rFonts w:ascii="Century" w:hAnsi="Century"/>
                <w:color w:val="000000"/>
              </w:rPr>
              <w:t>20.2x</w:t>
            </w:r>
          </w:p>
        </w:tc>
      </w:tr>
      <w:tr w:rsidR="00AF18C1" w:rsidRPr="00E45A73" w14:paraId="504AD6F6"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15D7B9DB" w14:textId="77777777" w:rsidR="00AF18C1" w:rsidRPr="00E45A73" w:rsidRDefault="00AF18C1" w:rsidP="00A1471F">
            <w:pPr>
              <w:spacing w:line="360" w:lineRule="auto"/>
              <w:jc w:val="both"/>
              <w:rPr>
                <w:rFonts w:ascii="Century" w:hAnsi="Century"/>
              </w:rPr>
            </w:pPr>
            <w:r w:rsidRPr="00E45A73">
              <w:rPr>
                <w:rFonts w:ascii="Century" w:hAnsi="Century"/>
                <w:b/>
                <w:bCs/>
                <w:color w:val="FFFFFF"/>
              </w:rPr>
              <w:t>EFFICIENCY</w:t>
            </w: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1001BA56" w14:textId="77777777" w:rsidR="00AF18C1" w:rsidRPr="00E45A73" w:rsidRDefault="00AF18C1" w:rsidP="00A1471F">
            <w:pPr>
              <w:spacing w:line="360" w:lineRule="auto"/>
              <w:jc w:val="both"/>
              <w:rPr>
                <w:rFonts w:ascii="Century" w:hAnsi="Century"/>
              </w:rPr>
            </w:pP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2D563C6D" w14:textId="77777777" w:rsidR="00AF18C1" w:rsidRPr="00E45A73" w:rsidRDefault="00AF18C1" w:rsidP="00A1471F">
            <w:pPr>
              <w:spacing w:line="360" w:lineRule="auto"/>
              <w:jc w:val="both"/>
              <w:rPr>
                <w:rFonts w:ascii="Century" w:hAnsi="Century"/>
              </w:rPr>
            </w:pP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6058EA80" w14:textId="77777777" w:rsidR="00AF18C1" w:rsidRPr="00E45A73" w:rsidRDefault="00AF18C1" w:rsidP="00A1471F">
            <w:pPr>
              <w:spacing w:line="360" w:lineRule="auto"/>
              <w:jc w:val="both"/>
              <w:rPr>
                <w:rFonts w:ascii="Century" w:hAnsi="Century"/>
              </w:rPr>
            </w:pPr>
          </w:p>
        </w:tc>
        <w:tc>
          <w:tcPr>
            <w:tcW w:w="1305"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4E292696" w14:textId="77777777" w:rsidR="00AF18C1" w:rsidRPr="00E45A73" w:rsidRDefault="00AF18C1" w:rsidP="00A1471F">
            <w:pPr>
              <w:spacing w:line="360" w:lineRule="auto"/>
              <w:jc w:val="both"/>
              <w:rPr>
                <w:rFonts w:ascii="Century" w:hAnsi="Century"/>
              </w:rPr>
            </w:pPr>
          </w:p>
        </w:tc>
        <w:tc>
          <w:tcPr>
            <w:tcW w:w="1306" w:type="dxa"/>
            <w:tcBorders>
              <w:top w:val="single" w:sz="1" w:space="0" w:color="CCCCCC"/>
              <w:left w:val="single" w:sz="1" w:space="0" w:color="CCCCCC"/>
              <w:bottom w:val="single" w:sz="1" w:space="0" w:color="CCCCCC"/>
              <w:right w:val="single" w:sz="1" w:space="0" w:color="CCCCCC"/>
            </w:tcBorders>
            <w:shd w:val="clear" w:color="auto" w:fill="003087"/>
            <w:tcMar>
              <w:top w:w="70" w:type="dxa"/>
              <w:left w:w="110" w:type="dxa"/>
              <w:bottom w:w="70" w:type="dxa"/>
              <w:right w:w="110" w:type="dxa"/>
            </w:tcMar>
          </w:tcPr>
          <w:p w14:paraId="1BBA2C86" w14:textId="77777777" w:rsidR="00AF18C1" w:rsidRPr="00E45A73" w:rsidRDefault="00AF18C1" w:rsidP="00A1471F">
            <w:pPr>
              <w:spacing w:line="360" w:lineRule="auto"/>
              <w:jc w:val="both"/>
              <w:rPr>
                <w:rFonts w:ascii="Century" w:hAnsi="Century"/>
              </w:rPr>
            </w:pPr>
          </w:p>
        </w:tc>
      </w:tr>
      <w:tr w:rsidR="00AF18C1" w:rsidRPr="00E45A73" w14:paraId="16F92864"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622583BE" w14:textId="77777777" w:rsidR="00AF18C1" w:rsidRPr="00E45A73" w:rsidRDefault="00AF18C1" w:rsidP="00A1471F">
            <w:pPr>
              <w:spacing w:line="360" w:lineRule="auto"/>
              <w:jc w:val="both"/>
              <w:rPr>
                <w:rFonts w:ascii="Century" w:hAnsi="Century"/>
              </w:rPr>
            </w:pPr>
            <w:r w:rsidRPr="00E45A73">
              <w:rPr>
                <w:rFonts w:ascii="Century" w:hAnsi="Century"/>
                <w:color w:val="000000"/>
              </w:rPr>
              <w:t>Asset Turnover</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543BEAD6" w14:textId="77777777" w:rsidR="00AF18C1" w:rsidRPr="00E45A73" w:rsidRDefault="00AF18C1" w:rsidP="00A1471F">
            <w:pPr>
              <w:spacing w:line="360" w:lineRule="auto"/>
              <w:jc w:val="both"/>
              <w:rPr>
                <w:rFonts w:ascii="Century" w:hAnsi="Century"/>
              </w:rPr>
            </w:pPr>
            <w:r w:rsidRPr="00E45A73">
              <w:rPr>
                <w:rFonts w:ascii="Century" w:hAnsi="Century"/>
                <w:color w:val="000000"/>
              </w:rPr>
              <w:t>0.60</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9ACF347" w14:textId="77777777" w:rsidR="00AF18C1" w:rsidRPr="00E45A73" w:rsidRDefault="00AF18C1" w:rsidP="00A1471F">
            <w:pPr>
              <w:spacing w:line="360" w:lineRule="auto"/>
              <w:jc w:val="both"/>
              <w:rPr>
                <w:rFonts w:ascii="Century" w:hAnsi="Century"/>
              </w:rPr>
            </w:pPr>
            <w:r w:rsidRPr="00E45A73">
              <w:rPr>
                <w:rFonts w:ascii="Century" w:hAnsi="Century"/>
                <w:color w:val="000000"/>
              </w:rPr>
              <w:t>0.87</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AFDB4F9" w14:textId="77777777" w:rsidR="00AF18C1" w:rsidRPr="00E45A73" w:rsidRDefault="00AF18C1" w:rsidP="00A1471F">
            <w:pPr>
              <w:spacing w:line="360" w:lineRule="auto"/>
              <w:jc w:val="both"/>
              <w:rPr>
                <w:rFonts w:ascii="Century" w:hAnsi="Century"/>
              </w:rPr>
            </w:pPr>
            <w:r w:rsidRPr="00E45A73">
              <w:rPr>
                <w:rFonts w:ascii="Century" w:hAnsi="Century"/>
                <w:color w:val="000000"/>
              </w:rPr>
              <w:t>0.99</w:t>
            </w:r>
          </w:p>
        </w:tc>
        <w:tc>
          <w:tcPr>
            <w:tcW w:w="1305"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1214878E" w14:textId="77777777" w:rsidR="00AF18C1" w:rsidRPr="00E45A73" w:rsidRDefault="00AF18C1" w:rsidP="00A1471F">
            <w:pPr>
              <w:spacing w:line="360" w:lineRule="auto"/>
              <w:jc w:val="both"/>
              <w:rPr>
                <w:rFonts w:ascii="Century" w:hAnsi="Century"/>
              </w:rPr>
            </w:pPr>
            <w:r w:rsidRPr="00E45A73">
              <w:rPr>
                <w:rFonts w:ascii="Century" w:hAnsi="Century"/>
                <w:color w:val="000000"/>
              </w:rPr>
              <w:t>0.91</w:t>
            </w:r>
          </w:p>
        </w:tc>
        <w:tc>
          <w:tcPr>
            <w:tcW w:w="1306" w:type="dxa"/>
            <w:tcBorders>
              <w:top w:val="single" w:sz="1" w:space="0" w:color="CCCCCC"/>
              <w:left w:val="single" w:sz="1" w:space="0" w:color="CCCCCC"/>
              <w:bottom w:val="single" w:sz="1" w:space="0" w:color="CCCCCC"/>
              <w:right w:val="single" w:sz="1" w:space="0" w:color="CCCCCC"/>
            </w:tcBorders>
            <w:shd w:val="clear" w:color="auto" w:fill="EAF0FB"/>
            <w:tcMar>
              <w:top w:w="70" w:type="dxa"/>
              <w:left w:w="110" w:type="dxa"/>
              <w:bottom w:w="70" w:type="dxa"/>
              <w:right w:w="110" w:type="dxa"/>
            </w:tcMar>
          </w:tcPr>
          <w:p w14:paraId="38A116EC" w14:textId="77777777" w:rsidR="00AF18C1" w:rsidRPr="00E45A73" w:rsidRDefault="00AF18C1" w:rsidP="00A1471F">
            <w:pPr>
              <w:spacing w:line="360" w:lineRule="auto"/>
              <w:jc w:val="both"/>
              <w:rPr>
                <w:rFonts w:ascii="Century" w:hAnsi="Century"/>
              </w:rPr>
            </w:pPr>
            <w:r w:rsidRPr="00E45A73">
              <w:rPr>
                <w:rFonts w:ascii="Century" w:hAnsi="Century"/>
                <w:color w:val="000000"/>
              </w:rPr>
              <w:t>0.80</w:t>
            </w:r>
          </w:p>
        </w:tc>
      </w:tr>
      <w:tr w:rsidR="00AF18C1" w:rsidRPr="00E45A73" w14:paraId="6443E45E" w14:textId="77777777" w:rsidTr="00A1471F">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F8F30D5" w14:textId="77777777" w:rsidR="00AF18C1" w:rsidRPr="00E45A73" w:rsidRDefault="00AF18C1" w:rsidP="00A1471F">
            <w:pPr>
              <w:spacing w:line="360" w:lineRule="auto"/>
              <w:jc w:val="both"/>
              <w:rPr>
                <w:rFonts w:ascii="Century" w:hAnsi="Century"/>
              </w:rPr>
            </w:pPr>
            <w:r w:rsidRPr="00E45A73">
              <w:rPr>
                <w:rFonts w:ascii="Century" w:hAnsi="Century"/>
                <w:color w:val="000000"/>
              </w:rPr>
              <w:t>Cash Operating Cycle</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63515789" w14:textId="77777777" w:rsidR="00AF18C1" w:rsidRPr="00E45A73" w:rsidRDefault="00AF18C1" w:rsidP="00A1471F">
            <w:pPr>
              <w:spacing w:line="360" w:lineRule="auto"/>
              <w:jc w:val="both"/>
              <w:rPr>
                <w:rFonts w:ascii="Century" w:hAnsi="Century"/>
              </w:rPr>
            </w:pPr>
            <w:r w:rsidRPr="00E45A73">
              <w:rPr>
                <w:rFonts w:ascii="Century" w:hAnsi="Century"/>
                <w:color w:val="000000"/>
              </w:rPr>
              <w:t>-27 days</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297FBDC" w14:textId="77777777" w:rsidR="00AF18C1" w:rsidRPr="00E45A73" w:rsidRDefault="00AF18C1" w:rsidP="00A1471F">
            <w:pPr>
              <w:spacing w:line="360" w:lineRule="auto"/>
              <w:jc w:val="both"/>
              <w:rPr>
                <w:rFonts w:ascii="Century" w:hAnsi="Century"/>
              </w:rPr>
            </w:pPr>
            <w:r w:rsidRPr="00E45A73">
              <w:rPr>
                <w:rFonts w:ascii="Century" w:hAnsi="Century"/>
                <w:color w:val="000000"/>
              </w:rPr>
              <w:t>-28 days</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5BA5FFA3" w14:textId="77777777" w:rsidR="00AF18C1" w:rsidRPr="00E45A73" w:rsidRDefault="00AF18C1" w:rsidP="00A1471F">
            <w:pPr>
              <w:spacing w:line="360" w:lineRule="auto"/>
              <w:jc w:val="both"/>
              <w:rPr>
                <w:rFonts w:ascii="Century" w:hAnsi="Century"/>
              </w:rPr>
            </w:pPr>
            <w:r w:rsidRPr="00E45A73">
              <w:rPr>
                <w:rFonts w:ascii="Century" w:hAnsi="Century"/>
                <w:color w:val="000000"/>
              </w:rPr>
              <w:t>-22 days</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0A4CEC75" w14:textId="77777777" w:rsidR="00AF18C1" w:rsidRPr="00E45A73" w:rsidRDefault="00AF18C1" w:rsidP="00A1471F">
            <w:pPr>
              <w:spacing w:line="360" w:lineRule="auto"/>
              <w:jc w:val="both"/>
              <w:rPr>
                <w:rFonts w:ascii="Century" w:hAnsi="Century"/>
              </w:rPr>
            </w:pPr>
            <w:r w:rsidRPr="00E45A73">
              <w:rPr>
                <w:rFonts w:ascii="Century" w:hAnsi="Century"/>
                <w:color w:val="000000"/>
              </w:rPr>
              <w:t>-15 days</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10" w:type="dxa"/>
              <w:bottom w:w="70" w:type="dxa"/>
              <w:right w:w="110" w:type="dxa"/>
            </w:tcMar>
          </w:tcPr>
          <w:p w14:paraId="4417E89F" w14:textId="77777777" w:rsidR="00AF18C1" w:rsidRPr="00E45A73" w:rsidRDefault="00AF18C1" w:rsidP="00A1471F">
            <w:pPr>
              <w:spacing w:line="360" w:lineRule="auto"/>
              <w:jc w:val="both"/>
              <w:rPr>
                <w:rFonts w:ascii="Century" w:hAnsi="Century"/>
              </w:rPr>
            </w:pPr>
            <w:r w:rsidRPr="00E45A73">
              <w:rPr>
                <w:rFonts w:ascii="Century" w:hAnsi="Century"/>
                <w:color w:val="000000"/>
              </w:rPr>
              <w:t>-12 days</w:t>
            </w:r>
          </w:p>
        </w:tc>
      </w:tr>
    </w:tbl>
    <w:p w14:paraId="1B9CC45D" w14:textId="77777777" w:rsidR="00AF18C1" w:rsidRPr="00E45A73" w:rsidRDefault="00AF18C1" w:rsidP="00AF18C1">
      <w:pPr>
        <w:spacing w:after="60" w:line="360" w:lineRule="auto"/>
        <w:jc w:val="both"/>
        <w:rPr>
          <w:rFonts w:ascii="Century" w:hAnsi="Century"/>
        </w:rPr>
      </w:pPr>
    </w:p>
    <w:p w14:paraId="6825F1EF" w14:textId="77777777" w:rsidR="00AF18C1" w:rsidRPr="00E45A73" w:rsidRDefault="00AF18C1" w:rsidP="00AF18C1">
      <w:pPr>
        <w:pStyle w:val="Heading2"/>
        <w:spacing w:line="360" w:lineRule="auto"/>
        <w:jc w:val="both"/>
        <w:rPr>
          <w:rFonts w:ascii="Cambria" w:hAnsi="Cambria"/>
          <w:b/>
          <w:bCs/>
          <w:sz w:val="24"/>
          <w:szCs w:val="24"/>
        </w:rPr>
      </w:pPr>
      <w:bookmarkStart w:id="33" w:name="_Toc227673262"/>
      <w:r w:rsidRPr="00E45A73">
        <w:rPr>
          <w:rFonts w:ascii="Cambria" w:hAnsi="Cambria"/>
          <w:b/>
          <w:bCs/>
          <w:sz w:val="24"/>
          <w:szCs w:val="24"/>
        </w:rPr>
        <w:lastRenderedPageBreak/>
        <w:t>Appendix B: Investment Appraisal — Full Calculation Workings</w:t>
      </w:r>
      <w:bookmarkEnd w:id="33"/>
    </w:p>
    <w:p w14:paraId="12BF48FA" w14:textId="77777777" w:rsidR="00AF18C1" w:rsidRPr="00E45A73" w:rsidRDefault="00AF18C1" w:rsidP="00AF18C1">
      <w:pPr>
        <w:spacing w:after="140" w:line="360" w:lineRule="auto"/>
        <w:jc w:val="both"/>
        <w:rPr>
          <w:rFonts w:ascii="Century" w:hAnsi="Century"/>
        </w:rPr>
      </w:pPr>
      <w:r w:rsidRPr="00E45A73">
        <w:rPr>
          <w:rFonts w:ascii="Century" w:hAnsi="Century"/>
          <w:color w:val="000000"/>
        </w:rPr>
        <w:t>NPV Formula: NPV = ∑[t=1 to n] CFt × (1+r)^(-t) − I0</w:t>
      </w:r>
    </w:p>
    <w:p w14:paraId="4F5F488E" w14:textId="77777777" w:rsidR="00AF18C1" w:rsidRPr="00E45A73" w:rsidRDefault="00AF18C1" w:rsidP="00AF18C1">
      <w:pPr>
        <w:spacing w:after="140" w:line="360" w:lineRule="auto"/>
        <w:jc w:val="both"/>
        <w:rPr>
          <w:rFonts w:ascii="Century" w:hAnsi="Century"/>
        </w:rPr>
      </w:pPr>
      <w:r w:rsidRPr="00E45A73">
        <w:rPr>
          <w:rFonts w:ascii="Century" w:hAnsi="Century"/>
          <w:color w:val="000000"/>
        </w:rPr>
        <w:t>Discount Factors @ 10%: Y1=0.909; Y2=0.826; Y3=0.751; Y4=0.683; Y5=0.621</w:t>
      </w:r>
    </w:p>
    <w:p w14:paraId="156F5019" w14:textId="77777777" w:rsidR="00AF18C1" w:rsidRPr="00E45A73" w:rsidRDefault="00AF18C1" w:rsidP="00AF18C1">
      <w:pPr>
        <w:spacing w:after="140" w:line="360" w:lineRule="auto"/>
        <w:jc w:val="both"/>
        <w:rPr>
          <w:rFonts w:ascii="Century" w:hAnsi="Century"/>
        </w:rPr>
      </w:pPr>
      <w:r w:rsidRPr="00E45A73">
        <w:rPr>
          <w:rFonts w:ascii="Century" w:hAnsi="Century"/>
          <w:color w:val="000000"/>
        </w:rPr>
        <w:t>Project A NPV: (10×0.909) + (12×0.826) + (14×0.751) + (10×0.683) + (8×0.621) − 50 = 9.09+9.91+10.51+6.83+4.97−50 = +£5.23M</w:t>
      </w:r>
    </w:p>
    <w:p w14:paraId="6A6080C2" w14:textId="77777777" w:rsidR="00AF18C1" w:rsidRPr="00E45A73" w:rsidRDefault="00AF18C1" w:rsidP="00AF18C1">
      <w:pPr>
        <w:spacing w:after="140" w:line="360" w:lineRule="auto"/>
        <w:jc w:val="both"/>
        <w:rPr>
          <w:rFonts w:ascii="Century" w:hAnsi="Century"/>
        </w:rPr>
      </w:pPr>
      <w:r w:rsidRPr="00E45A73">
        <w:rPr>
          <w:rFonts w:ascii="Century" w:hAnsi="Century"/>
          <w:color w:val="000000"/>
        </w:rPr>
        <w:t>Project B NPV: (11×0.909) + (11×0.826) + (11×0.751) + (11×0.683) + (11×0.621) − 50 = 10.00+9.09+8.26+7.51+6.83−50 = +£11.60M</w:t>
      </w:r>
    </w:p>
    <w:p w14:paraId="13387CBA" w14:textId="77777777" w:rsidR="00AF18C1" w:rsidRPr="00E45A73" w:rsidRDefault="00AF18C1" w:rsidP="00AF18C1">
      <w:pPr>
        <w:spacing w:after="140" w:line="360" w:lineRule="auto"/>
        <w:jc w:val="both"/>
        <w:rPr>
          <w:rFonts w:ascii="Century" w:hAnsi="Century"/>
        </w:rPr>
      </w:pPr>
      <w:r w:rsidRPr="00E45A73">
        <w:rPr>
          <w:rFonts w:ascii="Century" w:hAnsi="Century"/>
          <w:color w:val="000000"/>
        </w:rPr>
        <w:t>Project C NPV: (5×0.909) + (10×0.826) + (20×0.751) + (25×0.683) + (5×0.621) − 50 = 4.55+8.26+15.02+17.08+3.11−50 = +£11.87M</w:t>
      </w:r>
    </w:p>
    <w:p w14:paraId="7915B4C6" w14:textId="77777777" w:rsidR="00AF18C1" w:rsidRPr="00E45A73" w:rsidRDefault="00AF18C1" w:rsidP="00AF18C1">
      <w:pPr>
        <w:spacing w:after="140" w:line="360" w:lineRule="auto"/>
        <w:jc w:val="both"/>
        <w:rPr>
          <w:rFonts w:ascii="Century" w:hAnsi="Century"/>
        </w:rPr>
      </w:pPr>
      <w:r w:rsidRPr="00E45A73">
        <w:rPr>
          <w:rFonts w:ascii="Century" w:hAnsi="Century"/>
          <w:color w:val="000000"/>
        </w:rPr>
        <w:t>ARR = Average Annual Accounting Profit / Average Investment × 100. Average Investment = (I0 + RV)/2 = (50+0)/2 = £25M</w:t>
      </w:r>
    </w:p>
    <w:p w14:paraId="50C4FB87" w14:textId="77777777" w:rsidR="00AF18C1" w:rsidRPr="00E45A73" w:rsidRDefault="00AF18C1" w:rsidP="00AF18C1">
      <w:pPr>
        <w:spacing w:after="140" w:line="360" w:lineRule="auto"/>
        <w:jc w:val="both"/>
        <w:rPr>
          <w:rFonts w:ascii="Century" w:hAnsi="Century"/>
        </w:rPr>
      </w:pPr>
      <w:r w:rsidRPr="00E45A73">
        <w:rPr>
          <w:rFonts w:ascii="Century" w:hAnsi="Century"/>
          <w:color w:val="000000"/>
        </w:rPr>
        <w:t>Project C ARR: Total CF=£65M; Total Depreciation=£50M; Total Profit=£15M; Avg Annual Profit=£3M; ARR=3/25×100=12.0%</w:t>
      </w:r>
    </w:p>
    <w:p w14:paraId="2FF23D97" w14:textId="77777777" w:rsidR="00AF18C1" w:rsidRPr="00E45A73" w:rsidRDefault="00AF18C1" w:rsidP="00AF18C1">
      <w:pPr>
        <w:spacing w:after="140" w:line="360" w:lineRule="auto"/>
        <w:jc w:val="both"/>
        <w:rPr>
          <w:rFonts w:ascii="Century" w:hAnsi="Century"/>
        </w:rPr>
      </w:pPr>
      <w:r w:rsidRPr="00E45A73">
        <w:rPr>
          <w:rFonts w:ascii="Century" w:hAnsi="Century"/>
          <w:color w:val="000000"/>
        </w:rPr>
        <w:t>IRR Interpolation (Project C): At r=10%, NPV=+£11.87M; At r=25% (trial), NPV≈-£1.20M. IRR=10%+[11.87/(11.87+1.20)]×15%≈19.1%</w:t>
      </w:r>
    </w:p>
    <w:p w14:paraId="7B3191A2" w14:textId="77777777" w:rsidR="00AF18C1" w:rsidRPr="00E45A73" w:rsidRDefault="00AF18C1" w:rsidP="00AF18C1">
      <w:pPr>
        <w:spacing w:after="60" w:line="360" w:lineRule="auto"/>
        <w:jc w:val="both"/>
        <w:rPr>
          <w:rFonts w:ascii="Century" w:hAnsi="Century"/>
        </w:rPr>
      </w:pPr>
    </w:p>
    <w:p w14:paraId="37ACF481" w14:textId="77777777" w:rsidR="00AF18C1" w:rsidRPr="00E45A73" w:rsidRDefault="00AF18C1" w:rsidP="00AF18C1">
      <w:pPr>
        <w:spacing w:after="60" w:line="360" w:lineRule="auto"/>
        <w:jc w:val="both"/>
        <w:rPr>
          <w:rFonts w:ascii="Century" w:hAnsi="Century"/>
        </w:rPr>
      </w:pPr>
    </w:p>
    <w:p w14:paraId="61917EDD" w14:textId="77777777" w:rsidR="00AF18C1" w:rsidRPr="00E45A73" w:rsidRDefault="00AF18C1" w:rsidP="00AF18C1">
      <w:pPr>
        <w:rPr>
          <w:rFonts w:ascii="Century" w:hAnsi="Century"/>
          <w:lang w:eastAsia="en-US" w:bidi="hi-IN"/>
        </w:rPr>
      </w:pPr>
    </w:p>
    <w:p w14:paraId="6C09C4FF" w14:textId="77777777" w:rsidR="00AF18C1" w:rsidRPr="00E45A73" w:rsidRDefault="00AF18C1" w:rsidP="00AF18C1">
      <w:pPr>
        <w:spacing w:after="60" w:line="360" w:lineRule="auto"/>
        <w:jc w:val="both"/>
        <w:rPr>
          <w:rFonts w:ascii="Century" w:hAnsi="Century"/>
        </w:rPr>
      </w:pPr>
    </w:p>
    <w:p w14:paraId="4DD75496" w14:textId="068C2132" w:rsidR="00AF18C1" w:rsidRPr="00E45A73" w:rsidRDefault="00AF18C1" w:rsidP="00AF18C1">
      <w:pPr>
        <w:spacing w:line="360" w:lineRule="auto"/>
        <w:jc w:val="both"/>
        <w:rPr>
          <w:rFonts w:ascii="Century" w:hAnsi="Century"/>
        </w:rPr>
      </w:pPr>
    </w:p>
    <w:sectPr w:rsidR="00AF18C1" w:rsidRPr="00E45A73" w:rsidSect="00E45A73">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8C1"/>
    <w:rsid w:val="00182A0A"/>
    <w:rsid w:val="001907E8"/>
    <w:rsid w:val="002C5138"/>
    <w:rsid w:val="004D2CA9"/>
    <w:rsid w:val="00815A14"/>
    <w:rsid w:val="00AF18C1"/>
    <w:rsid w:val="00BE68FC"/>
    <w:rsid w:val="00E45A73"/>
    <w:rsid w:val="00EB3E54"/>
    <w:rsid w:val="00ED39E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82505"/>
  <w15:chartTrackingRefBased/>
  <w15:docId w15:val="{1FDEB1DE-0694-4CD0-8BD1-412AD4A7A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8C1"/>
    <w:pPr>
      <w:spacing w:after="0" w:line="240" w:lineRule="auto"/>
    </w:pPr>
    <w:rPr>
      <w:rFonts w:ascii="Arial" w:eastAsia="Arial" w:hAnsi="Arial" w:cs="Arial"/>
      <w:sz w:val="24"/>
      <w:szCs w:val="24"/>
      <w:lang w:eastAsia="en-IN" w:bidi="ar-SA"/>
    </w:rPr>
  </w:style>
  <w:style w:type="paragraph" w:styleId="Heading1">
    <w:name w:val="heading 1"/>
    <w:basedOn w:val="Normal"/>
    <w:next w:val="Normal"/>
    <w:link w:val="Heading1Char"/>
    <w:uiPriority w:val="9"/>
    <w:qFormat/>
    <w:rsid w:val="00AF18C1"/>
    <w:pPr>
      <w:keepNext/>
      <w:keepLines/>
      <w:spacing w:before="360" w:after="80" w:line="259" w:lineRule="auto"/>
      <w:outlineLvl w:val="0"/>
    </w:pPr>
    <w:rPr>
      <w:rFonts w:asciiTheme="majorHAnsi" w:eastAsiaTheme="majorEastAsia" w:hAnsiTheme="majorHAnsi" w:cstheme="majorBidi"/>
      <w:color w:val="2F5496" w:themeColor="accent1" w:themeShade="BF"/>
      <w:sz w:val="40"/>
      <w:szCs w:val="36"/>
      <w:lang w:eastAsia="en-US" w:bidi="hi-IN"/>
    </w:rPr>
  </w:style>
  <w:style w:type="paragraph" w:styleId="Heading2">
    <w:name w:val="heading 2"/>
    <w:basedOn w:val="Normal"/>
    <w:next w:val="Normal"/>
    <w:link w:val="Heading2Char"/>
    <w:uiPriority w:val="9"/>
    <w:semiHidden/>
    <w:unhideWhenUsed/>
    <w:qFormat/>
    <w:rsid w:val="00AF18C1"/>
    <w:pPr>
      <w:keepNext/>
      <w:keepLines/>
      <w:spacing w:before="160" w:after="80" w:line="259" w:lineRule="auto"/>
      <w:outlineLvl w:val="1"/>
    </w:pPr>
    <w:rPr>
      <w:rFonts w:asciiTheme="majorHAnsi" w:eastAsiaTheme="majorEastAsia" w:hAnsiTheme="majorHAnsi" w:cstheme="majorBidi"/>
      <w:color w:val="2F5496" w:themeColor="accent1" w:themeShade="BF"/>
      <w:sz w:val="32"/>
      <w:szCs w:val="29"/>
      <w:lang w:eastAsia="en-US" w:bidi="hi-IN"/>
    </w:rPr>
  </w:style>
  <w:style w:type="paragraph" w:styleId="Heading3">
    <w:name w:val="heading 3"/>
    <w:basedOn w:val="Normal"/>
    <w:next w:val="Normal"/>
    <w:link w:val="Heading3Char"/>
    <w:uiPriority w:val="9"/>
    <w:semiHidden/>
    <w:unhideWhenUsed/>
    <w:qFormat/>
    <w:rsid w:val="00AF18C1"/>
    <w:pPr>
      <w:keepNext/>
      <w:keepLines/>
      <w:spacing w:before="160" w:after="80" w:line="259" w:lineRule="auto"/>
      <w:outlineLvl w:val="2"/>
    </w:pPr>
    <w:rPr>
      <w:rFonts w:asciiTheme="minorHAnsi" w:eastAsiaTheme="majorEastAsia" w:hAnsiTheme="minorHAnsi" w:cstheme="majorBidi"/>
      <w:color w:val="2F5496" w:themeColor="accent1" w:themeShade="BF"/>
      <w:sz w:val="28"/>
      <w:szCs w:val="25"/>
      <w:lang w:eastAsia="en-US" w:bidi="hi-IN"/>
    </w:rPr>
  </w:style>
  <w:style w:type="paragraph" w:styleId="Heading4">
    <w:name w:val="heading 4"/>
    <w:basedOn w:val="Normal"/>
    <w:next w:val="Normal"/>
    <w:link w:val="Heading4Char"/>
    <w:uiPriority w:val="9"/>
    <w:semiHidden/>
    <w:unhideWhenUsed/>
    <w:qFormat/>
    <w:rsid w:val="00AF18C1"/>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0"/>
      <w:lang w:eastAsia="en-US" w:bidi="hi-IN"/>
    </w:rPr>
  </w:style>
  <w:style w:type="paragraph" w:styleId="Heading5">
    <w:name w:val="heading 5"/>
    <w:basedOn w:val="Normal"/>
    <w:next w:val="Normal"/>
    <w:link w:val="Heading5Char"/>
    <w:uiPriority w:val="9"/>
    <w:semiHidden/>
    <w:unhideWhenUsed/>
    <w:qFormat/>
    <w:rsid w:val="00AF18C1"/>
    <w:pPr>
      <w:keepNext/>
      <w:keepLines/>
      <w:spacing w:before="80" w:after="40" w:line="259" w:lineRule="auto"/>
      <w:outlineLvl w:val="4"/>
    </w:pPr>
    <w:rPr>
      <w:rFonts w:asciiTheme="minorHAnsi" w:eastAsiaTheme="majorEastAsia" w:hAnsiTheme="minorHAnsi" w:cstheme="majorBidi"/>
      <w:color w:val="2F5496" w:themeColor="accent1" w:themeShade="BF"/>
      <w:sz w:val="22"/>
      <w:szCs w:val="20"/>
      <w:lang w:eastAsia="en-US" w:bidi="hi-IN"/>
    </w:rPr>
  </w:style>
  <w:style w:type="paragraph" w:styleId="Heading6">
    <w:name w:val="heading 6"/>
    <w:basedOn w:val="Normal"/>
    <w:next w:val="Normal"/>
    <w:link w:val="Heading6Char"/>
    <w:uiPriority w:val="9"/>
    <w:semiHidden/>
    <w:unhideWhenUsed/>
    <w:qFormat/>
    <w:rsid w:val="00AF18C1"/>
    <w:pPr>
      <w:keepNext/>
      <w:keepLines/>
      <w:spacing w:before="40" w:line="259" w:lineRule="auto"/>
      <w:outlineLvl w:val="5"/>
    </w:pPr>
    <w:rPr>
      <w:rFonts w:asciiTheme="minorHAnsi" w:eastAsiaTheme="majorEastAsia" w:hAnsiTheme="minorHAnsi" w:cstheme="majorBidi"/>
      <w:i/>
      <w:iCs/>
      <w:color w:val="595959" w:themeColor="text1" w:themeTint="A6"/>
      <w:sz w:val="22"/>
      <w:szCs w:val="20"/>
      <w:lang w:eastAsia="en-US" w:bidi="hi-IN"/>
    </w:rPr>
  </w:style>
  <w:style w:type="paragraph" w:styleId="Heading7">
    <w:name w:val="heading 7"/>
    <w:basedOn w:val="Normal"/>
    <w:next w:val="Normal"/>
    <w:link w:val="Heading7Char"/>
    <w:uiPriority w:val="9"/>
    <w:semiHidden/>
    <w:unhideWhenUsed/>
    <w:qFormat/>
    <w:rsid w:val="00AF18C1"/>
    <w:pPr>
      <w:keepNext/>
      <w:keepLines/>
      <w:spacing w:before="40" w:line="259" w:lineRule="auto"/>
      <w:outlineLvl w:val="6"/>
    </w:pPr>
    <w:rPr>
      <w:rFonts w:asciiTheme="minorHAnsi" w:eastAsiaTheme="majorEastAsia" w:hAnsiTheme="minorHAnsi" w:cstheme="majorBidi"/>
      <w:color w:val="595959" w:themeColor="text1" w:themeTint="A6"/>
      <w:sz w:val="22"/>
      <w:szCs w:val="20"/>
      <w:lang w:eastAsia="en-US" w:bidi="hi-IN"/>
    </w:rPr>
  </w:style>
  <w:style w:type="paragraph" w:styleId="Heading8">
    <w:name w:val="heading 8"/>
    <w:basedOn w:val="Normal"/>
    <w:next w:val="Normal"/>
    <w:link w:val="Heading8Char"/>
    <w:uiPriority w:val="9"/>
    <w:semiHidden/>
    <w:unhideWhenUsed/>
    <w:qFormat/>
    <w:rsid w:val="00AF18C1"/>
    <w:pPr>
      <w:keepNext/>
      <w:keepLines/>
      <w:spacing w:line="259" w:lineRule="auto"/>
      <w:outlineLvl w:val="7"/>
    </w:pPr>
    <w:rPr>
      <w:rFonts w:asciiTheme="minorHAnsi" w:eastAsiaTheme="majorEastAsia" w:hAnsiTheme="minorHAnsi" w:cstheme="majorBidi"/>
      <w:i/>
      <w:iCs/>
      <w:color w:val="272727" w:themeColor="text1" w:themeTint="D8"/>
      <w:sz w:val="22"/>
      <w:szCs w:val="20"/>
      <w:lang w:eastAsia="en-US" w:bidi="hi-IN"/>
    </w:rPr>
  </w:style>
  <w:style w:type="paragraph" w:styleId="Heading9">
    <w:name w:val="heading 9"/>
    <w:basedOn w:val="Normal"/>
    <w:next w:val="Normal"/>
    <w:link w:val="Heading9Char"/>
    <w:uiPriority w:val="9"/>
    <w:semiHidden/>
    <w:unhideWhenUsed/>
    <w:qFormat/>
    <w:rsid w:val="00AF18C1"/>
    <w:pPr>
      <w:keepNext/>
      <w:keepLines/>
      <w:spacing w:line="259" w:lineRule="auto"/>
      <w:outlineLvl w:val="8"/>
    </w:pPr>
    <w:rPr>
      <w:rFonts w:asciiTheme="minorHAnsi" w:eastAsiaTheme="majorEastAsia" w:hAnsiTheme="minorHAnsi" w:cstheme="majorBidi"/>
      <w:color w:val="272727" w:themeColor="text1" w:themeTint="D8"/>
      <w:sz w:val="22"/>
      <w:szCs w:val="20"/>
      <w:lang w:eastAsia="en-US"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8C1"/>
    <w:rPr>
      <w:rFonts w:asciiTheme="majorHAnsi" w:eastAsiaTheme="majorEastAsia" w:hAnsiTheme="majorHAnsi" w:cstheme="majorBidi"/>
      <w:color w:val="2F5496" w:themeColor="accent1" w:themeShade="BF"/>
      <w:sz w:val="40"/>
      <w:szCs w:val="36"/>
    </w:rPr>
  </w:style>
  <w:style w:type="character" w:customStyle="1" w:styleId="Heading2Char">
    <w:name w:val="Heading 2 Char"/>
    <w:basedOn w:val="DefaultParagraphFont"/>
    <w:link w:val="Heading2"/>
    <w:uiPriority w:val="9"/>
    <w:semiHidden/>
    <w:rsid w:val="00AF18C1"/>
    <w:rPr>
      <w:rFonts w:asciiTheme="majorHAnsi" w:eastAsiaTheme="majorEastAsia" w:hAnsiTheme="majorHAnsi" w:cstheme="majorBidi"/>
      <w:color w:val="2F5496" w:themeColor="accent1" w:themeShade="BF"/>
      <w:sz w:val="32"/>
      <w:szCs w:val="29"/>
    </w:rPr>
  </w:style>
  <w:style w:type="character" w:customStyle="1" w:styleId="Heading3Char">
    <w:name w:val="Heading 3 Char"/>
    <w:basedOn w:val="DefaultParagraphFont"/>
    <w:link w:val="Heading3"/>
    <w:uiPriority w:val="9"/>
    <w:semiHidden/>
    <w:rsid w:val="00AF18C1"/>
    <w:rPr>
      <w:rFonts w:eastAsiaTheme="majorEastAsia" w:cstheme="majorBidi"/>
      <w:color w:val="2F5496" w:themeColor="accent1" w:themeShade="BF"/>
      <w:sz w:val="28"/>
      <w:szCs w:val="25"/>
    </w:rPr>
  </w:style>
  <w:style w:type="character" w:customStyle="1" w:styleId="Heading4Char">
    <w:name w:val="Heading 4 Char"/>
    <w:basedOn w:val="DefaultParagraphFont"/>
    <w:link w:val="Heading4"/>
    <w:uiPriority w:val="9"/>
    <w:semiHidden/>
    <w:rsid w:val="00AF18C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F18C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F18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18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18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18C1"/>
    <w:rPr>
      <w:rFonts w:eastAsiaTheme="majorEastAsia" w:cstheme="majorBidi"/>
      <w:color w:val="272727" w:themeColor="text1" w:themeTint="D8"/>
    </w:rPr>
  </w:style>
  <w:style w:type="paragraph" w:styleId="Title">
    <w:name w:val="Title"/>
    <w:basedOn w:val="Normal"/>
    <w:next w:val="Normal"/>
    <w:link w:val="TitleChar"/>
    <w:uiPriority w:val="10"/>
    <w:qFormat/>
    <w:rsid w:val="00AF18C1"/>
    <w:pPr>
      <w:spacing w:after="80"/>
      <w:contextualSpacing/>
    </w:pPr>
    <w:rPr>
      <w:rFonts w:asciiTheme="majorHAnsi" w:eastAsiaTheme="majorEastAsia" w:hAnsiTheme="majorHAnsi" w:cstheme="majorBidi"/>
      <w:spacing w:val="-10"/>
      <w:kern w:val="28"/>
      <w:sz w:val="56"/>
      <w:szCs w:val="50"/>
      <w:lang w:eastAsia="en-US" w:bidi="hi-IN"/>
    </w:rPr>
  </w:style>
  <w:style w:type="character" w:customStyle="1" w:styleId="TitleChar">
    <w:name w:val="Title Char"/>
    <w:basedOn w:val="DefaultParagraphFont"/>
    <w:link w:val="Title"/>
    <w:uiPriority w:val="10"/>
    <w:rsid w:val="00AF18C1"/>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F18C1"/>
    <w:pPr>
      <w:numPr>
        <w:ilvl w:val="1"/>
      </w:numPr>
      <w:spacing w:after="160" w:line="259" w:lineRule="auto"/>
    </w:pPr>
    <w:rPr>
      <w:rFonts w:asciiTheme="minorHAnsi" w:eastAsiaTheme="majorEastAsia" w:hAnsiTheme="minorHAnsi" w:cstheme="majorBidi"/>
      <w:color w:val="595959" w:themeColor="text1" w:themeTint="A6"/>
      <w:spacing w:val="15"/>
      <w:sz w:val="28"/>
      <w:szCs w:val="25"/>
      <w:lang w:eastAsia="en-US" w:bidi="hi-IN"/>
    </w:rPr>
  </w:style>
  <w:style w:type="character" w:customStyle="1" w:styleId="SubtitleChar">
    <w:name w:val="Subtitle Char"/>
    <w:basedOn w:val="DefaultParagraphFont"/>
    <w:link w:val="Subtitle"/>
    <w:uiPriority w:val="11"/>
    <w:rsid w:val="00AF18C1"/>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F18C1"/>
    <w:pPr>
      <w:spacing w:before="160" w:after="160" w:line="259" w:lineRule="auto"/>
      <w:jc w:val="center"/>
    </w:pPr>
    <w:rPr>
      <w:rFonts w:asciiTheme="minorHAnsi" w:eastAsiaTheme="minorHAnsi" w:hAnsiTheme="minorHAnsi" w:cs="Mangal"/>
      <w:i/>
      <w:iCs/>
      <w:color w:val="404040" w:themeColor="text1" w:themeTint="BF"/>
      <w:sz w:val="22"/>
      <w:szCs w:val="20"/>
      <w:lang w:eastAsia="en-US" w:bidi="hi-IN"/>
    </w:rPr>
  </w:style>
  <w:style w:type="character" w:customStyle="1" w:styleId="QuoteChar">
    <w:name w:val="Quote Char"/>
    <w:basedOn w:val="DefaultParagraphFont"/>
    <w:link w:val="Quote"/>
    <w:uiPriority w:val="29"/>
    <w:rsid w:val="00AF18C1"/>
    <w:rPr>
      <w:rFonts w:cs="Mangal"/>
      <w:i/>
      <w:iCs/>
      <w:color w:val="404040" w:themeColor="text1" w:themeTint="BF"/>
    </w:rPr>
  </w:style>
  <w:style w:type="paragraph" w:styleId="ListParagraph">
    <w:name w:val="List Paragraph"/>
    <w:basedOn w:val="Normal"/>
    <w:uiPriority w:val="34"/>
    <w:qFormat/>
    <w:rsid w:val="00AF18C1"/>
    <w:pPr>
      <w:spacing w:after="160" w:line="259" w:lineRule="auto"/>
      <w:ind w:left="720"/>
      <w:contextualSpacing/>
    </w:pPr>
    <w:rPr>
      <w:rFonts w:asciiTheme="minorHAnsi" w:eastAsiaTheme="minorHAnsi" w:hAnsiTheme="minorHAnsi" w:cs="Mangal"/>
      <w:sz w:val="22"/>
      <w:szCs w:val="20"/>
      <w:lang w:eastAsia="en-US" w:bidi="hi-IN"/>
    </w:rPr>
  </w:style>
  <w:style w:type="character" w:styleId="IntenseEmphasis">
    <w:name w:val="Intense Emphasis"/>
    <w:basedOn w:val="DefaultParagraphFont"/>
    <w:uiPriority w:val="21"/>
    <w:qFormat/>
    <w:rsid w:val="00AF18C1"/>
    <w:rPr>
      <w:i/>
      <w:iCs/>
      <w:color w:val="2F5496" w:themeColor="accent1" w:themeShade="BF"/>
    </w:rPr>
  </w:style>
  <w:style w:type="paragraph" w:styleId="IntenseQuote">
    <w:name w:val="Intense Quote"/>
    <w:basedOn w:val="Normal"/>
    <w:next w:val="Normal"/>
    <w:link w:val="IntenseQuoteChar"/>
    <w:uiPriority w:val="30"/>
    <w:qFormat/>
    <w:rsid w:val="00AF18C1"/>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Mangal"/>
      <w:i/>
      <w:iCs/>
      <w:color w:val="2F5496" w:themeColor="accent1" w:themeShade="BF"/>
      <w:sz w:val="22"/>
      <w:szCs w:val="20"/>
      <w:lang w:eastAsia="en-US" w:bidi="hi-IN"/>
    </w:rPr>
  </w:style>
  <w:style w:type="character" w:customStyle="1" w:styleId="IntenseQuoteChar">
    <w:name w:val="Intense Quote Char"/>
    <w:basedOn w:val="DefaultParagraphFont"/>
    <w:link w:val="IntenseQuote"/>
    <w:uiPriority w:val="30"/>
    <w:rsid w:val="00AF18C1"/>
    <w:rPr>
      <w:rFonts w:cs="Mangal"/>
      <w:i/>
      <w:iCs/>
      <w:color w:val="2F5496" w:themeColor="accent1" w:themeShade="BF"/>
    </w:rPr>
  </w:style>
  <w:style w:type="character" w:styleId="IntenseReference">
    <w:name w:val="Intense Reference"/>
    <w:basedOn w:val="DefaultParagraphFont"/>
    <w:uiPriority w:val="32"/>
    <w:qFormat/>
    <w:rsid w:val="00AF18C1"/>
    <w:rPr>
      <w:b/>
      <w:bCs/>
      <w:smallCaps/>
      <w:color w:val="2F5496" w:themeColor="accent1" w:themeShade="BF"/>
      <w:spacing w:val="5"/>
    </w:rPr>
  </w:style>
  <w:style w:type="paragraph" w:styleId="NoSpacing">
    <w:name w:val="No Spacing"/>
    <w:link w:val="NoSpacingChar"/>
    <w:uiPriority w:val="1"/>
    <w:qFormat/>
    <w:rsid w:val="00AF18C1"/>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AF18C1"/>
    <w:rPr>
      <w:rFonts w:eastAsiaTheme="minorEastAsia"/>
      <w:szCs w:val="22"/>
      <w:lang w:val="en-US" w:bidi="ar-SA"/>
    </w:rPr>
  </w:style>
  <w:style w:type="character" w:styleId="Hyperlink">
    <w:name w:val="Hyperlink"/>
    <w:uiPriority w:val="99"/>
    <w:unhideWhenUsed/>
    <w:rsid w:val="00AF18C1"/>
    <w:rPr>
      <w:color w:val="0563C1"/>
      <w:u w:val="single"/>
    </w:rPr>
  </w:style>
  <w:style w:type="paragraph" w:styleId="TOCHeading">
    <w:name w:val="TOC Heading"/>
    <w:basedOn w:val="Heading1"/>
    <w:next w:val="Normal"/>
    <w:uiPriority w:val="39"/>
    <w:unhideWhenUsed/>
    <w:qFormat/>
    <w:rsid w:val="00AF18C1"/>
    <w:pPr>
      <w:spacing w:before="240" w:after="0"/>
      <w:outlineLvl w:val="9"/>
    </w:pPr>
    <w:rPr>
      <w:sz w:val="32"/>
      <w:szCs w:val="32"/>
      <w:lang w:eastAsia="en-IN" w:bidi="ar-SA"/>
    </w:rPr>
  </w:style>
  <w:style w:type="paragraph" w:styleId="TOC1">
    <w:name w:val="toc 1"/>
    <w:basedOn w:val="Normal"/>
    <w:next w:val="Normal"/>
    <w:autoRedefine/>
    <w:uiPriority w:val="39"/>
    <w:unhideWhenUsed/>
    <w:rsid w:val="00AF18C1"/>
    <w:pPr>
      <w:spacing w:after="100"/>
    </w:pPr>
  </w:style>
  <w:style w:type="paragraph" w:styleId="TOC2">
    <w:name w:val="toc 2"/>
    <w:basedOn w:val="Normal"/>
    <w:next w:val="Normal"/>
    <w:autoRedefine/>
    <w:uiPriority w:val="39"/>
    <w:unhideWhenUsed/>
    <w:rsid w:val="00AF18C1"/>
    <w:pPr>
      <w:spacing w:after="100"/>
      <w:ind w:left="240"/>
    </w:pPr>
  </w:style>
  <w:style w:type="paragraph" w:styleId="TOC3">
    <w:name w:val="toc 3"/>
    <w:basedOn w:val="Normal"/>
    <w:next w:val="Normal"/>
    <w:autoRedefine/>
    <w:uiPriority w:val="39"/>
    <w:unhideWhenUsed/>
    <w:rsid w:val="00AF18C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35</Pages>
  <Words>6554</Words>
  <Characters>37358</Characters>
  <Application>Microsoft Office Word</Application>
  <DocSecurity>0</DocSecurity>
  <Lines>311</Lines>
  <Paragraphs>87</Paragraphs>
  <ScaleCrop>false</ScaleCrop>
  <Company/>
  <LinksUpToDate>false</LinksUpToDate>
  <CharactersWithSpaces>43825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Harimohan Singh</dc:creator>
  <cp:keywords/>
  <dc:description/>
  <cp:lastModifiedBy>Harimohan Singh</cp:lastModifiedBy>
  <cp:revision>4</cp:revision>
  <dcterms:created xsi:type="dcterms:W3CDTF">2026-04-23T21:28:00Z</dcterms:created>
  <dcterms:modified xsi:type="dcterms:W3CDTF">2026-04-23T23:55:00Z</dcterms:modified>
</cp:coreProperties>
</file>