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1CD544" wp14:paraId="76F4DC70" wp14:textId="2C87A199">
      <w:pPr>
        <w:spacing w:before="212" w:beforeAutospacing="off" w:after="160" w:afterAutospacing="off"/>
        <w:jc w:val="center"/>
      </w:pPr>
      <w:r w:rsidR="136FC0E5">
        <w:drawing>
          <wp:inline xmlns:wp14="http://schemas.microsoft.com/office/word/2010/wordprocessingDrawing" wp14:editId="21E5E571" wp14:anchorId="1DCCB434">
            <wp:extent cx="3000375" cy="1200150"/>
            <wp:effectExtent l="0" t="0" r="0" b="0"/>
            <wp:docPr id="11983356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8335687" name="Picture 1198335687"/>
                    <pic:cNvPicPr/>
                  </pic:nvPicPr>
                  <pic:blipFill>
                    <a:blip xmlns:r="http://schemas.openxmlformats.org/officeDocument/2006/relationships" r:embed="rId1318777595">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xmlns:wp14="http://schemas.microsoft.com/office/word/2010/wordml" wp14:paraId="1E8F7FB2" wp14:textId="4B4E0BA9"/>
    <w:p xmlns:wp14="http://schemas.microsoft.com/office/word/2010/wordml" w:rsidP="731CD544" wp14:paraId="16845C3F" wp14:textId="3DA3573E">
      <w:pPr>
        <w:spacing w:before="212" w:beforeAutospacing="off" w:after="160" w:afterAutospacing="off"/>
      </w:pPr>
      <w:r w:rsidRPr="731CD544" w:rsidR="136FC0E5">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MODULE CODE: </w:t>
      </w:r>
      <w:r w:rsidRPr="731CD544" w:rsidR="136FC0E5">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ECPT6007 </w:t>
      </w:r>
    </w:p>
    <w:p xmlns:wp14="http://schemas.microsoft.com/office/word/2010/wordml" wp14:paraId="137563FF" wp14:textId="366A2AC3"/>
    <w:p xmlns:wp14="http://schemas.microsoft.com/office/word/2010/wordml" w:rsidP="731CD544" wp14:paraId="106587BF" wp14:textId="7504CCD5">
      <w:pPr>
        <w:spacing w:before="212" w:beforeAutospacing="off" w:after="160" w:afterAutospacing="off"/>
      </w:pPr>
      <w:r w:rsidRPr="731CD544" w:rsidR="136FC0E5">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ASSESSMENT COMPONENT: </w:t>
      </w:r>
      <w:r w:rsidRPr="731CD544" w:rsidR="136FC0E5">
        <w:rPr>
          <w:rFonts w:ascii="Arial" w:hAnsi="Arial" w:eastAsia="Arial" w:cs="Arial"/>
          <w:b w:val="1"/>
          <w:bCs w:val="1"/>
          <w:i w:val="0"/>
          <w:iCs w:val="0"/>
          <w:strike w:val="0"/>
          <w:dstrike w:val="0"/>
          <w:noProof w:val="0"/>
          <w:color w:val="000000" w:themeColor="text1" w:themeTint="FF" w:themeShade="FF"/>
          <w:sz w:val="40"/>
          <w:szCs w:val="40"/>
          <w:u w:val="none"/>
          <w:lang w:val="en-GB"/>
        </w:rPr>
        <w:t>A2 Written Reflection &amp; Peer Review</w:t>
      </w:r>
    </w:p>
    <w:p xmlns:wp14="http://schemas.microsoft.com/office/word/2010/wordml" wp14:paraId="17B37E5E" wp14:textId="6B1D4A8F"/>
    <w:p xmlns:wp14="http://schemas.microsoft.com/office/word/2010/wordml" w:rsidP="731CD544" wp14:paraId="5448AD9E" wp14:textId="788E60C5">
      <w:pPr>
        <w:spacing w:before="3" w:beforeAutospacing="off" w:after="160" w:afterAutospacing="off"/>
      </w:pPr>
      <w:r w:rsidRPr="731CD544" w:rsidR="136FC0E5">
        <w:rPr>
          <w:rFonts w:ascii="Arial" w:hAnsi="Arial" w:eastAsia="Arial" w:cs="Arial"/>
          <w:b w:val="1"/>
          <w:bCs w:val="1"/>
          <w:i w:val="0"/>
          <w:iCs w:val="0"/>
          <w:strike w:val="0"/>
          <w:dstrike w:val="0"/>
          <w:noProof w:val="0"/>
          <w:color w:val="000000" w:themeColor="text1" w:themeTint="FF" w:themeShade="FF"/>
          <w:sz w:val="48"/>
          <w:szCs w:val="48"/>
          <w:u w:val="none"/>
          <w:lang w:val="en-GB"/>
        </w:rPr>
        <w:t>STUDENT NAME: Erin heymann</w:t>
      </w:r>
    </w:p>
    <w:p xmlns:wp14="http://schemas.microsoft.com/office/word/2010/wordml" wp14:paraId="7EB98EB7" wp14:textId="7BADAE5D"/>
    <w:p xmlns:wp14="http://schemas.microsoft.com/office/word/2010/wordml" w:rsidP="731CD544" wp14:paraId="613AFE81" wp14:textId="3AB25F9B">
      <w:pPr>
        <w:spacing w:before="3" w:beforeAutospacing="off" w:after="160" w:afterAutospacing="off"/>
      </w:pPr>
      <w:r w:rsidRPr="731CD544" w:rsidR="136FC0E5">
        <w:rPr>
          <w:rFonts w:ascii="Arial" w:hAnsi="Arial" w:eastAsia="Arial" w:cs="Arial"/>
          <w:b w:val="1"/>
          <w:bCs w:val="1"/>
          <w:i w:val="0"/>
          <w:iCs w:val="0"/>
          <w:strike w:val="0"/>
          <w:dstrike w:val="0"/>
          <w:noProof w:val="0"/>
          <w:color w:val="000000" w:themeColor="text1" w:themeTint="FF" w:themeShade="FF"/>
          <w:sz w:val="48"/>
          <w:szCs w:val="48"/>
          <w:u w:val="none"/>
          <w:lang w:val="en-GB"/>
        </w:rPr>
        <w:t>STUDENT NUMBER: 1906811</w:t>
      </w:r>
    </w:p>
    <w:p xmlns:wp14="http://schemas.microsoft.com/office/word/2010/wordml" wp14:paraId="2A49AF11" wp14:textId="721C5582"/>
    <w:p xmlns:wp14="http://schemas.microsoft.com/office/word/2010/wordml" wp14:paraId="6C6611FB" wp14:textId="62FD1EBD"/>
    <w:p xmlns:wp14="http://schemas.microsoft.com/office/word/2010/wordml" wp14:paraId="4BCFCCAC" wp14:textId="43CBD165"/>
    <w:p xmlns:wp14="http://schemas.microsoft.com/office/word/2010/wordml" wp14:paraId="78381A07" wp14:textId="707F779D"/>
    <w:p xmlns:wp14="http://schemas.microsoft.com/office/word/2010/wordml" wp14:paraId="119BA2F0" wp14:textId="71E6F8FB"/>
    <w:p xmlns:wp14="http://schemas.microsoft.com/office/word/2010/wordml" wp14:paraId="1D6D3426" wp14:textId="5AEB13B0"/>
    <w:p xmlns:wp14="http://schemas.microsoft.com/office/word/2010/wordml" wp14:paraId="40B7AEE6" wp14:textId="37AEEDC0"/>
    <w:p xmlns:wp14="http://schemas.microsoft.com/office/word/2010/wordml" w:rsidP="731CD544" wp14:paraId="5C9BEC28" wp14:textId="0BD43DF5">
      <w:pPr>
        <w:spacing w:before="0" w:beforeAutospacing="off" w:after="0" w:afterAutospacing="off"/>
        <w:ind w:left="90" w:right="0"/>
        <w:jc w:val="both"/>
      </w:pPr>
      <w:r w:rsidRPr="731CD544" w:rsidR="136FC0E5">
        <w:rPr>
          <w:rFonts w:ascii="Arial" w:hAnsi="Arial" w:eastAsia="Arial" w:cs="Arial"/>
          <w:b w:val="1"/>
          <w:bCs w:val="1"/>
          <w:i w:val="0"/>
          <w:iCs w:val="0"/>
          <w:strike w:val="0"/>
          <w:dstrike w:val="0"/>
          <w:noProof w:val="0"/>
          <w:color w:val="000000" w:themeColor="text1" w:themeTint="FF" w:themeShade="FF"/>
          <w:sz w:val="22"/>
          <w:szCs w:val="22"/>
          <w:u w:val="none"/>
          <w:lang w:val="en-GB"/>
        </w:rPr>
        <w:t>Use of Generative AI in Assessment</w:t>
      </w:r>
      <w:r w:rsidRPr="731CD544" w:rsidR="136FC0E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0BCE0160" wp14:textId="59BC2353"/>
    <w:p xmlns:wp14="http://schemas.microsoft.com/office/word/2010/wordml" wp14:paraId="4525C4A4" wp14:textId="43A61E4B"/>
    <w:p xmlns:wp14="http://schemas.microsoft.com/office/word/2010/wordml" wp14:paraId="1A0D6DE4" wp14:textId="32996EF1"/>
    <w:p xmlns:wp14="http://schemas.microsoft.com/office/word/2010/wordml" w:rsidP="731CD544" wp14:paraId="5604E163" wp14:textId="23D80BCE">
      <w:pPr>
        <w:spacing w:before="0" w:beforeAutospacing="off" w:after="0" w:afterAutospacing="off"/>
        <w:ind w:left="90" w:right="0"/>
        <w:jc w:val="both"/>
      </w:pPr>
      <w:r w:rsidRPr="731CD544" w:rsidR="136FC0E5">
        <w:rPr>
          <w:rFonts w:ascii="Quattrocento Sans" w:hAnsi="Quattrocento Sans" w:eastAsia="Quattrocento Sans" w:cs="Quattrocento Sans"/>
          <w:b w:val="0"/>
          <w:bCs w:val="0"/>
          <w:i w:val="0"/>
          <w:iCs w:val="0"/>
          <w:strike w:val="0"/>
          <w:dstrike w:val="0"/>
          <w:noProof w:val="0"/>
          <w:color w:val="0F4761" w:themeColor="accent1" w:themeTint="FF" w:themeShade="BF"/>
          <w:sz w:val="22"/>
          <w:szCs w:val="22"/>
          <w:u w:val="none"/>
          <w:lang w:val="en-GB"/>
        </w:rPr>
        <w:t>(Lecturer to indicate Yes or No against each element)</w:t>
      </w:r>
    </w:p>
    <w:p xmlns:wp14="http://schemas.microsoft.com/office/word/2010/wordml" wp14:paraId="3535A777" wp14:textId="795E7850"/>
    <w:tbl>
      <w:tblPr>
        <w:tblStyle w:val="TableNormal"/>
        <w:bidiVisual w:val="0"/>
        <w:tblW w:w="0" w:type="auto"/>
        <w:tblLook w:val="06A0" w:firstRow="1" w:lastRow="0" w:firstColumn="1" w:lastColumn="0" w:noHBand="1" w:noVBand="1"/>
      </w:tblPr>
      <w:tblGrid>
        <w:gridCol w:w="2145"/>
        <w:gridCol w:w="4875"/>
        <w:gridCol w:w="1260"/>
      </w:tblGrid>
      <w:tr w:rsidR="731CD544" w:rsidTr="731CD544" w14:paraId="603EC6F1">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53152A20" w14:textId="0D3BE76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RESEARCH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1B8B73C1" w14:textId="61696811">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support you in research, including searching for bibliography, using tools to summarise, compare and interrogate materials.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2AB5417A" w14:textId="09F990FE">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0F923A6F" w14:textId="338B8050">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773C9B55" w14:textId="151DDA5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56E1976E">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4DB59781" w14:textId="675D7E4B">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STRUCTURE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5C80B9C5" w14:textId="1859B27A">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support you in structuring your submission, including creating a draft argument structure, identifying parts and headings, etc.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43A371F0" w14:textId="1FC849D0">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3DE2E3A0" w14:textId="3A1D085E">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1538428F" w14:textId="2C3CDC51">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7638AEFF">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28E74DAC" w14:textId="46320CA1">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PROOFREADING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7EA2883D" w14:textId="28249BB0">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check your own text/creation for grammatical and syntactical mistakes, including rephrasing of your own work within specific standards.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38B52BD4" w14:textId="6C571033">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37C8F065" w14:textId="63604DFE">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0EF61CC0" w14:textId="1A6F47E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58EC5A73">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441D9A95" w14:textId="34A43AAA">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WRITING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455095D2" w14:textId="10A3CAC5">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create text for submission.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2E693AEB" w14:textId="77F0D49D">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0C7890CB" w14:textId="2D7816D5">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179AF40A" w14:textId="18032545">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722FD41D">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221677A8" w14:textId="3FC6D72B">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CREATIVE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14A71375" w14:textId="451ECA9F">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create creative materials, such as images.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58F83C27" w14:textId="4873D875">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76798967" w14:textId="2C78DD1A">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20E08729" w14:textId="15A56BE8">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0D2618C9">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76DA1173" w14:textId="545FCEB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PROGRAMING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6B1AADDE" w14:textId="06C1FE24">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can use Generative AI to create and check code.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038F5741" w14:textId="1C7EF9FB">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30FB8073" w14:textId="1384B8E1">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64F644B0" w14:textId="579ACA1D">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r w:rsidR="731CD544" w:rsidTr="731CD544" w14:paraId="27C3E6EC">
        <w:trPr>
          <w:trHeight w:val="300"/>
        </w:trPr>
        <w:tc>
          <w:tcPr>
            <w:tcW w:w="21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2B6F52C0" w14:textId="19F3F6C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NONE </w:t>
            </w:r>
          </w:p>
        </w:tc>
        <w:tc>
          <w:tcPr>
            <w:tcW w:w="487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4D853C2B" w14:textId="5637001D">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For this assessment, you are not allowed to use </w:t>
            </w:r>
            <w:r w:rsidRPr="731CD544" w:rsidR="731CD544">
              <w:rPr>
                <w:rFonts w:ascii="Arial" w:hAnsi="Arial" w:eastAsia="Arial" w:cs="Arial"/>
                <w:b w:val="1"/>
                <w:bCs w:val="1"/>
                <w:i w:val="0"/>
                <w:iCs w:val="0"/>
                <w:strike w:val="0"/>
                <w:dstrike w:val="0"/>
                <w:color w:val="000000" w:themeColor="text1" w:themeTint="FF" w:themeShade="FF"/>
                <w:sz w:val="22"/>
                <w:szCs w:val="22"/>
                <w:u w:val="none"/>
              </w:rPr>
              <w:t>any</w:t>
            </w: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type of Generative AI support. This includes research support, structure support, writing/proofreading support and creative support.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31CD544" w:rsidP="731CD544" w:rsidRDefault="731CD544" w14:paraId="65524DD5" w14:textId="1F9EAD4D">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Yes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p w:rsidR="731CD544" w:rsidP="731CD544" w:rsidRDefault="731CD544" w14:paraId="6E20C17E" w14:textId="31DC89E7">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 </w:t>
            </w:r>
          </w:p>
          <w:p w:rsidR="731CD544" w:rsidP="731CD544" w:rsidRDefault="731CD544" w14:paraId="45846432" w14:textId="38A0E0F6">
            <w:pPr>
              <w:spacing w:before="0" w:beforeAutospacing="off" w:after="0" w:afterAutospacing="off"/>
              <w:ind w:left="600" w:right="0"/>
            </w:pPr>
            <w:r w:rsidRPr="731CD544" w:rsidR="731CD544">
              <w:rPr>
                <w:rFonts w:ascii="Arial" w:hAnsi="Arial" w:eastAsia="Arial" w:cs="Arial"/>
                <w:b w:val="0"/>
                <w:bCs w:val="0"/>
                <w:i w:val="0"/>
                <w:iCs w:val="0"/>
                <w:strike w:val="0"/>
                <w:dstrike w:val="0"/>
                <w:color w:val="000000" w:themeColor="text1" w:themeTint="FF" w:themeShade="FF"/>
                <w:sz w:val="22"/>
                <w:szCs w:val="22"/>
                <w:u w:val="none"/>
              </w:rPr>
              <w:t xml:space="preserve">No   </w:t>
            </w:r>
            <w:r w:rsidRPr="731CD544" w:rsidR="731CD544">
              <w:rPr>
                <w:rFonts w:ascii="MS Gothic" w:hAnsi="MS Gothic" w:eastAsia="MS Gothic" w:cs="MS Gothic"/>
                <w:b w:val="0"/>
                <w:bCs w:val="0"/>
                <w:i w:val="0"/>
                <w:iCs w:val="0"/>
                <w:strike w:val="0"/>
                <w:dstrike w:val="0"/>
                <w:color w:val="000000" w:themeColor="text1" w:themeTint="FF" w:themeShade="FF"/>
                <w:sz w:val="22"/>
                <w:szCs w:val="22"/>
                <w:u w:val="none"/>
              </w:rPr>
              <w:t>☒</w:t>
            </w:r>
          </w:p>
        </w:tc>
      </w:tr>
    </w:tbl>
    <w:p xmlns:wp14="http://schemas.microsoft.com/office/word/2010/wordml" w:rsidP="731CD544" wp14:paraId="1C9393E9" wp14:textId="38DEE8DE">
      <w:pPr>
        <w:bidi w:val="0"/>
        <w:spacing w:before="0" w:beforeAutospacing="off" w:after="0" w:afterAutospacing="off"/>
      </w:pPr>
      <w:r w:rsidRPr="731CD544" w:rsidR="136FC0E5">
        <w:rPr>
          <w:rFonts w:ascii="Aptos" w:hAnsi="Aptos" w:eastAsia="Aptos" w:cs="Aptos"/>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p14:paraId="6259F821" wp14:textId="60918F6E"/>
    <w:p xmlns:wp14="http://schemas.microsoft.com/office/word/2010/wordml" wp14:paraId="4121F4DE" wp14:textId="42566819"/>
    <w:p xmlns:wp14="http://schemas.microsoft.com/office/word/2010/wordml" wp14:paraId="1376C537" wp14:textId="4096022D"/>
    <w:p xmlns:wp14="http://schemas.microsoft.com/office/word/2010/wordml" wp14:paraId="5DF02FFD" wp14:textId="27F9840B"/>
    <w:p xmlns:wp14="http://schemas.microsoft.com/office/word/2010/wordml" wp14:paraId="73244DE3" wp14:textId="4E9C3692"/>
    <w:p xmlns:wp14="http://schemas.microsoft.com/office/word/2010/wordml" wp14:paraId="732015C4" wp14:textId="7996C0B6"/>
    <w:p xmlns:wp14="http://schemas.microsoft.com/office/word/2010/wordml" wp14:paraId="0E7CE27A" wp14:textId="49DA88DA"/>
    <w:p xmlns:wp14="http://schemas.microsoft.com/office/word/2010/wordml" wp14:paraId="1300DAC8" wp14:textId="7EE8CD51"/>
    <w:p xmlns:wp14="http://schemas.microsoft.com/office/word/2010/wordml" w:rsidP="731CD544" wp14:paraId="6E052702" wp14:textId="3FC86B78">
      <w:pPr>
        <w:bidi w:val="0"/>
        <w:spacing w:before="0" w:beforeAutospacing="off" w:after="160" w:afterAutospacing="off"/>
      </w:pPr>
      <w:r w:rsidRPr="731CD544" w:rsidR="136FC0E5">
        <w:rPr>
          <w:rFonts w:ascii="Aptos" w:hAnsi="Aptos" w:eastAsia="Aptos" w:cs="Aptos"/>
          <w:b w:val="1"/>
          <w:bCs w:val="1"/>
          <w:i w:val="0"/>
          <w:iCs w:val="0"/>
          <w:strike w:val="0"/>
          <w:dstrike w:val="0"/>
          <w:noProof w:val="0"/>
          <w:color w:val="000000" w:themeColor="text1" w:themeTint="FF" w:themeShade="FF"/>
          <w:sz w:val="32"/>
          <w:szCs w:val="32"/>
          <w:u w:val="single"/>
          <w:lang w:val="en-GB"/>
        </w:rPr>
        <w:t xml:space="preserve">AI Acknowledgement  </w:t>
      </w:r>
    </w:p>
    <w:p xmlns:wp14="http://schemas.microsoft.com/office/word/2010/wordml" w:rsidP="731CD544" wp14:paraId="6D089987" wp14:textId="1898FEFA">
      <w:pPr>
        <w:bidi w:val="0"/>
        <w:spacing w:before="0" w:beforeAutospacing="off" w:after="160" w:afterAutospacing="off"/>
      </w:pPr>
      <w:r w:rsidRPr="731CD544" w:rsidR="136FC0E5">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 confirm that I have not used any AI tools in the research and creation of this assignment. </w:t>
      </w:r>
    </w:p>
    <w:p xmlns:wp14="http://schemas.microsoft.com/office/word/2010/wordml" w:rsidP="731CD544" wp14:paraId="642DF8ED" wp14:textId="5A568EF4">
      <w:pPr>
        <w:bidi w:val="0"/>
        <w:spacing w:before="0" w:beforeAutospacing="off" w:after="160" w:afterAutospacing="off"/>
      </w:pPr>
      <w:r w:rsidRPr="731CD544" w:rsidR="136FC0E5">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 confirm that I have not presented any AI generated materials as my own work. </w:t>
      </w:r>
    </w:p>
    <w:p xmlns:wp14="http://schemas.microsoft.com/office/word/2010/wordml" w:rsidP="731CD544" wp14:paraId="258021EF" wp14:textId="3391AECE">
      <w:pPr>
        <w:bidi w:val="0"/>
        <w:spacing w:before="0" w:beforeAutospacing="off" w:after="160" w:afterAutospacing="off"/>
      </w:pPr>
      <w:r w:rsidRPr="731CD544" w:rsidR="136FC0E5">
        <w:rPr>
          <w:rFonts w:ascii="Aptos" w:hAnsi="Aptos" w:eastAsia="Aptos" w:cs="Aptos"/>
          <w:b w:val="0"/>
          <w:bCs w:val="0"/>
          <w:i w:val="0"/>
          <w:iCs w:val="0"/>
          <w:strike w:val="0"/>
          <w:dstrike w:val="0"/>
          <w:noProof w:val="0"/>
          <w:color w:val="000000" w:themeColor="text1" w:themeTint="FF" w:themeShade="FF"/>
          <w:sz w:val="24"/>
          <w:szCs w:val="24"/>
          <w:u w:val="none"/>
          <w:lang w:val="en-GB"/>
        </w:rPr>
        <w:t>I confirm that I have copies of my drafts, notes, and other resources I used, which I may be asked to provide in evidence.</w:t>
      </w:r>
    </w:p>
    <w:p xmlns:wp14="http://schemas.microsoft.com/office/word/2010/wordml" wp14:paraId="624C6F19" wp14:textId="7F8EBC5D"/>
    <w:p xmlns:wp14="http://schemas.microsoft.com/office/word/2010/wordml" w:rsidP="731CD544" wp14:paraId="1CDD30B1" wp14:textId="60D70526">
      <w:pPr>
        <w:pStyle w:val="Heading1"/>
      </w:pPr>
    </w:p>
    <w:p xmlns:wp14="http://schemas.microsoft.com/office/word/2010/wordml" w:rsidP="731CD544" wp14:paraId="6E0103A7" wp14:textId="333D3A63">
      <w:pPr>
        <w:pStyle w:val="Heading1"/>
      </w:pPr>
    </w:p>
    <w:p xmlns:wp14="http://schemas.microsoft.com/office/word/2010/wordml" w:rsidP="731CD544" wp14:paraId="05E6EC33" wp14:textId="0009A3FF">
      <w:pPr>
        <w:pStyle w:val="Heading1"/>
      </w:pPr>
    </w:p>
    <w:p xmlns:wp14="http://schemas.microsoft.com/office/word/2010/wordml" w:rsidP="731CD544" wp14:paraId="07C63E6B" wp14:textId="67D0D69C">
      <w:pPr>
        <w:pStyle w:val="Heading1"/>
      </w:pPr>
    </w:p>
    <w:p xmlns:wp14="http://schemas.microsoft.com/office/word/2010/wordml" w:rsidP="731CD544" wp14:paraId="5E5787A5" wp14:textId="64E4A6D7">
      <w:pPr>
        <w:pStyle w:val="Heading1"/>
      </w:pPr>
      <w:r w:rsidR="1528C1BB">
        <w:rPr/>
        <w:t>Curriculum Reflection</w:t>
      </w:r>
    </w:p>
    <w:p w:rsidR="1528C1BB" w:rsidP="731CD544" w:rsidRDefault="1528C1BB" w14:paraId="3FCB826A" w14:textId="66EB87A9">
      <w:pPr>
        <w:pStyle w:val="Heading2"/>
      </w:pPr>
      <w:r w:rsidR="1528C1BB">
        <w:rPr/>
        <w:t>Introduction</w:t>
      </w:r>
    </w:p>
    <w:p w:rsidR="1528C1BB" w:rsidP="731CD544" w:rsidRDefault="1528C1BB" w14:paraId="7F7A3271" w14:textId="62D5B7E3">
      <w:pPr>
        <w:spacing w:before="240" w:beforeAutospacing="off" w:after="240" w:afterAutospacing="off" w:line="360" w:lineRule="auto"/>
      </w:pPr>
      <w:r w:rsidRPr="731CD544" w:rsidR="1528C1BB">
        <w:rPr>
          <w:rFonts w:ascii="Calibri" w:hAnsi="Calibri" w:eastAsia="Calibri" w:cs="Calibri"/>
          <w:noProof w:val="0"/>
          <w:sz w:val="24"/>
          <w:szCs w:val="24"/>
          <w:lang w:val="en-GB"/>
        </w:rPr>
        <w:t xml:space="preserve">This reflective report evaluates the process of designing the curriculum proposal </w:t>
      </w:r>
      <w:r w:rsidRPr="731CD544" w:rsidR="1528C1BB">
        <w:rPr>
          <w:rFonts w:ascii="Calibri" w:hAnsi="Calibri" w:eastAsia="Calibri" w:cs="Calibri"/>
          <w:i w:val="1"/>
          <w:iCs w:val="1"/>
          <w:noProof w:val="0"/>
          <w:sz w:val="24"/>
          <w:szCs w:val="24"/>
          <w:lang w:val="en-GB"/>
        </w:rPr>
        <w:t>Global Voices in Film: Decolonising Perspectives in Cinema</w:t>
      </w:r>
      <w:r w:rsidRPr="731CD544" w:rsidR="1528C1BB">
        <w:rPr>
          <w:rFonts w:ascii="Calibri" w:hAnsi="Calibri" w:eastAsia="Calibri" w:cs="Calibri"/>
          <w:noProof w:val="0"/>
          <w:sz w:val="24"/>
          <w:szCs w:val="24"/>
          <w:lang w:val="en-GB"/>
        </w:rPr>
        <w:t xml:space="preserve"> and considers the professional learning gained throughout its development. As curriculum design requires consideration of educational theory, policy, assessment, learner needs and professional standards, the process provided an opportunity to develop a broader understanding of curriculum planning beyond individual lesson design. The report also reflects on the evaluation of the curriculum against the peer review criteria provided for the assessment. As formal peer feedback had not been received at the time of writing, these criteria are used as a framework for critically reviewing the strengths and limitations of the proposed curriculum and identifying areas for further development.</w:t>
      </w:r>
    </w:p>
    <w:p w:rsidR="1528C1BB" w:rsidP="731CD544" w:rsidRDefault="1528C1BB" w14:paraId="608E366F" w14:textId="68AD7507">
      <w:pPr>
        <w:spacing w:before="240" w:beforeAutospacing="off" w:after="240" w:afterAutospacing="off" w:line="360" w:lineRule="auto"/>
      </w:pPr>
      <w:r w:rsidRPr="731CD544" w:rsidR="1528C1BB">
        <w:rPr>
          <w:rFonts w:ascii="Calibri" w:hAnsi="Calibri" w:eastAsia="Calibri" w:cs="Calibri"/>
          <w:noProof w:val="0"/>
          <w:sz w:val="24"/>
          <w:szCs w:val="24"/>
          <w:lang w:val="en-GB"/>
        </w:rPr>
        <w:t xml:space="preserve">Reflection will be structured using Rolfe, Freshwater and Jasper's (2001) </w:t>
      </w:r>
      <w:r w:rsidRPr="731CD544" w:rsidR="1528C1BB">
        <w:rPr>
          <w:rFonts w:ascii="Calibri" w:hAnsi="Calibri" w:eastAsia="Calibri" w:cs="Calibri"/>
          <w:b w:val="0"/>
          <w:bCs w:val="0"/>
          <w:noProof w:val="0"/>
          <w:sz w:val="24"/>
          <w:szCs w:val="24"/>
          <w:lang w:val="en-GB"/>
        </w:rPr>
        <w:t>What? So What? Now What?</w:t>
      </w:r>
      <w:r w:rsidRPr="731CD544" w:rsidR="1528C1BB">
        <w:rPr>
          <w:rFonts w:ascii="Calibri" w:hAnsi="Calibri" w:eastAsia="Calibri" w:cs="Calibri"/>
          <w:noProof w:val="0"/>
          <w:sz w:val="24"/>
          <w:szCs w:val="24"/>
          <w:lang w:val="en-GB"/>
        </w:rPr>
        <w:t xml:space="preserve"> reflective model. This model provides a clear framework for examining the curriculum design process, considering the significance of the learning gained and identifying how this experience will influence future curriculum development. The report therefore reflects both on the professional knowledge developed through designing the curriculum and on how critical self-evaluation has informed potential improvements to the curriculum proposal and future professional practice.</w:t>
      </w:r>
    </w:p>
    <w:p w:rsidR="1528C1BB" w:rsidP="731CD544" w:rsidRDefault="1528C1BB" w14:paraId="0C77B1AB" w14:textId="433B3941">
      <w:pPr>
        <w:pStyle w:val="Heading2"/>
      </w:pPr>
      <w:r w:rsidRPr="731CD544" w:rsidR="1528C1BB">
        <w:rPr>
          <w:noProof w:val="0"/>
          <w:lang w:val="en-GB"/>
        </w:rPr>
        <w:t>What?</w:t>
      </w:r>
    </w:p>
    <w:p w:rsidR="4B7A0FC6" w:rsidP="731CD544" w:rsidRDefault="4B7A0FC6" w14:paraId="494FD2C4" w14:textId="01595B1B">
      <w:pPr>
        <w:spacing w:before="240" w:beforeAutospacing="off" w:after="240" w:afterAutospacing="off" w:line="360" w:lineRule="auto"/>
      </w:pPr>
      <w:r w:rsidRPr="731CD544" w:rsidR="4B7A0FC6">
        <w:rPr>
          <w:rFonts w:ascii="Calibri" w:hAnsi="Calibri" w:eastAsia="Calibri" w:cs="Calibri"/>
          <w:noProof w:val="0"/>
          <w:sz w:val="24"/>
          <w:szCs w:val="24"/>
          <w:lang w:val="en-GB"/>
        </w:rPr>
        <w:t>Designing a curriculum proposal for a Level 3 Creative Media module was initially a challenging task. Although I had previous experience of planning individual lessons and schemes of work, I had not previously designed a complete curriculum from the initial identification of need through to assessment, benchmarking and implementation. At the beginning of the process, I found the assignment daunting because of the number of elements that needed to be considered simultaneously. Effective curriculum design required consideration of learner needs, educational theory, assessment design, professional standards, employability, progression routes and practical delivery, making it far more complex than I had initially anticipated.</w:t>
      </w:r>
    </w:p>
    <w:p w:rsidR="4B7A0FC6" w:rsidP="731CD544" w:rsidRDefault="4B7A0FC6" w14:paraId="183D09AF" w14:textId="2B259F6D">
      <w:pPr>
        <w:spacing w:before="240" w:beforeAutospacing="off" w:after="240" w:afterAutospacing="off" w:line="360" w:lineRule="auto"/>
      </w:pPr>
      <w:r w:rsidRPr="731CD544" w:rsidR="4B7A0FC6">
        <w:rPr>
          <w:rFonts w:ascii="Calibri" w:hAnsi="Calibri" w:eastAsia="Calibri" w:cs="Calibri"/>
          <w:noProof w:val="0"/>
          <w:sz w:val="24"/>
          <w:szCs w:val="24"/>
          <w:lang w:val="en-GB"/>
        </w:rPr>
        <w:t>Despite the scale of the task, identifying the focus of the curriculum proposal was one of the most straightforward aspects of the process. During my teaching placement within the UAL Level 3 Creative Media programme, I observed that learners completing the existing artist research project frequently selected well-known Hollywood or European filmmakers. While this met the requirements of the unit, it often resulted in learners researching the same small group of canonised directors and limited opportunities to engage with wider cinematic traditions. Having observed this pattern, I recognised an opportunity to broaden the curriculum by encouraging learners to explore filmmakers and national cinemas from underrepresented regions while maintaining the existing assessment criteria and learning outcomes.</w:t>
      </w:r>
    </w:p>
    <w:p w:rsidR="4B7A0FC6" w:rsidP="731CD544" w:rsidRDefault="4B7A0FC6" w14:paraId="7BAA9A27" w14:textId="7943D171">
      <w:pPr>
        <w:spacing w:before="240" w:beforeAutospacing="off" w:after="240" w:afterAutospacing="off" w:line="360" w:lineRule="auto"/>
      </w:pPr>
      <w:r w:rsidRPr="731CD544" w:rsidR="4B7A0FC6">
        <w:rPr>
          <w:rFonts w:ascii="Calibri" w:hAnsi="Calibri" w:eastAsia="Calibri" w:cs="Calibri"/>
          <w:noProof w:val="0"/>
          <w:sz w:val="24"/>
          <w:szCs w:val="24"/>
          <w:lang w:val="en-GB"/>
        </w:rPr>
        <w:t>As the curriculum developed, I became increasingly aware that designing a curriculum involved much more than selecting content. Every decision required justification through educational theory, professional standards and evidence from the literature. I found myself continually reviewing whether proposed learning activities, assessments and outcomes were appropriately aligned and whether they supported the knowledge and skills learners were expected to develop. This encouraged me to think more critically about curriculum planning than I had previously done and highlighted the importance of constructive alignment when designing learning experiences (Biggs, 1996).</w:t>
      </w:r>
    </w:p>
    <w:p w:rsidR="2499C9D4" w:rsidP="731CD544" w:rsidRDefault="2499C9D4" w14:paraId="07B1EC21" w14:textId="53294166">
      <w:pPr>
        <w:pStyle w:val="Heading2"/>
      </w:pPr>
      <w:r w:rsidRPr="731CD544" w:rsidR="2499C9D4">
        <w:rPr>
          <w:noProof w:val="0"/>
          <w:lang w:val="en-GB"/>
        </w:rPr>
        <w:t>So What?</w:t>
      </w:r>
    </w:p>
    <w:p w:rsidR="084F761E" w:rsidP="731CD544" w:rsidRDefault="084F761E" w14:paraId="4FA0289E" w14:textId="24B41FD8">
      <w:pPr>
        <w:spacing w:before="240" w:beforeAutospacing="off" w:after="240" w:afterAutospacing="off" w:line="360" w:lineRule="auto"/>
      </w:pPr>
      <w:r w:rsidRPr="731CD544" w:rsidR="084F761E">
        <w:rPr>
          <w:rFonts w:ascii="Calibri" w:hAnsi="Calibri" w:eastAsia="Calibri" w:cs="Calibri"/>
          <w:noProof w:val="0"/>
          <w:sz w:val="24"/>
          <w:szCs w:val="24"/>
          <w:lang w:val="en-GB"/>
        </w:rPr>
        <w:t>A key area for personal development identified through this process was the need to approach curriculum planning in a more structured way from the beginning. Although I developed a coherent rationale and aligned the module with relevant educational theory, I initially focused heavily on the subject content and the perceived need for change. Looking back, I could have established a clearer curriculum planning framework earlier by mapping existing unit requirements, learning outcomes, assessment criteria and professional standards before developing the new curriculum content. Tyler (1949) emphasises the importance of beginning curriculum development with clearly defined aims and objectives, while Biggs (1996) highlights that effective curriculum design requires alignment between intended outcomes, learning activities and assessment. This has shown me that a more systematic planning approach would have strengthened the proposal and reduced the need to revisit aspects of the curriculum later in the process.</w:t>
      </w:r>
    </w:p>
    <w:p w:rsidR="084F761E" w:rsidP="731CD544" w:rsidRDefault="084F761E" w14:paraId="3045FF0D" w14:textId="295714ED">
      <w:pPr>
        <w:spacing w:before="240" w:beforeAutospacing="off" w:after="240" w:afterAutospacing="off" w:line="360" w:lineRule="auto"/>
      </w:pPr>
      <w:r w:rsidRPr="731CD544" w:rsidR="084F761E">
        <w:rPr>
          <w:rFonts w:ascii="Calibri" w:hAnsi="Calibri" w:eastAsia="Calibri" w:cs="Calibri"/>
          <w:noProof w:val="0"/>
          <w:sz w:val="24"/>
          <w:szCs w:val="24"/>
          <w:lang w:val="en-GB"/>
        </w:rPr>
        <w:t>I also recognised that my initial understanding of benchmarking and professional frameworks was developing. While I incorporated relevant standards and qualification expectations, I did not initially explore how these frameworks could shape curriculum decisions from the outset. The QAA (2023) Subject Benchmark Statements demonstrate the value of connecting curriculum design with expectations for disciplinary knowledge, skills development and progression. Similarly, the Welsh Government (2023) Professional Standards highlight the responsibility of FE practitioners to maintain professional knowledge and develop inclusive learning experiences. In future curriculum planning, I would engage with these frameworks earlier to ensure that curriculum decisions are informed by both learner needs and wider sector expectations.</w:t>
      </w:r>
    </w:p>
    <w:p w:rsidR="084F761E" w:rsidP="731CD544" w:rsidRDefault="084F761E" w14:paraId="4275B523" w14:textId="1B52CDD7">
      <w:pPr>
        <w:spacing w:before="240" w:beforeAutospacing="off" w:after="240" w:afterAutospacing="off" w:line="360" w:lineRule="auto"/>
      </w:pPr>
      <w:r w:rsidRPr="731CD544" w:rsidR="084F761E">
        <w:rPr>
          <w:rFonts w:ascii="Calibri" w:hAnsi="Calibri" w:eastAsia="Calibri" w:cs="Calibri"/>
          <w:noProof w:val="0"/>
          <w:sz w:val="24"/>
          <w:szCs w:val="24"/>
          <w:lang w:val="en-GB"/>
        </w:rPr>
        <w:t>The process also made me reflect on the limitations of developing a curriculum independently. Although self-evaluation against the peer review criteria provided an opportunity to critically examine my work, the absence of external feedback meant that some assumptions could not be tested through alternative perspectives. Brookfield (2017) argues that critically reflective practitioners benefit from considering multiple viewpoints, including feedback from colleagues and learners, as this can challenge existing assumptions and reveal areas for improvement. In future curriculum development, I would seek feedback at earlier stages from peers, subject specialists and learners to support a more collaborative design process.</w:t>
      </w:r>
    </w:p>
    <w:p w:rsidR="084F761E" w:rsidP="731CD544" w:rsidRDefault="084F761E" w14:paraId="6353821E" w14:textId="5211BBA8">
      <w:pPr>
        <w:spacing w:before="240" w:beforeAutospacing="off" w:after="240" w:afterAutospacing="off" w:line="360" w:lineRule="auto"/>
      </w:pPr>
      <w:r w:rsidRPr="731CD544" w:rsidR="084F761E">
        <w:rPr>
          <w:rFonts w:ascii="Calibri" w:hAnsi="Calibri" w:eastAsia="Calibri" w:cs="Calibri"/>
          <w:noProof w:val="0"/>
          <w:sz w:val="24"/>
          <w:szCs w:val="24"/>
          <w:lang w:val="en-GB"/>
        </w:rPr>
        <w:t>Another area for improvement was the extent of supporting documentation produced alongside the proposal. While the lesson plans demonstrated how the module could be delivered, additional resources such as curriculum mapping, assessment guidance and evaluation methods would have provided stronger evidence of how the curriculum could operate in practice. Race (2020) highlights the importance of clear planning, assessment design and feedback processes in supporting effective learning. This reinforced my understanding that curriculum documentation is not simply evidence for assessment purposes, but a practical tool that supports consistency, communication and ongoing evaluation of provision.</w:t>
      </w:r>
    </w:p>
    <w:p w:rsidR="084F761E" w:rsidP="731CD544" w:rsidRDefault="084F761E" w14:paraId="42E0071F" w14:textId="4095BE06">
      <w:pPr>
        <w:pStyle w:val="Heading2"/>
      </w:pPr>
      <w:r w:rsidRPr="731CD544" w:rsidR="084F761E">
        <w:rPr>
          <w:noProof w:val="0"/>
          <w:lang w:val="en-GB"/>
        </w:rPr>
        <w:t>Now what?</w:t>
      </w:r>
    </w:p>
    <w:p w:rsidR="2501D864" w:rsidP="731CD544" w:rsidRDefault="2501D864" w14:paraId="3BC17A8C" w14:textId="70735F27">
      <w:pPr>
        <w:spacing w:before="240" w:beforeAutospacing="off" w:after="240" w:afterAutospacing="off" w:line="360" w:lineRule="auto"/>
      </w:pPr>
      <w:r w:rsidRPr="731CD544" w:rsidR="2501D864">
        <w:rPr>
          <w:rFonts w:ascii="Calibri" w:hAnsi="Calibri" w:eastAsia="Calibri" w:cs="Calibri"/>
          <w:noProof w:val="0"/>
          <w:sz w:val="24"/>
          <w:szCs w:val="24"/>
          <w:lang w:val="en-GB"/>
        </w:rPr>
        <w:t>This reflective process has identified several actions that will inform my future approach to curriculum development and teaching practice. The most significant change will be adopting a more systematic approach to curriculum planning from the outset. In future, I will begin curriculum development by mapping learner needs, qualification requirements, professional standards, intended learning outcomes and assessment activities before developing detailed content. This will support greater coherence between the different elements of curriculum design and ensure that learning experiences are purposeful. Tyler (1949) highlights the importance of clearly defined objectives when developing curricula, while Biggs (1996) argues that effective teaching requires constructive alignment between intended learning outcomes, learning activities and assessment. Applying these principles earlier in the planning process will allow me to develop curricula that are more structured and evidence-informed.</w:t>
      </w:r>
    </w:p>
    <w:p w:rsidR="2501D864" w:rsidP="731CD544" w:rsidRDefault="2501D864" w14:paraId="5BE9B987" w14:textId="687BCEDC">
      <w:pPr>
        <w:spacing w:before="240" w:beforeAutospacing="off" w:after="240" w:afterAutospacing="off" w:line="360" w:lineRule="auto"/>
      </w:pPr>
      <w:r w:rsidRPr="731CD544" w:rsidR="2501D864">
        <w:rPr>
          <w:rFonts w:ascii="Calibri" w:hAnsi="Calibri" w:eastAsia="Calibri" w:cs="Calibri"/>
          <w:noProof w:val="0"/>
          <w:sz w:val="24"/>
          <w:szCs w:val="24"/>
          <w:lang w:val="en-GB"/>
        </w:rPr>
        <w:t>I will also continue to develop my understanding of professional frameworks and subject-specific expectations. This process highlighted that benchmarking statements and professional standards should not simply be used to validate curriculum decisions after they have been made, but should actively inform curriculum development from the beginning. The QAA (2023) Subject Benchmark Statements provide a framework for understanding expected disciplinary knowledge, skills and progression within higher education, while the Welsh Government (2023) Professional Standards emphasise the importance of maintaining professional knowledge and using inclusive approaches to support learners. Engaging with these frameworks earlier will enable me to make stronger connections between curriculum content, learner progression and wider sector expectations.</w:t>
      </w:r>
    </w:p>
    <w:p w:rsidR="2501D864" w:rsidP="731CD544" w:rsidRDefault="2501D864" w14:paraId="71A51FCE" w14:textId="5ECE19EB">
      <w:pPr>
        <w:spacing w:before="240" w:beforeAutospacing="off" w:after="240" w:afterAutospacing="off" w:line="360" w:lineRule="auto"/>
      </w:pPr>
      <w:r w:rsidRPr="731CD544" w:rsidR="2501D864">
        <w:rPr>
          <w:rFonts w:ascii="Calibri" w:hAnsi="Calibri" w:eastAsia="Calibri" w:cs="Calibri"/>
          <w:noProof w:val="0"/>
          <w:sz w:val="24"/>
          <w:szCs w:val="24"/>
          <w:lang w:val="en-GB"/>
        </w:rPr>
        <w:t>A further action will be to increase opportunities for collaboration and external feedback during curriculum development. Although self-reflection enabled me to identify areas for improvement, this process also demonstrated the limitations of relying solely on my own evaluation. Brookfield (2017) argues that critical reflection is strengthened when practitioners consider multiple perspectives, including those of colleagues and learners, as these perspectives can challenge assumptions and support professional growth. In future curriculum projects, I will seek feedback at earlier stages through peer discussion, learner consultation and collaboration with subject specialists to support more robust decision-making.</w:t>
      </w:r>
    </w:p>
    <w:p w:rsidR="2501D864" w:rsidP="731CD544" w:rsidRDefault="2501D864" w14:paraId="2A87B7A8" w14:textId="5B6B9106">
      <w:pPr>
        <w:spacing w:before="240" w:beforeAutospacing="off" w:after="240" w:afterAutospacing="off" w:line="360" w:lineRule="auto"/>
      </w:pPr>
      <w:r w:rsidRPr="731CD544" w:rsidR="2501D864">
        <w:rPr>
          <w:rFonts w:ascii="Calibri" w:hAnsi="Calibri" w:eastAsia="Calibri" w:cs="Calibri"/>
          <w:noProof w:val="0"/>
          <w:sz w:val="24"/>
          <w:szCs w:val="24"/>
          <w:lang w:val="en-GB"/>
        </w:rPr>
        <w:t>I will also place greater emphasis on evaluating the impact of curriculum changes after implementation. Developing this proposal highlighted that a curriculum cannot be judged solely by the quality of its design; its effectiveness must be considered through evidence of learner engagement, achievement and experience. Race (2020) emphasises the importance of using assessment, feedback and evaluation to support ongoing improvement in teaching and learning. Therefore, future curriculum development will include planned opportunities for learner feedback, review of assessment outcomes and reflective evaluation to identify whether intended aims have been achieved.</w:t>
      </w:r>
    </w:p>
    <w:p w:rsidR="2501D864" w:rsidP="731CD544" w:rsidRDefault="2501D864" w14:paraId="14624321" w14:textId="170EAEFE">
      <w:pPr>
        <w:spacing w:before="240" w:beforeAutospacing="off" w:after="240" w:afterAutospacing="off" w:line="360" w:lineRule="auto"/>
      </w:pPr>
      <w:r w:rsidRPr="731CD544" w:rsidR="2501D864">
        <w:rPr>
          <w:rFonts w:ascii="Calibri" w:hAnsi="Calibri" w:eastAsia="Calibri" w:cs="Calibri"/>
          <w:noProof w:val="0"/>
          <w:sz w:val="24"/>
          <w:szCs w:val="24"/>
          <w:lang w:val="en-GB"/>
        </w:rPr>
        <w:t xml:space="preserve">Overall, this experience has reinforced that curriculum development is an ongoing reflective process requiring continual adaptation. Schön (1983) suggests that professional learning occurs through reflection on practice, enabling practitioners to adjust and improve future action. This has encouraged me to view curriculum design as an evolving process rather than a completed product. By applying a more structured planning approach, engaging with professional frameworks earlier, seeking collaborative feedback and evaluating outcomes systematically, I will continue to develop as an FE practitioner capable of designing responsive, </w:t>
      </w:r>
      <w:r w:rsidRPr="731CD544" w:rsidR="2501D864">
        <w:rPr>
          <w:rFonts w:ascii="Calibri" w:hAnsi="Calibri" w:eastAsia="Calibri" w:cs="Calibri"/>
          <w:noProof w:val="0"/>
          <w:sz w:val="24"/>
          <w:szCs w:val="24"/>
          <w:lang w:val="en-GB"/>
        </w:rPr>
        <w:t>inclusive</w:t>
      </w:r>
      <w:r w:rsidRPr="731CD544" w:rsidR="2501D864">
        <w:rPr>
          <w:rFonts w:ascii="Calibri" w:hAnsi="Calibri" w:eastAsia="Calibri" w:cs="Calibri"/>
          <w:noProof w:val="0"/>
          <w:sz w:val="24"/>
          <w:szCs w:val="24"/>
          <w:lang w:val="en-GB"/>
        </w:rPr>
        <w:t xml:space="preserve"> and effective learning experiences.</w:t>
      </w:r>
    </w:p>
    <w:p w:rsidR="2501D864" w:rsidP="731CD544" w:rsidRDefault="2501D864" w14:paraId="16B0FDF4" w14:textId="79DB52D5">
      <w:pPr>
        <w:spacing w:before="240" w:beforeAutospacing="off" w:after="240" w:afterAutospacing="off" w:line="360" w:lineRule="auto"/>
      </w:pPr>
      <w:r w:rsidRPr="731CD544" w:rsidR="2501D864">
        <w:rPr>
          <w:rFonts w:ascii="Calibri" w:hAnsi="Calibri" w:eastAsia="Calibri" w:cs="Calibri"/>
          <w:noProof w:val="0"/>
          <w:sz w:val="24"/>
          <w:szCs w:val="24"/>
          <w:lang w:val="en-GB"/>
        </w:rPr>
        <w:t>Word count: 1458</w:t>
      </w:r>
    </w:p>
    <w:p w:rsidR="1528C1BB" w:rsidP="731CD544" w:rsidRDefault="1528C1BB" w14:paraId="2804054F" w14:textId="2A429C98">
      <w:pPr>
        <w:spacing w:before="240" w:beforeAutospacing="off" w:after="240" w:afterAutospacing="off" w:line="360" w:lineRule="auto"/>
      </w:pPr>
      <w:r w:rsidRPr="731CD544" w:rsidR="1528C1BB">
        <w:rPr>
          <w:rFonts w:ascii="Calibri" w:hAnsi="Calibri" w:eastAsia="Calibri" w:cs="Calibri"/>
          <w:noProof w:val="0"/>
          <w:sz w:val="24"/>
          <w:szCs w:val="24"/>
          <w:lang w:val="en-GB"/>
        </w:rPr>
        <w:t>Reference List</w:t>
      </w:r>
    </w:p>
    <w:p w:rsidR="7DD07909" w:rsidP="731CD544" w:rsidRDefault="7DD07909" w14:paraId="1CA9CC2E" w14:textId="273C444C">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Biggs, J. (1996) ‘Enhancing teaching through constructive alignment’, </w:t>
      </w:r>
      <w:r w:rsidRPr="731CD544" w:rsidR="7DD07909">
        <w:rPr>
          <w:rFonts w:ascii="Calibri" w:hAnsi="Calibri" w:eastAsia="Calibri" w:cs="Calibri"/>
          <w:i w:val="1"/>
          <w:iCs w:val="1"/>
          <w:noProof w:val="0"/>
          <w:sz w:val="24"/>
          <w:szCs w:val="24"/>
          <w:lang w:val="en-GB"/>
        </w:rPr>
        <w:t>Higher Education</w:t>
      </w:r>
      <w:r w:rsidRPr="731CD544" w:rsidR="7DD07909">
        <w:rPr>
          <w:rFonts w:ascii="Calibri" w:hAnsi="Calibri" w:eastAsia="Calibri" w:cs="Calibri"/>
          <w:noProof w:val="0"/>
          <w:sz w:val="24"/>
          <w:szCs w:val="24"/>
          <w:lang w:val="en-GB"/>
        </w:rPr>
        <w:t>, 32(3), pp. 347–364.</w:t>
      </w:r>
    </w:p>
    <w:p w:rsidR="7DD07909" w:rsidP="731CD544" w:rsidRDefault="7DD07909" w14:paraId="15D60C45" w14:textId="2A662309">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Brookfield, S.D. (2017) </w:t>
      </w:r>
      <w:r w:rsidRPr="731CD544" w:rsidR="7DD07909">
        <w:rPr>
          <w:rFonts w:ascii="Calibri" w:hAnsi="Calibri" w:eastAsia="Calibri" w:cs="Calibri"/>
          <w:i w:val="1"/>
          <w:iCs w:val="1"/>
          <w:noProof w:val="0"/>
          <w:sz w:val="24"/>
          <w:szCs w:val="24"/>
          <w:lang w:val="en-GB"/>
        </w:rPr>
        <w:t>Becoming a Critically Reflective Teacher</w:t>
      </w:r>
      <w:r w:rsidRPr="731CD544" w:rsidR="7DD07909">
        <w:rPr>
          <w:rFonts w:ascii="Calibri" w:hAnsi="Calibri" w:eastAsia="Calibri" w:cs="Calibri"/>
          <w:noProof w:val="0"/>
          <w:sz w:val="24"/>
          <w:szCs w:val="24"/>
          <w:lang w:val="en-GB"/>
        </w:rPr>
        <w:t>. 2nd edn. San Francisco: Jossey-Bass.</w:t>
      </w:r>
    </w:p>
    <w:p w:rsidR="7DD07909" w:rsidP="731CD544" w:rsidRDefault="7DD07909" w14:paraId="3620A3E2" w14:textId="63992D02">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QAA (2023) </w:t>
      </w:r>
      <w:r w:rsidRPr="731CD544" w:rsidR="7DD07909">
        <w:rPr>
          <w:rFonts w:ascii="Calibri" w:hAnsi="Calibri" w:eastAsia="Calibri" w:cs="Calibri"/>
          <w:i w:val="1"/>
          <w:iCs w:val="1"/>
          <w:noProof w:val="0"/>
          <w:sz w:val="24"/>
          <w:szCs w:val="24"/>
          <w:lang w:val="en-GB"/>
        </w:rPr>
        <w:t>Subject Benchmark Statement: Communication, Media, Film and Cultural Studies</w:t>
      </w:r>
      <w:r w:rsidRPr="731CD544" w:rsidR="7DD07909">
        <w:rPr>
          <w:rFonts w:ascii="Calibri" w:hAnsi="Calibri" w:eastAsia="Calibri" w:cs="Calibri"/>
          <w:noProof w:val="0"/>
          <w:sz w:val="24"/>
          <w:szCs w:val="24"/>
          <w:lang w:val="en-GB"/>
        </w:rPr>
        <w:t>. Gloucester: Quality Assurance Agency for Higher Education.</w:t>
      </w:r>
    </w:p>
    <w:p w:rsidR="7DD07909" w:rsidP="731CD544" w:rsidRDefault="7DD07909" w14:paraId="3CF63206" w14:textId="38253B3D">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Race, P. (2020) </w:t>
      </w:r>
      <w:r w:rsidRPr="731CD544" w:rsidR="7DD07909">
        <w:rPr>
          <w:rFonts w:ascii="Calibri" w:hAnsi="Calibri" w:eastAsia="Calibri" w:cs="Calibri"/>
          <w:i w:val="1"/>
          <w:iCs w:val="1"/>
          <w:noProof w:val="0"/>
          <w:sz w:val="24"/>
          <w:szCs w:val="24"/>
          <w:lang w:val="en-GB"/>
        </w:rPr>
        <w:t>The Lecturer’s Toolkit: A Practical Guide to Assessment, Learning and Teaching</w:t>
      </w:r>
      <w:r w:rsidRPr="731CD544" w:rsidR="7DD07909">
        <w:rPr>
          <w:rFonts w:ascii="Calibri" w:hAnsi="Calibri" w:eastAsia="Calibri" w:cs="Calibri"/>
          <w:noProof w:val="0"/>
          <w:sz w:val="24"/>
          <w:szCs w:val="24"/>
          <w:lang w:val="en-GB"/>
        </w:rPr>
        <w:t>. 5th edn. Abingdon: Routledge.</w:t>
      </w:r>
    </w:p>
    <w:p w:rsidR="7DD07909" w:rsidP="731CD544" w:rsidRDefault="7DD07909" w14:paraId="0CAD38DB" w14:textId="6499BC1D">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Rolfe, G., Freshwater, D. and Jasper, M. (2001) </w:t>
      </w:r>
      <w:r w:rsidRPr="731CD544" w:rsidR="7DD07909">
        <w:rPr>
          <w:rFonts w:ascii="Calibri" w:hAnsi="Calibri" w:eastAsia="Calibri" w:cs="Calibri"/>
          <w:i w:val="1"/>
          <w:iCs w:val="1"/>
          <w:noProof w:val="0"/>
          <w:sz w:val="24"/>
          <w:szCs w:val="24"/>
          <w:lang w:val="en-GB"/>
        </w:rPr>
        <w:t>Critical Reflection for Nursing and the Helping Professions: A User's Guide</w:t>
      </w:r>
      <w:r w:rsidRPr="731CD544" w:rsidR="7DD07909">
        <w:rPr>
          <w:rFonts w:ascii="Calibri" w:hAnsi="Calibri" w:eastAsia="Calibri" w:cs="Calibri"/>
          <w:noProof w:val="0"/>
          <w:sz w:val="24"/>
          <w:szCs w:val="24"/>
          <w:lang w:val="en-GB"/>
        </w:rPr>
        <w:t>. Basingstoke: Palgrave Macmillan.</w:t>
      </w:r>
    </w:p>
    <w:p w:rsidR="7DD07909" w:rsidP="731CD544" w:rsidRDefault="7DD07909" w14:paraId="25992804" w14:textId="4E718240">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Schön, D.A. (1983) </w:t>
      </w:r>
      <w:r w:rsidRPr="731CD544" w:rsidR="7DD07909">
        <w:rPr>
          <w:rFonts w:ascii="Calibri" w:hAnsi="Calibri" w:eastAsia="Calibri" w:cs="Calibri"/>
          <w:i w:val="1"/>
          <w:iCs w:val="1"/>
          <w:noProof w:val="0"/>
          <w:sz w:val="24"/>
          <w:szCs w:val="24"/>
          <w:lang w:val="en-GB"/>
        </w:rPr>
        <w:t>The Reflective Practitioner: How Professionals Think in Action</w:t>
      </w:r>
      <w:r w:rsidRPr="731CD544" w:rsidR="7DD07909">
        <w:rPr>
          <w:rFonts w:ascii="Calibri" w:hAnsi="Calibri" w:eastAsia="Calibri" w:cs="Calibri"/>
          <w:noProof w:val="0"/>
          <w:sz w:val="24"/>
          <w:szCs w:val="24"/>
          <w:lang w:val="en-GB"/>
        </w:rPr>
        <w:t>. New York: Basic Books.</w:t>
      </w:r>
    </w:p>
    <w:p w:rsidR="7DD07909" w:rsidP="731CD544" w:rsidRDefault="7DD07909" w14:paraId="05BBBF47" w14:textId="25AA043A">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Tyler, R.W. (1949) </w:t>
      </w:r>
      <w:r w:rsidRPr="731CD544" w:rsidR="7DD07909">
        <w:rPr>
          <w:rFonts w:ascii="Calibri" w:hAnsi="Calibri" w:eastAsia="Calibri" w:cs="Calibri"/>
          <w:i w:val="1"/>
          <w:iCs w:val="1"/>
          <w:noProof w:val="0"/>
          <w:sz w:val="24"/>
          <w:szCs w:val="24"/>
          <w:lang w:val="en-GB"/>
        </w:rPr>
        <w:t>Basic Principles of Curriculum and Instruction</w:t>
      </w:r>
      <w:r w:rsidRPr="731CD544" w:rsidR="7DD07909">
        <w:rPr>
          <w:rFonts w:ascii="Calibri" w:hAnsi="Calibri" w:eastAsia="Calibri" w:cs="Calibri"/>
          <w:noProof w:val="0"/>
          <w:sz w:val="24"/>
          <w:szCs w:val="24"/>
          <w:lang w:val="en-GB"/>
        </w:rPr>
        <w:t>. Chicago: University of Chicago Press.</w:t>
      </w:r>
    </w:p>
    <w:p w:rsidR="7DD07909" w:rsidP="731CD544" w:rsidRDefault="7DD07909" w14:paraId="637E937E" w14:textId="426C269D">
      <w:pPr>
        <w:spacing w:before="240" w:beforeAutospacing="off" w:after="240" w:afterAutospacing="off" w:line="360" w:lineRule="auto"/>
      </w:pPr>
      <w:r w:rsidRPr="731CD544" w:rsidR="7DD07909">
        <w:rPr>
          <w:rFonts w:ascii="Calibri" w:hAnsi="Calibri" w:eastAsia="Calibri" w:cs="Calibri"/>
          <w:noProof w:val="0"/>
          <w:sz w:val="24"/>
          <w:szCs w:val="24"/>
          <w:lang w:val="en-GB"/>
        </w:rPr>
        <w:t xml:space="preserve">Welsh Government (2023) </w:t>
      </w:r>
      <w:r w:rsidRPr="731CD544" w:rsidR="7DD07909">
        <w:rPr>
          <w:rFonts w:ascii="Calibri" w:hAnsi="Calibri" w:eastAsia="Calibri" w:cs="Calibri"/>
          <w:i w:val="1"/>
          <w:iCs w:val="1"/>
          <w:noProof w:val="0"/>
          <w:sz w:val="24"/>
          <w:szCs w:val="24"/>
          <w:lang w:val="en-GB"/>
        </w:rPr>
        <w:t>Professional Standards for Further Education Teachers and Learning Support Workers in Wales</w:t>
      </w:r>
      <w:r w:rsidRPr="731CD544" w:rsidR="7DD07909">
        <w:rPr>
          <w:rFonts w:ascii="Calibri" w:hAnsi="Calibri" w:eastAsia="Calibri" w:cs="Calibri"/>
          <w:noProof w:val="0"/>
          <w:sz w:val="24"/>
          <w:szCs w:val="24"/>
          <w:lang w:val="en-GB"/>
        </w:rPr>
        <w:t>. Cardiff: Welsh Government.</w:t>
      </w:r>
    </w:p>
    <w:p w:rsidR="731CD544" w:rsidP="731CD544" w:rsidRDefault="731CD544" w14:paraId="5050EDD2" w14:textId="765898AD">
      <w:pPr>
        <w:pStyle w:val="Normal"/>
        <w:spacing w:before="240" w:beforeAutospacing="off" w:after="240" w:afterAutospacing="off"/>
        <w:rPr>
          <w:rFonts w:ascii="Calibri" w:hAnsi="Calibri" w:eastAsia="Calibri" w:cs="Calibri"/>
          <w:noProof w:val="0"/>
          <w:sz w:val="24"/>
          <w:szCs w:val="24"/>
          <w:lang w:val="en-GB"/>
        </w:rPr>
      </w:pPr>
    </w:p>
    <w:p w:rsidR="731CD544" w:rsidRDefault="731CD544" w14:paraId="0430B71A" w14:textId="0F4569A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867261"/>
    <w:rsid w:val="04867261"/>
    <w:rsid w:val="084F761E"/>
    <w:rsid w:val="0BFA37ED"/>
    <w:rsid w:val="136FC0E5"/>
    <w:rsid w:val="1528C1BB"/>
    <w:rsid w:val="2499C9D4"/>
    <w:rsid w:val="2501D864"/>
    <w:rsid w:val="2CA2A50C"/>
    <w:rsid w:val="2D29DD92"/>
    <w:rsid w:val="32CD9CF6"/>
    <w:rsid w:val="332EE735"/>
    <w:rsid w:val="332EE735"/>
    <w:rsid w:val="3B098547"/>
    <w:rsid w:val="43A5C08D"/>
    <w:rsid w:val="4B7A0FC6"/>
    <w:rsid w:val="533E0DF7"/>
    <w:rsid w:val="571574DD"/>
    <w:rsid w:val="5A969368"/>
    <w:rsid w:val="626AF09B"/>
    <w:rsid w:val="64B5D457"/>
    <w:rsid w:val="6684A874"/>
    <w:rsid w:val="6D89C226"/>
    <w:rsid w:val="731CD544"/>
    <w:rsid w:val="732D34D6"/>
    <w:rsid w:val="7585DB38"/>
    <w:rsid w:val="7AD15E90"/>
    <w:rsid w:val="7DD07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0080B"/>
  <w15:chartTrackingRefBased/>
  <w15:docId w15:val="{BBB167E3-7F07-4F56-B041-6F1273F798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31CD5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31CD5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31CD54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187775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Heymann (1906811)</dc:creator>
  <keywords/>
  <dc:description/>
  <lastModifiedBy>Erin Heymann (1906811)</lastModifiedBy>
  <revision>2</revision>
  <dcterms:created xsi:type="dcterms:W3CDTF">2026-07-27T18:06:01.2082251Z</dcterms:created>
  <dcterms:modified xsi:type="dcterms:W3CDTF">2026-07-27T18:41:29.9924882Z</dcterms:modified>
</coreProperties>
</file>