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744EE" w14:textId="50A5911E" w:rsidR="00A536CE" w:rsidRPr="00A536CE" w:rsidRDefault="00A536CE" w:rsidP="00A536CE">
      <w:pPr>
        <w:jc w:val="center"/>
        <w:rPr>
          <w:rFonts w:ascii="Arial" w:hAnsi="Arial" w:cs="Arial"/>
          <w:sz w:val="36"/>
          <w:szCs w:val="36"/>
          <w:u w:val="single"/>
        </w:rPr>
      </w:pPr>
      <w:r w:rsidRPr="00A536CE">
        <w:rPr>
          <w:rFonts w:ascii="Arial" w:hAnsi="Arial" w:cs="Arial"/>
          <w:sz w:val="36"/>
          <w:szCs w:val="36"/>
          <w:u w:val="single"/>
        </w:rPr>
        <w:t>International Financial Management</w:t>
      </w:r>
    </w:p>
    <w:p w14:paraId="39B4736E" w14:textId="77777777" w:rsidR="00A536CE" w:rsidRPr="00A536CE" w:rsidRDefault="00A536CE" w:rsidP="00A536CE">
      <w:pPr>
        <w:jc w:val="center"/>
        <w:rPr>
          <w:rFonts w:ascii="Arial" w:hAnsi="Arial" w:cs="Arial"/>
          <w:sz w:val="36"/>
          <w:szCs w:val="36"/>
          <w:u w:val="single"/>
        </w:rPr>
      </w:pPr>
    </w:p>
    <w:p w14:paraId="3FAC5170" w14:textId="3FBC6DAE" w:rsidR="00A536CE" w:rsidRPr="00A536CE" w:rsidRDefault="00A536CE" w:rsidP="00A536CE">
      <w:pPr>
        <w:jc w:val="center"/>
        <w:rPr>
          <w:rFonts w:ascii="Arial" w:hAnsi="Arial" w:cs="Arial"/>
          <w:sz w:val="36"/>
          <w:szCs w:val="36"/>
          <w:u w:val="single"/>
        </w:rPr>
      </w:pPr>
      <w:r w:rsidRPr="00A536CE">
        <w:rPr>
          <w:rFonts w:ascii="Arial" w:hAnsi="Arial" w:cs="Arial"/>
          <w:sz w:val="36"/>
          <w:szCs w:val="36"/>
          <w:u w:val="single"/>
        </w:rPr>
        <w:t>LCBB6002</w:t>
      </w:r>
    </w:p>
    <w:p w14:paraId="2326803C" w14:textId="77777777" w:rsidR="00A536CE" w:rsidRDefault="00A536CE" w:rsidP="00A536CE">
      <w:pPr>
        <w:jc w:val="center"/>
        <w:rPr>
          <w:rFonts w:ascii="Arial" w:hAnsi="Arial" w:cs="Arial"/>
          <w:sz w:val="36"/>
          <w:szCs w:val="36"/>
        </w:rPr>
      </w:pPr>
    </w:p>
    <w:p w14:paraId="0803687F" w14:textId="77777777" w:rsidR="00A536CE" w:rsidRDefault="00A536CE" w:rsidP="00A536CE">
      <w:pPr>
        <w:jc w:val="center"/>
        <w:rPr>
          <w:rFonts w:ascii="Arial" w:hAnsi="Arial" w:cs="Arial"/>
          <w:sz w:val="36"/>
          <w:szCs w:val="36"/>
        </w:rPr>
      </w:pPr>
    </w:p>
    <w:p w14:paraId="2E3BFF13" w14:textId="77777777" w:rsidR="00A536CE" w:rsidRDefault="00A536CE" w:rsidP="00A536CE">
      <w:pPr>
        <w:jc w:val="center"/>
        <w:rPr>
          <w:rFonts w:ascii="Arial" w:hAnsi="Arial" w:cs="Arial"/>
          <w:sz w:val="36"/>
          <w:szCs w:val="36"/>
        </w:rPr>
      </w:pPr>
    </w:p>
    <w:p w14:paraId="1D8A6CFE" w14:textId="77777777" w:rsidR="00A536CE" w:rsidRDefault="00A536CE" w:rsidP="00A536CE">
      <w:pPr>
        <w:jc w:val="center"/>
        <w:rPr>
          <w:rFonts w:ascii="Arial" w:hAnsi="Arial" w:cs="Arial"/>
          <w:sz w:val="36"/>
          <w:szCs w:val="36"/>
        </w:rPr>
      </w:pPr>
    </w:p>
    <w:p w14:paraId="7D6DFD0B" w14:textId="77777777" w:rsidR="00A536CE" w:rsidRDefault="00A536CE" w:rsidP="00A536CE">
      <w:pPr>
        <w:jc w:val="center"/>
        <w:rPr>
          <w:rFonts w:ascii="Arial" w:hAnsi="Arial" w:cs="Arial"/>
          <w:sz w:val="36"/>
          <w:szCs w:val="36"/>
        </w:rPr>
      </w:pPr>
    </w:p>
    <w:p w14:paraId="0FE7356A" w14:textId="77777777" w:rsidR="00A536CE" w:rsidRDefault="00A536CE" w:rsidP="00A536CE">
      <w:pPr>
        <w:jc w:val="center"/>
        <w:rPr>
          <w:rFonts w:ascii="Arial" w:hAnsi="Arial" w:cs="Arial"/>
          <w:sz w:val="36"/>
          <w:szCs w:val="36"/>
        </w:rPr>
      </w:pPr>
    </w:p>
    <w:p w14:paraId="0079DB5B" w14:textId="77777777" w:rsidR="005A04EC" w:rsidRDefault="005A04EC" w:rsidP="00A536CE">
      <w:pPr>
        <w:jc w:val="center"/>
        <w:rPr>
          <w:rFonts w:ascii="Arial" w:hAnsi="Arial" w:cs="Arial"/>
          <w:sz w:val="36"/>
          <w:szCs w:val="36"/>
        </w:rPr>
      </w:pPr>
    </w:p>
    <w:p w14:paraId="321583CA" w14:textId="2FA74C9F" w:rsidR="00A536CE" w:rsidRPr="005A04EC" w:rsidRDefault="00A536CE" w:rsidP="00A536CE">
      <w:pPr>
        <w:jc w:val="center"/>
        <w:rPr>
          <w:rFonts w:ascii="Arial" w:hAnsi="Arial" w:cs="Arial"/>
          <w:b/>
          <w:bCs/>
          <w:sz w:val="36"/>
          <w:szCs w:val="36"/>
        </w:rPr>
      </w:pPr>
      <w:r w:rsidRPr="005A04EC">
        <w:rPr>
          <w:rFonts w:ascii="Arial" w:hAnsi="Arial" w:cs="Arial"/>
          <w:b/>
          <w:bCs/>
          <w:sz w:val="36"/>
          <w:szCs w:val="36"/>
        </w:rPr>
        <w:t>Assessment 1</w:t>
      </w:r>
    </w:p>
    <w:p w14:paraId="10F26086" w14:textId="77777777" w:rsidR="00A536CE" w:rsidRDefault="00A536CE" w:rsidP="00A536CE">
      <w:pPr>
        <w:jc w:val="center"/>
        <w:rPr>
          <w:rFonts w:ascii="Arial" w:hAnsi="Arial" w:cs="Arial"/>
          <w:sz w:val="36"/>
          <w:szCs w:val="36"/>
        </w:rPr>
      </w:pPr>
    </w:p>
    <w:p w14:paraId="36932D45" w14:textId="77777777" w:rsidR="00A536CE" w:rsidRDefault="00A536CE" w:rsidP="00A536CE">
      <w:pPr>
        <w:jc w:val="center"/>
        <w:rPr>
          <w:rFonts w:ascii="Arial" w:hAnsi="Arial" w:cs="Arial"/>
          <w:sz w:val="36"/>
          <w:szCs w:val="36"/>
        </w:rPr>
      </w:pPr>
    </w:p>
    <w:p w14:paraId="5719FDDC" w14:textId="77777777" w:rsidR="00A536CE" w:rsidRDefault="00A536CE" w:rsidP="00A536CE">
      <w:pPr>
        <w:jc w:val="center"/>
        <w:rPr>
          <w:rFonts w:ascii="Arial" w:hAnsi="Arial" w:cs="Arial"/>
          <w:sz w:val="36"/>
          <w:szCs w:val="36"/>
        </w:rPr>
      </w:pPr>
    </w:p>
    <w:p w14:paraId="74A0C7B2" w14:textId="3CB08DEB" w:rsidR="00A536CE" w:rsidRDefault="004659DB" w:rsidP="00A536CE">
      <w:pPr>
        <w:jc w:val="center"/>
        <w:rPr>
          <w:rFonts w:ascii="Arial" w:hAnsi="Arial" w:cs="Arial"/>
          <w:b/>
          <w:bCs/>
          <w:sz w:val="36"/>
          <w:szCs w:val="36"/>
        </w:rPr>
      </w:pPr>
      <w:r>
        <w:rPr>
          <w:rFonts w:ascii="Arial" w:hAnsi="Arial" w:cs="Arial"/>
          <w:b/>
          <w:bCs/>
          <w:sz w:val="36"/>
          <w:szCs w:val="36"/>
        </w:rPr>
        <w:t>Managing Foreign Exchange Risks</w:t>
      </w:r>
    </w:p>
    <w:p w14:paraId="74C875C5" w14:textId="77777777" w:rsidR="005A04EC" w:rsidRPr="005A04EC" w:rsidRDefault="005A04EC" w:rsidP="00A536CE">
      <w:pPr>
        <w:jc w:val="center"/>
        <w:rPr>
          <w:rFonts w:ascii="Arial" w:hAnsi="Arial" w:cs="Arial"/>
          <w:b/>
          <w:bCs/>
          <w:sz w:val="36"/>
          <w:szCs w:val="36"/>
        </w:rPr>
      </w:pPr>
    </w:p>
    <w:p w14:paraId="1537A873" w14:textId="492E7CE1" w:rsidR="005A04EC" w:rsidRDefault="005A04EC" w:rsidP="00A536CE">
      <w:pPr>
        <w:jc w:val="center"/>
        <w:rPr>
          <w:rFonts w:ascii="Arial" w:hAnsi="Arial" w:cs="Arial"/>
          <w:b/>
          <w:bCs/>
          <w:sz w:val="32"/>
          <w:szCs w:val="32"/>
        </w:rPr>
      </w:pPr>
      <w:r w:rsidRPr="005A04EC">
        <w:rPr>
          <w:rFonts w:ascii="Arial" w:hAnsi="Arial" w:cs="Arial"/>
          <w:b/>
          <w:bCs/>
          <w:sz w:val="32"/>
          <w:szCs w:val="32"/>
        </w:rPr>
        <w:t xml:space="preserve">Dr </w:t>
      </w:r>
      <w:proofErr w:type="spellStart"/>
      <w:r w:rsidRPr="005A04EC">
        <w:rPr>
          <w:rFonts w:ascii="Arial" w:hAnsi="Arial" w:cs="Arial"/>
          <w:b/>
          <w:bCs/>
          <w:sz w:val="32"/>
          <w:szCs w:val="32"/>
        </w:rPr>
        <w:t>Rexon</w:t>
      </w:r>
      <w:proofErr w:type="spellEnd"/>
      <w:r w:rsidRPr="005A04EC">
        <w:rPr>
          <w:rFonts w:ascii="Arial" w:hAnsi="Arial" w:cs="Arial"/>
          <w:b/>
          <w:bCs/>
          <w:sz w:val="32"/>
          <w:szCs w:val="32"/>
        </w:rPr>
        <w:t xml:space="preserve"> </w:t>
      </w:r>
      <w:proofErr w:type="spellStart"/>
      <w:r w:rsidRPr="005A04EC">
        <w:rPr>
          <w:rFonts w:ascii="Arial" w:hAnsi="Arial" w:cs="Arial"/>
          <w:b/>
          <w:bCs/>
          <w:sz w:val="32"/>
          <w:szCs w:val="32"/>
        </w:rPr>
        <w:t>Nting</w:t>
      </w:r>
      <w:proofErr w:type="spellEnd"/>
    </w:p>
    <w:p w14:paraId="45251978" w14:textId="77777777" w:rsidR="005A04EC" w:rsidRDefault="005A04EC" w:rsidP="00A536CE">
      <w:pPr>
        <w:jc w:val="center"/>
        <w:rPr>
          <w:rFonts w:ascii="Arial" w:hAnsi="Arial" w:cs="Arial"/>
          <w:b/>
          <w:bCs/>
          <w:sz w:val="32"/>
          <w:szCs w:val="32"/>
        </w:rPr>
      </w:pPr>
    </w:p>
    <w:p w14:paraId="5EBDC7E6" w14:textId="77777777" w:rsidR="005A04EC" w:rsidRDefault="005A04EC" w:rsidP="00A536CE">
      <w:pPr>
        <w:jc w:val="center"/>
        <w:rPr>
          <w:rFonts w:ascii="Arial" w:hAnsi="Arial" w:cs="Arial"/>
          <w:b/>
          <w:bCs/>
          <w:sz w:val="32"/>
          <w:szCs w:val="32"/>
        </w:rPr>
      </w:pPr>
    </w:p>
    <w:p w14:paraId="7AD9ADDE" w14:textId="77777777" w:rsidR="005A04EC" w:rsidRDefault="005A04EC" w:rsidP="00A536CE">
      <w:pPr>
        <w:jc w:val="center"/>
        <w:rPr>
          <w:rFonts w:ascii="Arial" w:hAnsi="Arial" w:cs="Arial"/>
          <w:b/>
          <w:bCs/>
          <w:sz w:val="32"/>
          <w:szCs w:val="32"/>
        </w:rPr>
      </w:pPr>
    </w:p>
    <w:p w14:paraId="4E3C120C" w14:textId="77777777" w:rsidR="005A04EC" w:rsidRDefault="005A04EC" w:rsidP="00A536CE">
      <w:pPr>
        <w:jc w:val="center"/>
        <w:rPr>
          <w:rFonts w:ascii="Arial" w:hAnsi="Arial" w:cs="Arial"/>
          <w:b/>
          <w:bCs/>
          <w:sz w:val="32"/>
          <w:szCs w:val="32"/>
        </w:rPr>
      </w:pPr>
    </w:p>
    <w:p w14:paraId="512E3E4F" w14:textId="77777777" w:rsidR="005A04EC" w:rsidRPr="00063073" w:rsidRDefault="005A04EC" w:rsidP="00A536CE">
      <w:pPr>
        <w:jc w:val="center"/>
        <w:rPr>
          <w:rFonts w:ascii="Arial" w:hAnsi="Arial" w:cs="Arial"/>
          <w:b/>
          <w:bCs/>
          <w:sz w:val="28"/>
          <w:szCs w:val="28"/>
        </w:rPr>
      </w:pPr>
    </w:p>
    <w:p w14:paraId="1390FE92" w14:textId="57A9F641" w:rsidR="005A04EC" w:rsidRPr="00063073" w:rsidRDefault="005A04EC" w:rsidP="00A536CE">
      <w:pPr>
        <w:jc w:val="center"/>
        <w:rPr>
          <w:rFonts w:ascii="Arial" w:hAnsi="Arial" w:cs="Arial"/>
          <w:sz w:val="28"/>
          <w:szCs w:val="28"/>
        </w:rPr>
      </w:pPr>
      <w:proofErr w:type="spellStart"/>
      <w:r w:rsidRPr="00063073">
        <w:rPr>
          <w:rFonts w:ascii="Arial" w:hAnsi="Arial" w:cs="Arial"/>
          <w:sz w:val="28"/>
          <w:szCs w:val="28"/>
        </w:rPr>
        <w:t>Lilija</w:t>
      </w:r>
      <w:proofErr w:type="spellEnd"/>
      <w:r w:rsidRPr="00063073">
        <w:rPr>
          <w:rFonts w:ascii="Arial" w:hAnsi="Arial" w:cs="Arial"/>
          <w:sz w:val="28"/>
          <w:szCs w:val="28"/>
        </w:rPr>
        <w:t xml:space="preserve"> </w:t>
      </w:r>
      <w:proofErr w:type="spellStart"/>
      <w:r w:rsidRPr="00063073">
        <w:rPr>
          <w:rFonts w:ascii="Arial" w:hAnsi="Arial" w:cs="Arial"/>
          <w:sz w:val="28"/>
          <w:szCs w:val="28"/>
        </w:rPr>
        <w:t>Tconeva</w:t>
      </w:r>
      <w:proofErr w:type="spellEnd"/>
      <w:r w:rsidRPr="00063073">
        <w:rPr>
          <w:rFonts w:ascii="Arial" w:hAnsi="Arial" w:cs="Arial"/>
          <w:sz w:val="28"/>
          <w:szCs w:val="28"/>
        </w:rPr>
        <w:t xml:space="preserve"> </w:t>
      </w:r>
    </w:p>
    <w:p w14:paraId="685CFE72" w14:textId="63162990" w:rsidR="005A04EC" w:rsidRPr="00063073" w:rsidRDefault="005A04EC" w:rsidP="00A536CE">
      <w:pPr>
        <w:jc w:val="center"/>
        <w:rPr>
          <w:rFonts w:ascii="Arial" w:hAnsi="Arial" w:cs="Arial"/>
          <w:sz w:val="28"/>
          <w:szCs w:val="28"/>
        </w:rPr>
      </w:pPr>
      <w:r w:rsidRPr="00063073">
        <w:rPr>
          <w:rFonts w:ascii="Arial" w:hAnsi="Arial" w:cs="Arial"/>
          <w:sz w:val="28"/>
          <w:szCs w:val="28"/>
        </w:rPr>
        <w:t>2029799</w:t>
      </w:r>
    </w:p>
    <w:p w14:paraId="2310F8BB" w14:textId="77777777" w:rsidR="005A04EC" w:rsidRDefault="005A04EC" w:rsidP="00A536CE">
      <w:pPr>
        <w:jc w:val="center"/>
        <w:rPr>
          <w:rFonts w:ascii="Arial" w:hAnsi="Arial" w:cs="Arial"/>
          <w:sz w:val="32"/>
          <w:szCs w:val="32"/>
        </w:rPr>
      </w:pPr>
    </w:p>
    <w:p w14:paraId="1D8606C6" w14:textId="77777777" w:rsidR="005A04EC" w:rsidRDefault="005A04EC" w:rsidP="00A536CE">
      <w:pPr>
        <w:jc w:val="center"/>
        <w:rPr>
          <w:rFonts w:ascii="Arial" w:hAnsi="Arial" w:cs="Arial"/>
          <w:sz w:val="32"/>
          <w:szCs w:val="32"/>
        </w:rPr>
      </w:pPr>
    </w:p>
    <w:p w14:paraId="6034EA14" w14:textId="77777777" w:rsidR="005A04EC" w:rsidRDefault="005A04EC" w:rsidP="00A536CE">
      <w:pPr>
        <w:jc w:val="center"/>
        <w:rPr>
          <w:rFonts w:ascii="Arial" w:hAnsi="Arial" w:cs="Arial"/>
          <w:sz w:val="32"/>
          <w:szCs w:val="32"/>
        </w:rPr>
      </w:pPr>
    </w:p>
    <w:p w14:paraId="7CA971B5" w14:textId="77777777" w:rsidR="005A04EC" w:rsidRDefault="005A04EC" w:rsidP="00A536CE">
      <w:pPr>
        <w:jc w:val="center"/>
        <w:rPr>
          <w:rFonts w:ascii="Arial" w:hAnsi="Arial" w:cs="Arial"/>
          <w:sz w:val="32"/>
          <w:szCs w:val="32"/>
        </w:rPr>
      </w:pPr>
    </w:p>
    <w:p w14:paraId="3468751A" w14:textId="77777777" w:rsidR="005A04EC" w:rsidRDefault="005A04EC" w:rsidP="00A536CE">
      <w:pPr>
        <w:jc w:val="center"/>
        <w:rPr>
          <w:rFonts w:ascii="Arial" w:hAnsi="Arial" w:cs="Arial"/>
          <w:sz w:val="32"/>
          <w:szCs w:val="32"/>
        </w:rPr>
      </w:pPr>
    </w:p>
    <w:p w14:paraId="42D200D6" w14:textId="77777777" w:rsidR="005A04EC" w:rsidRDefault="005A04EC" w:rsidP="00A536CE">
      <w:pPr>
        <w:jc w:val="center"/>
        <w:rPr>
          <w:rFonts w:ascii="Arial" w:hAnsi="Arial" w:cs="Arial"/>
          <w:sz w:val="32"/>
          <w:szCs w:val="32"/>
        </w:rPr>
      </w:pPr>
    </w:p>
    <w:p w14:paraId="0521B724" w14:textId="77777777" w:rsidR="00063073" w:rsidRDefault="00063073" w:rsidP="00A536CE">
      <w:pPr>
        <w:jc w:val="center"/>
        <w:rPr>
          <w:rFonts w:ascii="Arial" w:hAnsi="Arial" w:cs="Arial"/>
          <w:sz w:val="32"/>
          <w:szCs w:val="32"/>
        </w:rPr>
      </w:pPr>
    </w:p>
    <w:p w14:paraId="6DAE4FED" w14:textId="77777777" w:rsidR="005A04EC" w:rsidRDefault="005A04EC" w:rsidP="00A536CE">
      <w:pPr>
        <w:jc w:val="center"/>
        <w:rPr>
          <w:rFonts w:ascii="Arial" w:hAnsi="Arial" w:cs="Arial"/>
          <w:sz w:val="32"/>
          <w:szCs w:val="32"/>
        </w:rPr>
      </w:pPr>
    </w:p>
    <w:p w14:paraId="4CC38E14" w14:textId="77777777" w:rsidR="004659DB" w:rsidRDefault="004659DB" w:rsidP="00A536CE">
      <w:pPr>
        <w:jc w:val="center"/>
        <w:rPr>
          <w:rFonts w:ascii="Arial" w:hAnsi="Arial" w:cs="Arial"/>
          <w:sz w:val="32"/>
          <w:szCs w:val="32"/>
        </w:rPr>
      </w:pPr>
    </w:p>
    <w:p w14:paraId="60BF981C" w14:textId="77777777" w:rsidR="004659DB" w:rsidRDefault="004659DB" w:rsidP="00A536CE">
      <w:pPr>
        <w:jc w:val="center"/>
        <w:rPr>
          <w:rFonts w:ascii="Arial" w:hAnsi="Arial" w:cs="Arial"/>
          <w:sz w:val="32"/>
          <w:szCs w:val="32"/>
        </w:rPr>
      </w:pPr>
    </w:p>
    <w:p w14:paraId="4B8D032A" w14:textId="77777777" w:rsidR="004659DB" w:rsidRDefault="004659DB" w:rsidP="00A536CE">
      <w:pPr>
        <w:jc w:val="center"/>
        <w:rPr>
          <w:rFonts w:ascii="Arial" w:hAnsi="Arial" w:cs="Arial"/>
          <w:sz w:val="32"/>
          <w:szCs w:val="32"/>
        </w:rPr>
      </w:pPr>
    </w:p>
    <w:p w14:paraId="6877AFF0" w14:textId="4319CC3A" w:rsidR="005A04EC" w:rsidRPr="002145D2" w:rsidRDefault="002145D2" w:rsidP="002145D2">
      <w:pPr>
        <w:jc w:val="center"/>
        <w:rPr>
          <w:rFonts w:ascii="Arial" w:hAnsi="Arial" w:cs="Arial"/>
          <w:sz w:val="22"/>
          <w:szCs w:val="22"/>
        </w:rPr>
      </w:pPr>
      <w:r w:rsidRPr="002145D2">
        <w:rPr>
          <w:rFonts w:ascii="Arial" w:hAnsi="Arial" w:cs="Arial"/>
          <w:sz w:val="22"/>
          <w:szCs w:val="22"/>
        </w:rPr>
        <w:t>January 2024</w:t>
      </w:r>
    </w:p>
    <w:p w14:paraId="16C9C9E3" w14:textId="4A203F35" w:rsidR="00063073" w:rsidRDefault="00063073" w:rsidP="00A536CE">
      <w:pPr>
        <w:jc w:val="center"/>
        <w:rPr>
          <w:rFonts w:ascii="Arial" w:hAnsi="Arial" w:cs="Arial"/>
          <w:b/>
          <w:bCs/>
          <w:sz w:val="28"/>
          <w:szCs w:val="28"/>
        </w:rPr>
      </w:pPr>
      <w:r w:rsidRPr="00063073">
        <w:rPr>
          <w:rFonts w:ascii="Arial" w:hAnsi="Arial" w:cs="Arial"/>
          <w:b/>
          <w:bCs/>
          <w:sz w:val="28"/>
          <w:szCs w:val="28"/>
        </w:rPr>
        <w:lastRenderedPageBreak/>
        <w:t>Table of Contents</w:t>
      </w:r>
    </w:p>
    <w:p w14:paraId="2A7CC82C" w14:textId="77777777" w:rsidR="002145D2" w:rsidRDefault="002145D2" w:rsidP="00A536CE">
      <w:pPr>
        <w:jc w:val="center"/>
        <w:rPr>
          <w:rFonts w:ascii="Arial" w:hAnsi="Arial" w:cs="Arial"/>
          <w:b/>
          <w:bCs/>
          <w:sz w:val="28"/>
          <w:szCs w:val="28"/>
        </w:rPr>
      </w:pPr>
    </w:p>
    <w:p w14:paraId="03314F8B" w14:textId="77777777" w:rsidR="002145D2" w:rsidRDefault="002145D2" w:rsidP="00A536CE">
      <w:pPr>
        <w:jc w:val="center"/>
        <w:rPr>
          <w:rFonts w:ascii="Arial" w:hAnsi="Arial" w:cs="Arial"/>
          <w:b/>
          <w:bCs/>
          <w:sz w:val="28"/>
          <w:szCs w:val="28"/>
        </w:rPr>
      </w:pPr>
    </w:p>
    <w:p w14:paraId="4C2080DC" w14:textId="77777777" w:rsidR="002145D2" w:rsidRDefault="002145D2" w:rsidP="00A536CE">
      <w:pPr>
        <w:jc w:val="center"/>
        <w:rPr>
          <w:rFonts w:ascii="Arial" w:hAnsi="Arial" w:cs="Arial"/>
          <w:b/>
          <w:bCs/>
          <w:sz w:val="28"/>
          <w:szCs w:val="28"/>
        </w:rPr>
      </w:pPr>
    </w:p>
    <w:p w14:paraId="0F3210FA" w14:textId="2A913F86" w:rsidR="002145D2" w:rsidRPr="00247B99" w:rsidRDefault="002145D2" w:rsidP="002145D2">
      <w:pPr>
        <w:pStyle w:val="ListParagraph"/>
        <w:numPr>
          <w:ilvl w:val="0"/>
          <w:numId w:val="13"/>
        </w:numPr>
        <w:rPr>
          <w:rFonts w:ascii="Arial" w:hAnsi="Arial" w:cs="Arial"/>
          <w:b/>
          <w:bCs/>
        </w:rPr>
      </w:pPr>
      <w:r w:rsidRPr="00247B99">
        <w:rPr>
          <w:rFonts w:ascii="Arial" w:hAnsi="Arial" w:cs="Arial"/>
          <w:b/>
          <w:bCs/>
        </w:rPr>
        <w:t xml:space="preserve">Introduction </w:t>
      </w:r>
      <w:r w:rsidRPr="00247B99">
        <w:rPr>
          <w:rFonts w:ascii="Arial" w:hAnsi="Arial" w:cs="Arial"/>
          <w:b/>
          <w:bCs/>
        </w:rPr>
        <w:tab/>
      </w:r>
      <w:r w:rsidRPr="00247B99">
        <w:rPr>
          <w:rFonts w:ascii="Arial" w:hAnsi="Arial" w:cs="Arial"/>
          <w:b/>
          <w:bCs/>
        </w:rPr>
        <w:tab/>
      </w:r>
      <w:r w:rsidRPr="00247B99">
        <w:rPr>
          <w:rFonts w:ascii="Arial" w:hAnsi="Arial" w:cs="Arial"/>
          <w:b/>
          <w:bCs/>
        </w:rPr>
        <w:tab/>
      </w:r>
      <w:r w:rsidRPr="00247B99">
        <w:rPr>
          <w:rFonts w:ascii="Arial" w:hAnsi="Arial" w:cs="Arial"/>
          <w:b/>
          <w:bCs/>
        </w:rPr>
        <w:tab/>
      </w:r>
      <w:r w:rsidRPr="00247B99">
        <w:rPr>
          <w:rFonts w:ascii="Arial" w:hAnsi="Arial" w:cs="Arial"/>
          <w:b/>
          <w:bCs/>
        </w:rPr>
        <w:tab/>
      </w:r>
      <w:r w:rsidRPr="00247B99">
        <w:rPr>
          <w:rFonts w:ascii="Arial" w:hAnsi="Arial" w:cs="Arial"/>
          <w:b/>
          <w:bCs/>
        </w:rPr>
        <w:tab/>
      </w:r>
      <w:r w:rsidRPr="00247B99">
        <w:rPr>
          <w:rFonts w:ascii="Arial" w:hAnsi="Arial" w:cs="Arial"/>
          <w:b/>
          <w:bCs/>
        </w:rPr>
        <w:tab/>
      </w:r>
      <w:r w:rsidRPr="00247B99">
        <w:rPr>
          <w:rFonts w:ascii="Arial" w:hAnsi="Arial" w:cs="Arial"/>
          <w:b/>
          <w:bCs/>
        </w:rPr>
        <w:tab/>
      </w:r>
      <w:r w:rsidR="00B034D4" w:rsidRPr="00247B99">
        <w:rPr>
          <w:rFonts w:ascii="Arial" w:hAnsi="Arial" w:cs="Arial"/>
          <w:b/>
          <w:bCs/>
        </w:rPr>
        <w:t>4</w:t>
      </w:r>
    </w:p>
    <w:p w14:paraId="0F704799" w14:textId="77777777" w:rsidR="002145D2" w:rsidRPr="00247B99" w:rsidRDefault="002145D2" w:rsidP="002145D2">
      <w:pPr>
        <w:ind w:left="360"/>
        <w:rPr>
          <w:rFonts w:ascii="Arial" w:hAnsi="Arial" w:cs="Arial"/>
          <w:b/>
          <w:bCs/>
        </w:rPr>
      </w:pPr>
    </w:p>
    <w:p w14:paraId="6FB047EF" w14:textId="4FE65E60" w:rsidR="002145D2" w:rsidRPr="00247B99" w:rsidRDefault="002145D2" w:rsidP="002145D2">
      <w:pPr>
        <w:pStyle w:val="ListParagraph"/>
        <w:numPr>
          <w:ilvl w:val="0"/>
          <w:numId w:val="13"/>
        </w:numPr>
        <w:rPr>
          <w:rFonts w:ascii="Arial" w:hAnsi="Arial" w:cs="Arial"/>
          <w:b/>
          <w:bCs/>
        </w:rPr>
      </w:pPr>
      <w:r w:rsidRPr="00247B99">
        <w:rPr>
          <w:rFonts w:ascii="Arial" w:hAnsi="Arial" w:cs="Arial"/>
          <w:b/>
          <w:bCs/>
        </w:rPr>
        <w:t>Foreign exchange risks</w:t>
      </w:r>
      <w:r w:rsidRPr="00247B99">
        <w:rPr>
          <w:rFonts w:ascii="Arial" w:hAnsi="Arial" w:cs="Arial"/>
          <w:b/>
          <w:bCs/>
        </w:rPr>
        <w:tab/>
      </w:r>
      <w:r w:rsidRPr="00247B99">
        <w:rPr>
          <w:rFonts w:ascii="Arial" w:hAnsi="Arial" w:cs="Arial"/>
          <w:b/>
          <w:bCs/>
        </w:rPr>
        <w:tab/>
      </w:r>
      <w:r w:rsidRPr="00247B99">
        <w:rPr>
          <w:rFonts w:ascii="Arial" w:hAnsi="Arial" w:cs="Arial"/>
          <w:b/>
          <w:bCs/>
        </w:rPr>
        <w:tab/>
      </w:r>
      <w:r w:rsidRPr="00247B99">
        <w:rPr>
          <w:rFonts w:ascii="Arial" w:hAnsi="Arial" w:cs="Arial"/>
          <w:b/>
          <w:bCs/>
        </w:rPr>
        <w:tab/>
      </w:r>
      <w:r w:rsidRPr="00247B99">
        <w:rPr>
          <w:rFonts w:ascii="Arial" w:hAnsi="Arial" w:cs="Arial"/>
          <w:b/>
          <w:bCs/>
        </w:rPr>
        <w:tab/>
      </w:r>
      <w:r w:rsidRPr="00247B99">
        <w:rPr>
          <w:rFonts w:ascii="Arial" w:hAnsi="Arial" w:cs="Arial"/>
          <w:b/>
          <w:bCs/>
        </w:rPr>
        <w:tab/>
      </w:r>
      <w:r w:rsidR="00247B99">
        <w:rPr>
          <w:rFonts w:ascii="Arial" w:hAnsi="Arial" w:cs="Arial"/>
          <w:b/>
          <w:bCs/>
        </w:rPr>
        <w:tab/>
      </w:r>
      <w:r w:rsidR="00B034D4" w:rsidRPr="00247B99">
        <w:rPr>
          <w:rFonts w:ascii="Arial" w:hAnsi="Arial" w:cs="Arial"/>
          <w:b/>
          <w:bCs/>
        </w:rPr>
        <w:t>4</w:t>
      </w:r>
    </w:p>
    <w:p w14:paraId="5B0F64E8" w14:textId="77777777" w:rsidR="002145D2" w:rsidRPr="00247B99" w:rsidRDefault="002145D2" w:rsidP="002145D2">
      <w:pPr>
        <w:pStyle w:val="ListParagraph"/>
        <w:rPr>
          <w:rFonts w:ascii="Arial" w:hAnsi="Arial" w:cs="Arial"/>
          <w:b/>
          <w:bCs/>
        </w:rPr>
      </w:pPr>
    </w:p>
    <w:p w14:paraId="3C652D7B" w14:textId="53BF6F3A" w:rsidR="00B034D4" w:rsidRDefault="002145D2" w:rsidP="002145D2">
      <w:pPr>
        <w:pStyle w:val="ListParagraph"/>
        <w:numPr>
          <w:ilvl w:val="0"/>
          <w:numId w:val="13"/>
        </w:numPr>
        <w:rPr>
          <w:rFonts w:ascii="Arial" w:hAnsi="Arial" w:cs="Arial"/>
          <w:b/>
          <w:bCs/>
        </w:rPr>
      </w:pPr>
      <w:r w:rsidRPr="00247B99">
        <w:rPr>
          <w:rFonts w:ascii="Arial" w:hAnsi="Arial" w:cs="Arial"/>
          <w:b/>
          <w:bCs/>
        </w:rPr>
        <w:t>Managing foreign exchange risks</w:t>
      </w:r>
      <w:r w:rsidR="00B034D4" w:rsidRPr="00247B99">
        <w:rPr>
          <w:rFonts w:ascii="Arial" w:hAnsi="Arial" w:cs="Arial"/>
          <w:b/>
          <w:bCs/>
        </w:rPr>
        <w:tab/>
      </w:r>
      <w:r w:rsidR="00B034D4" w:rsidRPr="00247B99">
        <w:rPr>
          <w:rFonts w:ascii="Arial" w:hAnsi="Arial" w:cs="Arial"/>
          <w:b/>
          <w:bCs/>
        </w:rPr>
        <w:tab/>
      </w:r>
      <w:r w:rsidR="00B034D4" w:rsidRPr="00247B99">
        <w:rPr>
          <w:rFonts w:ascii="Arial" w:hAnsi="Arial" w:cs="Arial"/>
          <w:b/>
          <w:bCs/>
        </w:rPr>
        <w:tab/>
      </w:r>
      <w:r w:rsidR="00B034D4" w:rsidRPr="00247B99">
        <w:rPr>
          <w:rFonts w:ascii="Arial" w:hAnsi="Arial" w:cs="Arial"/>
          <w:b/>
          <w:bCs/>
        </w:rPr>
        <w:tab/>
      </w:r>
      <w:r w:rsidR="00247B99">
        <w:rPr>
          <w:rFonts w:ascii="Arial" w:hAnsi="Arial" w:cs="Arial"/>
          <w:b/>
          <w:bCs/>
        </w:rPr>
        <w:tab/>
      </w:r>
      <w:r w:rsidR="00B034D4" w:rsidRPr="00247B99">
        <w:rPr>
          <w:rFonts w:ascii="Arial" w:hAnsi="Arial" w:cs="Arial"/>
          <w:b/>
          <w:bCs/>
        </w:rPr>
        <w:t>6</w:t>
      </w:r>
    </w:p>
    <w:p w14:paraId="52678015" w14:textId="77777777" w:rsidR="006E5838" w:rsidRPr="006E5838" w:rsidRDefault="006E5838" w:rsidP="006E5838">
      <w:pPr>
        <w:pStyle w:val="ListParagraph"/>
        <w:rPr>
          <w:rFonts w:ascii="Arial" w:hAnsi="Arial" w:cs="Arial"/>
          <w:b/>
          <w:bCs/>
        </w:rPr>
      </w:pPr>
    </w:p>
    <w:p w14:paraId="2843F700" w14:textId="64DC203C" w:rsidR="006E5838" w:rsidRPr="00247B99" w:rsidRDefault="00121B81" w:rsidP="002145D2">
      <w:pPr>
        <w:pStyle w:val="ListParagraph"/>
        <w:numPr>
          <w:ilvl w:val="0"/>
          <w:numId w:val="13"/>
        </w:numPr>
        <w:rPr>
          <w:rFonts w:ascii="Arial" w:hAnsi="Arial" w:cs="Arial"/>
          <w:b/>
          <w:bCs/>
        </w:rPr>
      </w:pPr>
      <w:r>
        <w:rPr>
          <w:rFonts w:ascii="Arial" w:hAnsi="Arial" w:cs="Arial"/>
          <w:b/>
          <w:bCs/>
        </w:rPr>
        <w:t>Strategies to manage exposure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6</w:t>
      </w:r>
    </w:p>
    <w:p w14:paraId="108E90BE" w14:textId="77777777" w:rsidR="00B034D4" w:rsidRPr="00247B99" w:rsidRDefault="00B034D4" w:rsidP="00B034D4">
      <w:pPr>
        <w:pStyle w:val="ListParagraph"/>
        <w:rPr>
          <w:rFonts w:ascii="Arial" w:hAnsi="Arial" w:cs="Arial"/>
          <w:b/>
          <w:bCs/>
        </w:rPr>
      </w:pPr>
    </w:p>
    <w:p w14:paraId="36C92C39" w14:textId="7DD8FC48" w:rsidR="00C51C56" w:rsidRPr="006E5838" w:rsidRDefault="00B034D4" w:rsidP="006E5838">
      <w:pPr>
        <w:pStyle w:val="ListParagraph"/>
        <w:numPr>
          <w:ilvl w:val="0"/>
          <w:numId w:val="14"/>
        </w:numPr>
        <w:rPr>
          <w:rFonts w:ascii="Arial" w:hAnsi="Arial" w:cs="Arial"/>
          <w:b/>
          <w:bCs/>
        </w:rPr>
      </w:pPr>
      <w:r w:rsidRPr="006E5838">
        <w:rPr>
          <w:rFonts w:ascii="Arial" w:hAnsi="Arial" w:cs="Arial"/>
          <w:b/>
          <w:bCs/>
        </w:rPr>
        <w:t xml:space="preserve">Conclusion </w:t>
      </w:r>
      <w:r w:rsidRPr="006E5838">
        <w:rPr>
          <w:rFonts w:ascii="Arial" w:hAnsi="Arial" w:cs="Arial"/>
          <w:b/>
          <w:bCs/>
        </w:rPr>
        <w:tab/>
      </w:r>
      <w:r w:rsidRPr="006E5838">
        <w:rPr>
          <w:rFonts w:ascii="Arial" w:hAnsi="Arial" w:cs="Arial"/>
          <w:b/>
          <w:bCs/>
        </w:rPr>
        <w:tab/>
      </w:r>
      <w:r w:rsidRPr="006E5838">
        <w:rPr>
          <w:rFonts w:ascii="Arial" w:hAnsi="Arial" w:cs="Arial"/>
          <w:b/>
          <w:bCs/>
        </w:rPr>
        <w:tab/>
      </w:r>
      <w:r w:rsidRPr="006E5838">
        <w:rPr>
          <w:rFonts w:ascii="Arial" w:hAnsi="Arial" w:cs="Arial"/>
          <w:b/>
          <w:bCs/>
        </w:rPr>
        <w:tab/>
      </w:r>
      <w:r w:rsidRPr="006E5838">
        <w:rPr>
          <w:rFonts w:ascii="Arial" w:hAnsi="Arial" w:cs="Arial"/>
          <w:b/>
          <w:bCs/>
        </w:rPr>
        <w:tab/>
      </w:r>
      <w:r w:rsidRPr="006E5838">
        <w:rPr>
          <w:rFonts w:ascii="Arial" w:hAnsi="Arial" w:cs="Arial"/>
          <w:b/>
          <w:bCs/>
        </w:rPr>
        <w:tab/>
      </w:r>
      <w:r w:rsidRPr="006E5838">
        <w:rPr>
          <w:rFonts w:ascii="Arial" w:hAnsi="Arial" w:cs="Arial"/>
          <w:b/>
          <w:bCs/>
        </w:rPr>
        <w:tab/>
      </w:r>
      <w:r w:rsidRPr="006E5838">
        <w:rPr>
          <w:rFonts w:ascii="Arial" w:hAnsi="Arial" w:cs="Arial"/>
          <w:b/>
          <w:bCs/>
        </w:rPr>
        <w:tab/>
      </w:r>
      <w:r w:rsidR="00247B99" w:rsidRPr="006E5838">
        <w:rPr>
          <w:rFonts w:ascii="Arial" w:hAnsi="Arial" w:cs="Arial"/>
          <w:b/>
          <w:bCs/>
        </w:rPr>
        <w:tab/>
      </w:r>
      <w:r w:rsidRPr="006E5838">
        <w:rPr>
          <w:rFonts w:ascii="Arial" w:hAnsi="Arial" w:cs="Arial"/>
          <w:b/>
          <w:bCs/>
        </w:rPr>
        <w:t>8</w:t>
      </w:r>
    </w:p>
    <w:p w14:paraId="5EB2566E" w14:textId="77777777" w:rsidR="00C51C56" w:rsidRPr="00C51C56" w:rsidRDefault="00C51C56" w:rsidP="00C51C56">
      <w:pPr>
        <w:pStyle w:val="ListParagraph"/>
        <w:rPr>
          <w:rFonts w:ascii="Arial" w:hAnsi="Arial" w:cs="Arial"/>
          <w:b/>
          <w:bCs/>
        </w:rPr>
      </w:pPr>
    </w:p>
    <w:p w14:paraId="61941CC1" w14:textId="68AE952D" w:rsidR="00C51C56" w:rsidRDefault="00C51C56" w:rsidP="00C51C56">
      <w:pPr>
        <w:pStyle w:val="ListParagraph"/>
        <w:rPr>
          <w:rFonts w:ascii="Arial" w:hAnsi="Arial" w:cs="Arial"/>
          <w:b/>
          <w:bCs/>
        </w:rPr>
      </w:pPr>
      <w:r>
        <w:rPr>
          <w:rFonts w:ascii="Arial" w:hAnsi="Arial" w:cs="Arial"/>
          <w:b/>
          <w:bCs/>
        </w:rPr>
        <w:t xml:space="preserve">References </w:t>
      </w:r>
      <w:r w:rsidR="005B069C">
        <w:rPr>
          <w:rFonts w:ascii="Arial" w:hAnsi="Arial" w:cs="Arial"/>
          <w:b/>
          <w:bCs/>
        </w:rPr>
        <w:tab/>
      </w:r>
      <w:r w:rsidR="005B069C">
        <w:rPr>
          <w:rFonts w:ascii="Arial" w:hAnsi="Arial" w:cs="Arial"/>
          <w:b/>
          <w:bCs/>
        </w:rPr>
        <w:tab/>
      </w:r>
      <w:r w:rsidR="005B069C">
        <w:rPr>
          <w:rFonts w:ascii="Arial" w:hAnsi="Arial" w:cs="Arial"/>
          <w:b/>
          <w:bCs/>
        </w:rPr>
        <w:tab/>
      </w:r>
      <w:r w:rsidR="005B069C">
        <w:rPr>
          <w:rFonts w:ascii="Arial" w:hAnsi="Arial" w:cs="Arial"/>
          <w:b/>
          <w:bCs/>
        </w:rPr>
        <w:tab/>
      </w:r>
      <w:r w:rsidR="005B069C">
        <w:rPr>
          <w:rFonts w:ascii="Arial" w:hAnsi="Arial" w:cs="Arial"/>
          <w:b/>
          <w:bCs/>
        </w:rPr>
        <w:tab/>
      </w:r>
      <w:r w:rsidR="005B069C">
        <w:rPr>
          <w:rFonts w:ascii="Arial" w:hAnsi="Arial" w:cs="Arial"/>
          <w:b/>
          <w:bCs/>
        </w:rPr>
        <w:tab/>
      </w:r>
      <w:r w:rsidR="005B069C">
        <w:rPr>
          <w:rFonts w:ascii="Arial" w:hAnsi="Arial" w:cs="Arial"/>
          <w:b/>
          <w:bCs/>
        </w:rPr>
        <w:tab/>
      </w:r>
      <w:r w:rsidR="005B069C">
        <w:rPr>
          <w:rFonts w:ascii="Arial" w:hAnsi="Arial" w:cs="Arial"/>
          <w:b/>
          <w:bCs/>
        </w:rPr>
        <w:tab/>
      </w:r>
      <w:r w:rsidR="00875201">
        <w:rPr>
          <w:rFonts w:ascii="Arial" w:hAnsi="Arial" w:cs="Arial"/>
          <w:b/>
          <w:bCs/>
        </w:rPr>
        <w:t xml:space="preserve">         10</w:t>
      </w:r>
    </w:p>
    <w:p w14:paraId="33E547AA" w14:textId="77777777" w:rsidR="00C51C56" w:rsidRDefault="00C51C56" w:rsidP="00C51C56">
      <w:pPr>
        <w:pStyle w:val="ListParagraph"/>
        <w:rPr>
          <w:rFonts w:ascii="Arial" w:hAnsi="Arial" w:cs="Arial"/>
          <w:b/>
          <w:bCs/>
        </w:rPr>
      </w:pPr>
    </w:p>
    <w:p w14:paraId="5C8AFCC1" w14:textId="1DB30BA0" w:rsidR="002145D2" w:rsidRPr="00247B99" w:rsidRDefault="00C51C56" w:rsidP="00C51C56">
      <w:pPr>
        <w:pStyle w:val="ListParagraph"/>
        <w:rPr>
          <w:rFonts w:ascii="Arial" w:hAnsi="Arial" w:cs="Arial"/>
          <w:b/>
          <w:bCs/>
        </w:rPr>
      </w:pPr>
      <w:r>
        <w:rPr>
          <w:rFonts w:ascii="Arial" w:hAnsi="Arial" w:cs="Arial"/>
          <w:b/>
          <w:bCs/>
        </w:rPr>
        <w:t>References (Figures)</w:t>
      </w:r>
      <w:r w:rsidR="005B069C">
        <w:rPr>
          <w:rFonts w:ascii="Arial" w:hAnsi="Arial" w:cs="Arial"/>
          <w:b/>
          <w:bCs/>
        </w:rPr>
        <w:tab/>
      </w:r>
      <w:r w:rsidR="005B069C">
        <w:rPr>
          <w:rFonts w:ascii="Arial" w:hAnsi="Arial" w:cs="Arial"/>
          <w:b/>
          <w:bCs/>
        </w:rPr>
        <w:tab/>
      </w:r>
      <w:r w:rsidR="005B069C">
        <w:rPr>
          <w:rFonts w:ascii="Arial" w:hAnsi="Arial" w:cs="Arial"/>
          <w:b/>
          <w:bCs/>
        </w:rPr>
        <w:tab/>
      </w:r>
      <w:r w:rsidR="005B069C">
        <w:rPr>
          <w:rFonts w:ascii="Arial" w:hAnsi="Arial" w:cs="Arial"/>
          <w:b/>
          <w:bCs/>
        </w:rPr>
        <w:tab/>
      </w:r>
      <w:r w:rsidR="005B069C">
        <w:rPr>
          <w:rFonts w:ascii="Arial" w:hAnsi="Arial" w:cs="Arial"/>
          <w:b/>
          <w:bCs/>
        </w:rPr>
        <w:tab/>
      </w:r>
      <w:r w:rsidR="005B069C">
        <w:rPr>
          <w:rFonts w:ascii="Arial" w:hAnsi="Arial" w:cs="Arial"/>
          <w:b/>
          <w:bCs/>
        </w:rPr>
        <w:tab/>
        <w:t xml:space="preserve">         1</w:t>
      </w:r>
      <w:r w:rsidR="00875201">
        <w:rPr>
          <w:rFonts w:ascii="Arial" w:hAnsi="Arial" w:cs="Arial"/>
          <w:b/>
          <w:bCs/>
        </w:rPr>
        <w:t>2</w:t>
      </w:r>
      <w:r w:rsidR="002145D2" w:rsidRPr="00247B99">
        <w:rPr>
          <w:rFonts w:ascii="Arial" w:hAnsi="Arial" w:cs="Arial"/>
          <w:b/>
          <w:bCs/>
        </w:rPr>
        <w:tab/>
      </w:r>
      <w:r w:rsidR="002145D2" w:rsidRPr="00247B99">
        <w:rPr>
          <w:rFonts w:ascii="Arial" w:hAnsi="Arial" w:cs="Arial"/>
          <w:b/>
          <w:bCs/>
        </w:rPr>
        <w:tab/>
      </w:r>
      <w:r w:rsidR="002145D2" w:rsidRPr="00247B99">
        <w:rPr>
          <w:rFonts w:ascii="Arial" w:hAnsi="Arial" w:cs="Arial"/>
          <w:b/>
          <w:bCs/>
        </w:rPr>
        <w:tab/>
      </w:r>
      <w:r w:rsidR="002145D2" w:rsidRPr="00247B99">
        <w:rPr>
          <w:rFonts w:ascii="Arial" w:hAnsi="Arial" w:cs="Arial"/>
          <w:b/>
          <w:bCs/>
        </w:rPr>
        <w:tab/>
      </w:r>
    </w:p>
    <w:p w14:paraId="0C88C9E4" w14:textId="04A8F4A7" w:rsidR="00E448E3" w:rsidRDefault="00E448E3" w:rsidP="00A536CE">
      <w:pPr>
        <w:jc w:val="center"/>
        <w:rPr>
          <w:rFonts w:ascii="Arial" w:hAnsi="Arial" w:cs="Arial"/>
          <w:b/>
          <w:bCs/>
          <w:sz w:val="28"/>
          <w:szCs w:val="28"/>
        </w:rPr>
      </w:pPr>
    </w:p>
    <w:p w14:paraId="4CF4C0A9" w14:textId="7F945BB4" w:rsidR="00B034D4" w:rsidRDefault="00E448E3">
      <w:pPr>
        <w:rPr>
          <w:rFonts w:ascii="Arial" w:hAnsi="Arial" w:cs="Arial"/>
          <w:b/>
          <w:bCs/>
          <w:sz w:val="28"/>
          <w:szCs w:val="28"/>
        </w:rPr>
      </w:pPr>
      <w:r>
        <w:rPr>
          <w:rFonts w:ascii="Arial" w:hAnsi="Arial" w:cs="Arial"/>
          <w:b/>
          <w:bCs/>
          <w:sz w:val="28"/>
          <w:szCs w:val="28"/>
        </w:rPr>
        <w:br w:type="page"/>
      </w:r>
    </w:p>
    <w:p w14:paraId="09A4FD8D" w14:textId="5DAA15C1" w:rsidR="00B034D4" w:rsidRDefault="00B034D4" w:rsidP="00B034D4">
      <w:pPr>
        <w:pStyle w:val="NoSpacing"/>
        <w:jc w:val="center"/>
        <w:rPr>
          <w:rFonts w:ascii="Arial" w:hAnsi="Arial" w:cs="Arial"/>
          <w:b/>
          <w:bCs/>
          <w:sz w:val="28"/>
          <w:szCs w:val="28"/>
        </w:rPr>
      </w:pPr>
      <w:r w:rsidRPr="00B034D4">
        <w:rPr>
          <w:rFonts w:ascii="Arial" w:hAnsi="Arial" w:cs="Arial"/>
          <w:b/>
          <w:bCs/>
          <w:sz w:val="28"/>
          <w:szCs w:val="28"/>
        </w:rPr>
        <w:lastRenderedPageBreak/>
        <w:t xml:space="preserve">List of </w:t>
      </w:r>
      <w:r>
        <w:rPr>
          <w:rFonts w:ascii="Arial" w:hAnsi="Arial" w:cs="Arial"/>
          <w:b/>
          <w:bCs/>
          <w:sz w:val="28"/>
          <w:szCs w:val="28"/>
        </w:rPr>
        <w:t>F</w:t>
      </w:r>
      <w:r w:rsidRPr="00B034D4">
        <w:rPr>
          <w:rFonts w:ascii="Arial" w:hAnsi="Arial" w:cs="Arial"/>
          <w:b/>
          <w:bCs/>
          <w:sz w:val="28"/>
          <w:szCs w:val="28"/>
        </w:rPr>
        <w:t>igures</w:t>
      </w:r>
    </w:p>
    <w:p w14:paraId="763C9291" w14:textId="77777777" w:rsidR="00B034D4" w:rsidRDefault="00B034D4" w:rsidP="00B034D4">
      <w:pPr>
        <w:pStyle w:val="NoSpacing"/>
        <w:jc w:val="center"/>
        <w:rPr>
          <w:rFonts w:ascii="Arial" w:hAnsi="Arial" w:cs="Arial"/>
          <w:b/>
          <w:bCs/>
          <w:sz w:val="28"/>
          <w:szCs w:val="28"/>
        </w:rPr>
      </w:pPr>
    </w:p>
    <w:p w14:paraId="159EED14" w14:textId="77777777" w:rsidR="00B034D4" w:rsidRDefault="00B034D4" w:rsidP="00B034D4">
      <w:pPr>
        <w:pStyle w:val="NoSpacing"/>
        <w:jc w:val="center"/>
        <w:rPr>
          <w:rFonts w:ascii="Arial" w:hAnsi="Arial" w:cs="Arial"/>
          <w:b/>
          <w:bCs/>
          <w:sz w:val="28"/>
          <w:szCs w:val="28"/>
        </w:rPr>
      </w:pPr>
    </w:p>
    <w:p w14:paraId="6A11FB44" w14:textId="77777777" w:rsidR="00B034D4" w:rsidRDefault="00B034D4" w:rsidP="00B034D4">
      <w:pPr>
        <w:pStyle w:val="NoSpacing"/>
        <w:jc w:val="center"/>
        <w:rPr>
          <w:rFonts w:ascii="Arial" w:hAnsi="Arial" w:cs="Arial"/>
          <w:b/>
          <w:bCs/>
          <w:sz w:val="28"/>
          <w:szCs w:val="28"/>
        </w:rPr>
      </w:pPr>
    </w:p>
    <w:tbl>
      <w:tblPr>
        <w:tblStyle w:val="TableGrid"/>
        <w:tblW w:w="0" w:type="auto"/>
        <w:tblLook w:val="04A0" w:firstRow="1" w:lastRow="0" w:firstColumn="1" w:lastColumn="0" w:noHBand="0" w:noVBand="1"/>
      </w:tblPr>
      <w:tblGrid>
        <w:gridCol w:w="3005"/>
        <w:gridCol w:w="3005"/>
        <w:gridCol w:w="3006"/>
      </w:tblGrid>
      <w:tr w:rsidR="00B034D4" w:rsidRPr="00B034D4" w14:paraId="3416715B" w14:textId="77777777" w:rsidTr="00B034D4">
        <w:tc>
          <w:tcPr>
            <w:tcW w:w="3005" w:type="dxa"/>
          </w:tcPr>
          <w:p w14:paraId="1093D271" w14:textId="4C73ADAE" w:rsidR="00B034D4" w:rsidRPr="00B034D4" w:rsidRDefault="00B034D4" w:rsidP="00B034D4">
            <w:pPr>
              <w:pStyle w:val="NoSpacing"/>
              <w:jc w:val="center"/>
              <w:rPr>
                <w:rFonts w:ascii="Arial" w:hAnsi="Arial" w:cs="Arial"/>
                <w:b/>
                <w:bCs/>
              </w:rPr>
            </w:pPr>
            <w:r w:rsidRPr="00B034D4">
              <w:rPr>
                <w:rFonts w:ascii="Arial" w:hAnsi="Arial" w:cs="Arial"/>
                <w:b/>
                <w:bCs/>
              </w:rPr>
              <w:t>FIGURE NO</w:t>
            </w:r>
          </w:p>
        </w:tc>
        <w:tc>
          <w:tcPr>
            <w:tcW w:w="3005" w:type="dxa"/>
          </w:tcPr>
          <w:p w14:paraId="11FCEE41" w14:textId="5E27B1FB" w:rsidR="00B034D4" w:rsidRPr="00B034D4" w:rsidRDefault="00B034D4" w:rsidP="00B034D4">
            <w:pPr>
              <w:pStyle w:val="NoSpacing"/>
              <w:jc w:val="center"/>
              <w:rPr>
                <w:rFonts w:ascii="Arial" w:hAnsi="Arial" w:cs="Arial"/>
                <w:b/>
                <w:bCs/>
              </w:rPr>
            </w:pPr>
            <w:r w:rsidRPr="00B034D4">
              <w:rPr>
                <w:rFonts w:ascii="Arial" w:hAnsi="Arial" w:cs="Arial"/>
                <w:b/>
                <w:bCs/>
              </w:rPr>
              <w:t xml:space="preserve">DESCRIPTION </w:t>
            </w:r>
          </w:p>
        </w:tc>
        <w:tc>
          <w:tcPr>
            <w:tcW w:w="3006" w:type="dxa"/>
          </w:tcPr>
          <w:p w14:paraId="2F4CE5BE" w14:textId="13FCB7C6" w:rsidR="00B034D4" w:rsidRPr="00B034D4" w:rsidRDefault="00B034D4" w:rsidP="00B034D4">
            <w:pPr>
              <w:pStyle w:val="NoSpacing"/>
              <w:jc w:val="center"/>
              <w:rPr>
                <w:rFonts w:ascii="Arial" w:hAnsi="Arial" w:cs="Arial"/>
                <w:b/>
                <w:bCs/>
              </w:rPr>
            </w:pPr>
            <w:r w:rsidRPr="00B034D4">
              <w:rPr>
                <w:rFonts w:ascii="Arial" w:hAnsi="Arial" w:cs="Arial"/>
                <w:b/>
                <w:bCs/>
              </w:rPr>
              <w:t>PAGE NO</w:t>
            </w:r>
          </w:p>
        </w:tc>
      </w:tr>
      <w:tr w:rsidR="00B034D4" w:rsidRPr="00247B99" w14:paraId="72B414FB" w14:textId="77777777" w:rsidTr="00B034D4">
        <w:tc>
          <w:tcPr>
            <w:tcW w:w="3005" w:type="dxa"/>
          </w:tcPr>
          <w:p w14:paraId="5C0786E6" w14:textId="2A0CAED7" w:rsidR="00B034D4" w:rsidRPr="00247B99" w:rsidRDefault="00B034D4" w:rsidP="00B034D4">
            <w:pPr>
              <w:pStyle w:val="NoSpacing"/>
              <w:jc w:val="center"/>
              <w:rPr>
                <w:rFonts w:ascii="Arial" w:hAnsi="Arial" w:cs="Arial"/>
                <w:b/>
                <w:bCs/>
              </w:rPr>
            </w:pPr>
            <w:r w:rsidRPr="00247B99">
              <w:rPr>
                <w:rFonts w:ascii="Arial" w:hAnsi="Arial" w:cs="Arial"/>
                <w:b/>
                <w:bCs/>
              </w:rPr>
              <w:t>1</w:t>
            </w:r>
          </w:p>
        </w:tc>
        <w:tc>
          <w:tcPr>
            <w:tcW w:w="3005" w:type="dxa"/>
          </w:tcPr>
          <w:p w14:paraId="27CF1367" w14:textId="41412C67" w:rsidR="00B034D4" w:rsidRPr="00247B99" w:rsidRDefault="00B034D4" w:rsidP="00B034D4">
            <w:pPr>
              <w:pStyle w:val="NoSpacing"/>
              <w:jc w:val="center"/>
              <w:rPr>
                <w:rFonts w:ascii="Arial" w:hAnsi="Arial" w:cs="Arial"/>
                <w:b/>
                <w:bCs/>
              </w:rPr>
            </w:pPr>
            <w:r w:rsidRPr="00247B99">
              <w:rPr>
                <w:rFonts w:ascii="Arial" w:hAnsi="Arial" w:cs="Arial"/>
                <w:b/>
                <w:bCs/>
              </w:rPr>
              <w:t>MNC Environment</w:t>
            </w:r>
          </w:p>
        </w:tc>
        <w:tc>
          <w:tcPr>
            <w:tcW w:w="3006" w:type="dxa"/>
          </w:tcPr>
          <w:p w14:paraId="4E2814D5" w14:textId="7C51422E" w:rsidR="00B034D4" w:rsidRPr="00247B99" w:rsidRDefault="00B034D4" w:rsidP="00B034D4">
            <w:pPr>
              <w:pStyle w:val="NoSpacing"/>
              <w:jc w:val="center"/>
              <w:rPr>
                <w:rFonts w:ascii="Arial" w:hAnsi="Arial" w:cs="Arial"/>
                <w:b/>
                <w:bCs/>
              </w:rPr>
            </w:pPr>
            <w:r w:rsidRPr="00247B99">
              <w:rPr>
                <w:rFonts w:ascii="Arial" w:hAnsi="Arial" w:cs="Arial"/>
                <w:b/>
                <w:bCs/>
              </w:rPr>
              <w:t>4</w:t>
            </w:r>
          </w:p>
        </w:tc>
      </w:tr>
      <w:tr w:rsidR="00B034D4" w:rsidRPr="00247B99" w14:paraId="36EFE7B4" w14:textId="77777777" w:rsidTr="00B034D4">
        <w:tc>
          <w:tcPr>
            <w:tcW w:w="3005" w:type="dxa"/>
          </w:tcPr>
          <w:p w14:paraId="0195C6B7" w14:textId="5464EBF3" w:rsidR="00B034D4" w:rsidRPr="00247B99" w:rsidRDefault="00B034D4" w:rsidP="00B034D4">
            <w:pPr>
              <w:pStyle w:val="NoSpacing"/>
              <w:jc w:val="center"/>
              <w:rPr>
                <w:rFonts w:ascii="Arial" w:hAnsi="Arial" w:cs="Arial"/>
                <w:b/>
                <w:bCs/>
              </w:rPr>
            </w:pPr>
            <w:r w:rsidRPr="00247B99">
              <w:rPr>
                <w:rFonts w:ascii="Arial" w:hAnsi="Arial" w:cs="Arial"/>
                <w:b/>
                <w:bCs/>
              </w:rPr>
              <w:t>2</w:t>
            </w:r>
          </w:p>
        </w:tc>
        <w:tc>
          <w:tcPr>
            <w:tcW w:w="3005" w:type="dxa"/>
          </w:tcPr>
          <w:p w14:paraId="69F512C0" w14:textId="6C586AC6" w:rsidR="00B034D4" w:rsidRPr="00247B99" w:rsidRDefault="00B034D4" w:rsidP="00B034D4">
            <w:pPr>
              <w:pStyle w:val="NoSpacing"/>
              <w:jc w:val="center"/>
              <w:rPr>
                <w:rFonts w:ascii="Arial" w:hAnsi="Arial" w:cs="Arial"/>
                <w:b/>
                <w:bCs/>
              </w:rPr>
            </w:pPr>
            <w:r w:rsidRPr="00247B99">
              <w:rPr>
                <w:rFonts w:ascii="Arial" w:hAnsi="Arial" w:cs="Arial"/>
                <w:b/>
                <w:bCs/>
              </w:rPr>
              <w:t>FERM Model</w:t>
            </w:r>
          </w:p>
        </w:tc>
        <w:tc>
          <w:tcPr>
            <w:tcW w:w="3006" w:type="dxa"/>
          </w:tcPr>
          <w:p w14:paraId="79DD3966" w14:textId="17051569" w:rsidR="00B034D4" w:rsidRPr="00247B99" w:rsidRDefault="00B034D4" w:rsidP="00B034D4">
            <w:pPr>
              <w:pStyle w:val="NoSpacing"/>
              <w:jc w:val="center"/>
              <w:rPr>
                <w:rFonts w:ascii="Arial" w:hAnsi="Arial" w:cs="Arial"/>
                <w:b/>
                <w:bCs/>
              </w:rPr>
            </w:pPr>
            <w:r w:rsidRPr="00247B99">
              <w:rPr>
                <w:rFonts w:ascii="Arial" w:hAnsi="Arial" w:cs="Arial"/>
                <w:b/>
                <w:bCs/>
              </w:rPr>
              <w:t>8</w:t>
            </w:r>
          </w:p>
        </w:tc>
      </w:tr>
    </w:tbl>
    <w:p w14:paraId="33D91F1B" w14:textId="77777777" w:rsidR="00B034D4" w:rsidRPr="00B034D4" w:rsidRDefault="00B034D4" w:rsidP="00B034D4">
      <w:pPr>
        <w:pStyle w:val="NoSpacing"/>
        <w:jc w:val="center"/>
        <w:rPr>
          <w:rFonts w:ascii="Arial" w:hAnsi="Arial" w:cs="Arial"/>
          <w:b/>
          <w:bCs/>
          <w:sz w:val="28"/>
          <w:szCs w:val="28"/>
        </w:rPr>
      </w:pPr>
    </w:p>
    <w:p w14:paraId="58C458ED" w14:textId="5BB7D526" w:rsidR="00E448E3" w:rsidRPr="00B034D4" w:rsidRDefault="00B034D4" w:rsidP="00B034D4">
      <w:pPr>
        <w:pStyle w:val="NoSpacing"/>
      </w:pPr>
      <w:r>
        <w:br w:type="page"/>
      </w:r>
    </w:p>
    <w:p w14:paraId="7C813A5D" w14:textId="4497300A" w:rsidR="00063073" w:rsidRPr="006E5838" w:rsidRDefault="00E448E3" w:rsidP="00E448E3">
      <w:pPr>
        <w:pStyle w:val="ListParagraph"/>
        <w:numPr>
          <w:ilvl w:val="0"/>
          <w:numId w:val="1"/>
        </w:numPr>
        <w:rPr>
          <w:rFonts w:ascii="Arial" w:hAnsi="Arial" w:cs="Arial"/>
          <w:b/>
          <w:bCs/>
        </w:rPr>
      </w:pPr>
      <w:r w:rsidRPr="006E5838">
        <w:rPr>
          <w:rFonts w:ascii="Arial" w:hAnsi="Arial" w:cs="Arial"/>
          <w:b/>
          <w:bCs/>
        </w:rPr>
        <w:lastRenderedPageBreak/>
        <w:t xml:space="preserve">Introduction </w:t>
      </w:r>
    </w:p>
    <w:p w14:paraId="56CD39DD" w14:textId="77777777" w:rsidR="00E448E3" w:rsidRDefault="00E448E3" w:rsidP="00E448E3">
      <w:pPr>
        <w:rPr>
          <w:rFonts w:ascii="Arial" w:hAnsi="Arial" w:cs="Arial"/>
          <w:b/>
          <w:bCs/>
          <w:sz w:val="28"/>
          <w:szCs w:val="28"/>
        </w:rPr>
      </w:pPr>
    </w:p>
    <w:p w14:paraId="14AFE12F" w14:textId="7F8C3147" w:rsidR="0036036C" w:rsidRPr="00051D4E" w:rsidRDefault="00844886" w:rsidP="0036036C">
      <w:pPr>
        <w:spacing w:line="360" w:lineRule="auto"/>
        <w:jc w:val="both"/>
        <w:rPr>
          <w:rFonts w:ascii="Arial" w:hAnsi="Arial" w:cs="Arial"/>
        </w:rPr>
      </w:pPr>
      <w:r w:rsidRPr="00051D4E">
        <w:rPr>
          <w:rFonts w:ascii="Arial" w:hAnsi="Arial" w:cs="Arial"/>
        </w:rPr>
        <w:t xml:space="preserve">International financial management is essential for </w:t>
      </w:r>
      <w:r w:rsidR="00EA1551" w:rsidRPr="00051D4E">
        <w:rPr>
          <w:rFonts w:ascii="Arial" w:hAnsi="Arial" w:cs="Arial"/>
        </w:rPr>
        <w:t>multinational corporations</w:t>
      </w:r>
      <w:r w:rsidR="0072603C">
        <w:rPr>
          <w:rFonts w:ascii="Arial" w:hAnsi="Arial" w:cs="Arial"/>
        </w:rPr>
        <w:t xml:space="preserve">. </w:t>
      </w:r>
      <w:r w:rsidR="00E30811">
        <w:rPr>
          <w:rFonts w:ascii="Arial" w:hAnsi="Arial" w:cs="Arial"/>
        </w:rPr>
        <w:t>I</w:t>
      </w:r>
      <w:r w:rsidR="00EA1551" w:rsidRPr="00051D4E">
        <w:rPr>
          <w:rFonts w:ascii="Arial" w:hAnsi="Arial" w:cs="Arial"/>
        </w:rPr>
        <w:t>t involves international investing and financing decisions about how to maximise the value of MNC</w:t>
      </w:r>
      <w:r w:rsidR="009260F3">
        <w:rPr>
          <w:rFonts w:ascii="Arial" w:hAnsi="Arial" w:cs="Arial"/>
        </w:rPr>
        <w:t>s</w:t>
      </w:r>
      <w:r w:rsidR="00EA1551" w:rsidRPr="00051D4E">
        <w:rPr>
          <w:rFonts w:ascii="Arial" w:hAnsi="Arial" w:cs="Arial"/>
        </w:rPr>
        <w:t xml:space="preserve">. </w:t>
      </w:r>
      <w:r w:rsidR="0072603C">
        <w:rPr>
          <w:rFonts w:ascii="Arial" w:hAnsi="Arial" w:cs="Arial"/>
        </w:rPr>
        <w:t xml:space="preserve">Furthermore, it </w:t>
      </w:r>
      <w:r w:rsidR="0036036C" w:rsidRPr="00051D4E">
        <w:rPr>
          <w:rFonts w:ascii="Arial" w:hAnsi="Arial" w:cs="Arial"/>
        </w:rPr>
        <w:t>gives companies a perspective about the influences of movements in exchange rates, foreign interest rates, inflation and labour costs all affecting cost of production and prices (Madura, Hoque and Krishnamurti, 2018, p. 3).</w:t>
      </w:r>
      <w:r w:rsidR="00207DF4" w:rsidRPr="00051D4E">
        <w:rPr>
          <w:rFonts w:ascii="Arial" w:hAnsi="Arial" w:cs="Arial"/>
        </w:rPr>
        <w:t xml:space="preserve"> One of the main goals of </w:t>
      </w:r>
      <w:r w:rsidR="009260F3">
        <w:rPr>
          <w:rFonts w:ascii="Arial" w:hAnsi="Arial" w:cs="Arial"/>
        </w:rPr>
        <w:t xml:space="preserve">a </w:t>
      </w:r>
      <w:r w:rsidR="00207DF4" w:rsidRPr="00051D4E">
        <w:rPr>
          <w:rFonts w:ascii="Arial" w:hAnsi="Arial" w:cs="Arial"/>
        </w:rPr>
        <w:t>MNC is to maximize shareholder wealth</w:t>
      </w:r>
      <w:r w:rsidR="009260F3">
        <w:rPr>
          <w:rFonts w:ascii="Arial" w:hAnsi="Arial" w:cs="Arial"/>
        </w:rPr>
        <w:t>.</w:t>
      </w:r>
      <w:r w:rsidR="00207DF4" w:rsidRPr="00051D4E">
        <w:rPr>
          <w:rFonts w:ascii="Arial" w:hAnsi="Arial" w:cs="Arial"/>
        </w:rPr>
        <w:t xml:space="preserve"> </w:t>
      </w:r>
      <w:r w:rsidR="009260F3">
        <w:rPr>
          <w:rFonts w:ascii="Arial" w:hAnsi="Arial" w:cs="Arial"/>
        </w:rPr>
        <w:t>M</w:t>
      </w:r>
      <w:r w:rsidR="00207DF4" w:rsidRPr="00051D4E">
        <w:rPr>
          <w:rFonts w:ascii="Arial" w:hAnsi="Arial" w:cs="Arial"/>
        </w:rPr>
        <w:t xml:space="preserve">anagers are expected to take decisions that will increase stock price and serve stakeholders interest as a way to obtain funds and support its operations. </w:t>
      </w:r>
      <w:r w:rsidR="005E2242" w:rsidRPr="00051D4E">
        <w:rPr>
          <w:rFonts w:ascii="Arial" w:hAnsi="Arial" w:cs="Arial"/>
        </w:rPr>
        <w:t>As a result, management is used</w:t>
      </w:r>
      <w:r w:rsidR="00E30811">
        <w:rPr>
          <w:rFonts w:ascii="Arial" w:hAnsi="Arial" w:cs="Arial"/>
        </w:rPr>
        <w:t xml:space="preserve"> </w:t>
      </w:r>
      <w:r w:rsidR="005E2242" w:rsidRPr="00051D4E">
        <w:rPr>
          <w:rFonts w:ascii="Arial" w:hAnsi="Arial" w:cs="Arial"/>
        </w:rPr>
        <w:t>to motivate employees and organise resources efficiently</w:t>
      </w:r>
      <w:r w:rsidR="00CF4B29">
        <w:rPr>
          <w:rFonts w:ascii="Arial" w:hAnsi="Arial" w:cs="Arial"/>
        </w:rPr>
        <w:t>;</w:t>
      </w:r>
      <w:r w:rsidR="005E2242" w:rsidRPr="00051D4E">
        <w:rPr>
          <w:rFonts w:ascii="Arial" w:hAnsi="Arial" w:cs="Arial"/>
        </w:rPr>
        <w:t xml:space="preserve"> </w:t>
      </w:r>
      <w:r w:rsidR="00CF4B29">
        <w:rPr>
          <w:rFonts w:ascii="Arial" w:hAnsi="Arial" w:cs="Arial"/>
        </w:rPr>
        <w:t>m</w:t>
      </w:r>
      <w:r w:rsidR="00051D4E" w:rsidRPr="00051D4E">
        <w:rPr>
          <w:rFonts w:ascii="Arial" w:hAnsi="Arial" w:cs="Arial"/>
        </w:rPr>
        <w:t>arketing</w:t>
      </w:r>
      <w:r w:rsidR="0072603C">
        <w:rPr>
          <w:rFonts w:ascii="Arial" w:hAnsi="Arial" w:cs="Arial"/>
        </w:rPr>
        <w:t>,</w:t>
      </w:r>
      <w:r w:rsidR="00051D4E" w:rsidRPr="00051D4E">
        <w:rPr>
          <w:rFonts w:ascii="Arial" w:hAnsi="Arial" w:cs="Arial"/>
        </w:rPr>
        <w:t xml:space="preserve"> to increase consumer awareness and accounting and finance</w:t>
      </w:r>
      <w:r w:rsidR="009260F3">
        <w:rPr>
          <w:rFonts w:ascii="Arial" w:hAnsi="Arial" w:cs="Arial"/>
        </w:rPr>
        <w:t>-</w:t>
      </w:r>
      <w:r w:rsidR="0072603C">
        <w:rPr>
          <w:rFonts w:ascii="Arial" w:hAnsi="Arial" w:cs="Arial"/>
        </w:rPr>
        <w:t xml:space="preserve"> to</w:t>
      </w:r>
      <w:r w:rsidR="00051D4E" w:rsidRPr="00051D4E">
        <w:rPr>
          <w:rFonts w:ascii="Arial" w:hAnsi="Arial" w:cs="Arial"/>
        </w:rPr>
        <w:t xml:space="preserve"> record the financial information about revenue and expenses of the MNC and evaluate the outcomes of </w:t>
      </w:r>
      <w:r w:rsidR="00E30811">
        <w:rPr>
          <w:rFonts w:ascii="Arial" w:hAnsi="Arial" w:cs="Arial"/>
        </w:rPr>
        <w:t xml:space="preserve">various </w:t>
      </w:r>
      <w:r w:rsidR="00051D4E" w:rsidRPr="00051D4E">
        <w:rPr>
          <w:rFonts w:ascii="Arial" w:hAnsi="Arial" w:cs="Arial"/>
        </w:rPr>
        <w:t>strategies</w:t>
      </w:r>
      <w:r w:rsidR="00CF4B29">
        <w:rPr>
          <w:rFonts w:ascii="Arial" w:hAnsi="Arial" w:cs="Arial"/>
        </w:rPr>
        <w:t xml:space="preserve"> </w:t>
      </w:r>
      <w:r w:rsidR="00CF4B29" w:rsidRPr="00051D4E">
        <w:rPr>
          <w:rFonts w:ascii="Arial" w:hAnsi="Arial" w:cs="Arial"/>
        </w:rPr>
        <w:t xml:space="preserve">(Madura, Hoque and </w:t>
      </w:r>
      <w:proofErr w:type="spellStart"/>
      <w:r w:rsidR="00CF4B29" w:rsidRPr="00051D4E">
        <w:rPr>
          <w:rFonts w:ascii="Arial" w:hAnsi="Arial" w:cs="Arial"/>
        </w:rPr>
        <w:t>Krishnamurti</w:t>
      </w:r>
      <w:proofErr w:type="spellEnd"/>
      <w:r w:rsidR="00CF4B29" w:rsidRPr="00051D4E">
        <w:rPr>
          <w:rFonts w:ascii="Arial" w:hAnsi="Arial" w:cs="Arial"/>
        </w:rPr>
        <w:t>, 2018</w:t>
      </w:r>
      <w:r w:rsidR="00CF4B29">
        <w:rPr>
          <w:rFonts w:ascii="Arial" w:hAnsi="Arial" w:cs="Arial"/>
        </w:rPr>
        <w:t>).</w:t>
      </w:r>
      <w:r w:rsidR="00051D4E" w:rsidRPr="00051D4E">
        <w:rPr>
          <w:rFonts w:ascii="Arial" w:hAnsi="Arial" w:cs="Arial"/>
        </w:rPr>
        <w:t xml:space="preserve"> </w:t>
      </w:r>
      <w:r w:rsidR="0072603C">
        <w:rPr>
          <w:rFonts w:ascii="Arial" w:hAnsi="Arial" w:cs="Arial"/>
        </w:rPr>
        <w:t xml:space="preserve">A major factor that affects </w:t>
      </w:r>
      <w:r w:rsidR="009260F3">
        <w:rPr>
          <w:rFonts w:ascii="Arial" w:hAnsi="Arial" w:cs="Arial"/>
        </w:rPr>
        <w:t>a</w:t>
      </w:r>
      <w:r w:rsidR="0072603C">
        <w:rPr>
          <w:rFonts w:ascii="Arial" w:hAnsi="Arial" w:cs="Arial"/>
        </w:rPr>
        <w:t xml:space="preserve"> MNC’s business strategies, cost of operations and revenue is the exchange rate movements. Therefore, </w:t>
      </w:r>
      <w:r w:rsidR="009260F3">
        <w:rPr>
          <w:rFonts w:ascii="Arial" w:hAnsi="Arial" w:cs="Arial"/>
        </w:rPr>
        <w:t xml:space="preserve">a </w:t>
      </w:r>
      <w:r w:rsidR="0072603C">
        <w:rPr>
          <w:rFonts w:ascii="Arial" w:hAnsi="Arial" w:cs="Arial"/>
        </w:rPr>
        <w:t>MNC need</w:t>
      </w:r>
      <w:r w:rsidR="009260F3">
        <w:rPr>
          <w:rFonts w:ascii="Arial" w:hAnsi="Arial" w:cs="Arial"/>
        </w:rPr>
        <w:t>s</w:t>
      </w:r>
      <w:r w:rsidR="0072603C">
        <w:rPr>
          <w:rFonts w:ascii="Arial" w:hAnsi="Arial" w:cs="Arial"/>
        </w:rPr>
        <w:t xml:space="preserve"> </w:t>
      </w:r>
      <w:r w:rsidR="00282663">
        <w:rPr>
          <w:rFonts w:ascii="Arial" w:hAnsi="Arial" w:cs="Arial"/>
        </w:rPr>
        <w:t xml:space="preserve">to adopt </w:t>
      </w:r>
      <w:r w:rsidR="0072603C">
        <w:rPr>
          <w:rFonts w:ascii="Arial" w:hAnsi="Arial" w:cs="Arial"/>
        </w:rPr>
        <w:t>certain strategies to manage exposure to exchange rate risks</w:t>
      </w:r>
      <w:r w:rsidR="00CF4B29">
        <w:rPr>
          <w:rFonts w:ascii="Arial" w:hAnsi="Arial" w:cs="Arial"/>
        </w:rPr>
        <w:t xml:space="preserve"> that affect their performance in overseas market.</w:t>
      </w:r>
    </w:p>
    <w:p w14:paraId="1D08D5E5" w14:textId="2E0BFFFF" w:rsidR="00E448E3" w:rsidRPr="00051D4E" w:rsidRDefault="00051D4E" w:rsidP="0036036C">
      <w:pPr>
        <w:spacing w:line="360" w:lineRule="auto"/>
        <w:jc w:val="both"/>
        <w:rPr>
          <w:rFonts w:ascii="Arial" w:hAnsi="Arial" w:cs="Arial"/>
        </w:rPr>
      </w:pPr>
      <w:r w:rsidRPr="00051D4E">
        <w:rPr>
          <w:rFonts w:ascii="Arial" w:hAnsi="Arial" w:cs="Arial"/>
        </w:rPr>
        <w:t xml:space="preserve">This report </w:t>
      </w:r>
      <w:r>
        <w:rPr>
          <w:rFonts w:ascii="Arial" w:hAnsi="Arial" w:cs="Arial"/>
        </w:rPr>
        <w:t>includes an evaluation of strategies MNC uses to manage the foreign exchange risks.</w:t>
      </w:r>
    </w:p>
    <w:p w14:paraId="336A72A1" w14:textId="77777777" w:rsidR="00E448E3" w:rsidRPr="00051D4E" w:rsidRDefault="00E448E3" w:rsidP="00EA1551">
      <w:pPr>
        <w:jc w:val="both"/>
        <w:rPr>
          <w:rFonts w:ascii="Arial" w:hAnsi="Arial" w:cs="Arial"/>
          <w:b/>
          <w:bCs/>
        </w:rPr>
      </w:pPr>
    </w:p>
    <w:p w14:paraId="74DDD927" w14:textId="77777777" w:rsidR="00E448E3" w:rsidRDefault="00E448E3" w:rsidP="00E448E3">
      <w:pPr>
        <w:rPr>
          <w:rFonts w:ascii="Arial" w:hAnsi="Arial" w:cs="Arial"/>
          <w:b/>
          <w:bCs/>
          <w:sz w:val="28"/>
          <w:szCs w:val="28"/>
        </w:rPr>
      </w:pPr>
    </w:p>
    <w:p w14:paraId="2FB2A3E6" w14:textId="075B54C8" w:rsidR="00E448E3" w:rsidRPr="006E5838" w:rsidRDefault="00976827" w:rsidP="00976827">
      <w:pPr>
        <w:pStyle w:val="ListParagraph"/>
        <w:numPr>
          <w:ilvl w:val="0"/>
          <w:numId w:val="1"/>
        </w:numPr>
        <w:rPr>
          <w:rFonts w:ascii="Arial" w:hAnsi="Arial" w:cs="Arial"/>
          <w:b/>
          <w:bCs/>
        </w:rPr>
      </w:pPr>
      <w:r w:rsidRPr="006E5838">
        <w:rPr>
          <w:rFonts w:ascii="Arial" w:hAnsi="Arial" w:cs="Arial"/>
          <w:b/>
          <w:bCs/>
        </w:rPr>
        <w:t>Foreign exchange risks</w:t>
      </w:r>
    </w:p>
    <w:p w14:paraId="2E46975B" w14:textId="77777777" w:rsidR="00976827" w:rsidRPr="00976827" w:rsidRDefault="00976827" w:rsidP="00976827">
      <w:pPr>
        <w:pStyle w:val="ListParagraph"/>
        <w:rPr>
          <w:rFonts w:ascii="Arial" w:hAnsi="Arial" w:cs="Arial"/>
          <w:b/>
          <w:bCs/>
          <w:sz w:val="28"/>
          <w:szCs w:val="28"/>
        </w:rPr>
      </w:pPr>
    </w:p>
    <w:p w14:paraId="7059457C" w14:textId="34870932" w:rsidR="00E448E3" w:rsidRDefault="00E448E3" w:rsidP="00E448E3">
      <w:pPr>
        <w:rPr>
          <w:rFonts w:ascii="Arial" w:hAnsi="Arial" w:cs="Arial"/>
          <w:b/>
          <w:bCs/>
          <w:sz w:val="28"/>
          <w:szCs w:val="28"/>
        </w:rPr>
      </w:pPr>
      <w:r>
        <w:rPr>
          <w:rFonts w:ascii="Arial" w:hAnsi="Arial" w:cs="Arial"/>
          <w:b/>
          <w:bCs/>
          <w:noProof/>
          <w:sz w:val="28"/>
          <w:szCs w:val="28"/>
        </w:rPr>
        <w:drawing>
          <wp:inline distT="0" distB="0" distL="0" distR="0" wp14:anchorId="3B789284" wp14:editId="75B63014">
            <wp:extent cx="5431064" cy="2826247"/>
            <wp:effectExtent l="0" t="0" r="5080" b="6350"/>
            <wp:docPr id="129243398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33985" name="Picture 1" descr="A diagram of a compan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40676" cy="2831249"/>
                    </a:xfrm>
                    <a:prstGeom prst="rect">
                      <a:avLst/>
                    </a:prstGeom>
                  </pic:spPr>
                </pic:pic>
              </a:graphicData>
            </a:graphic>
          </wp:inline>
        </w:drawing>
      </w:r>
    </w:p>
    <w:p w14:paraId="0AA93E59" w14:textId="778F7C44" w:rsidR="00E448E3" w:rsidRDefault="00E448E3" w:rsidP="00E448E3">
      <w:pPr>
        <w:rPr>
          <w:rFonts w:ascii="Arial" w:hAnsi="Arial" w:cs="Arial"/>
          <w:sz w:val="22"/>
          <w:szCs w:val="22"/>
        </w:rPr>
      </w:pPr>
      <w:r w:rsidRPr="00F330F9">
        <w:rPr>
          <w:rFonts w:ascii="Arial" w:hAnsi="Arial" w:cs="Arial"/>
          <w:i/>
          <w:iCs/>
          <w:sz w:val="22"/>
          <w:szCs w:val="22"/>
        </w:rPr>
        <w:t>Figure 1</w:t>
      </w:r>
      <w:r w:rsidRPr="00E448E3">
        <w:rPr>
          <w:rFonts w:ascii="Arial" w:hAnsi="Arial" w:cs="Arial"/>
          <w:sz w:val="22"/>
          <w:szCs w:val="22"/>
        </w:rPr>
        <w:t>:</w:t>
      </w:r>
      <w:r w:rsidR="00B95A02">
        <w:rPr>
          <w:rFonts w:ascii="Arial" w:hAnsi="Arial" w:cs="Arial"/>
          <w:sz w:val="22"/>
          <w:szCs w:val="22"/>
        </w:rPr>
        <w:t xml:space="preserve"> MNC Environment (Madura, Hoque and Krishnam</w:t>
      </w:r>
      <w:r w:rsidR="00844886">
        <w:rPr>
          <w:rFonts w:ascii="Arial" w:hAnsi="Arial" w:cs="Arial"/>
          <w:sz w:val="22"/>
          <w:szCs w:val="22"/>
        </w:rPr>
        <w:t>u</w:t>
      </w:r>
      <w:r w:rsidR="00B95A02">
        <w:rPr>
          <w:rFonts w:ascii="Arial" w:hAnsi="Arial" w:cs="Arial"/>
          <w:sz w:val="22"/>
          <w:szCs w:val="22"/>
        </w:rPr>
        <w:t>rti, 2018, p. 1)</w:t>
      </w:r>
    </w:p>
    <w:p w14:paraId="0C0DB4BC" w14:textId="77777777" w:rsidR="00B95A02" w:rsidRDefault="00B95A02" w:rsidP="00E448E3">
      <w:pPr>
        <w:rPr>
          <w:rFonts w:ascii="Arial" w:hAnsi="Arial" w:cs="Arial"/>
          <w:sz w:val="22"/>
          <w:szCs w:val="22"/>
        </w:rPr>
      </w:pPr>
    </w:p>
    <w:p w14:paraId="18025036" w14:textId="4AD7F619" w:rsidR="00B95A02" w:rsidRPr="00AD7AFF" w:rsidRDefault="00814C74" w:rsidP="00AD7AFF">
      <w:pPr>
        <w:spacing w:line="360" w:lineRule="auto"/>
        <w:jc w:val="both"/>
        <w:rPr>
          <w:rFonts w:ascii="Arial" w:hAnsi="Arial" w:cs="Arial"/>
        </w:rPr>
      </w:pPr>
      <w:r w:rsidRPr="00814C74">
        <w:rPr>
          <w:rFonts w:ascii="Arial" w:hAnsi="Arial" w:cs="Arial"/>
        </w:rPr>
        <w:lastRenderedPageBreak/>
        <w:t>Foreign exchange risks result from the use of foreign currencies in international operations which MNC</w:t>
      </w:r>
      <w:r>
        <w:rPr>
          <w:rFonts w:ascii="Arial" w:hAnsi="Arial" w:cs="Arial"/>
        </w:rPr>
        <w:t xml:space="preserve">s </w:t>
      </w:r>
      <w:r w:rsidRPr="00814C74">
        <w:rPr>
          <w:rFonts w:ascii="Arial" w:hAnsi="Arial" w:cs="Arial"/>
        </w:rPr>
        <w:t>exchange to</w:t>
      </w:r>
      <w:r w:rsidRPr="00814C74">
        <w:rPr>
          <w:rFonts w:ascii="Arial" w:eastAsia="Times New Roman" w:hAnsi="Arial" w:cs="Arial"/>
        </w:rPr>
        <w:t xml:space="preserve"> support logistical operations, facilitate foreign investment, and sustain </w:t>
      </w:r>
      <w:r w:rsidRPr="00814C74">
        <w:rPr>
          <w:rFonts w:ascii="Arial" w:eastAsia="Times New Roman" w:hAnsi="Arial" w:cs="Arial"/>
        </w:rPr>
        <w:t>partnerships</w:t>
      </w:r>
      <w:r>
        <w:rPr>
          <w:rFonts w:ascii="Arial" w:eastAsia="Times New Roman" w:hAnsi="Arial" w:cs="Arial"/>
        </w:rPr>
        <w:t xml:space="preserve"> (Fig.1)</w:t>
      </w:r>
      <w:r w:rsidRPr="00814C74">
        <w:rPr>
          <w:rFonts w:ascii="Arial" w:eastAsia="Times New Roman" w:hAnsi="Arial" w:cs="Arial"/>
        </w:rPr>
        <w:t>.</w:t>
      </w:r>
    </w:p>
    <w:p w14:paraId="6360FB33" w14:textId="51562254" w:rsidR="002145D2" w:rsidRDefault="00B36A9B" w:rsidP="00B36A9B">
      <w:pPr>
        <w:spacing w:line="360" w:lineRule="auto"/>
        <w:jc w:val="both"/>
        <w:rPr>
          <w:rFonts w:ascii="Arial" w:hAnsi="Arial" w:cs="Arial"/>
        </w:rPr>
      </w:pPr>
      <w:r w:rsidRPr="00B36A9B">
        <w:rPr>
          <w:rFonts w:ascii="Arial" w:hAnsi="Arial" w:cs="Arial"/>
        </w:rPr>
        <w:t>The foreign exchange rate is central for determining the economic situation of a country as it provides financial security, increases purchasing power and allows global trades</w:t>
      </w:r>
      <w:r w:rsidR="002D1E7C">
        <w:rPr>
          <w:rFonts w:ascii="Arial" w:hAnsi="Arial" w:cs="Arial"/>
        </w:rPr>
        <w:t xml:space="preserve"> (</w:t>
      </w:r>
      <w:proofErr w:type="spellStart"/>
      <w:r w:rsidR="002D1E7C">
        <w:rPr>
          <w:rFonts w:ascii="Arial" w:hAnsi="Arial" w:cs="Arial"/>
        </w:rPr>
        <w:t>Akter</w:t>
      </w:r>
      <w:proofErr w:type="spellEnd"/>
      <w:r w:rsidR="002D1E7C">
        <w:rPr>
          <w:rFonts w:ascii="Arial" w:hAnsi="Arial" w:cs="Arial"/>
        </w:rPr>
        <w:t>, 2021).</w:t>
      </w:r>
      <w:r w:rsidRPr="00B36A9B">
        <w:rPr>
          <w:rFonts w:ascii="Arial" w:hAnsi="Arial" w:cs="Arial"/>
        </w:rPr>
        <w:t xml:space="preserve"> This rate fluctuate</w:t>
      </w:r>
      <w:r w:rsidR="00AD7AFF">
        <w:rPr>
          <w:rFonts w:ascii="Arial" w:hAnsi="Arial" w:cs="Arial"/>
        </w:rPr>
        <w:t>s</w:t>
      </w:r>
      <w:r w:rsidRPr="00B36A9B">
        <w:rPr>
          <w:rFonts w:ascii="Arial" w:hAnsi="Arial" w:cs="Arial"/>
        </w:rPr>
        <w:t xml:space="preserve"> depending on the supply and demand of the currency. A higher exchange rate would make export expensive and import cheaper for a country. The opposite, lower exchange rate makes the export more affordable but the import costly. Therefore, a higher exchange rate </w:t>
      </w:r>
      <w:r w:rsidR="009260F3">
        <w:rPr>
          <w:rFonts w:ascii="Arial" w:hAnsi="Arial" w:cs="Arial"/>
        </w:rPr>
        <w:t>makes</w:t>
      </w:r>
      <w:r w:rsidRPr="00B36A9B">
        <w:rPr>
          <w:rFonts w:ascii="Arial" w:hAnsi="Arial" w:cs="Arial"/>
        </w:rPr>
        <w:t xml:space="preserve"> a country’s economic conditions favourable as it helps keep the balance of trade lower</w:t>
      </w:r>
      <w:r w:rsidR="002D1E7C">
        <w:rPr>
          <w:rFonts w:ascii="Arial" w:hAnsi="Arial" w:cs="Arial"/>
        </w:rPr>
        <w:t xml:space="preserve"> (</w:t>
      </w:r>
      <w:proofErr w:type="spellStart"/>
      <w:r w:rsidR="002D1E7C">
        <w:rPr>
          <w:rFonts w:ascii="Arial" w:hAnsi="Arial" w:cs="Arial"/>
        </w:rPr>
        <w:t>Akter</w:t>
      </w:r>
      <w:proofErr w:type="spellEnd"/>
      <w:r w:rsidR="002D1E7C">
        <w:rPr>
          <w:rFonts w:ascii="Arial" w:hAnsi="Arial" w:cs="Arial"/>
        </w:rPr>
        <w:t>, 2021).</w:t>
      </w:r>
    </w:p>
    <w:p w14:paraId="36238CAF" w14:textId="460BFBEC" w:rsidR="002D1E7C" w:rsidRDefault="002D1E7C" w:rsidP="00B36A9B">
      <w:pPr>
        <w:spacing w:line="360" w:lineRule="auto"/>
        <w:jc w:val="both"/>
        <w:rPr>
          <w:rFonts w:ascii="Arial" w:hAnsi="Arial" w:cs="Arial"/>
        </w:rPr>
      </w:pPr>
      <w:r>
        <w:rPr>
          <w:rFonts w:ascii="Arial" w:hAnsi="Arial" w:cs="Arial"/>
        </w:rPr>
        <w:t>From the number of factors that influence the exchange rate, five are the most important: inflation, interest rates, income levels, government control and changes in expectations.</w:t>
      </w:r>
      <w:r w:rsidR="00675F57">
        <w:rPr>
          <w:rFonts w:ascii="Arial" w:hAnsi="Arial" w:cs="Arial"/>
        </w:rPr>
        <w:t xml:space="preserve"> These factors shift the demand and supply axis and create a new exchange rate in a new equilibrium position (</w:t>
      </w:r>
      <w:proofErr w:type="spellStart"/>
      <w:r w:rsidR="00675F57">
        <w:rPr>
          <w:rFonts w:ascii="Arial" w:hAnsi="Arial" w:cs="Arial"/>
        </w:rPr>
        <w:t>Akter</w:t>
      </w:r>
      <w:proofErr w:type="spellEnd"/>
      <w:r w:rsidR="00675F57">
        <w:rPr>
          <w:rFonts w:ascii="Arial" w:hAnsi="Arial" w:cs="Arial"/>
        </w:rPr>
        <w:t>, 2021)</w:t>
      </w:r>
      <w:r w:rsidR="00111373">
        <w:rPr>
          <w:rFonts w:ascii="Arial" w:hAnsi="Arial" w:cs="Arial"/>
        </w:rPr>
        <w:t>.</w:t>
      </w:r>
    </w:p>
    <w:p w14:paraId="65372293" w14:textId="78C23051" w:rsidR="00B95A02" w:rsidRDefault="00D40B42" w:rsidP="00D40B42">
      <w:pPr>
        <w:spacing w:line="360" w:lineRule="auto"/>
        <w:jc w:val="both"/>
        <w:rPr>
          <w:rFonts w:ascii="Arial" w:hAnsi="Arial" w:cs="Arial"/>
          <w:color w:val="222222"/>
          <w:shd w:val="clear" w:color="auto" w:fill="FFFFFF"/>
        </w:rPr>
      </w:pPr>
      <w:r>
        <w:rPr>
          <w:rFonts w:ascii="Arial" w:hAnsi="Arial" w:cs="Arial"/>
        </w:rPr>
        <w:t xml:space="preserve">In </w:t>
      </w:r>
      <w:r w:rsidR="00976827">
        <w:rPr>
          <w:rFonts w:ascii="Arial" w:hAnsi="Arial" w:cs="Arial"/>
        </w:rPr>
        <w:t>summary</w:t>
      </w:r>
      <w:r>
        <w:rPr>
          <w:rFonts w:ascii="Arial" w:hAnsi="Arial" w:cs="Arial"/>
        </w:rPr>
        <w:t xml:space="preserve">, </w:t>
      </w:r>
      <w:r w:rsidR="00976827">
        <w:rPr>
          <w:rFonts w:ascii="Arial" w:hAnsi="Arial" w:cs="Arial"/>
        </w:rPr>
        <w:t>foreign exchange risks</w:t>
      </w:r>
      <w:r>
        <w:rPr>
          <w:rFonts w:ascii="Arial" w:hAnsi="Arial" w:cs="Arial"/>
        </w:rPr>
        <w:t xml:space="preserve"> refer to the losses that may incur from a foreign transaction due to currency fluctuations. All businesses</w:t>
      </w:r>
      <w:r w:rsidR="009260F3">
        <w:rPr>
          <w:rFonts w:ascii="Arial" w:hAnsi="Arial" w:cs="Arial"/>
        </w:rPr>
        <w:t xml:space="preserve"> and </w:t>
      </w:r>
      <w:r>
        <w:rPr>
          <w:rFonts w:ascii="Arial" w:hAnsi="Arial" w:cs="Arial"/>
        </w:rPr>
        <w:t>investors that expect foreign cash flow are directly exposed and most firms bear indirect or competitive exposure</w:t>
      </w:r>
      <w:r w:rsidR="00E43D53">
        <w:rPr>
          <w:rFonts w:ascii="Arial" w:hAnsi="Arial" w:cs="Arial"/>
        </w:rPr>
        <w:t xml:space="preserve">. Consequently, </w:t>
      </w:r>
      <w:r w:rsidR="00E43D53" w:rsidRPr="00E43D53">
        <w:rPr>
          <w:rFonts w:ascii="Arial" w:hAnsi="Arial" w:cs="Arial"/>
        </w:rPr>
        <w:t>managing</w:t>
      </w:r>
      <w:r w:rsidR="00D63F47" w:rsidRPr="00E43D53">
        <w:rPr>
          <w:rFonts w:ascii="Arial" w:hAnsi="Arial" w:cs="Arial"/>
        </w:rPr>
        <w:t xml:space="preserve"> foreign exchange risk is </w:t>
      </w:r>
      <w:r w:rsidR="00E43D53">
        <w:rPr>
          <w:rFonts w:ascii="Arial" w:hAnsi="Arial" w:cs="Arial"/>
        </w:rPr>
        <w:t xml:space="preserve">critical for businesses success. It </w:t>
      </w:r>
      <w:r w:rsidR="00E43D53" w:rsidRPr="00E43D53">
        <w:rPr>
          <w:rFonts w:ascii="Arial" w:hAnsi="Arial" w:cs="Arial"/>
        </w:rPr>
        <w:t>enhanc</w:t>
      </w:r>
      <w:r w:rsidR="00E43D53">
        <w:rPr>
          <w:rFonts w:ascii="Arial" w:hAnsi="Arial" w:cs="Arial"/>
        </w:rPr>
        <w:t xml:space="preserve">es </w:t>
      </w:r>
      <w:r w:rsidR="00D63F47" w:rsidRPr="00E43D53">
        <w:rPr>
          <w:rFonts w:ascii="Arial" w:hAnsi="Arial" w:cs="Arial"/>
        </w:rPr>
        <w:t>value because it moderates cash flow volatility- mitigating underinvestment, decreasing the chances of financial distress and costs and reducing the cost of debt (</w:t>
      </w:r>
      <w:r w:rsidR="00E43D53" w:rsidRPr="00E43D53">
        <w:rPr>
          <w:rFonts w:ascii="Arial" w:hAnsi="Arial" w:cs="Arial"/>
          <w:color w:val="222222"/>
          <w:shd w:val="clear" w:color="auto" w:fill="FFFFFF"/>
        </w:rPr>
        <w:t>Hutson, Laing and Ye</w:t>
      </w:r>
      <w:r w:rsidR="00CF4B29">
        <w:rPr>
          <w:rFonts w:ascii="Arial" w:hAnsi="Arial" w:cs="Arial"/>
          <w:color w:val="222222"/>
          <w:shd w:val="clear" w:color="auto" w:fill="FFFFFF"/>
        </w:rPr>
        <w:t>,</w:t>
      </w:r>
      <w:r w:rsidR="00E43D53" w:rsidRPr="00E43D53">
        <w:rPr>
          <w:rFonts w:ascii="Arial" w:hAnsi="Arial" w:cs="Arial"/>
          <w:color w:val="222222"/>
          <w:shd w:val="clear" w:color="auto" w:fill="FFFFFF"/>
        </w:rPr>
        <w:t xml:space="preserve"> 2019)</w:t>
      </w:r>
      <w:r w:rsidR="00AD7AFF">
        <w:rPr>
          <w:rFonts w:ascii="Arial" w:hAnsi="Arial" w:cs="Arial"/>
          <w:color w:val="222222"/>
          <w:shd w:val="clear" w:color="auto" w:fill="FFFFFF"/>
        </w:rPr>
        <w:t>.</w:t>
      </w:r>
    </w:p>
    <w:p w14:paraId="6D54D8E0" w14:textId="128F54BC" w:rsidR="00AD7AFF" w:rsidRDefault="00AD7AFF" w:rsidP="00D40B42">
      <w:pPr>
        <w:spacing w:line="360" w:lineRule="auto"/>
        <w:jc w:val="both"/>
        <w:rPr>
          <w:rFonts w:ascii="Arial" w:eastAsia="Times New Roman" w:hAnsi="Arial" w:cs="Arial"/>
        </w:rPr>
      </w:pPr>
      <w:r>
        <w:rPr>
          <w:rFonts w:ascii="Arial" w:hAnsi="Arial" w:cs="Arial"/>
          <w:color w:val="222222"/>
          <w:shd w:val="clear" w:color="auto" w:fill="FFFFFF"/>
        </w:rPr>
        <w:t xml:space="preserve">The inevitability of foreign exchange risks </w:t>
      </w:r>
      <w:r w:rsidR="00B3267D">
        <w:rPr>
          <w:rFonts w:ascii="Arial" w:hAnsi="Arial" w:cs="Arial"/>
          <w:color w:val="222222"/>
          <w:shd w:val="clear" w:color="auto" w:fill="FFFFFF"/>
        </w:rPr>
        <w:t>means</w:t>
      </w:r>
      <w:r>
        <w:rPr>
          <w:rFonts w:ascii="Arial" w:hAnsi="Arial" w:cs="Arial"/>
          <w:color w:val="222222"/>
          <w:shd w:val="clear" w:color="auto" w:fill="FFFFFF"/>
        </w:rPr>
        <w:t xml:space="preserve"> that </w:t>
      </w:r>
      <w:r w:rsidR="009260F3">
        <w:rPr>
          <w:rFonts w:ascii="Arial" w:hAnsi="Arial" w:cs="Arial"/>
          <w:color w:val="222222"/>
          <w:shd w:val="clear" w:color="auto" w:fill="FFFFFF"/>
        </w:rPr>
        <w:t xml:space="preserve">a </w:t>
      </w:r>
      <w:r>
        <w:rPr>
          <w:rFonts w:ascii="Arial" w:hAnsi="Arial" w:cs="Arial"/>
          <w:color w:val="222222"/>
          <w:shd w:val="clear" w:color="auto" w:fill="FFFFFF"/>
        </w:rPr>
        <w:t>MNC need</w:t>
      </w:r>
      <w:r w:rsidR="009260F3">
        <w:rPr>
          <w:rFonts w:ascii="Arial" w:hAnsi="Arial" w:cs="Arial"/>
          <w:color w:val="222222"/>
          <w:shd w:val="clear" w:color="auto" w:fill="FFFFFF"/>
        </w:rPr>
        <w:t>s</w:t>
      </w:r>
      <w:r>
        <w:rPr>
          <w:rFonts w:ascii="Arial" w:hAnsi="Arial" w:cs="Arial"/>
          <w:color w:val="222222"/>
          <w:shd w:val="clear" w:color="auto" w:fill="FFFFFF"/>
        </w:rPr>
        <w:t xml:space="preserve"> to adopt effective strategies to sustain their profitability.</w:t>
      </w:r>
      <w:r w:rsidR="00B3267D">
        <w:rPr>
          <w:rFonts w:ascii="Arial" w:hAnsi="Arial" w:cs="Arial"/>
          <w:color w:val="222222"/>
          <w:shd w:val="clear" w:color="auto" w:fill="FFFFFF"/>
        </w:rPr>
        <w:t xml:space="preserve"> </w:t>
      </w:r>
      <w:r w:rsidR="00BA1DFD">
        <w:rPr>
          <w:rFonts w:ascii="Arial" w:eastAsia="Times New Roman" w:hAnsi="Arial" w:cs="Arial"/>
        </w:rPr>
        <w:t>There are three types of exposure:</w:t>
      </w:r>
    </w:p>
    <w:p w14:paraId="220D3DC9" w14:textId="11D1E510" w:rsidR="004645D3" w:rsidRDefault="004645D3" w:rsidP="004645D3">
      <w:pPr>
        <w:pStyle w:val="ListParagraph"/>
        <w:numPr>
          <w:ilvl w:val="0"/>
          <w:numId w:val="2"/>
        </w:numPr>
        <w:spacing w:line="360" w:lineRule="auto"/>
        <w:jc w:val="both"/>
        <w:rPr>
          <w:rFonts w:ascii="Arial" w:hAnsi="Arial" w:cs="Arial"/>
          <w:color w:val="222222"/>
          <w:shd w:val="clear" w:color="auto" w:fill="FFFFFF"/>
        </w:rPr>
      </w:pPr>
      <w:r>
        <w:rPr>
          <w:rFonts w:ascii="Arial" w:hAnsi="Arial" w:cs="Arial"/>
          <w:color w:val="222222"/>
          <w:shd w:val="clear" w:color="auto" w:fill="FFFFFF"/>
        </w:rPr>
        <w:t>Economic</w:t>
      </w:r>
      <w:r w:rsidR="00BA1DFD">
        <w:rPr>
          <w:rFonts w:ascii="Arial" w:hAnsi="Arial" w:cs="Arial"/>
          <w:color w:val="222222"/>
          <w:shd w:val="clear" w:color="auto" w:fill="FFFFFF"/>
        </w:rPr>
        <w:t>-</w:t>
      </w:r>
      <w:r>
        <w:rPr>
          <w:rFonts w:ascii="Arial" w:hAnsi="Arial" w:cs="Arial"/>
          <w:color w:val="222222"/>
          <w:shd w:val="clear" w:color="auto" w:fill="FFFFFF"/>
        </w:rPr>
        <w:t xml:space="preserve"> represent</w:t>
      </w:r>
      <w:r w:rsidR="00BA1DFD">
        <w:rPr>
          <w:rFonts w:ascii="Arial" w:hAnsi="Arial" w:cs="Arial"/>
          <w:color w:val="222222"/>
          <w:shd w:val="clear" w:color="auto" w:fill="FFFFFF"/>
        </w:rPr>
        <w:t>s</w:t>
      </w:r>
      <w:r>
        <w:rPr>
          <w:rFonts w:ascii="Arial" w:hAnsi="Arial" w:cs="Arial"/>
          <w:color w:val="222222"/>
          <w:shd w:val="clear" w:color="auto" w:fill="FFFFFF"/>
        </w:rPr>
        <w:t xml:space="preserve"> a risk that a company’s value may decline as a result of currency movement causing a loss in competitive strength (Arnold, 2013).</w:t>
      </w:r>
    </w:p>
    <w:p w14:paraId="7E852F9B" w14:textId="0D36007F" w:rsidR="004645D3" w:rsidRDefault="004645D3" w:rsidP="004645D3">
      <w:pPr>
        <w:pStyle w:val="ListParagraph"/>
        <w:numPr>
          <w:ilvl w:val="0"/>
          <w:numId w:val="2"/>
        </w:num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Translation risks arise when financial data denominated in one currency is expressed in terms of another currency. To counter this risk a company </w:t>
      </w:r>
      <w:proofErr w:type="gramStart"/>
      <w:r>
        <w:rPr>
          <w:rFonts w:ascii="Arial" w:hAnsi="Arial" w:cs="Arial"/>
          <w:color w:val="222222"/>
          <w:shd w:val="clear" w:color="auto" w:fill="FFFFFF"/>
        </w:rPr>
        <w:t>can</w:t>
      </w:r>
      <w:proofErr w:type="gramEnd"/>
      <w:r>
        <w:rPr>
          <w:rFonts w:ascii="Arial" w:hAnsi="Arial" w:cs="Arial"/>
          <w:color w:val="222222"/>
          <w:shd w:val="clear" w:color="auto" w:fill="FFFFFF"/>
        </w:rPr>
        <w:t xml:space="preserve"> hedge by borrowing in the same currency as the denomination of the assets (Arnold, 2013).</w:t>
      </w:r>
    </w:p>
    <w:p w14:paraId="67DC12D4" w14:textId="1BFB3E0C" w:rsidR="004645D3" w:rsidRDefault="004645D3" w:rsidP="004645D3">
      <w:pPr>
        <w:pStyle w:val="ListParagraph"/>
        <w:numPr>
          <w:ilvl w:val="0"/>
          <w:numId w:val="2"/>
        </w:numPr>
        <w:spacing w:line="360" w:lineRule="auto"/>
        <w:jc w:val="both"/>
        <w:rPr>
          <w:rFonts w:ascii="Arial" w:hAnsi="Arial" w:cs="Arial"/>
          <w:color w:val="222222"/>
          <w:shd w:val="clear" w:color="auto" w:fill="FFFFFF"/>
        </w:rPr>
      </w:pPr>
      <w:r>
        <w:rPr>
          <w:rFonts w:ascii="Arial" w:hAnsi="Arial" w:cs="Arial"/>
          <w:color w:val="222222"/>
          <w:shd w:val="clear" w:color="auto" w:fill="FFFFFF"/>
        </w:rPr>
        <w:t>Transaction risks- transactions made in foreign currency that have variable value in home currency because of exchange rate movement (Arnold, 2013).</w:t>
      </w:r>
    </w:p>
    <w:p w14:paraId="426F9780" w14:textId="13F29BF9" w:rsidR="006D4EEC" w:rsidRDefault="006D4EEC" w:rsidP="006D4EEC">
      <w:pPr>
        <w:spacing w:line="360" w:lineRule="auto"/>
        <w:jc w:val="both"/>
        <w:rPr>
          <w:rFonts w:ascii="Arial" w:hAnsi="Arial" w:cs="Arial"/>
          <w:color w:val="333333"/>
          <w:shd w:val="clear" w:color="auto" w:fill="FCFCFC"/>
        </w:rPr>
      </w:pPr>
      <w:r>
        <w:rPr>
          <w:rFonts w:ascii="Arial" w:hAnsi="Arial" w:cs="Arial"/>
          <w:color w:val="222222"/>
          <w:shd w:val="clear" w:color="auto" w:fill="FFFFFF"/>
        </w:rPr>
        <w:t xml:space="preserve">Businesses that engage in frequent international </w:t>
      </w:r>
      <w:r w:rsidR="009260F3">
        <w:rPr>
          <w:rFonts w:ascii="Arial" w:hAnsi="Arial" w:cs="Arial"/>
          <w:color w:val="222222"/>
          <w:shd w:val="clear" w:color="auto" w:fill="FFFFFF"/>
        </w:rPr>
        <w:t>operations</w:t>
      </w:r>
      <w:r>
        <w:rPr>
          <w:rFonts w:ascii="Arial" w:hAnsi="Arial" w:cs="Arial"/>
          <w:color w:val="222222"/>
          <w:shd w:val="clear" w:color="auto" w:fill="FFFFFF"/>
        </w:rPr>
        <w:t xml:space="preserve"> may consider multicurrency accounts that offer a </w:t>
      </w:r>
      <w:r w:rsidRPr="006D4EEC">
        <w:rPr>
          <w:rFonts w:ascii="Arial" w:hAnsi="Arial" w:cs="Arial"/>
          <w:color w:val="333333"/>
          <w:shd w:val="clear" w:color="auto" w:fill="FCFCFC"/>
        </w:rPr>
        <w:t>valuable shield against the unpredictab</w:t>
      </w:r>
      <w:r>
        <w:rPr>
          <w:rFonts w:ascii="Arial" w:hAnsi="Arial" w:cs="Arial"/>
          <w:color w:val="333333"/>
          <w:shd w:val="clear" w:color="auto" w:fill="FCFCFC"/>
        </w:rPr>
        <w:t>ility</w:t>
      </w:r>
      <w:r w:rsidRPr="006D4EEC">
        <w:rPr>
          <w:rFonts w:ascii="Arial" w:hAnsi="Arial" w:cs="Arial"/>
          <w:color w:val="333333"/>
          <w:shd w:val="clear" w:color="auto" w:fill="FCFCFC"/>
        </w:rPr>
        <w:t xml:space="preserve"> of </w:t>
      </w:r>
      <w:r w:rsidRPr="006D4EEC">
        <w:rPr>
          <w:rFonts w:ascii="Arial" w:hAnsi="Arial" w:cs="Arial"/>
          <w:color w:val="333333"/>
          <w:shd w:val="clear" w:color="auto" w:fill="FCFCFC"/>
        </w:rPr>
        <w:lastRenderedPageBreak/>
        <w:t>foreign exchange risks</w:t>
      </w:r>
      <w:r>
        <w:rPr>
          <w:rFonts w:ascii="Arial" w:hAnsi="Arial" w:cs="Arial"/>
          <w:color w:val="333333"/>
          <w:shd w:val="clear" w:color="auto" w:fill="FCFCFC"/>
        </w:rPr>
        <w:t xml:space="preserve">. </w:t>
      </w:r>
      <w:r w:rsidR="0087276A">
        <w:rPr>
          <w:rFonts w:ascii="Arial" w:hAnsi="Arial" w:cs="Arial"/>
          <w:color w:val="333333"/>
          <w:shd w:val="clear" w:color="auto" w:fill="FCFCFC"/>
        </w:rPr>
        <w:t xml:space="preserve">These accounts simplify international transactions as they consolidate various currencies in one place. </w:t>
      </w:r>
      <w:r w:rsidRPr="006D4EEC">
        <w:rPr>
          <w:rFonts w:ascii="Arial" w:hAnsi="Arial" w:cs="Arial"/>
          <w:color w:val="333333"/>
          <w:shd w:val="clear" w:color="auto" w:fill="FCFCFC"/>
        </w:rPr>
        <w:t>They streamline cross-border payments, reduce transfer costs and enhance cash flow management, providing a competitive edge in the global market</w:t>
      </w:r>
      <w:r>
        <w:rPr>
          <w:rFonts w:ascii="Arial" w:hAnsi="Arial" w:cs="Arial"/>
          <w:color w:val="333333"/>
          <w:shd w:val="clear" w:color="auto" w:fill="FCFCFC"/>
        </w:rPr>
        <w:t xml:space="preserve"> (</w:t>
      </w:r>
      <w:r w:rsidR="0087276A">
        <w:rPr>
          <w:rFonts w:ascii="Arial" w:hAnsi="Arial" w:cs="Arial"/>
          <w:color w:val="333333"/>
          <w:shd w:val="clear" w:color="auto" w:fill="FCFCFC"/>
        </w:rPr>
        <w:t>Pratt, 2023)</w:t>
      </w:r>
      <w:r w:rsidR="007B1D59">
        <w:rPr>
          <w:rFonts w:ascii="Arial" w:hAnsi="Arial" w:cs="Arial"/>
          <w:color w:val="333333"/>
          <w:shd w:val="clear" w:color="auto" w:fill="FCFCFC"/>
        </w:rPr>
        <w:t>.</w:t>
      </w:r>
    </w:p>
    <w:p w14:paraId="5EB565AB" w14:textId="77777777" w:rsidR="007B1D59" w:rsidRDefault="007B1D59" w:rsidP="006D4EEC">
      <w:pPr>
        <w:spacing w:line="360" w:lineRule="auto"/>
        <w:jc w:val="both"/>
        <w:rPr>
          <w:rFonts w:ascii="Arial" w:hAnsi="Arial" w:cs="Arial"/>
          <w:color w:val="333333"/>
          <w:shd w:val="clear" w:color="auto" w:fill="FCFCFC"/>
        </w:rPr>
      </w:pPr>
    </w:p>
    <w:p w14:paraId="6229C657" w14:textId="032F31BC" w:rsidR="007B1D59" w:rsidRPr="006E5838" w:rsidRDefault="007B1D59" w:rsidP="007B1D59">
      <w:pPr>
        <w:pStyle w:val="ListParagraph"/>
        <w:numPr>
          <w:ilvl w:val="0"/>
          <w:numId w:val="1"/>
        </w:numPr>
        <w:spacing w:line="360" w:lineRule="auto"/>
        <w:jc w:val="both"/>
        <w:rPr>
          <w:rFonts w:ascii="Arial" w:hAnsi="Arial" w:cs="Arial"/>
          <w:b/>
          <w:bCs/>
          <w:color w:val="222222"/>
          <w:shd w:val="clear" w:color="auto" w:fill="FFFFFF"/>
        </w:rPr>
      </w:pPr>
      <w:r w:rsidRPr="006E5838">
        <w:rPr>
          <w:rFonts w:ascii="Arial" w:hAnsi="Arial" w:cs="Arial"/>
          <w:b/>
          <w:bCs/>
          <w:color w:val="222222"/>
          <w:shd w:val="clear" w:color="auto" w:fill="FFFFFF"/>
        </w:rPr>
        <w:t>Managing foreign exchange risk</w:t>
      </w:r>
    </w:p>
    <w:p w14:paraId="15D669BA" w14:textId="0DEF3AD4" w:rsidR="007B1D59" w:rsidRPr="007B1D59" w:rsidRDefault="007B1D59" w:rsidP="007B1D59">
      <w:pPr>
        <w:spacing w:line="360" w:lineRule="auto"/>
        <w:jc w:val="both"/>
        <w:rPr>
          <w:rFonts w:ascii="Arial" w:hAnsi="Arial" w:cs="Arial"/>
          <w:b/>
          <w:bCs/>
          <w:color w:val="222222"/>
          <w:sz w:val="28"/>
          <w:szCs w:val="28"/>
          <w:shd w:val="clear" w:color="auto" w:fill="FFFFFF"/>
        </w:rPr>
      </w:pPr>
      <w:r>
        <w:rPr>
          <w:rFonts w:ascii="Arial" w:eastAsia="Times New Roman" w:hAnsi="Arial" w:cs="Arial"/>
        </w:rPr>
        <w:t>T</w:t>
      </w:r>
      <w:r w:rsidRPr="007B1D59">
        <w:rPr>
          <w:rFonts w:ascii="Arial" w:eastAsia="Times New Roman" w:hAnsi="Arial" w:cs="Arial"/>
        </w:rPr>
        <w:t>heories that inform the foreign exchange risk management are IRP (Interest Rate Parity), PPP (Purchasing Power Parity), and IFE (International Fisher Effect).</w:t>
      </w:r>
    </w:p>
    <w:p w14:paraId="761C38C4" w14:textId="11714D98" w:rsidR="007047A0" w:rsidRDefault="007B1D59" w:rsidP="00BD3D99">
      <w:pPr>
        <w:spacing w:line="360" w:lineRule="auto"/>
        <w:jc w:val="both"/>
        <w:rPr>
          <w:rFonts w:ascii="Arial" w:eastAsia="Times New Roman" w:hAnsi="Arial" w:cs="Arial"/>
        </w:rPr>
      </w:pPr>
      <w:r w:rsidRPr="007B1D59">
        <w:rPr>
          <w:rFonts w:ascii="Arial" w:eastAsia="Times New Roman" w:hAnsi="Arial" w:cs="Arial"/>
        </w:rPr>
        <w:t xml:space="preserve">The IRP theory indicates that interest rate variation in two nations offsets the difference spot exchange rate and the forward exchange rate. The theoretical framework indicates that different currencies should have the same hedged investment returns irrespective of the prevailing interest </w:t>
      </w:r>
      <w:r w:rsidRPr="007B1D59">
        <w:rPr>
          <w:rFonts w:ascii="Arial" w:eastAsia="Times New Roman" w:hAnsi="Arial" w:cs="Arial"/>
        </w:rPr>
        <w:t>rates. The</w:t>
      </w:r>
      <w:r w:rsidRPr="007B1D59">
        <w:rPr>
          <w:rFonts w:ascii="Arial" w:eastAsia="Times New Roman" w:hAnsi="Arial" w:cs="Arial"/>
        </w:rPr>
        <w:t xml:space="preserve"> PPP theory assesses the currencies' relative value through the comparison of their purchasing power</w:t>
      </w:r>
      <w:r w:rsidR="00E336F5">
        <w:rPr>
          <w:rFonts w:ascii="Arial" w:eastAsia="Times New Roman" w:hAnsi="Arial" w:cs="Arial"/>
        </w:rPr>
        <w:t xml:space="preserve"> (Arnold, 2013).</w:t>
      </w:r>
      <w:r>
        <w:rPr>
          <w:rFonts w:ascii="Arial" w:eastAsia="Times New Roman" w:hAnsi="Arial" w:cs="Arial"/>
        </w:rPr>
        <w:t xml:space="preserve"> </w:t>
      </w:r>
      <w:r w:rsidRPr="007B1D59">
        <w:rPr>
          <w:rFonts w:ascii="Arial" w:eastAsia="Times New Roman" w:hAnsi="Arial" w:cs="Arial"/>
        </w:rPr>
        <w:t xml:space="preserve">The IFE theory </w:t>
      </w:r>
      <w:r w:rsidR="006E5838">
        <w:rPr>
          <w:rFonts w:ascii="Arial" w:eastAsia="Times New Roman" w:hAnsi="Arial" w:cs="Arial"/>
        </w:rPr>
        <w:t>states</w:t>
      </w:r>
      <w:r w:rsidRPr="007B1D59">
        <w:rPr>
          <w:rFonts w:ascii="Arial" w:eastAsia="Times New Roman" w:hAnsi="Arial" w:cs="Arial"/>
        </w:rPr>
        <w:t xml:space="preserve"> that the projected disparity between two currencies’ exchange rates is roughly equal to their nation’s NIR (nominal interest rates) (</w:t>
      </w:r>
      <w:proofErr w:type="spellStart"/>
      <w:r w:rsidRPr="007B1D59">
        <w:rPr>
          <w:rFonts w:ascii="Arial" w:eastAsia="Times New Roman" w:hAnsi="Arial" w:cs="Arial"/>
        </w:rPr>
        <w:t>Shobande</w:t>
      </w:r>
      <w:proofErr w:type="spellEnd"/>
      <w:r w:rsidRPr="007B1D59">
        <w:rPr>
          <w:rFonts w:ascii="Arial" w:eastAsia="Times New Roman" w:hAnsi="Arial" w:cs="Arial"/>
        </w:rPr>
        <w:t xml:space="preserve"> &amp; </w:t>
      </w:r>
      <w:proofErr w:type="spellStart"/>
      <w:r w:rsidRPr="007B1D59">
        <w:rPr>
          <w:rFonts w:ascii="Arial" w:eastAsia="Times New Roman" w:hAnsi="Arial" w:cs="Arial"/>
        </w:rPr>
        <w:t>Shodipe</w:t>
      </w:r>
      <w:proofErr w:type="spellEnd"/>
      <w:r w:rsidRPr="007B1D59">
        <w:rPr>
          <w:rFonts w:ascii="Arial" w:eastAsia="Times New Roman" w:hAnsi="Arial" w:cs="Arial"/>
        </w:rPr>
        <w:t>, 2021). Th</w:t>
      </w:r>
      <w:r w:rsidR="00BD3D99">
        <w:rPr>
          <w:rFonts w:ascii="Arial" w:eastAsia="Times New Roman" w:hAnsi="Arial" w:cs="Arial"/>
        </w:rPr>
        <w:t>erefore,</w:t>
      </w:r>
      <w:r w:rsidRPr="007B1D59">
        <w:rPr>
          <w:rFonts w:ascii="Arial" w:eastAsia="Times New Roman" w:hAnsi="Arial" w:cs="Arial"/>
        </w:rPr>
        <w:t xml:space="preserve"> nations with high NIR experience high inflation rates and currency depreciation. </w:t>
      </w:r>
    </w:p>
    <w:p w14:paraId="0F7B0243" w14:textId="77777777" w:rsidR="006E5838" w:rsidRDefault="006E5838" w:rsidP="00BD3D99">
      <w:pPr>
        <w:spacing w:line="360" w:lineRule="auto"/>
        <w:jc w:val="both"/>
        <w:rPr>
          <w:rFonts w:ascii="Arial" w:eastAsia="Times New Roman" w:hAnsi="Arial" w:cs="Arial"/>
        </w:rPr>
      </w:pPr>
    </w:p>
    <w:p w14:paraId="49DE8F56" w14:textId="52103F1E" w:rsidR="006E5838" w:rsidRPr="006E5838" w:rsidRDefault="006E5838" w:rsidP="006E5838">
      <w:pPr>
        <w:pStyle w:val="ListParagraph"/>
        <w:numPr>
          <w:ilvl w:val="0"/>
          <w:numId w:val="1"/>
        </w:numPr>
        <w:spacing w:line="360" w:lineRule="auto"/>
        <w:jc w:val="both"/>
        <w:rPr>
          <w:rFonts w:ascii="Arial" w:eastAsia="Times New Roman" w:hAnsi="Arial" w:cs="Arial"/>
          <w:b/>
          <w:bCs/>
        </w:rPr>
      </w:pPr>
      <w:r w:rsidRPr="006E5838">
        <w:rPr>
          <w:rFonts w:ascii="Arial" w:eastAsia="Times New Roman" w:hAnsi="Arial" w:cs="Arial"/>
          <w:b/>
          <w:bCs/>
        </w:rPr>
        <w:t xml:space="preserve">Strategies to manage exposure </w:t>
      </w:r>
    </w:p>
    <w:p w14:paraId="76D7EC2B" w14:textId="41AC2782" w:rsidR="000356D4" w:rsidRDefault="00AE0FFB" w:rsidP="000356D4">
      <w:pPr>
        <w:spacing w:line="360" w:lineRule="auto"/>
        <w:jc w:val="both"/>
        <w:rPr>
          <w:rFonts w:ascii="Arial" w:hAnsi="Arial" w:cs="Arial"/>
          <w:color w:val="1F1F1F"/>
        </w:rPr>
      </w:pPr>
      <w:r w:rsidRPr="00AE0FFB">
        <w:rPr>
          <w:rFonts w:ascii="Arial" w:eastAsia="Times New Roman" w:hAnsi="Arial" w:cs="Arial"/>
        </w:rPr>
        <w:t>Derivatives</w:t>
      </w:r>
      <w:r w:rsidR="00781C24" w:rsidRPr="00AE0FFB">
        <w:rPr>
          <w:rFonts w:ascii="Arial" w:eastAsia="Times New Roman" w:hAnsi="Arial" w:cs="Arial"/>
        </w:rPr>
        <w:t xml:space="preserve"> a</w:t>
      </w:r>
      <w:r>
        <w:rPr>
          <w:rFonts w:ascii="Arial" w:eastAsia="Times New Roman" w:hAnsi="Arial" w:cs="Arial"/>
        </w:rPr>
        <w:t>re</w:t>
      </w:r>
      <w:r w:rsidR="00781C24" w:rsidRPr="00AE0FFB">
        <w:rPr>
          <w:rFonts w:ascii="Arial" w:eastAsia="Times New Roman" w:hAnsi="Arial" w:cs="Arial"/>
        </w:rPr>
        <w:t xml:space="preserve"> </w:t>
      </w:r>
      <w:r w:rsidR="005354BD">
        <w:rPr>
          <w:rFonts w:ascii="Arial" w:eastAsia="Times New Roman" w:hAnsi="Arial" w:cs="Arial"/>
        </w:rPr>
        <w:t>financial</w:t>
      </w:r>
      <w:r w:rsidR="00781C24" w:rsidRPr="00AE0FFB">
        <w:rPr>
          <w:rFonts w:ascii="Arial" w:eastAsia="Times New Roman" w:hAnsi="Arial" w:cs="Arial"/>
        </w:rPr>
        <w:t xml:space="preserve"> instruments used to speculate, invest and hedge in financial markets</w:t>
      </w:r>
      <w:r w:rsidR="00D55832">
        <w:rPr>
          <w:rFonts w:ascii="Arial" w:eastAsia="Times New Roman" w:hAnsi="Arial" w:cs="Arial"/>
        </w:rPr>
        <w:t xml:space="preserve"> (</w:t>
      </w:r>
      <w:proofErr w:type="spellStart"/>
      <w:r w:rsidR="00D55832">
        <w:rPr>
          <w:rFonts w:ascii="Arial" w:eastAsia="Times New Roman" w:hAnsi="Arial" w:cs="Arial"/>
        </w:rPr>
        <w:t>Oldani</w:t>
      </w:r>
      <w:proofErr w:type="spellEnd"/>
      <w:r w:rsidR="00D55832">
        <w:rPr>
          <w:rFonts w:ascii="Arial" w:eastAsia="Times New Roman" w:hAnsi="Arial" w:cs="Arial"/>
        </w:rPr>
        <w:t>, 2005).</w:t>
      </w:r>
      <w:r w:rsidR="00781C24" w:rsidRPr="00AE0FFB">
        <w:rPr>
          <w:rFonts w:ascii="Arial" w:eastAsia="Times New Roman" w:hAnsi="Arial" w:cs="Arial"/>
        </w:rPr>
        <w:t xml:space="preserve"> </w:t>
      </w:r>
      <w:r w:rsidR="00D55832" w:rsidRPr="00D55832">
        <w:rPr>
          <w:rFonts w:ascii="Arial" w:eastAsia="Times New Roman" w:hAnsi="Arial" w:cs="Arial"/>
        </w:rPr>
        <w:t>The hedging strategy involves taking currency market positions that offset losses associated with exchange rate fluctuations.</w:t>
      </w:r>
      <w:r w:rsidR="00D55832">
        <w:rPr>
          <w:rFonts w:ascii="Times New Roman" w:eastAsia="Times New Roman" w:hAnsi="Times New Roman" w:cs="Times New Roman"/>
        </w:rPr>
        <w:t xml:space="preserve"> </w:t>
      </w:r>
      <w:r w:rsidR="000356D4" w:rsidRPr="00D40B42">
        <w:rPr>
          <w:rFonts w:ascii="Arial" w:hAnsi="Arial" w:cs="Arial"/>
          <w:color w:val="1F1F1F"/>
        </w:rPr>
        <w:t>The</w:t>
      </w:r>
      <w:r w:rsidR="000356D4" w:rsidRPr="00D40B42">
        <w:rPr>
          <w:rStyle w:val="apple-converted-space"/>
          <w:rFonts w:ascii="Arial" w:hAnsi="Arial" w:cs="Arial"/>
          <w:color w:val="1F1F1F"/>
        </w:rPr>
        <w:t> </w:t>
      </w:r>
      <w:r w:rsidR="000356D4" w:rsidRPr="00CF4B29">
        <w:rPr>
          <w:rStyle w:val="Emphasis"/>
          <w:rFonts w:ascii="Arial" w:hAnsi="Arial" w:cs="Arial"/>
          <w:i w:val="0"/>
          <w:iCs w:val="0"/>
          <w:color w:val="1F1F1F"/>
        </w:rPr>
        <w:t>shareholder value</w:t>
      </w:r>
      <w:r w:rsidR="000356D4" w:rsidRPr="00D40B42">
        <w:rPr>
          <w:rStyle w:val="apple-converted-space"/>
          <w:rFonts w:ascii="Arial" w:hAnsi="Arial" w:cs="Arial"/>
          <w:color w:val="1F1F1F"/>
        </w:rPr>
        <w:t> </w:t>
      </w:r>
      <w:r w:rsidR="000356D4" w:rsidRPr="00D40B42">
        <w:rPr>
          <w:rFonts w:ascii="Arial" w:hAnsi="Arial" w:cs="Arial"/>
          <w:color w:val="1F1F1F"/>
        </w:rPr>
        <w:t>theories of financial risk management suggest that in reducing the volatility of expected future cash flows, hedging creates value</w:t>
      </w:r>
      <w:r w:rsidR="000356D4">
        <w:rPr>
          <w:rFonts w:ascii="Arial" w:hAnsi="Arial" w:cs="Arial"/>
          <w:color w:val="1F1F1F"/>
        </w:rPr>
        <w:t>.</w:t>
      </w:r>
    </w:p>
    <w:p w14:paraId="2A3A9714" w14:textId="77777777" w:rsidR="002145D2" w:rsidRPr="00D40B42" w:rsidRDefault="002145D2" w:rsidP="000356D4">
      <w:pPr>
        <w:spacing w:line="360" w:lineRule="auto"/>
        <w:jc w:val="both"/>
        <w:rPr>
          <w:rFonts w:ascii="Arial" w:hAnsi="Arial" w:cs="Arial"/>
          <w:sz w:val="22"/>
          <w:szCs w:val="22"/>
        </w:rPr>
      </w:pPr>
    </w:p>
    <w:p w14:paraId="0FB43AC8" w14:textId="103FCEEB" w:rsidR="002145D2" w:rsidRDefault="002145D2" w:rsidP="00D55832">
      <w:pPr>
        <w:spacing w:line="360" w:lineRule="auto"/>
        <w:jc w:val="both"/>
        <w:rPr>
          <w:rFonts w:ascii="Arial" w:eastAsia="Times New Roman" w:hAnsi="Arial" w:cs="Arial"/>
        </w:rPr>
      </w:pPr>
      <w:r>
        <w:rPr>
          <w:rFonts w:ascii="Arial" w:eastAsia="Times New Roman" w:hAnsi="Arial" w:cs="Arial"/>
        </w:rPr>
        <w:t>D</w:t>
      </w:r>
      <w:r w:rsidR="00781C24" w:rsidRPr="00AE0FFB">
        <w:rPr>
          <w:rFonts w:ascii="Arial" w:eastAsia="Times New Roman" w:hAnsi="Arial" w:cs="Arial"/>
        </w:rPr>
        <w:t xml:space="preserve">erivatives </w:t>
      </w:r>
      <w:r>
        <w:rPr>
          <w:rFonts w:ascii="Arial" w:eastAsia="Times New Roman" w:hAnsi="Arial" w:cs="Arial"/>
        </w:rPr>
        <w:t xml:space="preserve">as hedging strategy </w:t>
      </w:r>
      <w:r w:rsidR="00781C24" w:rsidRPr="00AE0FFB">
        <w:rPr>
          <w:rFonts w:ascii="Arial" w:eastAsia="Times New Roman" w:hAnsi="Arial" w:cs="Arial"/>
        </w:rPr>
        <w:t>can be summed up as</w:t>
      </w:r>
      <w:r w:rsidR="000356D4">
        <w:rPr>
          <w:rFonts w:ascii="Arial" w:eastAsia="Times New Roman" w:hAnsi="Arial" w:cs="Arial"/>
        </w:rPr>
        <w:t>:</w:t>
      </w:r>
    </w:p>
    <w:p w14:paraId="69092740" w14:textId="50E7C349" w:rsidR="00AE0FFB" w:rsidRPr="00AE0FFB" w:rsidRDefault="00781C24" w:rsidP="00AE0FFB">
      <w:pPr>
        <w:pStyle w:val="NoSpacing"/>
        <w:numPr>
          <w:ilvl w:val="0"/>
          <w:numId w:val="5"/>
        </w:numPr>
        <w:spacing w:line="360" w:lineRule="auto"/>
        <w:ind w:left="714" w:hanging="357"/>
        <w:jc w:val="both"/>
        <w:rPr>
          <w:rFonts w:ascii="Arial" w:hAnsi="Arial" w:cs="Arial"/>
        </w:rPr>
      </w:pPr>
      <w:r w:rsidRPr="00AE0FFB">
        <w:rPr>
          <w:rFonts w:ascii="Arial" w:eastAsia="Times New Roman" w:hAnsi="Arial" w:cs="Arial"/>
        </w:rPr>
        <w:t>future contracts</w:t>
      </w:r>
      <w:r w:rsidR="00AE0FFB">
        <w:rPr>
          <w:rFonts w:ascii="Arial" w:eastAsia="Times New Roman" w:hAnsi="Arial" w:cs="Arial"/>
        </w:rPr>
        <w:t>-</w:t>
      </w:r>
      <w:r w:rsidRPr="00AE0FFB">
        <w:rPr>
          <w:rFonts w:ascii="Arial" w:eastAsia="Times New Roman" w:hAnsi="Arial" w:cs="Arial"/>
        </w:rPr>
        <w:t xml:space="preserve"> increase market efficiency</w:t>
      </w:r>
      <w:r w:rsidR="00D55832">
        <w:rPr>
          <w:rFonts w:ascii="Arial" w:eastAsia="Times New Roman" w:hAnsi="Arial" w:cs="Arial"/>
        </w:rPr>
        <w:t xml:space="preserve"> and liquidity. </w:t>
      </w:r>
      <w:r w:rsidR="000356D4">
        <w:rPr>
          <w:rFonts w:ascii="Arial" w:eastAsia="Times New Roman" w:hAnsi="Arial" w:cs="Arial"/>
        </w:rPr>
        <w:t xml:space="preserve">They are widely used to hedge and speculate in both financial and commodity markets </w:t>
      </w:r>
      <w:r w:rsidR="000356D4">
        <w:rPr>
          <w:rFonts w:ascii="Arial" w:eastAsia="Times New Roman" w:hAnsi="Arial" w:cs="Arial"/>
        </w:rPr>
        <w:t>(</w:t>
      </w:r>
      <w:proofErr w:type="spellStart"/>
      <w:r w:rsidR="000356D4">
        <w:rPr>
          <w:rFonts w:ascii="Arial" w:eastAsia="Times New Roman" w:hAnsi="Arial" w:cs="Arial"/>
        </w:rPr>
        <w:t>Oldani</w:t>
      </w:r>
      <w:proofErr w:type="spellEnd"/>
      <w:r w:rsidR="000356D4">
        <w:rPr>
          <w:rFonts w:ascii="Arial" w:eastAsia="Times New Roman" w:hAnsi="Arial" w:cs="Arial"/>
        </w:rPr>
        <w:t>, 2005)</w:t>
      </w:r>
    </w:p>
    <w:p w14:paraId="1CE34E68" w14:textId="5001AE68" w:rsidR="00AE0FFB" w:rsidRDefault="00781C24" w:rsidP="00AE0FFB">
      <w:pPr>
        <w:pStyle w:val="NoSpacing"/>
        <w:numPr>
          <w:ilvl w:val="0"/>
          <w:numId w:val="5"/>
        </w:numPr>
        <w:spacing w:line="360" w:lineRule="auto"/>
        <w:ind w:left="714" w:hanging="357"/>
        <w:jc w:val="both"/>
        <w:rPr>
          <w:rFonts w:ascii="Arial" w:hAnsi="Arial" w:cs="Arial"/>
        </w:rPr>
      </w:pPr>
      <w:r w:rsidRPr="00AE0FFB">
        <w:rPr>
          <w:rFonts w:ascii="Arial" w:eastAsia="Times New Roman" w:hAnsi="Arial" w:cs="Arial"/>
        </w:rPr>
        <w:t>options contacts</w:t>
      </w:r>
      <w:r w:rsidR="00AE0FFB">
        <w:rPr>
          <w:rFonts w:ascii="Arial" w:eastAsia="Times New Roman" w:hAnsi="Arial" w:cs="Arial"/>
        </w:rPr>
        <w:t xml:space="preserve">- </w:t>
      </w:r>
      <w:r w:rsidR="006E5838">
        <w:rPr>
          <w:rFonts w:ascii="Arial" w:eastAsia="Times New Roman" w:hAnsi="Arial" w:cs="Arial"/>
        </w:rPr>
        <w:t>give</w:t>
      </w:r>
      <w:r w:rsidR="00AE0FFB" w:rsidRPr="00AE0FFB">
        <w:rPr>
          <w:rFonts w:ascii="Arial" w:eastAsia="Times New Roman" w:hAnsi="Arial" w:cs="Arial"/>
        </w:rPr>
        <w:t xml:space="preserve"> </w:t>
      </w:r>
      <w:r w:rsidRPr="00AE0FFB">
        <w:rPr>
          <w:rFonts w:ascii="Arial" w:hAnsi="Arial" w:cs="Arial"/>
        </w:rPr>
        <w:t>clients the right to sell and purchase currency at a specific price</w:t>
      </w:r>
      <w:r w:rsidR="000356D4">
        <w:rPr>
          <w:rFonts w:ascii="Arial" w:hAnsi="Arial" w:cs="Arial"/>
        </w:rPr>
        <w:t xml:space="preserve"> </w:t>
      </w:r>
      <w:r w:rsidR="000356D4">
        <w:rPr>
          <w:rFonts w:ascii="Arial" w:eastAsia="Times New Roman" w:hAnsi="Arial" w:cs="Arial"/>
        </w:rPr>
        <w:t>(</w:t>
      </w:r>
      <w:proofErr w:type="spellStart"/>
      <w:r w:rsidR="000356D4">
        <w:rPr>
          <w:rFonts w:ascii="Arial" w:eastAsia="Times New Roman" w:hAnsi="Arial" w:cs="Arial"/>
        </w:rPr>
        <w:t>Oldani</w:t>
      </w:r>
      <w:proofErr w:type="spellEnd"/>
      <w:r w:rsidR="000356D4">
        <w:rPr>
          <w:rFonts w:ascii="Arial" w:eastAsia="Times New Roman" w:hAnsi="Arial" w:cs="Arial"/>
        </w:rPr>
        <w:t>, 2005)</w:t>
      </w:r>
    </w:p>
    <w:p w14:paraId="378F7EEF" w14:textId="461FED87" w:rsidR="00781C24" w:rsidRDefault="00AE0FFB" w:rsidP="00AE0FFB">
      <w:pPr>
        <w:pStyle w:val="NoSpacing"/>
        <w:numPr>
          <w:ilvl w:val="0"/>
          <w:numId w:val="5"/>
        </w:numPr>
        <w:spacing w:line="360" w:lineRule="auto"/>
        <w:ind w:left="714" w:hanging="357"/>
        <w:jc w:val="both"/>
        <w:rPr>
          <w:rFonts w:ascii="Arial" w:hAnsi="Arial" w:cs="Arial"/>
        </w:rPr>
      </w:pPr>
      <w:r w:rsidRPr="00AE0FFB">
        <w:rPr>
          <w:rFonts w:ascii="Arial" w:hAnsi="Arial" w:cs="Arial"/>
        </w:rPr>
        <w:t>swaps</w:t>
      </w:r>
      <w:r>
        <w:rPr>
          <w:rFonts w:ascii="Arial" w:hAnsi="Arial" w:cs="Arial"/>
        </w:rPr>
        <w:t xml:space="preserve">- </w:t>
      </w:r>
      <w:r w:rsidRPr="00AE0FFB">
        <w:rPr>
          <w:rFonts w:ascii="Arial" w:hAnsi="Arial" w:cs="Arial"/>
        </w:rPr>
        <w:t>tend to create new investment opportunities in order to hedge against any type of risks such as interest rate and credit default</w:t>
      </w:r>
      <w:r w:rsidR="000356D4">
        <w:rPr>
          <w:rFonts w:ascii="Arial" w:hAnsi="Arial" w:cs="Arial"/>
        </w:rPr>
        <w:t xml:space="preserve"> </w:t>
      </w:r>
      <w:r w:rsidR="000356D4">
        <w:rPr>
          <w:rFonts w:ascii="Arial" w:eastAsia="Times New Roman" w:hAnsi="Arial" w:cs="Arial"/>
        </w:rPr>
        <w:t>(</w:t>
      </w:r>
      <w:proofErr w:type="spellStart"/>
      <w:r w:rsidR="000356D4">
        <w:rPr>
          <w:rFonts w:ascii="Arial" w:eastAsia="Times New Roman" w:hAnsi="Arial" w:cs="Arial"/>
        </w:rPr>
        <w:t>Oldani</w:t>
      </w:r>
      <w:proofErr w:type="spellEnd"/>
      <w:r w:rsidR="000356D4">
        <w:rPr>
          <w:rFonts w:ascii="Arial" w:eastAsia="Times New Roman" w:hAnsi="Arial" w:cs="Arial"/>
        </w:rPr>
        <w:t>, 2005)</w:t>
      </w:r>
    </w:p>
    <w:p w14:paraId="2DE14D22" w14:textId="4AB8D369" w:rsidR="00AE0FFB" w:rsidRPr="00AE0FFB" w:rsidRDefault="00AE0FFB" w:rsidP="00AE0FFB">
      <w:pPr>
        <w:pStyle w:val="NoSpacing"/>
        <w:numPr>
          <w:ilvl w:val="0"/>
          <w:numId w:val="5"/>
        </w:numPr>
        <w:spacing w:line="360" w:lineRule="auto"/>
        <w:ind w:left="714" w:hanging="357"/>
        <w:jc w:val="both"/>
        <w:rPr>
          <w:rFonts w:ascii="Arial" w:hAnsi="Arial" w:cs="Arial"/>
        </w:rPr>
      </w:pPr>
      <w:r>
        <w:rPr>
          <w:rFonts w:ascii="Arial" w:hAnsi="Arial" w:cs="Arial"/>
        </w:rPr>
        <w:lastRenderedPageBreak/>
        <w:t xml:space="preserve">forwards </w:t>
      </w:r>
      <w:r w:rsidRPr="00AE0FFB">
        <w:rPr>
          <w:rFonts w:ascii="Arial" w:eastAsia="Times New Roman" w:hAnsi="Arial" w:cs="Arial"/>
        </w:rPr>
        <w:t>refer to customised agreements that enable MNCs to create exchange rates for future contracts, which protects them against potential currency volatilities</w:t>
      </w:r>
      <w:r w:rsidR="000356D4">
        <w:rPr>
          <w:rFonts w:ascii="Arial" w:eastAsia="Times New Roman" w:hAnsi="Arial" w:cs="Arial"/>
        </w:rPr>
        <w:t xml:space="preserve"> </w:t>
      </w:r>
      <w:r w:rsidR="000356D4">
        <w:rPr>
          <w:rFonts w:ascii="Arial" w:eastAsia="Times New Roman" w:hAnsi="Arial" w:cs="Arial"/>
        </w:rPr>
        <w:t>(</w:t>
      </w:r>
      <w:proofErr w:type="spellStart"/>
      <w:r w:rsidR="000356D4">
        <w:rPr>
          <w:rFonts w:ascii="Arial" w:eastAsia="Times New Roman" w:hAnsi="Arial" w:cs="Arial"/>
        </w:rPr>
        <w:t>Oldani</w:t>
      </w:r>
      <w:proofErr w:type="spellEnd"/>
      <w:r w:rsidR="000356D4">
        <w:rPr>
          <w:rFonts w:ascii="Arial" w:eastAsia="Times New Roman" w:hAnsi="Arial" w:cs="Arial"/>
        </w:rPr>
        <w:t>, 2005)</w:t>
      </w:r>
    </w:p>
    <w:p w14:paraId="1C43EEF8" w14:textId="083A7EC6" w:rsidR="00AE0FFB" w:rsidRPr="009045C6" w:rsidRDefault="00AE0FFB" w:rsidP="00AE0FFB">
      <w:pPr>
        <w:pStyle w:val="NoSpacing"/>
        <w:numPr>
          <w:ilvl w:val="0"/>
          <w:numId w:val="5"/>
        </w:numPr>
        <w:spacing w:line="360" w:lineRule="auto"/>
        <w:ind w:left="714" w:hanging="357"/>
        <w:jc w:val="both"/>
        <w:rPr>
          <w:rFonts w:ascii="Arial" w:hAnsi="Arial" w:cs="Arial"/>
        </w:rPr>
      </w:pPr>
      <w:r>
        <w:rPr>
          <w:rFonts w:ascii="Arial" w:eastAsia="Times New Roman" w:hAnsi="Arial" w:cs="Arial"/>
        </w:rPr>
        <w:t>repos used to finance liquidity not to speculate or hedge</w:t>
      </w:r>
      <w:r w:rsidR="000356D4">
        <w:rPr>
          <w:rFonts w:ascii="Arial" w:eastAsia="Times New Roman" w:hAnsi="Arial" w:cs="Arial"/>
        </w:rPr>
        <w:t xml:space="preserve"> </w:t>
      </w:r>
      <w:r w:rsidR="000356D4">
        <w:rPr>
          <w:rFonts w:ascii="Arial" w:eastAsia="Times New Roman" w:hAnsi="Arial" w:cs="Arial"/>
        </w:rPr>
        <w:t>(</w:t>
      </w:r>
      <w:proofErr w:type="spellStart"/>
      <w:r w:rsidR="000356D4">
        <w:rPr>
          <w:rFonts w:ascii="Arial" w:eastAsia="Times New Roman" w:hAnsi="Arial" w:cs="Arial"/>
        </w:rPr>
        <w:t>Oldani</w:t>
      </w:r>
      <w:proofErr w:type="spellEnd"/>
      <w:r w:rsidR="000356D4">
        <w:rPr>
          <w:rFonts w:ascii="Arial" w:eastAsia="Times New Roman" w:hAnsi="Arial" w:cs="Arial"/>
        </w:rPr>
        <w:t>, 2005)</w:t>
      </w:r>
    </w:p>
    <w:p w14:paraId="000E9C9A" w14:textId="77777777" w:rsidR="009045C6" w:rsidRPr="00AE0FFB" w:rsidRDefault="009045C6" w:rsidP="009045C6">
      <w:pPr>
        <w:pStyle w:val="NoSpacing"/>
        <w:spacing w:line="360" w:lineRule="auto"/>
        <w:ind w:left="714"/>
        <w:jc w:val="both"/>
        <w:rPr>
          <w:rFonts w:ascii="Arial" w:hAnsi="Arial" w:cs="Arial"/>
        </w:rPr>
      </w:pPr>
    </w:p>
    <w:p w14:paraId="44A3E5D2" w14:textId="50185623" w:rsidR="00B3267D" w:rsidRDefault="000356D4" w:rsidP="00D40B42">
      <w:pPr>
        <w:spacing w:line="360" w:lineRule="auto"/>
        <w:jc w:val="both"/>
        <w:rPr>
          <w:rFonts w:ascii="Arial" w:eastAsia="Times New Roman" w:hAnsi="Arial" w:cs="Arial"/>
        </w:rPr>
      </w:pPr>
      <w:r w:rsidRPr="00D55832">
        <w:rPr>
          <w:rFonts w:ascii="Arial" w:eastAsia="Times New Roman" w:hAnsi="Arial" w:cs="Arial"/>
        </w:rPr>
        <w:t xml:space="preserve">Every hedging strategy offers diverse protection, flexibility, and financial ramifications, which improves MNCs’ risk </w:t>
      </w:r>
      <w:r>
        <w:rPr>
          <w:rFonts w:ascii="Arial" w:eastAsia="Times New Roman" w:hAnsi="Arial" w:cs="Arial"/>
        </w:rPr>
        <w:t>exposure</w:t>
      </w:r>
      <w:r w:rsidRPr="00D55832">
        <w:rPr>
          <w:rFonts w:ascii="Arial" w:eastAsia="Times New Roman" w:hAnsi="Arial" w:cs="Arial"/>
        </w:rPr>
        <w:t>.</w:t>
      </w:r>
      <w:r>
        <w:rPr>
          <w:rFonts w:ascii="Arial" w:eastAsia="Times New Roman" w:hAnsi="Arial" w:cs="Arial"/>
        </w:rPr>
        <w:t xml:space="preserve"> </w:t>
      </w:r>
    </w:p>
    <w:p w14:paraId="59508B03" w14:textId="77777777" w:rsidR="00BC05D9" w:rsidRDefault="00BC05D9" w:rsidP="00D40B42">
      <w:pPr>
        <w:spacing w:line="360" w:lineRule="auto"/>
        <w:jc w:val="both"/>
        <w:rPr>
          <w:rFonts w:ascii="Arial" w:eastAsia="Times New Roman" w:hAnsi="Arial" w:cs="Arial"/>
        </w:rPr>
      </w:pPr>
    </w:p>
    <w:p w14:paraId="3CD2E8B9" w14:textId="6D776930" w:rsidR="002204B3" w:rsidRPr="002204B3" w:rsidRDefault="009045C6" w:rsidP="002204B3">
      <w:pPr>
        <w:pStyle w:val="NoSpacing"/>
        <w:numPr>
          <w:ilvl w:val="0"/>
          <w:numId w:val="12"/>
        </w:numPr>
        <w:spacing w:line="360" w:lineRule="auto"/>
        <w:jc w:val="both"/>
        <w:rPr>
          <w:rFonts w:ascii="Arial" w:hAnsi="Arial" w:cs="Arial"/>
          <w:color w:val="222222"/>
          <w:shd w:val="clear" w:color="auto" w:fill="FFFFFF"/>
        </w:rPr>
      </w:pPr>
      <w:r w:rsidRPr="002204B3">
        <w:rPr>
          <w:rFonts w:ascii="Arial" w:hAnsi="Arial" w:cs="Arial"/>
          <w:shd w:val="clear" w:color="auto" w:fill="FFFFFF"/>
        </w:rPr>
        <w:t xml:space="preserve">Currency risk sharing implements a collaborative approach to managing </w:t>
      </w:r>
      <w:r w:rsidR="002204B3">
        <w:rPr>
          <w:rFonts w:ascii="Arial" w:hAnsi="Arial" w:cs="Arial"/>
          <w:color w:val="222222"/>
          <w:shd w:val="clear" w:color="auto" w:fill="FFFFFF"/>
        </w:rPr>
        <w:t>risks.</w:t>
      </w:r>
    </w:p>
    <w:p w14:paraId="5016D7E9" w14:textId="03765492" w:rsidR="00BC05D9" w:rsidRPr="002204B3" w:rsidRDefault="009045C6" w:rsidP="002204B3">
      <w:pPr>
        <w:pStyle w:val="NoSpacing"/>
        <w:spacing w:line="360" w:lineRule="auto"/>
        <w:jc w:val="both"/>
        <w:rPr>
          <w:rFonts w:ascii="Arial" w:hAnsi="Arial" w:cs="Arial"/>
          <w:color w:val="222222"/>
          <w:shd w:val="clear" w:color="auto" w:fill="FFFFFF"/>
        </w:rPr>
      </w:pPr>
      <w:r w:rsidRPr="002204B3">
        <w:rPr>
          <w:rFonts w:ascii="Arial" w:eastAsia="Times New Roman" w:hAnsi="Arial" w:cs="Arial"/>
        </w:rPr>
        <w:t>Essentially, the risk management process involves modifying service/product prices based on the changes in currency values</w:t>
      </w:r>
      <w:r w:rsidR="00062A6E" w:rsidRPr="002204B3">
        <w:rPr>
          <w:rFonts w:ascii="Arial" w:eastAsia="Times New Roman" w:hAnsi="Arial" w:cs="Arial"/>
        </w:rPr>
        <w:t xml:space="preserve">, </w:t>
      </w:r>
      <w:r w:rsidR="005354BD" w:rsidRPr="002204B3">
        <w:rPr>
          <w:rFonts w:ascii="Arial" w:eastAsia="Times New Roman" w:hAnsi="Arial" w:cs="Arial"/>
        </w:rPr>
        <w:t>ensuring</w:t>
      </w:r>
      <w:r w:rsidR="00062A6E" w:rsidRPr="002204B3">
        <w:rPr>
          <w:rFonts w:ascii="Arial" w:eastAsia="Times New Roman" w:hAnsi="Arial" w:cs="Arial"/>
        </w:rPr>
        <w:t xml:space="preserve"> a fair distribution of </w:t>
      </w:r>
      <w:r w:rsidR="002204B3">
        <w:rPr>
          <w:rFonts w:ascii="Arial" w:eastAsia="Times New Roman" w:hAnsi="Arial" w:cs="Arial"/>
        </w:rPr>
        <w:t xml:space="preserve">the </w:t>
      </w:r>
      <w:r w:rsidR="00062A6E" w:rsidRPr="002204B3">
        <w:rPr>
          <w:rFonts w:ascii="Arial" w:eastAsia="Times New Roman" w:hAnsi="Arial" w:cs="Arial"/>
        </w:rPr>
        <w:t>financial burden</w:t>
      </w:r>
      <w:r w:rsidR="008E7864" w:rsidRPr="002204B3">
        <w:rPr>
          <w:rFonts w:ascii="Arial" w:eastAsia="Times New Roman" w:hAnsi="Arial" w:cs="Arial"/>
        </w:rPr>
        <w:t xml:space="preserve"> (Jacque, 2013).</w:t>
      </w:r>
      <w:r w:rsidR="00BC05D9" w:rsidRPr="002204B3">
        <w:rPr>
          <w:rFonts w:ascii="Arial" w:eastAsia="Times New Roman" w:hAnsi="Arial" w:cs="Arial"/>
        </w:rPr>
        <w:t xml:space="preserve"> </w:t>
      </w:r>
      <w:r w:rsidR="00BC05D9" w:rsidRPr="002204B3">
        <w:rPr>
          <w:rFonts w:ascii="Arial" w:eastAsia="Times New Roman" w:hAnsi="Arial" w:cs="Arial"/>
        </w:rPr>
        <w:t xml:space="preserve">The strategy enables all MNCs to accomplish long-term goals of profit maximisation and continuous expansion. </w:t>
      </w:r>
    </w:p>
    <w:p w14:paraId="4078F7CF" w14:textId="77777777" w:rsidR="00B86FE8" w:rsidRDefault="00B86FE8" w:rsidP="002204B3">
      <w:pPr>
        <w:spacing w:line="360" w:lineRule="auto"/>
        <w:jc w:val="both"/>
        <w:rPr>
          <w:rFonts w:ascii="Arial" w:eastAsia="Times New Roman" w:hAnsi="Arial" w:cs="Arial"/>
        </w:rPr>
      </w:pPr>
    </w:p>
    <w:p w14:paraId="578E9BCE" w14:textId="54A20D10" w:rsidR="00B86FE8" w:rsidRPr="00B86FE8" w:rsidRDefault="00B86FE8" w:rsidP="00B86FE8">
      <w:pPr>
        <w:pStyle w:val="ListParagraph"/>
        <w:numPr>
          <w:ilvl w:val="0"/>
          <w:numId w:val="9"/>
        </w:numPr>
        <w:spacing w:line="360" w:lineRule="auto"/>
        <w:jc w:val="both"/>
        <w:rPr>
          <w:rFonts w:ascii="Arial" w:hAnsi="Arial" w:cs="Arial"/>
          <w:color w:val="222222"/>
          <w:shd w:val="clear" w:color="auto" w:fill="FFFFFF"/>
        </w:rPr>
      </w:pPr>
      <w:r w:rsidRPr="00B86FE8">
        <w:rPr>
          <w:rFonts w:ascii="Arial" w:hAnsi="Arial" w:cs="Arial"/>
        </w:rPr>
        <w:t xml:space="preserve">The netting strategy supports the foreign exchange risk management process </w:t>
      </w:r>
    </w:p>
    <w:p w14:paraId="0DD00B12" w14:textId="2485E21D" w:rsidR="00B10E49" w:rsidRDefault="00B86FE8" w:rsidP="00B10E49">
      <w:pPr>
        <w:spacing w:line="360" w:lineRule="auto"/>
        <w:jc w:val="both"/>
        <w:rPr>
          <w:rFonts w:ascii="Arial" w:eastAsia="Times New Roman" w:hAnsi="Arial" w:cs="Arial"/>
        </w:rPr>
      </w:pPr>
      <w:r w:rsidRPr="00B86FE8">
        <w:rPr>
          <w:rFonts w:ascii="Arial" w:hAnsi="Arial" w:cs="Arial"/>
        </w:rPr>
        <w:t>through a sustained balance between payables and receivables in diverse currencies</w:t>
      </w:r>
      <w:r>
        <w:rPr>
          <w:rFonts w:ascii="Arial" w:hAnsi="Arial" w:cs="Arial"/>
        </w:rPr>
        <w:t xml:space="preserve"> </w:t>
      </w:r>
      <w:r w:rsidRPr="00B86FE8">
        <w:rPr>
          <w:rFonts w:ascii="Arial" w:eastAsia="Times New Roman" w:hAnsi="Arial" w:cs="Arial"/>
        </w:rPr>
        <w:t>(Tiwary, 2019)</w:t>
      </w:r>
      <w:r w:rsidRPr="00B86FE8">
        <w:rPr>
          <w:rFonts w:ascii="Arial" w:eastAsia="Times New Roman" w:hAnsi="Arial" w:cs="Arial"/>
        </w:rPr>
        <w:t xml:space="preserve">. </w:t>
      </w:r>
      <w:r w:rsidR="00B10E49" w:rsidRPr="00B10E49">
        <w:rPr>
          <w:rFonts w:ascii="Arial" w:eastAsia="Times New Roman" w:hAnsi="Arial" w:cs="Arial"/>
        </w:rPr>
        <w:t xml:space="preserve">For instance, a corporation </w:t>
      </w:r>
      <w:r w:rsidR="002204B3">
        <w:rPr>
          <w:rFonts w:ascii="Arial" w:eastAsia="Times New Roman" w:hAnsi="Arial" w:cs="Arial"/>
        </w:rPr>
        <w:t xml:space="preserve">transfers components of £15m to its foreign subsidiary. In the same month the subsidiary has to transfer goods for £30m to the mother company. Instead, it nets out the values of receivables and payables and sends £15m. </w:t>
      </w:r>
      <w:r w:rsidR="00B10E49" w:rsidRPr="00B10E49">
        <w:rPr>
          <w:rFonts w:ascii="Arial" w:eastAsia="Times New Roman" w:hAnsi="Arial" w:cs="Arial"/>
        </w:rPr>
        <w:t xml:space="preserve">The strategy minimises the need to convert currencies, which reduces costs </w:t>
      </w:r>
      <w:r w:rsidR="002204B3">
        <w:rPr>
          <w:rFonts w:ascii="Arial" w:eastAsia="Times New Roman" w:hAnsi="Arial" w:cs="Arial"/>
        </w:rPr>
        <w:t xml:space="preserve">and exposure </w:t>
      </w:r>
      <w:r w:rsidR="002204B3" w:rsidRPr="00B86FE8">
        <w:rPr>
          <w:rFonts w:ascii="Arial" w:eastAsia="Times New Roman" w:hAnsi="Arial" w:cs="Arial"/>
        </w:rPr>
        <w:t>(Tiwary, 2019).</w:t>
      </w:r>
      <w:r w:rsidR="00B10E49" w:rsidRPr="00B10E49">
        <w:rPr>
          <w:rFonts w:ascii="Arial" w:eastAsia="Times New Roman" w:hAnsi="Arial" w:cs="Arial"/>
        </w:rPr>
        <w:t xml:space="preserve"> Generally, </w:t>
      </w:r>
      <w:r w:rsidR="00B10E49">
        <w:rPr>
          <w:rFonts w:ascii="Arial" w:eastAsia="Times New Roman" w:hAnsi="Arial" w:cs="Arial"/>
        </w:rPr>
        <w:t xml:space="preserve">netting </w:t>
      </w:r>
      <w:r w:rsidR="00B10E49" w:rsidRPr="00B10E49">
        <w:rPr>
          <w:rFonts w:ascii="Arial" w:eastAsia="Times New Roman" w:hAnsi="Arial" w:cs="Arial"/>
        </w:rPr>
        <w:t xml:space="preserve">supports MNCs in reducing credit, reducing chances of credit default, and maintaining adequate liquidity to ensure optimal performance. </w:t>
      </w:r>
    </w:p>
    <w:p w14:paraId="69383284" w14:textId="77777777" w:rsidR="006C101D" w:rsidRDefault="006C101D" w:rsidP="00B10E49">
      <w:pPr>
        <w:spacing w:line="360" w:lineRule="auto"/>
        <w:jc w:val="both"/>
        <w:rPr>
          <w:rFonts w:ascii="Arial" w:eastAsia="Times New Roman" w:hAnsi="Arial" w:cs="Arial"/>
        </w:rPr>
      </w:pPr>
    </w:p>
    <w:p w14:paraId="796D6EAB" w14:textId="77777777" w:rsidR="00AC19B5" w:rsidRDefault="006C101D" w:rsidP="00AC19B5">
      <w:pPr>
        <w:pStyle w:val="ListParagraph"/>
        <w:numPr>
          <w:ilvl w:val="0"/>
          <w:numId w:val="9"/>
        </w:numPr>
        <w:spacing w:line="360" w:lineRule="auto"/>
        <w:jc w:val="both"/>
        <w:rPr>
          <w:rFonts w:ascii="Arial" w:eastAsia="Times New Roman" w:hAnsi="Arial" w:cs="Arial"/>
        </w:rPr>
      </w:pPr>
      <w:r>
        <w:rPr>
          <w:rFonts w:ascii="Arial" w:eastAsia="Times New Roman" w:hAnsi="Arial" w:cs="Arial"/>
        </w:rPr>
        <w:t>Matching is effective</w:t>
      </w:r>
      <w:r w:rsidR="00AC19B5">
        <w:rPr>
          <w:rFonts w:ascii="Arial" w:eastAsia="Times New Roman" w:hAnsi="Arial" w:cs="Arial"/>
        </w:rPr>
        <w:t xml:space="preserve"> in eliminating currency exposure when the exposure</w:t>
      </w:r>
    </w:p>
    <w:p w14:paraId="5281AABD" w14:textId="36910836" w:rsidR="00AC19B5" w:rsidRDefault="00AC19B5" w:rsidP="00AC19B5">
      <w:pPr>
        <w:spacing w:line="360" w:lineRule="auto"/>
        <w:jc w:val="both"/>
        <w:rPr>
          <w:rFonts w:ascii="Arial" w:hAnsi="Arial" w:cs="Arial"/>
        </w:rPr>
      </w:pPr>
      <w:r w:rsidRPr="00AC19B5">
        <w:rPr>
          <w:rFonts w:ascii="Arial" w:eastAsia="Times New Roman" w:hAnsi="Arial" w:cs="Arial"/>
        </w:rPr>
        <w:t>cash flow is relatively constant</w:t>
      </w:r>
      <w:r>
        <w:rPr>
          <w:rFonts w:ascii="Arial" w:eastAsia="Times New Roman" w:hAnsi="Arial" w:cs="Arial"/>
        </w:rPr>
        <w:t xml:space="preserve">, </w:t>
      </w:r>
      <w:r w:rsidRPr="00AC19B5">
        <w:rPr>
          <w:rFonts w:ascii="Arial" w:eastAsia="Times New Roman" w:hAnsi="Arial" w:cs="Arial"/>
        </w:rPr>
        <w:t xml:space="preserve">by acquiring a debt denominated in </w:t>
      </w:r>
      <w:r>
        <w:rPr>
          <w:rFonts w:ascii="Arial" w:eastAsia="Times New Roman" w:hAnsi="Arial" w:cs="Arial"/>
        </w:rPr>
        <w:t xml:space="preserve">the </w:t>
      </w:r>
      <w:r w:rsidRPr="00AC19B5">
        <w:rPr>
          <w:rFonts w:ascii="Arial" w:eastAsia="Times New Roman" w:hAnsi="Arial" w:cs="Arial"/>
        </w:rPr>
        <w:t xml:space="preserve">particular currency </w:t>
      </w:r>
      <w:r w:rsidRPr="00AC19B5">
        <w:rPr>
          <w:rFonts w:ascii="Arial" w:eastAsia="Times New Roman" w:hAnsi="Arial" w:cs="Arial"/>
        </w:rPr>
        <w:t>(Tiwary, 2019).</w:t>
      </w:r>
      <w:r w:rsidRPr="00AC19B5">
        <w:rPr>
          <w:rFonts w:ascii="Arial" w:eastAsia="Times New Roman" w:hAnsi="Arial" w:cs="Arial"/>
        </w:rPr>
        <w:t xml:space="preserve"> </w:t>
      </w:r>
      <w:r w:rsidRPr="00AC19B5">
        <w:rPr>
          <w:rFonts w:ascii="Arial" w:hAnsi="Arial" w:cs="Arial"/>
        </w:rPr>
        <w:t>For example</w:t>
      </w:r>
      <w:r w:rsidRPr="00AC19B5">
        <w:rPr>
          <w:rFonts w:ascii="Arial" w:hAnsi="Arial" w:cs="Arial"/>
        </w:rPr>
        <w:t xml:space="preserve">, a </w:t>
      </w:r>
      <w:r w:rsidRPr="00AC19B5">
        <w:rPr>
          <w:rFonts w:ascii="Arial" w:hAnsi="Arial" w:cs="Arial"/>
        </w:rPr>
        <w:t xml:space="preserve">U.S company receives predictable dollar cash inflow with continuing export sales to Canada. The U.S firm uses this to pay the principal and interest payments on Canadian dollar debt and </w:t>
      </w:r>
      <w:r>
        <w:rPr>
          <w:rFonts w:ascii="Arial" w:hAnsi="Arial" w:cs="Arial"/>
        </w:rPr>
        <w:t xml:space="preserve">matches the cash flow </w:t>
      </w:r>
      <w:r w:rsidRPr="00AC19B5">
        <w:rPr>
          <w:rFonts w:ascii="Arial" w:eastAsia="Times New Roman" w:hAnsi="Arial" w:cs="Arial"/>
        </w:rPr>
        <w:t>(Tiwary, 2019).</w:t>
      </w:r>
      <w:r w:rsidRPr="00AC19B5">
        <w:rPr>
          <w:rFonts w:ascii="Arial" w:hAnsi="Arial" w:cs="Arial"/>
        </w:rPr>
        <w:t xml:space="preserve"> </w:t>
      </w:r>
    </w:p>
    <w:p w14:paraId="6A3D0003" w14:textId="77777777" w:rsidR="00D7422A" w:rsidRDefault="00D7422A" w:rsidP="00AC19B5">
      <w:pPr>
        <w:spacing w:line="360" w:lineRule="auto"/>
        <w:jc w:val="both"/>
        <w:rPr>
          <w:rFonts w:ascii="Arial" w:hAnsi="Arial" w:cs="Arial"/>
        </w:rPr>
      </w:pPr>
    </w:p>
    <w:p w14:paraId="2E451E58" w14:textId="77777777" w:rsidR="00D7422A" w:rsidRDefault="00D7422A" w:rsidP="00D7422A">
      <w:pPr>
        <w:pStyle w:val="ListParagraph"/>
        <w:numPr>
          <w:ilvl w:val="0"/>
          <w:numId w:val="9"/>
        </w:numPr>
        <w:spacing w:line="360" w:lineRule="auto"/>
        <w:jc w:val="both"/>
        <w:rPr>
          <w:rFonts w:ascii="Arial" w:eastAsia="Times New Roman" w:hAnsi="Arial" w:cs="Arial"/>
        </w:rPr>
      </w:pPr>
      <w:r>
        <w:rPr>
          <w:rFonts w:ascii="Arial" w:eastAsia="Times New Roman" w:hAnsi="Arial" w:cs="Arial"/>
        </w:rPr>
        <w:t>Back-to-back loan- businesses borrow each other’s currency for</w:t>
      </w:r>
      <w:r w:rsidRPr="00D7422A">
        <w:rPr>
          <w:rFonts w:ascii="Arial" w:eastAsia="Times New Roman" w:hAnsi="Arial" w:cs="Arial"/>
        </w:rPr>
        <w:t xml:space="preserve"> equal value </w:t>
      </w:r>
      <w:r>
        <w:rPr>
          <w:rFonts w:ascii="Arial" w:eastAsia="Times New Roman" w:hAnsi="Arial" w:cs="Arial"/>
        </w:rPr>
        <w:t xml:space="preserve">at </w:t>
      </w:r>
    </w:p>
    <w:p w14:paraId="5FCF82FA" w14:textId="327E560F" w:rsidR="00D7422A" w:rsidRPr="00D7422A" w:rsidRDefault="00D7422A" w:rsidP="00D7422A">
      <w:pPr>
        <w:spacing w:line="360" w:lineRule="auto"/>
        <w:jc w:val="both"/>
        <w:rPr>
          <w:rFonts w:ascii="Arial" w:eastAsia="Times New Roman" w:hAnsi="Arial" w:cs="Arial"/>
        </w:rPr>
      </w:pPr>
      <w:r w:rsidRPr="00D7422A">
        <w:rPr>
          <w:rFonts w:ascii="Arial" w:eastAsia="Times New Roman" w:hAnsi="Arial" w:cs="Arial"/>
        </w:rPr>
        <w:lastRenderedPageBreak/>
        <w:t xml:space="preserve">current spot rate. </w:t>
      </w:r>
      <w:r>
        <w:rPr>
          <w:rFonts w:ascii="Arial" w:eastAsia="Times New Roman" w:hAnsi="Arial" w:cs="Arial"/>
        </w:rPr>
        <w:t xml:space="preserve">For example, a British and a Dutch firms lend pound and euro respectively to invest, avoiding the exchange market entirely </w:t>
      </w:r>
      <w:r w:rsidRPr="00AC19B5">
        <w:rPr>
          <w:rFonts w:ascii="Arial" w:eastAsia="Times New Roman" w:hAnsi="Arial" w:cs="Arial"/>
        </w:rPr>
        <w:t>(Tiwary, 2019).</w:t>
      </w:r>
    </w:p>
    <w:p w14:paraId="4D67C7EC" w14:textId="014573A1" w:rsidR="008E7864" w:rsidRPr="00B86FE8" w:rsidRDefault="008E7864" w:rsidP="00B86FE8">
      <w:pPr>
        <w:spacing w:line="360" w:lineRule="auto"/>
        <w:jc w:val="both"/>
        <w:rPr>
          <w:rFonts w:ascii="Arial" w:hAnsi="Arial" w:cs="Arial"/>
          <w:color w:val="222222"/>
          <w:shd w:val="clear" w:color="auto" w:fill="FFFFFF"/>
        </w:rPr>
      </w:pPr>
    </w:p>
    <w:p w14:paraId="72B56EEC" w14:textId="77777777" w:rsidR="008E7864" w:rsidRPr="008E7864" w:rsidRDefault="008E7864" w:rsidP="00B86FE8">
      <w:pPr>
        <w:spacing w:line="360" w:lineRule="auto"/>
        <w:jc w:val="both"/>
        <w:rPr>
          <w:rFonts w:ascii="Arial" w:hAnsi="Arial" w:cs="Arial"/>
          <w:color w:val="222222"/>
          <w:shd w:val="clear" w:color="auto" w:fill="FFFFFF"/>
        </w:rPr>
      </w:pPr>
    </w:p>
    <w:p w14:paraId="3DC97599" w14:textId="7FABE13A" w:rsidR="00AD7AFF" w:rsidRPr="00E43D53" w:rsidRDefault="008E7864" w:rsidP="00D40B42">
      <w:pPr>
        <w:spacing w:line="360" w:lineRule="auto"/>
        <w:jc w:val="both"/>
        <w:rPr>
          <w:rFonts w:ascii="Arial" w:hAnsi="Arial" w:cs="Arial"/>
        </w:rPr>
      </w:pPr>
      <w:r>
        <w:rPr>
          <w:rFonts w:ascii="Arial" w:hAnsi="Arial" w:cs="Arial"/>
          <w:noProof/>
        </w:rPr>
        <w:drawing>
          <wp:inline distT="0" distB="0" distL="0" distR="0" wp14:anchorId="7FEC6846" wp14:editId="48ED0833">
            <wp:extent cx="3132291" cy="4860199"/>
            <wp:effectExtent l="0" t="0" r="5080" b="4445"/>
            <wp:docPr id="2139976170" name="Picture 1" descr="A diagram of steps to a perform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976170" name="Picture 1" descr="A diagram of steps to a performanc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0782" cy="4966473"/>
                    </a:xfrm>
                    <a:prstGeom prst="rect">
                      <a:avLst/>
                    </a:prstGeom>
                  </pic:spPr>
                </pic:pic>
              </a:graphicData>
            </a:graphic>
          </wp:inline>
        </w:drawing>
      </w:r>
    </w:p>
    <w:p w14:paraId="2491F929" w14:textId="0BC0CCEE" w:rsidR="00B95A02" w:rsidRPr="00BC05D9" w:rsidRDefault="008E7864" w:rsidP="00E448E3">
      <w:pPr>
        <w:rPr>
          <w:rFonts w:ascii="Arial" w:hAnsi="Arial" w:cs="Arial"/>
          <w:sz w:val="20"/>
          <w:szCs w:val="20"/>
        </w:rPr>
      </w:pPr>
      <w:r w:rsidRPr="00BC05D9">
        <w:rPr>
          <w:rFonts w:ascii="Arial" w:hAnsi="Arial" w:cs="Arial"/>
          <w:i/>
          <w:iCs/>
          <w:sz w:val="20"/>
          <w:szCs w:val="20"/>
        </w:rPr>
        <w:t>Figure 2</w:t>
      </w:r>
      <w:r w:rsidRPr="00BC05D9">
        <w:rPr>
          <w:rFonts w:ascii="Arial" w:hAnsi="Arial" w:cs="Arial"/>
          <w:sz w:val="20"/>
          <w:szCs w:val="20"/>
        </w:rPr>
        <w:t xml:space="preserve">: </w:t>
      </w:r>
      <w:r w:rsidR="00BC05D9" w:rsidRPr="00BC05D9">
        <w:rPr>
          <w:rFonts w:ascii="Arial" w:hAnsi="Arial" w:cs="Arial"/>
          <w:sz w:val="20"/>
          <w:szCs w:val="20"/>
        </w:rPr>
        <w:t>FERM model (Jacque, 2013)</w:t>
      </w:r>
    </w:p>
    <w:p w14:paraId="00D3B769" w14:textId="77777777" w:rsidR="00B95A02" w:rsidRDefault="00B95A02" w:rsidP="00E448E3">
      <w:pPr>
        <w:rPr>
          <w:rFonts w:ascii="Arial" w:hAnsi="Arial" w:cs="Arial"/>
          <w:sz w:val="22"/>
          <w:szCs w:val="22"/>
        </w:rPr>
      </w:pPr>
    </w:p>
    <w:p w14:paraId="299C2F32" w14:textId="77777777" w:rsidR="00B95A02" w:rsidRDefault="00B95A02" w:rsidP="00E448E3">
      <w:pPr>
        <w:rPr>
          <w:rFonts w:ascii="Arial" w:hAnsi="Arial" w:cs="Arial"/>
          <w:sz w:val="22"/>
          <w:szCs w:val="22"/>
        </w:rPr>
      </w:pPr>
    </w:p>
    <w:p w14:paraId="52784F18" w14:textId="77777777" w:rsidR="007047A0" w:rsidRDefault="007047A0" w:rsidP="00E448E3">
      <w:pPr>
        <w:rPr>
          <w:rFonts w:ascii="Arial" w:hAnsi="Arial" w:cs="Arial"/>
          <w:sz w:val="22"/>
          <w:szCs w:val="22"/>
        </w:rPr>
      </w:pPr>
    </w:p>
    <w:p w14:paraId="21DB02CC" w14:textId="77777777" w:rsidR="005A6957" w:rsidRPr="006E5838" w:rsidRDefault="005A6957" w:rsidP="005A6957">
      <w:pPr>
        <w:pStyle w:val="ListParagraph"/>
        <w:numPr>
          <w:ilvl w:val="0"/>
          <w:numId w:val="1"/>
        </w:numPr>
        <w:rPr>
          <w:rFonts w:ascii="Arial" w:hAnsi="Arial" w:cs="Arial"/>
          <w:b/>
          <w:bCs/>
        </w:rPr>
      </w:pPr>
      <w:r w:rsidRPr="006E5838">
        <w:rPr>
          <w:rFonts w:ascii="Arial" w:hAnsi="Arial" w:cs="Arial"/>
          <w:b/>
          <w:bCs/>
        </w:rPr>
        <w:t>Conclusion</w:t>
      </w:r>
    </w:p>
    <w:p w14:paraId="711FA154" w14:textId="77777777" w:rsidR="005103B4" w:rsidRPr="007047A0" w:rsidRDefault="005103B4" w:rsidP="007047A0">
      <w:pPr>
        <w:rPr>
          <w:rFonts w:ascii="Arial" w:hAnsi="Arial" w:cs="Arial"/>
          <w:b/>
          <w:bCs/>
          <w:sz w:val="28"/>
          <w:szCs w:val="28"/>
        </w:rPr>
      </w:pPr>
    </w:p>
    <w:p w14:paraId="3A34471F" w14:textId="19337952" w:rsidR="00B034D4" w:rsidRPr="00B034D4" w:rsidRDefault="005103B4" w:rsidP="00714ADF">
      <w:pPr>
        <w:spacing w:line="360" w:lineRule="auto"/>
        <w:jc w:val="both"/>
        <w:rPr>
          <w:rFonts w:ascii="Arial" w:eastAsia="Times New Roman" w:hAnsi="Arial" w:cs="Arial"/>
        </w:rPr>
      </w:pPr>
      <w:r w:rsidRPr="005103B4">
        <w:rPr>
          <w:rFonts w:ascii="Arial" w:hAnsi="Arial" w:cs="Arial"/>
        </w:rPr>
        <w:t xml:space="preserve">The integration of economies has allowed businesses to flourish profitably by taking advantage of lower cost production factors and favourable market conditions for their products and services. </w:t>
      </w:r>
      <w:r w:rsidR="007047A0">
        <w:rPr>
          <w:rFonts w:ascii="Arial" w:hAnsi="Arial" w:cs="Arial"/>
        </w:rPr>
        <w:t>However,</w:t>
      </w:r>
      <w:r>
        <w:rPr>
          <w:rFonts w:ascii="Arial" w:hAnsi="Arial" w:cs="Arial"/>
        </w:rPr>
        <w:t xml:space="preserve"> these advantages come with a factor of risks </w:t>
      </w:r>
      <w:r w:rsidR="00EE2055">
        <w:rPr>
          <w:rFonts w:ascii="Arial" w:hAnsi="Arial" w:cs="Arial"/>
        </w:rPr>
        <w:t>associated with</w:t>
      </w:r>
      <w:r>
        <w:rPr>
          <w:rFonts w:ascii="Arial" w:hAnsi="Arial" w:cs="Arial"/>
        </w:rPr>
        <w:t xml:space="preserve"> floating exchange rate system which makes the </w:t>
      </w:r>
      <w:r w:rsidR="00995204">
        <w:rPr>
          <w:rFonts w:ascii="Arial" w:hAnsi="Arial" w:cs="Arial"/>
        </w:rPr>
        <w:t xml:space="preserve">MNCs highly vulnerable to potential losses or gains due to foreign exchange rate fluctuations. </w:t>
      </w:r>
      <w:r w:rsidR="00F40FCA">
        <w:rPr>
          <w:rFonts w:ascii="Arial" w:hAnsi="Arial" w:cs="Arial"/>
        </w:rPr>
        <w:t xml:space="preserve">Although </w:t>
      </w:r>
      <w:r w:rsidR="00F40FCA" w:rsidRPr="005103B4">
        <w:rPr>
          <w:rFonts w:ascii="Arial" w:hAnsi="Arial" w:cs="Arial"/>
        </w:rPr>
        <w:t xml:space="preserve">FX risks </w:t>
      </w:r>
      <w:r w:rsidR="00F40FCA">
        <w:rPr>
          <w:rFonts w:ascii="Arial" w:hAnsi="Arial" w:cs="Arial"/>
        </w:rPr>
        <w:t>have significant impact on the financial performance of businesses that operate internationally, they can be identified, managed and mitigated</w:t>
      </w:r>
      <w:r w:rsidR="005A6957" w:rsidRPr="005103B4">
        <w:rPr>
          <w:rFonts w:ascii="Arial" w:hAnsi="Arial" w:cs="Arial"/>
        </w:rPr>
        <w:t xml:space="preserve">. </w:t>
      </w:r>
      <w:r w:rsidR="005D214E">
        <w:rPr>
          <w:rFonts w:ascii="Arial" w:hAnsi="Arial" w:cs="Arial"/>
        </w:rPr>
        <w:t xml:space="preserve">After a </w:t>
      </w:r>
      <w:r w:rsidR="005D214E">
        <w:rPr>
          <w:rFonts w:ascii="Arial" w:hAnsi="Arial" w:cs="Arial"/>
        </w:rPr>
        <w:lastRenderedPageBreak/>
        <w:t xml:space="preserve">company had identified the risks and the exposure it can hedge by opting for operational and/or financial strategies. </w:t>
      </w:r>
      <w:r w:rsidR="002145D2">
        <w:rPr>
          <w:rFonts w:ascii="Arial" w:hAnsi="Arial" w:cs="Arial"/>
        </w:rPr>
        <w:t xml:space="preserve">As </w:t>
      </w:r>
      <w:r w:rsidR="005A6957" w:rsidRPr="005103B4">
        <w:rPr>
          <w:rFonts w:ascii="Arial" w:hAnsi="Arial" w:cs="Arial"/>
        </w:rPr>
        <w:t>Figure 2 shows</w:t>
      </w:r>
      <w:r w:rsidR="00621114">
        <w:rPr>
          <w:rFonts w:ascii="Arial" w:hAnsi="Arial" w:cs="Arial"/>
        </w:rPr>
        <w:t xml:space="preserve"> </w:t>
      </w:r>
      <w:r w:rsidR="005A6957" w:rsidRPr="005103B4">
        <w:rPr>
          <w:rFonts w:ascii="Arial" w:hAnsi="Arial" w:cs="Arial"/>
        </w:rPr>
        <w:t>a FERM model</w:t>
      </w:r>
      <w:r w:rsidR="00F40FCA">
        <w:rPr>
          <w:rFonts w:ascii="Arial" w:hAnsi="Arial" w:cs="Arial"/>
        </w:rPr>
        <w:t xml:space="preserve"> could</w:t>
      </w:r>
      <w:r w:rsidR="005A6957" w:rsidRPr="005103B4">
        <w:rPr>
          <w:rFonts w:ascii="Arial" w:hAnsi="Arial" w:cs="Arial"/>
        </w:rPr>
        <w:t xml:space="preserve"> </w:t>
      </w:r>
      <w:r w:rsidR="00B034D4">
        <w:rPr>
          <w:rFonts w:ascii="Arial" w:hAnsi="Arial" w:cs="Arial"/>
        </w:rPr>
        <w:t xml:space="preserve">be employed </w:t>
      </w:r>
      <w:r w:rsidRPr="005103B4">
        <w:rPr>
          <w:rFonts w:ascii="Arial" w:hAnsi="Arial" w:cs="Arial"/>
        </w:rPr>
        <w:t xml:space="preserve">to ensure performance success. </w:t>
      </w:r>
      <w:r w:rsidR="00F40FCA">
        <w:rPr>
          <w:rFonts w:ascii="Arial" w:hAnsi="Arial" w:cs="Arial"/>
        </w:rPr>
        <w:t xml:space="preserve">Ultimately, </w:t>
      </w:r>
      <w:r w:rsidR="00F40FCA">
        <w:rPr>
          <w:rFonts w:ascii="Arial" w:eastAsia="Times New Roman" w:hAnsi="Arial" w:cs="Arial"/>
        </w:rPr>
        <w:t>t</w:t>
      </w:r>
      <w:r w:rsidR="00B034D4" w:rsidRPr="00B034D4">
        <w:rPr>
          <w:rFonts w:ascii="Arial" w:eastAsia="Times New Roman" w:hAnsi="Arial" w:cs="Arial"/>
        </w:rPr>
        <w:t>he risk management strateg</w:t>
      </w:r>
      <w:r w:rsidR="00B034D4">
        <w:rPr>
          <w:rFonts w:ascii="Arial" w:eastAsia="Times New Roman" w:hAnsi="Arial" w:cs="Arial"/>
        </w:rPr>
        <w:t xml:space="preserve">ies </w:t>
      </w:r>
      <w:r w:rsidR="00B034D4" w:rsidRPr="00B034D4">
        <w:rPr>
          <w:rFonts w:ascii="Arial" w:eastAsia="Times New Roman" w:hAnsi="Arial" w:cs="Arial"/>
        </w:rPr>
        <w:t>enable businesses to strengthen their logistical operations, facilitate foreign investment and sustain global partnerships.</w:t>
      </w:r>
    </w:p>
    <w:p w14:paraId="294F5358" w14:textId="77777777" w:rsidR="00B034D4" w:rsidRDefault="00B034D4" w:rsidP="00B034D4">
      <w:pPr>
        <w:rPr>
          <w:rFonts w:ascii="Arial" w:hAnsi="Arial" w:cs="Arial"/>
          <w:b/>
          <w:bCs/>
          <w:sz w:val="28"/>
          <w:szCs w:val="28"/>
        </w:rPr>
      </w:pPr>
    </w:p>
    <w:p w14:paraId="413AD264" w14:textId="77777777" w:rsidR="005D214E" w:rsidRDefault="005D214E" w:rsidP="00B034D4">
      <w:pPr>
        <w:rPr>
          <w:rFonts w:ascii="Arial" w:hAnsi="Arial" w:cs="Arial"/>
          <w:b/>
          <w:bCs/>
          <w:sz w:val="28"/>
          <w:szCs w:val="28"/>
        </w:rPr>
      </w:pPr>
    </w:p>
    <w:p w14:paraId="66021C40" w14:textId="77777777" w:rsidR="005D214E" w:rsidRDefault="005D214E" w:rsidP="00B034D4">
      <w:pPr>
        <w:rPr>
          <w:rFonts w:ascii="Arial" w:hAnsi="Arial" w:cs="Arial"/>
          <w:b/>
          <w:bCs/>
          <w:sz w:val="28"/>
          <w:szCs w:val="28"/>
        </w:rPr>
      </w:pPr>
    </w:p>
    <w:p w14:paraId="5575FD4E" w14:textId="77777777" w:rsidR="005D214E" w:rsidRDefault="005D214E" w:rsidP="00B034D4">
      <w:pPr>
        <w:rPr>
          <w:rFonts w:ascii="Arial" w:hAnsi="Arial" w:cs="Arial"/>
          <w:b/>
          <w:bCs/>
          <w:sz w:val="28"/>
          <w:szCs w:val="28"/>
        </w:rPr>
      </w:pPr>
    </w:p>
    <w:p w14:paraId="11EBBFBE" w14:textId="77777777" w:rsidR="005D214E" w:rsidRDefault="005D214E" w:rsidP="00B034D4">
      <w:pPr>
        <w:rPr>
          <w:rFonts w:ascii="Arial" w:hAnsi="Arial" w:cs="Arial"/>
          <w:b/>
          <w:bCs/>
          <w:sz w:val="28"/>
          <w:szCs w:val="28"/>
        </w:rPr>
      </w:pPr>
    </w:p>
    <w:p w14:paraId="387907FA" w14:textId="77777777" w:rsidR="005D214E" w:rsidRDefault="005D214E" w:rsidP="00B034D4">
      <w:pPr>
        <w:rPr>
          <w:rFonts w:ascii="Arial" w:hAnsi="Arial" w:cs="Arial"/>
          <w:b/>
          <w:bCs/>
          <w:sz w:val="28"/>
          <w:szCs w:val="28"/>
        </w:rPr>
      </w:pPr>
    </w:p>
    <w:p w14:paraId="5F1FACD3" w14:textId="77777777" w:rsidR="005D214E" w:rsidRDefault="005D214E" w:rsidP="00B034D4">
      <w:pPr>
        <w:rPr>
          <w:rFonts w:ascii="Arial" w:hAnsi="Arial" w:cs="Arial"/>
          <w:b/>
          <w:bCs/>
          <w:sz w:val="28"/>
          <w:szCs w:val="28"/>
        </w:rPr>
      </w:pPr>
    </w:p>
    <w:p w14:paraId="79C91941" w14:textId="77777777" w:rsidR="005D214E" w:rsidRDefault="005D214E" w:rsidP="00B034D4">
      <w:pPr>
        <w:rPr>
          <w:rFonts w:ascii="Arial" w:hAnsi="Arial" w:cs="Arial"/>
          <w:b/>
          <w:bCs/>
          <w:sz w:val="28"/>
          <w:szCs w:val="28"/>
        </w:rPr>
      </w:pPr>
    </w:p>
    <w:p w14:paraId="0CEB0F4D" w14:textId="77777777" w:rsidR="005D214E" w:rsidRDefault="005D214E" w:rsidP="00B034D4">
      <w:pPr>
        <w:rPr>
          <w:rFonts w:ascii="Arial" w:hAnsi="Arial" w:cs="Arial"/>
          <w:b/>
          <w:bCs/>
          <w:sz w:val="28"/>
          <w:szCs w:val="28"/>
        </w:rPr>
      </w:pPr>
    </w:p>
    <w:p w14:paraId="6C2E96DA" w14:textId="77777777" w:rsidR="005D214E" w:rsidRDefault="005D214E" w:rsidP="00B034D4">
      <w:pPr>
        <w:rPr>
          <w:rFonts w:ascii="Arial" w:hAnsi="Arial" w:cs="Arial"/>
          <w:b/>
          <w:bCs/>
          <w:sz w:val="28"/>
          <w:szCs w:val="28"/>
        </w:rPr>
      </w:pPr>
    </w:p>
    <w:p w14:paraId="7E95802F" w14:textId="77777777" w:rsidR="005D214E" w:rsidRDefault="005D214E" w:rsidP="00B034D4">
      <w:pPr>
        <w:rPr>
          <w:rFonts w:ascii="Arial" w:hAnsi="Arial" w:cs="Arial"/>
          <w:b/>
          <w:bCs/>
          <w:sz w:val="28"/>
          <w:szCs w:val="28"/>
        </w:rPr>
      </w:pPr>
    </w:p>
    <w:p w14:paraId="2D9B17B3" w14:textId="77777777" w:rsidR="005D214E" w:rsidRDefault="005D214E" w:rsidP="00B034D4">
      <w:pPr>
        <w:rPr>
          <w:rFonts w:ascii="Arial" w:hAnsi="Arial" w:cs="Arial"/>
          <w:b/>
          <w:bCs/>
          <w:sz w:val="28"/>
          <w:szCs w:val="28"/>
        </w:rPr>
      </w:pPr>
    </w:p>
    <w:p w14:paraId="51FF96EB" w14:textId="77777777" w:rsidR="005D214E" w:rsidRDefault="005D214E" w:rsidP="00B034D4">
      <w:pPr>
        <w:rPr>
          <w:rFonts w:ascii="Arial" w:hAnsi="Arial" w:cs="Arial"/>
          <w:b/>
          <w:bCs/>
          <w:sz w:val="28"/>
          <w:szCs w:val="28"/>
        </w:rPr>
      </w:pPr>
    </w:p>
    <w:p w14:paraId="1B118114" w14:textId="77777777" w:rsidR="005D214E" w:rsidRDefault="005D214E" w:rsidP="00B034D4">
      <w:pPr>
        <w:rPr>
          <w:rFonts w:ascii="Arial" w:hAnsi="Arial" w:cs="Arial"/>
          <w:b/>
          <w:bCs/>
          <w:sz w:val="28"/>
          <w:szCs w:val="28"/>
        </w:rPr>
      </w:pPr>
    </w:p>
    <w:p w14:paraId="300DA027" w14:textId="77777777" w:rsidR="005D214E" w:rsidRDefault="005D214E" w:rsidP="00B034D4">
      <w:pPr>
        <w:rPr>
          <w:rFonts w:ascii="Arial" w:hAnsi="Arial" w:cs="Arial"/>
          <w:b/>
          <w:bCs/>
          <w:sz w:val="28"/>
          <w:szCs w:val="28"/>
        </w:rPr>
      </w:pPr>
    </w:p>
    <w:p w14:paraId="61418675" w14:textId="77777777" w:rsidR="005D214E" w:rsidRDefault="005D214E" w:rsidP="00B034D4">
      <w:pPr>
        <w:rPr>
          <w:rFonts w:ascii="Arial" w:hAnsi="Arial" w:cs="Arial"/>
          <w:b/>
          <w:bCs/>
          <w:sz w:val="28"/>
          <w:szCs w:val="28"/>
        </w:rPr>
      </w:pPr>
    </w:p>
    <w:p w14:paraId="303A98AF" w14:textId="77777777" w:rsidR="005D214E" w:rsidRDefault="005D214E" w:rsidP="00B034D4">
      <w:pPr>
        <w:rPr>
          <w:rFonts w:ascii="Arial" w:hAnsi="Arial" w:cs="Arial"/>
          <w:b/>
          <w:bCs/>
          <w:sz w:val="28"/>
          <w:szCs w:val="28"/>
        </w:rPr>
      </w:pPr>
    </w:p>
    <w:p w14:paraId="4912C474" w14:textId="77777777" w:rsidR="005D214E" w:rsidRDefault="005D214E" w:rsidP="00B034D4">
      <w:pPr>
        <w:rPr>
          <w:rFonts w:ascii="Arial" w:hAnsi="Arial" w:cs="Arial"/>
          <w:b/>
          <w:bCs/>
          <w:sz w:val="28"/>
          <w:szCs w:val="28"/>
        </w:rPr>
      </w:pPr>
    </w:p>
    <w:p w14:paraId="67E4276A" w14:textId="77777777" w:rsidR="005D214E" w:rsidRDefault="005D214E" w:rsidP="00B034D4">
      <w:pPr>
        <w:rPr>
          <w:rFonts w:ascii="Arial" w:hAnsi="Arial" w:cs="Arial"/>
          <w:b/>
          <w:bCs/>
          <w:sz w:val="28"/>
          <w:szCs w:val="28"/>
        </w:rPr>
      </w:pPr>
    </w:p>
    <w:p w14:paraId="57E0EAA7" w14:textId="77777777" w:rsidR="005D214E" w:rsidRDefault="005D214E" w:rsidP="00B034D4">
      <w:pPr>
        <w:rPr>
          <w:rFonts w:ascii="Arial" w:hAnsi="Arial" w:cs="Arial"/>
          <w:b/>
          <w:bCs/>
          <w:sz w:val="28"/>
          <w:szCs w:val="28"/>
        </w:rPr>
      </w:pPr>
    </w:p>
    <w:p w14:paraId="3C34079A" w14:textId="77777777" w:rsidR="005D214E" w:rsidRDefault="005D214E" w:rsidP="00B034D4">
      <w:pPr>
        <w:rPr>
          <w:rFonts w:ascii="Arial" w:hAnsi="Arial" w:cs="Arial"/>
          <w:b/>
          <w:bCs/>
          <w:sz w:val="28"/>
          <w:szCs w:val="28"/>
        </w:rPr>
      </w:pPr>
    </w:p>
    <w:p w14:paraId="335F0936" w14:textId="77777777" w:rsidR="005D214E" w:rsidRDefault="005D214E" w:rsidP="00B034D4">
      <w:pPr>
        <w:rPr>
          <w:rFonts w:ascii="Arial" w:hAnsi="Arial" w:cs="Arial"/>
          <w:b/>
          <w:bCs/>
          <w:sz w:val="28"/>
          <w:szCs w:val="28"/>
        </w:rPr>
      </w:pPr>
    </w:p>
    <w:p w14:paraId="406A5EB7" w14:textId="77777777" w:rsidR="005D214E" w:rsidRDefault="005D214E" w:rsidP="00B034D4">
      <w:pPr>
        <w:rPr>
          <w:rFonts w:ascii="Arial" w:hAnsi="Arial" w:cs="Arial"/>
          <w:b/>
          <w:bCs/>
          <w:sz w:val="28"/>
          <w:szCs w:val="28"/>
        </w:rPr>
      </w:pPr>
    </w:p>
    <w:p w14:paraId="30085776" w14:textId="77777777" w:rsidR="005D214E" w:rsidRDefault="005D214E" w:rsidP="00B034D4">
      <w:pPr>
        <w:rPr>
          <w:rFonts w:ascii="Arial" w:hAnsi="Arial" w:cs="Arial"/>
          <w:b/>
          <w:bCs/>
          <w:sz w:val="28"/>
          <w:szCs w:val="28"/>
        </w:rPr>
      </w:pPr>
    </w:p>
    <w:p w14:paraId="45256934" w14:textId="77777777" w:rsidR="005D214E" w:rsidRDefault="005D214E" w:rsidP="00B034D4">
      <w:pPr>
        <w:rPr>
          <w:rFonts w:ascii="Arial" w:hAnsi="Arial" w:cs="Arial"/>
          <w:b/>
          <w:bCs/>
          <w:sz w:val="28"/>
          <w:szCs w:val="28"/>
        </w:rPr>
      </w:pPr>
    </w:p>
    <w:p w14:paraId="3FC874EB" w14:textId="77777777" w:rsidR="005D214E" w:rsidRDefault="005D214E" w:rsidP="00B034D4">
      <w:pPr>
        <w:rPr>
          <w:rFonts w:ascii="Arial" w:hAnsi="Arial" w:cs="Arial"/>
          <w:b/>
          <w:bCs/>
          <w:sz w:val="28"/>
          <w:szCs w:val="28"/>
        </w:rPr>
      </w:pPr>
    </w:p>
    <w:p w14:paraId="3D265E22" w14:textId="77777777" w:rsidR="005D214E" w:rsidRDefault="005D214E" w:rsidP="00B034D4">
      <w:pPr>
        <w:rPr>
          <w:rFonts w:ascii="Arial" w:hAnsi="Arial" w:cs="Arial"/>
          <w:b/>
          <w:bCs/>
          <w:sz w:val="28"/>
          <w:szCs w:val="28"/>
        </w:rPr>
      </w:pPr>
    </w:p>
    <w:p w14:paraId="1269E8B8" w14:textId="77777777" w:rsidR="005D214E" w:rsidRDefault="005D214E" w:rsidP="00B034D4">
      <w:pPr>
        <w:rPr>
          <w:rFonts w:ascii="Arial" w:hAnsi="Arial" w:cs="Arial"/>
          <w:b/>
          <w:bCs/>
          <w:sz w:val="28"/>
          <w:szCs w:val="28"/>
        </w:rPr>
      </w:pPr>
    </w:p>
    <w:p w14:paraId="30937134" w14:textId="77777777" w:rsidR="005D214E" w:rsidRDefault="005D214E" w:rsidP="00B034D4">
      <w:pPr>
        <w:rPr>
          <w:rFonts w:ascii="Arial" w:hAnsi="Arial" w:cs="Arial"/>
          <w:b/>
          <w:bCs/>
          <w:sz w:val="28"/>
          <w:szCs w:val="28"/>
        </w:rPr>
      </w:pPr>
    </w:p>
    <w:p w14:paraId="4DE3B39B" w14:textId="77777777" w:rsidR="005D214E" w:rsidRDefault="005D214E" w:rsidP="00B034D4">
      <w:pPr>
        <w:rPr>
          <w:rFonts w:ascii="Arial" w:hAnsi="Arial" w:cs="Arial"/>
          <w:b/>
          <w:bCs/>
          <w:sz w:val="28"/>
          <w:szCs w:val="28"/>
        </w:rPr>
      </w:pPr>
    </w:p>
    <w:p w14:paraId="24A974BC" w14:textId="77777777" w:rsidR="005D214E" w:rsidRDefault="005D214E" w:rsidP="00B034D4">
      <w:pPr>
        <w:rPr>
          <w:rFonts w:ascii="Arial" w:hAnsi="Arial" w:cs="Arial"/>
          <w:b/>
          <w:bCs/>
          <w:sz w:val="28"/>
          <w:szCs w:val="28"/>
        </w:rPr>
      </w:pPr>
    </w:p>
    <w:p w14:paraId="7B6B81FA" w14:textId="77777777" w:rsidR="005D214E" w:rsidRDefault="005D214E" w:rsidP="00B034D4">
      <w:pPr>
        <w:rPr>
          <w:rFonts w:ascii="Arial" w:hAnsi="Arial" w:cs="Arial"/>
          <w:b/>
          <w:bCs/>
          <w:sz w:val="28"/>
          <w:szCs w:val="28"/>
        </w:rPr>
      </w:pPr>
    </w:p>
    <w:p w14:paraId="7BEF1BBD" w14:textId="77777777" w:rsidR="005D214E" w:rsidRDefault="005D214E" w:rsidP="00B034D4">
      <w:pPr>
        <w:rPr>
          <w:rFonts w:ascii="Arial" w:hAnsi="Arial" w:cs="Arial"/>
          <w:b/>
          <w:bCs/>
          <w:sz w:val="28"/>
          <w:szCs w:val="28"/>
        </w:rPr>
      </w:pPr>
    </w:p>
    <w:p w14:paraId="13B4E7BB" w14:textId="77777777" w:rsidR="005D214E" w:rsidRDefault="005D214E" w:rsidP="00B034D4">
      <w:pPr>
        <w:rPr>
          <w:rFonts w:ascii="Arial" w:hAnsi="Arial" w:cs="Arial"/>
          <w:b/>
          <w:bCs/>
          <w:sz w:val="28"/>
          <w:szCs w:val="28"/>
        </w:rPr>
      </w:pPr>
    </w:p>
    <w:p w14:paraId="663CB2F1" w14:textId="77777777" w:rsidR="005D214E" w:rsidRDefault="005D214E" w:rsidP="00B034D4">
      <w:pPr>
        <w:rPr>
          <w:rFonts w:ascii="Arial" w:hAnsi="Arial" w:cs="Arial"/>
          <w:b/>
          <w:bCs/>
          <w:sz w:val="28"/>
          <w:szCs w:val="28"/>
        </w:rPr>
      </w:pPr>
    </w:p>
    <w:p w14:paraId="02825BEC" w14:textId="77777777" w:rsidR="005D214E" w:rsidRDefault="005D214E" w:rsidP="00B034D4">
      <w:pPr>
        <w:rPr>
          <w:rFonts w:ascii="Arial" w:hAnsi="Arial" w:cs="Arial"/>
          <w:b/>
          <w:bCs/>
          <w:sz w:val="28"/>
          <w:szCs w:val="28"/>
        </w:rPr>
      </w:pPr>
    </w:p>
    <w:p w14:paraId="3555AB6D" w14:textId="680F2D72" w:rsidR="004659DB" w:rsidRDefault="004659DB" w:rsidP="00B034D4">
      <w:pPr>
        <w:jc w:val="center"/>
        <w:rPr>
          <w:rFonts w:ascii="Arial" w:hAnsi="Arial" w:cs="Arial"/>
          <w:b/>
          <w:bCs/>
          <w:sz w:val="28"/>
          <w:szCs w:val="28"/>
        </w:rPr>
      </w:pPr>
      <w:r w:rsidRPr="004659DB">
        <w:rPr>
          <w:rFonts w:ascii="Arial" w:hAnsi="Arial" w:cs="Arial"/>
          <w:b/>
          <w:bCs/>
          <w:sz w:val="28"/>
          <w:szCs w:val="28"/>
        </w:rPr>
        <w:lastRenderedPageBreak/>
        <w:t>References</w:t>
      </w:r>
    </w:p>
    <w:p w14:paraId="0382A09E" w14:textId="77777777" w:rsidR="00995204" w:rsidRPr="00BD3D99" w:rsidRDefault="00995204" w:rsidP="00BD3D99">
      <w:pPr>
        <w:spacing w:line="360" w:lineRule="auto"/>
        <w:rPr>
          <w:rFonts w:ascii="Arial" w:eastAsia="Times New Roman" w:hAnsi="Arial" w:cs="Arial"/>
        </w:rPr>
      </w:pPr>
    </w:p>
    <w:p w14:paraId="47F8E9B4" w14:textId="77777777" w:rsidR="007047A0" w:rsidRDefault="007047A0" w:rsidP="00995204">
      <w:pPr>
        <w:spacing w:line="360" w:lineRule="auto"/>
        <w:rPr>
          <w:rFonts w:ascii="Arial" w:eastAsia="Times New Roman" w:hAnsi="Arial" w:cs="Arial"/>
          <w:color w:val="4A4A4A"/>
          <w:kern w:val="0"/>
          <w:lang w:eastAsia="en-GB"/>
          <w14:ligatures w14:val="none"/>
        </w:rPr>
      </w:pPr>
    </w:p>
    <w:p w14:paraId="7DA6F45F" w14:textId="778BE75E" w:rsidR="007047A0" w:rsidRDefault="007047A0" w:rsidP="007047A0">
      <w:pPr>
        <w:spacing w:line="360" w:lineRule="auto"/>
        <w:jc w:val="both"/>
        <w:rPr>
          <w:rFonts w:ascii="Arial" w:hAnsi="Arial" w:cs="Arial"/>
          <w:lang w:eastAsia="en-GB"/>
        </w:rPr>
      </w:pPr>
      <w:proofErr w:type="spellStart"/>
      <w:r>
        <w:rPr>
          <w:rFonts w:ascii="Arial" w:hAnsi="Arial" w:cs="Arial"/>
          <w:lang w:eastAsia="en-GB"/>
        </w:rPr>
        <w:t>A</w:t>
      </w:r>
      <w:r w:rsidRPr="007047A0">
        <w:rPr>
          <w:rFonts w:ascii="Arial" w:hAnsi="Arial" w:cs="Arial"/>
          <w:lang w:eastAsia="en-GB"/>
        </w:rPr>
        <w:t>kter</w:t>
      </w:r>
      <w:proofErr w:type="spellEnd"/>
      <w:r>
        <w:rPr>
          <w:rFonts w:ascii="Arial" w:hAnsi="Arial" w:cs="Arial"/>
          <w:lang w:eastAsia="en-GB"/>
        </w:rPr>
        <w:t xml:space="preserve">, R. (2021) Factors that determine and influence foreign exchange rates. Available at: </w:t>
      </w:r>
      <w:hyperlink r:id="rId9" w:history="1">
        <w:r w:rsidRPr="00605AA6">
          <w:rPr>
            <w:rStyle w:val="Hyperlink"/>
            <w:rFonts w:ascii="Arial" w:hAnsi="Arial" w:cs="Arial"/>
            <w:lang w:eastAsia="en-GB"/>
          </w:rPr>
          <w:t>https://www.preprints.org/manuscript/202106.0240/v1</w:t>
        </w:r>
      </w:hyperlink>
      <w:r>
        <w:rPr>
          <w:rFonts w:ascii="Arial" w:hAnsi="Arial" w:cs="Arial"/>
          <w:lang w:eastAsia="en-GB"/>
        </w:rPr>
        <w:t xml:space="preserve"> (Accessed: 23 December 2023)</w:t>
      </w:r>
    </w:p>
    <w:p w14:paraId="167839AF" w14:textId="77777777" w:rsidR="007047A0" w:rsidRPr="007047A0" w:rsidRDefault="007047A0" w:rsidP="007047A0">
      <w:pPr>
        <w:spacing w:line="360" w:lineRule="auto"/>
        <w:jc w:val="both"/>
        <w:rPr>
          <w:rFonts w:ascii="Arial" w:hAnsi="Arial" w:cs="Arial"/>
          <w:lang w:eastAsia="en-GB"/>
        </w:rPr>
      </w:pPr>
    </w:p>
    <w:p w14:paraId="7DE56116" w14:textId="01169254" w:rsidR="00995204" w:rsidRDefault="00995204" w:rsidP="005D214E">
      <w:pPr>
        <w:spacing w:line="360" w:lineRule="auto"/>
        <w:jc w:val="both"/>
        <w:rPr>
          <w:rFonts w:ascii="Arial" w:hAnsi="Arial" w:cs="Arial"/>
        </w:rPr>
      </w:pPr>
      <w:r>
        <w:rPr>
          <w:rFonts w:ascii="Arial" w:hAnsi="Arial" w:cs="Arial"/>
        </w:rPr>
        <w:t xml:space="preserve">Arnold, G. (2013) </w:t>
      </w:r>
      <w:r w:rsidRPr="00C55E5A">
        <w:rPr>
          <w:rFonts w:ascii="Arial" w:hAnsi="Arial" w:cs="Arial"/>
          <w:i/>
          <w:iCs/>
        </w:rPr>
        <w:t>Essentials of corporate financial management.</w:t>
      </w:r>
      <w:r>
        <w:rPr>
          <w:rFonts w:ascii="Arial" w:hAnsi="Arial" w:cs="Arial"/>
        </w:rPr>
        <w:t xml:space="preserve"> 2</w:t>
      </w:r>
      <w:r w:rsidRPr="00C55E5A">
        <w:rPr>
          <w:rFonts w:ascii="Arial" w:hAnsi="Arial" w:cs="Arial"/>
          <w:vertAlign w:val="superscript"/>
        </w:rPr>
        <w:t>nd</w:t>
      </w:r>
      <w:r>
        <w:rPr>
          <w:rFonts w:ascii="Arial" w:hAnsi="Arial" w:cs="Arial"/>
        </w:rPr>
        <w:t xml:space="preserve"> Ed. Harlow: Pearson</w:t>
      </w:r>
    </w:p>
    <w:p w14:paraId="2733C384" w14:textId="77777777" w:rsidR="007047A0" w:rsidRPr="00995204" w:rsidRDefault="007047A0" w:rsidP="005D214E">
      <w:pPr>
        <w:spacing w:line="360" w:lineRule="auto"/>
        <w:jc w:val="both"/>
        <w:rPr>
          <w:rFonts w:ascii="Arial" w:hAnsi="Arial" w:cs="Arial"/>
        </w:rPr>
      </w:pPr>
    </w:p>
    <w:p w14:paraId="109717FC" w14:textId="2ECB78DF" w:rsidR="00995204" w:rsidRPr="002D1E7C" w:rsidRDefault="00995204" w:rsidP="005D214E">
      <w:pPr>
        <w:spacing w:line="360" w:lineRule="auto"/>
        <w:rPr>
          <w:rFonts w:ascii="Times New Roman" w:eastAsia="Times New Roman" w:hAnsi="Times New Roman" w:cs="Times New Roman"/>
          <w:kern w:val="0"/>
          <w:lang w:eastAsia="en-GB"/>
          <w14:ligatures w14:val="none"/>
        </w:rPr>
      </w:pPr>
      <w:r w:rsidRPr="00D40B42">
        <w:rPr>
          <w:rFonts w:ascii="Arial" w:hAnsi="Arial" w:cs="Arial"/>
          <w:color w:val="222222"/>
          <w:shd w:val="clear" w:color="auto" w:fill="FFFFFF"/>
        </w:rPr>
        <w:t xml:space="preserve">Hutson, E., Laing, E. and Ye, M. </w:t>
      </w:r>
      <w:r>
        <w:rPr>
          <w:rFonts w:ascii="Arial" w:hAnsi="Arial" w:cs="Arial"/>
          <w:color w:val="222222"/>
          <w:shd w:val="clear" w:color="auto" w:fill="FFFFFF"/>
        </w:rPr>
        <w:t>(</w:t>
      </w:r>
      <w:r w:rsidRPr="00D40B42">
        <w:rPr>
          <w:rFonts w:ascii="Arial" w:hAnsi="Arial" w:cs="Arial"/>
          <w:color w:val="222222"/>
          <w:shd w:val="clear" w:color="auto" w:fill="FFFFFF"/>
        </w:rPr>
        <w:t>2019</w:t>
      </w:r>
      <w:r>
        <w:rPr>
          <w:rFonts w:ascii="Arial" w:hAnsi="Arial" w:cs="Arial"/>
          <w:color w:val="222222"/>
          <w:shd w:val="clear" w:color="auto" w:fill="FFFFFF"/>
        </w:rPr>
        <w:t>)</w:t>
      </w:r>
      <w:r w:rsidRPr="00D40B42">
        <w:rPr>
          <w:rFonts w:ascii="Arial" w:hAnsi="Arial" w:cs="Arial"/>
          <w:color w:val="222222"/>
          <w:shd w:val="clear" w:color="auto" w:fill="FFFFFF"/>
        </w:rPr>
        <w:t xml:space="preserve"> </w:t>
      </w:r>
      <w:r w:rsidR="007047A0">
        <w:rPr>
          <w:rFonts w:ascii="Arial" w:hAnsi="Arial" w:cs="Arial"/>
          <w:color w:val="222222"/>
          <w:shd w:val="clear" w:color="auto" w:fill="FFFFFF"/>
        </w:rPr>
        <w:t>‘</w:t>
      </w:r>
      <w:r w:rsidRPr="00D40B42">
        <w:rPr>
          <w:rFonts w:ascii="Arial" w:hAnsi="Arial" w:cs="Arial"/>
          <w:color w:val="222222"/>
          <w:shd w:val="clear" w:color="auto" w:fill="FFFFFF"/>
        </w:rPr>
        <w:t>Mutual fund ownership and foreign exchange risk in Chinese firms</w:t>
      </w:r>
      <w:r w:rsidR="007047A0">
        <w:rPr>
          <w:rFonts w:ascii="Arial" w:hAnsi="Arial" w:cs="Arial"/>
          <w:color w:val="222222"/>
          <w:shd w:val="clear" w:color="auto" w:fill="FFFFFF"/>
        </w:rPr>
        <w:t>’</w:t>
      </w:r>
      <w:r w:rsidRPr="00D40B42">
        <w:rPr>
          <w:rFonts w:ascii="Arial" w:hAnsi="Arial" w:cs="Arial"/>
          <w:color w:val="222222"/>
          <w:shd w:val="clear" w:color="auto" w:fill="FFFFFF"/>
        </w:rPr>
        <w:t>.</w:t>
      </w:r>
      <w:r w:rsidRPr="00D40B42">
        <w:rPr>
          <w:rStyle w:val="apple-converted-space"/>
          <w:rFonts w:ascii="Arial" w:hAnsi="Arial" w:cs="Arial"/>
          <w:color w:val="222222"/>
          <w:shd w:val="clear" w:color="auto" w:fill="FFFFFF"/>
        </w:rPr>
        <w:t> </w:t>
      </w:r>
      <w:r w:rsidRPr="00D40B42">
        <w:rPr>
          <w:rFonts w:ascii="Arial" w:hAnsi="Arial" w:cs="Arial"/>
          <w:i/>
          <w:iCs/>
          <w:color w:val="222222"/>
        </w:rPr>
        <w:t>Journal of International Financial Markets, Institutions and Money</w:t>
      </w:r>
      <w:r w:rsidRPr="00D40B42">
        <w:rPr>
          <w:rFonts w:ascii="Arial" w:hAnsi="Arial" w:cs="Arial"/>
          <w:color w:val="222222"/>
          <w:shd w:val="clear" w:color="auto" w:fill="FFFFFF"/>
        </w:rPr>
        <w:t>,</w:t>
      </w:r>
      <w:r w:rsidRPr="00D40B42">
        <w:rPr>
          <w:rStyle w:val="apple-converted-space"/>
          <w:rFonts w:ascii="Arial" w:hAnsi="Arial" w:cs="Arial"/>
          <w:color w:val="222222"/>
          <w:shd w:val="clear" w:color="auto" w:fill="FFFFFF"/>
        </w:rPr>
        <w:t> </w:t>
      </w:r>
      <w:r w:rsidRPr="00D40B42">
        <w:rPr>
          <w:rFonts w:ascii="Arial" w:hAnsi="Arial" w:cs="Arial"/>
          <w:i/>
          <w:iCs/>
          <w:color w:val="222222"/>
        </w:rPr>
        <w:t>60</w:t>
      </w:r>
      <w:r w:rsidRPr="00D40B42">
        <w:rPr>
          <w:rFonts w:ascii="Arial" w:hAnsi="Arial" w:cs="Arial"/>
          <w:color w:val="222222"/>
          <w:shd w:val="clear" w:color="auto" w:fill="FFFFFF"/>
        </w:rPr>
        <w:t>, pp.169-192.</w:t>
      </w:r>
      <w:r>
        <w:rPr>
          <w:rFonts w:ascii="Arial" w:hAnsi="Arial" w:cs="Arial"/>
          <w:color w:val="222222"/>
          <w:shd w:val="clear" w:color="auto" w:fill="FFFFFF"/>
        </w:rPr>
        <w:t xml:space="preserve"> Available at: </w:t>
      </w:r>
      <w:hyperlink r:id="rId10" w:history="1">
        <w:r w:rsidRPr="00BA3854">
          <w:rPr>
            <w:rStyle w:val="Hyperlink"/>
            <w:rFonts w:ascii="Arial" w:hAnsi="Arial" w:cs="Arial"/>
            <w:shd w:val="clear" w:color="auto" w:fill="FFFFFF"/>
          </w:rPr>
          <w:t>https://www.sciencedirect.com/science/article/abs/pii/S1042443117304353</w:t>
        </w:r>
      </w:hyperlink>
      <w:r>
        <w:rPr>
          <w:rFonts w:ascii="Arial" w:hAnsi="Arial" w:cs="Arial"/>
          <w:color w:val="222222"/>
          <w:shd w:val="clear" w:color="auto" w:fill="FFFFFF"/>
        </w:rPr>
        <w:t xml:space="preserve"> (Accessed: 24 December 2023)</w:t>
      </w:r>
    </w:p>
    <w:p w14:paraId="6BE9F5BD" w14:textId="591E9043" w:rsidR="00995204" w:rsidRPr="00D55832" w:rsidRDefault="00995204" w:rsidP="005D214E">
      <w:pPr>
        <w:pStyle w:val="NormalWeb"/>
        <w:shd w:val="clear" w:color="auto" w:fill="FFFFFF"/>
        <w:spacing w:line="360" w:lineRule="auto"/>
        <w:rPr>
          <w:rFonts w:ascii="Arial" w:hAnsi="Arial" w:cs="Arial"/>
        </w:rPr>
      </w:pPr>
      <w:r>
        <w:rPr>
          <w:rFonts w:ascii="Arial" w:hAnsi="Arial" w:cs="Arial"/>
        </w:rPr>
        <w:t xml:space="preserve">Jacque, L. (2013) </w:t>
      </w:r>
      <w:r w:rsidRPr="008E7864">
        <w:rPr>
          <w:rFonts w:ascii="Arial" w:hAnsi="Arial" w:cs="Arial"/>
          <w:i/>
          <w:iCs/>
        </w:rPr>
        <w:t xml:space="preserve">Management and </w:t>
      </w:r>
      <w:r w:rsidRPr="007047A0">
        <w:rPr>
          <w:rFonts w:ascii="Arial" w:hAnsi="Arial" w:cs="Arial"/>
        </w:rPr>
        <w:t>control</w:t>
      </w:r>
      <w:r w:rsidRPr="008E7864">
        <w:rPr>
          <w:rFonts w:ascii="Arial" w:hAnsi="Arial" w:cs="Arial"/>
          <w:i/>
          <w:iCs/>
        </w:rPr>
        <w:t xml:space="preserve"> of foreign exchange risk.</w:t>
      </w:r>
      <w:r>
        <w:rPr>
          <w:rFonts w:ascii="Arial" w:hAnsi="Arial" w:cs="Arial"/>
        </w:rPr>
        <w:t xml:space="preserve"> London: Kluwer Academic Publishers</w:t>
      </w:r>
    </w:p>
    <w:p w14:paraId="3853B323" w14:textId="77777777" w:rsidR="00995204" w:rsidRDefault="00995204" w:rsidP="005D214E">
      <w:pPr>
        <w:spacing w:line="360" w:lineRule="auto"/>
        <w:rPr>
          <w:rFonts w:ascii="Arial" w:hAnsi="Arial" w:cs="Arial"/>
        </w:rPr>
      </w:pPr>
      <w:r w:rsidRPr="00F330F9">
        <w:rPr>
          <w:rFonts w:ascii="Arial" w:hAnsi="Arial" w:cs="Arial"/>
        </w:rPr>
        <w:t>Madura, J., Hoque, A. and Krishnam</w:t>
      </w:r>
      <w:r>
        <w:rPr>
          <w:rFonts w:ascii="Arial" w:hAnsi="Arial" w:cs="Arial"/>
        </w:rPr>
        <w:t>u</w:t>
      </w:r>
      <w:r w:rsidRPr="00F330F9">
        <w:rPr>
          <w:rFonts w:ascii="Arial" w:hAnsi="Arial" w:cs="Arial"/>
        </w:rPr>
        <w:t xml:space="preserve">rti, C. (2018) </w:t>
      </w:r>
      <w:r w:rsidRPr="00F330F9">
        <w:rPr>
          <w:rFonts w:ascii="Arial" w:hAnsi="Arial" w:cs="Arial"/>
          <w:i/>
          <w:iCs/>
        </w:rPr>
        <w:t>International Financial management.</w:t>
      </w:r>
      <w:r w:rsidRPr="00F330F9">
        <w:rPr>
          <w:rFonts w:ascii="Arial" w:hAnsi="Arial" w:cs="Arial"/>
        </w:rPr>
        <w:t xml:space="preserve"> 1</w:t>
      </w:r>
      <w:r w:rsidRPr="00F330F9">
        <w:rPr>
          <w:rFonts w:ascii="Arial" w:hAnsi="Arial" w:cs="Arial"/>
          <w:vertAlign w:val="superscript"/>
        </w:rPr>
        <w:t>st</w:t>
      </w:r>
      <w:r w:rsidRPr="00F330F9">
        <w:rPr>
          <w:rFonts w:ascii="Arial" w:hAnsi="Arial" w:cs="Arial"/>
        </w:rPr>
        <w:t xml:space="preserve"> Ed. Australia: Cengage AU</w:t>
      </w:r>
    </w:p>
    <w:p w14:paraId="0B4535FD" w14:textId="34A60F85" w:rsidR="005B069C" w:rsidRDefault="00995204" w:rsidP="005D214E">
      <w:pPr>
        <w:pStyle w:val="NormalWeb"/>
        <w:shd w:val="clear" w:color="auto" w:fill="FFFFFF"/>
        <w:spacing w:line="360" w:lineRule="auto"/>
        <w:rPr>
          <w:rFonts w:ascii="Arial" w:hAnsi="Arial" w:cs="Arial"/>
          <w:sz w:val="26"/>
          <w:szCs w:val="26"/>
        </w:rPr>
      </w:pPr>
      <w:r>
        <w:rPr>
          <w:rFonts w:ascii="Arial" w:hAnsi="Arial" w:cs="Arial"/>
        </w:rPr>
        <w:t xml:space="preserve">Oldani, C. (2005) </w:t>
      </w:r>
      <w:r w:rsidR="005D214E">
        <w:rPr>
          <w:rFonts w:ascii="Arial" w:hAnsi="Arial" w:cs="Arial"/>
        </w:rPr>
        <w:t>‘</w:t>
      </w:r>
      <w:r w:rsidRPr="00D55832">
        <w:rPr>
          <w:rFonts w:ascii="Arial" w:hAnsi="Arial" w:cs="Arial"/>
          <w:sz w:val="26"/>
          <w:szCs w:val="26"/>
        </w:rPr>
        <w:t xml:space="preserve">An </w:t>
      </w:r>
      <w:r w:rsidR="007047A0">
        <w:rPr>
          <w:rFonts w:ascii="Arial" w:hAnsi="Arial" w:cs="Arial"/>
          <w:sz w:val="26"/>
          <w:szCs w:val="26"/>
        </w:rPr>
        <w:t>o</w:t>
      </w:r>
      <w:r w:rsidRPr="00D55832">
        <w:rPr>
          <w:rFonts w:ascii="Arial" w:hAnsi="Arial" w:cs="Arial"/>
          <w:sz w:val="26"/>
          <w:szCs w:val="26"/>
        </w:rPr>
        <w:t xml:space="preserve">verview of the </w:t>
      </w:r>
      <w:r w:rsidR="007047A0">
        <w:rPr>
          <w:rFonts w:ascii="Arial" w:hAnsi="Arial" w:cs="Arial"/>
          <w:sz w:val="26"/>
          <w:szCs w:val="26"/>
        </w:rPr>
        <w:t>l</w:t>
      </w:r>
      <w:r w:rsidRPr="00D55832">
        <w:rPr>
          <w:rFonts w:ascii="Arial" w:hAnsi="Arial" w:cs="Arial"/>
          <w:sz w:val="26"/>
          <w:szCs w:val="26"/>
        </w:rPr>
        <w:t xml:space="preserve">iterature about </w:t>
      </w:r>
      <w:r w:rsidR="007047A0">
        <w:rPr>
          <w:rFonts w:ascii="Arial" w:hAnsi="Arial" w:cs="Arial"/>
          <w:sz w:val="26"/>
          <w:szCs w:val="26"/>
        </w:rPr>
        <w:t>d</w:t>
      </w:r>
      <w:r w:rsidRPr="00D55832">
        <w:rPr>
          <w:rFonts w:ascii="Arial" w:hAnsi="Arial" w:cs="Arial"/>
          <w:sz w:val="26"/>
          <w:szCs w:val="26"/>
        </w:rPr>
        <w:t>erivatives</w:t>
      </w:r>
      <w:r w:rsidR="005D214E">
        <w:rPr>
          <w:rFonts w:ascii="Arial" w:hAnsi="Arial" w:cs="Arial"/>
          <w:sz w:val="26"/>
          <w:szCs w:val="26"/>
        </w:rPr>
        <w:t>’</w:t>
      </w:r>
      <w:r>
        <w:rPr>
          <w:rFonts w:ascii="Arial" w:hAnsi="Arial" w:cs="Arial"/>
          <w:sz w:val="26"/>
          <w:szCs w:val="26"/>
        </w:rPr>
        <w:t xml:space="preserve">. </w:t>
      </w:r>
      <w:proofErr w:type="spellStart"/>
      <w:r w:rsidRPr="00D55832">
        <w:rPr>
          <w:rFonts w:ascii="Arial" w:hAnsi="Arial" w:cs="Arial"/>
          <w:i/>
          <w:iCs/>
          <w:sz w:val="26"/>
          <w:szCs w:val="26"/>
        </w:rPr>
        <w:t>EconWPA</w:t>
      </w:r>
      <w:proofErr w:type="spellEnd"/>
      <w:r w:rsidRPr="00D55832">
        <w:rPr>
          <w:rFonts w:ascii="Arial" w:hAnsi="Arial" w:cs="Arial"/>
          <w:i/>
          <w:iCs/>
          <w:sz w:val="26"/>
          <w:szCs w:val="26"/>
        </w:rPr>
        <w:t>,</w:t>
      </w:r>
      <w:r>
        <w:rPr>
          <w:rFonts w:ascii="Arial" w:hAnsi="Arial" w:cs="Arial"/>
          <w:sz w:val="26"/>
          <w:szCs w:val="26"/>
        </w:rPr>
        <w:t xml:space="preserve"> </w:t>
      </w:r>
      <w:r w:rsidRPr="00D55832">
        <w:rPr>
          <w:rFonts w:ascii="Arial" w:hAnsi="Arial" w:cs="Arial"/>
          <w:i/>
          <w:iCs/>
          <w:sz w:val="26"/>
          <w:szCs w:val="26"/>
        </w:rPr>
        <w:t>Macroeconomics</w:t>
      </w:r>
      <w:r>
        <w:rPr>
          <w:rFonts w:ascii="Arial" w:hAnsi="Arial" w:cs="Arial"/>
          <w:sz w:val="26"/>
          <w:szCs w:val="26"/>
        </w:rPr>
        <w:t xml:space="preserve">. Available at: </w:t>
      </w:r>
      <w:hyperlink r:id="rId11" w:history="1">
        <w:r w:rsidRPr="00605AA6">
          <w:rPr>
            <w:rStyle w:val="Hyperlink"/>
            <w:rFonts w:ascii="Arial" w:hAnsi="Arial" w:cs="Arial"/>
            <w:sz w:val="26"/>
            <w:szCs w:val="26"/>
          </w:rPr>
          <w:t>https://www.researchgate.net/publication/23747760_An_Overview_of_the_Lit</w:t>
        </w:r>
        <w:r w:rsidRPr="00605AA6">
          <w:rPr>
            <w:rStyle w:val="Hyperlink"/>
            <w:rFonts w:ascii="Arial" w:hAnsi="Arial" w:cs="Arial"/>
            <w:sz w:val="26"/>
            <w:szCs w:val="26"/>
          </w:rPr>
          <w:t>e</w:t>
        </w:r>
        <w:r w:rsidRPr="00605AA6">
          <w:rPr>
            <w:rStyle w:val="Hyperlink"/>
            <w:rFonts w:ascii="Arial" w:hAnsi="Arial" w:cs="Arial"/>
            <w:sz w:val="26"/>
            <w:szCs w:val="26"/>
          </w:rPr>
          <w:t>rature_about_Derivatives</w:t>
        </w:r>
      </w:hyperlink>
      <w:r>
        <w:rPr>
          <w:rFonts w:ascii="Arial" w:hAnsi="Arial" w:cs="Arial"/>
          <w:sz w:val="26"/>
          <w:szCs w:val="26"/>
        </w:rPr>
        <w:t xml:space="preserve"> (Accessed: 02 January 2024)</w:t>
      </w:r>
    </w:p>
    <w:p w14:paraId="31FF6DEA" w14:textId="4E008AF4" w:rsidR="00995204" w:rsidRPr="007047A0" w:rsidRDefault="00995204" w:rsidP="005D214E">
      <w:pPr>
        <w:pStyle w:val="Heading1"/>
        <w:spacing w:before="120" w:beforeAutospacing="0" w:after="0" w:afterAutospacing="0" w:line="360" w:lineRule="auto"/>
        <w:rPr>
          <w:rFonts w:ascii="Arial" w:hAnsi="Arial" w:cs="Arial"/>
        </w:rPr>
      </w:pPr>
      <w:r w:rsidRPr="0087276A">
        <w:rPr>
          <w:rFonts w:ascii="Arial" w:hAnsi="Arial" w:cs="Arial"/>
          <w:b w:val="0"/>
          <w:bCs w:val="0"/>
          <w:sz w:val="24"/>
          <w:szCs w:val="24"/>
        </w:rPr>
        <w:t>Pratt, L. (2023)</w:t>
      </w:r>
      <w:r>
        <w:rPr>
          <w:rFonts w:ascii="Arial" w:hAnsi="Arial" w:cs="Arial"/>
        </w:rPr>
        <w:t xml:space="preserve"> </w:t>
      </w:r>
      <w:r w:rsidR="006064BB" w:rsidRPr="007047A0">
        <w:rPr>
          <w:rFonts w:ascii="Arial" w:hAnsi="Arial" w:cs="Arial"/>
          <w:b w:val="0"/>
          <w:bCs w:val="0"/>
          <w:i/>
          <w:iCs/>
          <w:sz w:val="24"/>
          <w:szCs w:val="24"/>
        </w:rPr>
        <w:t>How businesses can navigate currency exchange risks with multicurrency accounts.</w:t>
      </w:r>
      <w:r w:rsidR="006064BB">
        <w:rPr>
          <w:rFonts w:ascii="Arial" w:hAnsi="Arial" w:cs="Arial"/>
          <w:b w:val="0"/>
          <w:bCs w:val="0"/>
          <w:color w:val="333333"/>
          <w:sz w:val="24"/>
          <w:szCs w:val="24"/>
        </w:rPr>
        <w:t xml:space="preserve"> </w:t>
      </w:r>
      <w:r>
        <w:rPr>
          <w:rFonts w:ascii="Arial" w:hAnsi="Arial" w:cs="Arial"/>
          <w:b w:val="0"/>
          <w:bCs w:val="0"/>
          <w:color w:val="333333"/>
          <w:sz w:val="24"/>
          <w:szCs w:val="24"/>
        </w:rPr>
        <w:t xml:space="preserve">Available at: </w:t>
      </w:r>
      <w:hyperlink r:id="rId12" w:history="1">
        <w:r w:rsidRPr="00605AA6">
          <w:rPr>
            <w:rStyle w:val="Hyperlink"/>
            <w:rFonts w:ascii="Arial" w:hAnsi="Arial" w:cs="Arial"/>
            <w:b w:val="0"/>
            <w:bCs w:val="0"/>
            <w:sz w:val="24"/>
            <w:szCs w:val="24"/>
          </w:rPr>
          <w:t>https://www.forbes.com/sites/forbesbusinesscouncil/2023/12/08/how-businesses-can-navigate-currency-exchange-risks-with-multicurrency-accounts/</w:t>
        </w:r>
      </w:hyperlink>
      <w:r>
        <w:rPr>
          <w:rFonts w:ascii="Arial" w:hAnsi="Arial" w:cs="Arial"/>
          <w:b w:val="0"/>
          <w:bCs w:val="0"/>
          <w:color w:val="333333"/>
          <w:sz w:val="24"/>
          <w:szCs w:val="24"/>
        </w:rPr>
        <w:t xml:space="preserve"> (Accessed: 02 January 2024)</w:t>
      </w:r>
    </w:p>
    <w:p w14:paraId="288CBD1A" w14:textId="77777777" w:rsidR="00995204" w:rsidRPr="0087276A" w:rsidRDefault="00995204" w:rsidP="00995204">
      <w:pPr>
        <w:pStyle w:val="Heading1"/>
        <w:spacing w:before="120" w:beforeAutospacing="0" w:after="0" w:afterAutospacing="0" w:line="360" w:lineRule="auto"/>
        <w:rPr>
          <w:rFonts w:ascii="Arial" w:hAnsi="Arial" w:cs="Arial"/>
          <w:b w:val="0"/>
          <w:bCs w:val="0"/>
          <w:color w:val="333333"/>
          <w:sz w:val="24"/>
          <w:szCs w:val="24"/>
        </w:rPr>
      </w:pPr>
    </w:p>
    <w:p w14:paraId="2F286DAB" w14:textId="37EB9E17" w:rsidR="00995204" w:rsidRDefault="00995204" w:rsidP="00995204">
      <w:pPr>
        <w:spacing w:line="360" w:lineRule="auto"/>
        <w:rPr>
          <w:rFonts w:ascii="Arial" w:eastAsia="Times New Roman" w:hAnsi="Arial" w:cs="Arial"/>
        </w:rPr>
      </w:pPr>
      <w:r w:rsidRPr="00BD3D99">
        <w:rPr>
          <w:rFonts w:ascii="Arial" w:eastAsia="Times New Roman" w:hAnsi="Arial" w:cs="Arial"/>
        </w:rPr>
        <w:lastRenderedPageBreak/>
        <w:t>Shobande, O. and Shodipe, O</w:t>
      </w:r>
      <w:r w:rsidRPr="00BD3D99">
        <w:rPr>
          <w:rFonts w:ascii="Arial" w:eastAsia="Times New Roman" w:hAnsi="Arial" w:cs="Arial"/>
        </w:rPr>
        <w:t>. (</w:t>
      </w:r>
      <w:r w:rsidRPr="00BD3D99">
        <w:rPr>
          <w:rFonts w:ascii="Arial" w:eastAsia="Times New Roman" w:hAnsi="Arial" w:cs="Arial"/>
        </w:rPr>
        <w:t>202</w:t>
      </w:r>
      <w:r w:rsidRPr="00BD3D99">
        <w:rPr>
          <w:rFonts w:ascii="Arial" w:eastAsia="Times New Roman" w:hAnsi="Arial" w:cs="Arial"/>
        </w:rPr>
        <w:t>1)</w:t>
      </w:r>
      <w:r w:rsidRPr="00BD3D99">
        <w:rPr>
          <w:rFonts w:ascii="Arial" w:eastAsia="Times New Roman" w:hAnsi="Arial" w:cs="Arial"/>
        </w:rPr>
        <w:t xml:space="preserve"> </w:t>
      </w:r>
      <w:r w:rsidR="007047A0">
        <w:rPr>
          <w:rFonts w:ascii="Arial" w:eastAsia="Times New Roman" w:hAnsi="Arial" w:cs="Arial"/>
        </w:rPr>
        <w:t>‘</w:t>
      </w:r>
      <w:r w:rsidRPr="00BD3D99">
        <w:rPr>
          <w:rFonts w:ascii="Arial" w:eastAsia="Times New Roman" w:hAnsi="Arial" w:cs="Arial"/>
        </w:rPr>
        <w:t>Monetary policy interdependency in Fisher effect: A comparative evidence</w:t>
      </w:r>
      <w:r w:rsidR="007047A0">
        <w:rPr>
          <w:rFonts w:ascii="Arial" w:eastAsia="Times New Roman" w:hAnsi="Arial" w:cs="Arial"/>
        </w:rPr>
        <w:t>’</w:t>
      </w:r>
      <w:r w:rsidRPr="00BD3D99">
        <w:rPr>
          <w:rFonts w:ascii="Arial" w:eastAsia="Times New Roman" w:hAnsi="Arial" w:cs="Arial"/>
        </w:rPr>
        <w:t xml:space="preserve">. </w:t>
      </w:r>
      <w:r w:rsidRPr="00BD3D99">
        <w:rPr>
          <w:rFonts w:ascii="Arial" w:eastAsia="Times New Roman" w:hAnsi="Arial" w:cs="Arial"/>
          <w:i/>
        </w:rPr>
        <w:t>Journal of Central Banking Theory and Practice</w:t>
      </w:r>
      <w:r w:rsidRPr="00BD3D99">
        <w:rPr>
          <w:rFonts w:ascii="Arial" w:eastAsia="Times New Roman" w:hAnsi="Arial" w:cs="Arial"/>
        </w:rPr>
        <w:t>, 10(1), pp.203-226.</w:t>
      </w:r>
      <w:r w:rsidRPr="00BD3D99">
        <w:rPr>
          <w:rFonts w:ascii="Arial" w:eastAsia="Times New Roman" w:hAnsi="Arial" w:cs="Arial"/>
        </w:rPr>
        <w:t xml:space="preserve"> Available at: </w:t>
      </w:r>
      <w:hyperlink r:id="rId13" w:history="1">
        <w:r w:rsidRPr="00BD3D99">
          <w:rPr>
            <w:rStyle w:val="Hyperlink"/>
            <w:rFonts w:ascii="Arial" w:eastAsia="Times New Roman" w:hAnsi="Arial" w:cs="Arial"/>
          </w:rPr>
          <w:t>https://www.researchgate.net/publication/349733321_Monetary_Policy_Interdependency_in_Fisher_Effect_A_Comparative_Evidence</w:t>
        </w:r>
      </w:hyperlink>
      <w:r w:rsidRPr="00BD3D99">
        <w:rPr>
          <w:rFonts w:ascii="Arial" w:eastAsia="Times New Roman" w:hAnsi="Arial" w:cs="Arial"/>
        </w:rPr>
        <w:t xml:space="preserve"> (Accessed: 02 January 2024)</w:t>
      </w:r>
    </w:p>
    <w:p w14:paraId="44F70E10" w14:textId="77777777" w:rsidR="00995204" w:rsidRDefault="00995204" w:rsidP="00995204">
      <w:pPr>
        <w:spacing w:line="360" w:lineRule="auto"/>
        <w:rPr>
          <w:rFonts w:ascii="Arial" w:eastAsia="Times New Roman" w:hAnsi="Arial" w:cs="Arial"/>
        </w:rPr>
      </w:pPr>
    </w:p>
    <w:p w14:paraId="3D0413C9" w14:textId="2249B7A2" w:rsidR="00995204" w:rsidRDefault="00995204" w:rsidP="00995204">
      <w:pPr>
        <w:spacing w:line="360" w:lineRule="auto"/>
        <w:rPr>
          <w:rFonts w:ascii="Arial" w:eastAsia="Times New Roman" w:hAnsi="Arial" w:cs="Arial"/>
        </w:rPr>
      </w:pPr>
      <w:r w:rsidRPr="002204B3">
        <w:rPr>
          <w:rFonts w:ascii="Arial" w:eastAsia="Times New Roman" w:hAnsi="Arial" w:cs="Arial"/>
        </w:rPr>
        <w:t>Tiwary, A.R. (2019)</w:t>
      </w:r>
      <w:r w:rsidR="007047A0">
        <w:rPr>
          <w:rFonts w:ascii="Arial" w:eastAsia="Times New Roman" w:hAnsi="Arial" w:cs="Arial"/>
        </w:rPr>
        <w:t xml:space="preserve"> ‘</w:t>
      </w:r>
      <w:r w:rsidRPr="002204B3">
        <w:rPr>
          <w:rFonts w:ascii="Arial" w:eastAsia="Times New Roman" w:hAnsi="Arial" w:cs="Arial"/>
        </w:rPr>
        <w:t>Study of currency risk and the hedging strategies</w:t>
      </w:r>
      <w:r w:rsidR="007047A0">
        <w:rPr>
          <w:rFonts w:ascii="Arial" w:eastAsia="Times New Roman" w:hAnsi="Arial" w:cs="Arial"/>
        </w:rPr>
        <w:t>’</w:t>
      </w:r>
      <w:r w:rsidRPr="002204B3">
        <w:rPr>
          <w:rFonts w:ascii="Arial" w:eastAsia="Times New Roman" w:hAnsi="Arial" w:cs="Arial"/>
        </w:rPr>
        <w:t xml:space="preserve">. </w:t>
      </w:r>
      <w:r w:rsidRPr="002204B3">
        <w:rPr>
          <w:rFonts w:ascii="Arial" w:eastAsia="Times New Roman" w:hAnsi="Arial" w:cs="Arial"/>
          <w:i/>
        </w:rPr>
        <w:t>Journal of Advanced</w:t>
      </w:r>
      <w:r>
        <w:rPr>
          <w:rFonts w:ascii="Arial" w:eastAsia="Times New Roman" w:hAnsi="Arial" w:cs="Arial"/>
          <w:i/>
        </w:rPr>
        <w:t xml:space="preserve"> </w:t>
      </w:r>
      <w:r w:rsidRPr="002204B3">
        <w:rPr>
          <w:rFonts w:ascii="Arial" w:eastAsia="Times New Roman" w:hAnsi="Arial" w:cs="Arial"/>
          <w:i/>
        </w:rPr>
        <w:t>Studies in Finance (JASF),</w:t>
      </w:r>
      <w:r w:rsidRPr="002204B3">
        <w:rPr>
          <w:rFonts w:ascii="Arial" w:eastAsia="Times New Roman" w:hAnsi="Arial" w:cs="Arial"/>
        </w:rPr>
        <w:t xml:space="preserve"> 10(19), pp.45-55.</w:t>
      </w:r>
      <w:r>
        <w:rPr>
          <w:rFonts w:ascii="Arial" w:eastAsia="Times New Roman" w:hAnsi="Arial" w:cs="Arial"/>
        </w:rPr>
        <w:t xml:space="preserve"> Available at: </w:t>
      </w:r>
      <w:hyperlink r:id="rId14" w:history="1">
        <w:r w:rsidRPr="00605AA6">
          <w:rPr>
            <w:rStyle w:val="Hyperlink"/>
            <w:rFonts w:ascii="Arial" w:eastAsia="Times New Roman" w:hAnsi="Arial" w:cs="Arial"/>
          </w:rPr>
          <w:t>https://www.seman</w:t>
        </w:r>
        <w:r w:rsidRPr="00605AA6">
          <w:rPr>
            <w:rStyle w:val="Hyperlink"/>
            <w:rFonts w:ascii="Arial" w:eastAsia="Times New Roman" w:hAnsi="Arial" w:cs="Arial"/>
          </w:rPr>
          <w:t>t</w:t>
        </w:r>
        <w:r w:rsidRPr="00605AA6">
          <w:rPr>
            <w:rStyle w:val="Hyperlink"/>
            <w:rFonts w:ascii="Arial" w:eastAsia="Times New Roman" w:hAnsi="Arial" w:cs="Arial"/>
          </w:rPr>
          <w:t>icscholar.org/paper/Study-of-currency-risk-and-the-hedging-strategies.-Tiwari/c849b6653771578ed290c15fd393e8a369298a27</w:t>
        </w:r>
      </w:hyperlink>
      <w:r>
        <w:rPr>
          <w:rFonts w:ascii="Arial" w:eastAsia="Times New Roman" w:hAnsi="Arial" w:cs="Arial"/>
        </w:rPr>
        <w:t xml:space="preserve"> (Accessed: 02 January 2024)</w:t>
      </w:r>
    </w:p>
    <w:p w14:paraId="478876DA" w14:textId="77777777" w:rsidR="00C51C56" w:rsidRDefault="00C51C56" w:rsidP="00995204">
      <w:pPr>
        <w:spacing w:line="360" w:lineRule="auto"/>
        <w:rPr>
          <w:rFonts w:ascii="Arial" w:eastAsia="Times New Roman" w:hAnsi="Arial" w:cs="Arial"/>
        </w:rPr>
      </w:pPr>
    </w:p>
    <w:p w14:paraId="7372AF47" w14:textId="77777777" w:rsidR="00C51C56" w:rsidRDefault="00C51C56" w:rsidP="00995204">
      <w:pPr>
        <w:spacing w:line="360" w:lineRule="auto"/>
        <w:rPr>
          <w:rFonts w:ascii="Arial" w:eastAsia="Times New Roman" w:hAnsi="Arial" w:cs="Arial"/>
        </w:rPr>
      </w:pPr>
    </w:p>
    <w:p w14:paraId="541A5EC0" w14:textId="77777777" w:rsidR="00C51C56" w:rsidRDefault="00C51C56" w:rsidP="00995204">
      <w:pPr>
        <w:spacing w:line="360" w:lineRule="auto"/>
        <w:rPr>
          <w:rFonts w:ascii="Arial" w:eastAsia="Times New Roman" w:hAnsi="Arial" w:cs="Arial"/>
        </w:rPr>
      </w:pPr>
    </w:p>
    <w:p w14:paraId="07B9EE80" w14:textId="77777777" w:rsidR="005B069C" w:rsidRDefault="005B069C" w:rsidP="00995204">
      <w:pPr>
        <w:spacing w:line="360" w:lineRule="auto"/>
        <w:rPr>
          <w:rFonts w:ascii="Arial" w:eastAsia="Times New Roman" w:hAnsi="Arial" w:cs="Arial"/>
        </w:rPr>
      </w:pPr>
    </w:p>
    <w:p w14:paraId="18326B41" w14:textId="77777777" w:rsidR="005B069C" w:rsidRDefault="005B069C" w:rsidP="00995204">
      <w:pPr>
        <w:spacing w:line="360" w:lineRule="auto"/>
        <w:rPr>
          <w:rFonts w:ascii="Arial" w:eastAsia="Times New Roman" w:hAnsi="Arial" w:cs="Arial"/>
        </w:rPr>
      </w:pPr>
    </w:p>
    <w:p w14:paraId="57108E52" w14:textId="77777777" w:rsidR="005B069C" w:rsidRDefault="005B069C" w:rsidP="00995204">
      <w:pPr>
        <w:spacing w:line="360" w:lineRule="auto"/>
        <w:rPr>
          <w:rFonts w:ascii="Arial" w:eastAsia="Times New Roman" w:hAnsi="Arial" w:cs="Arial"/>
        </w:rPr>
      </w:pPr>
    </w:p>
    <w:p w14:paraId="34C14D80" w14:textId="77777777" w:rsidR="005B069C" w:rsidRDefault="005B069C" w:rsidP="00995204">
      <w:pPr>
        <w:spacing w:line="360" w:lineRule="auto"/>
        <w:rPr>
          <w:rFonts w:ascii="Arial" w:eastAsia="Times New Roman" w:hAnsi="Arial" w:cs="Arial"/>
        </w:rPr>
      </w:pPr>
    </w:p>
    <w:p w14:paraId="473E49CF" w14:textId="77777777" w:rsidR="005B069C" w:rsidRDefault="005B069C" w:rsidP="00995204">
      <w:pPr>
        <w:spacing w:line="360" w:lineRule="auto"/>
        <w:rPr>
          <w:rFonts w:ascii="Arial" w:eastAsia="Times New Roman" w:hAnsi="Arial" w:cs="Arial"/>
        </w:rPr>
      </w:pPr>
    </w:p>
    <w:p w14:paraId="60A81C82" w14:textId="77777777" w:rsidR="005B069C" w:rsidRDefault="005B069C" w:rsidP="00995204">
      <w:pPr>
        <w:spacing w:line="360" w:lineRule="auto"/>
        <w:rPr>
          <w:rFonts w:ascii="Arial" w:eastAsia="Times New Roman" w:hAnsi="Arial" w:cs="Arial"/>
        </w:rPr>
      </w:pPr>
    </w:p>
    <w:p w14:paraId="2B044D96" w14:textId="77777777" w:rsidR="005B069C" w:rsidRDefault="005B069C" w:rsidP="00995204">
      <w:pPr>
        <w:spacing w:line="360" w:lineRule="auto"/>
        <w:rPr>
          <w:rFonts w:ascii="Arial" w:eastAsia="Times New Roman" w:hAnsi="Arial" w:cs="Arial"/>
        </w:rPr>
      </w:pPr>
    </w:p>
    <w:p w14:paraId="181FAFE7" w14:textId="77777777" w:rsidR="005B069C" w:rsidRDefault="005B069C" w:rsidP="00995204">
      <w:pPr>
        <w:spacing w:line="360" w:lineRule="auto"/>
        <w:rPr>
          <w:rFonts w:ascii="Arial" w:eastAsia="Times New Roman" w:hAnsi="Arial" w:cs="Arial"/>
        </w:rPr>
      </w:pPr>
    </w:p>
    <w:p w14:paraId="6A4B66FF" w14:textId="77777777" w:rsidR="005B069C" w:rsidRDefault="005B069C" w:rsidP="00995204">
      <w:pPr>
        <w:spacing w:line="360" w:lineRule="auto"/>
        <w:rPr>
          <w:rFonts w:ascii="Arial" w:eastAsia="Times New Roman" w:hAnsi="Arial" w:cs="Arial"/>
        </w:rPr>
      </w:pPr>
    </w:p>
    <w:p w14:paraId="4C1F6DE3" w14:textId="77777777" w:rsidR="005B069C" w:rsidRDefault="005B069C" w:rsidP="00995204">
      <w:pPr>
        <w:spacing w:line="360" w:lineRule="auto"/>
        <w:rPr>
          <w:rFonts w:ascii="Arial" w:eastAsia="Times New Roman" w:hAnsi="Arial" w:cs="Arial"/>
        </w:rPr>
      </w:pPr>
    </w:p>
    <w:p w14:paraId="3AEE005F" w14:textId="77777777" w:rsidR="005B069C" w:rsidRDefault="005B069C" w:rsidP="00995204">
      <w:pPr>
        <w:spacing w:line="360" w:lineRule="auto"/>
        <w:rPr>
          <w:rFonts w:ascii="Arial" w:eastAsia="Times New Roman" w:hAnsi="Arial" w:cs="Arial"/>
        </w:rPr>
      </w:pPr>
    </w:p>
    <w:p w14:paraId="72D15AD9" w14:textId="77777777" w:rsidR="005B069C" w:rsidRDefault="005B069C" w:rsidP="00995204">
      <w:pPr>
        <w:spacing w:line="360" w:lineRule="auto"/>
        <w:rPr>
          <w:rFonts w:ascii="Arial" w:eastAsia="Times New Roman" w:hAnsi="Arial" w:cs="Arial"/>
        </w:rPr>
      </w:pPr>
    </w:p>
    <w:p w14:paraId="1843E4BA" w14:textId="77777777" w:rsidR="005B069C" w:rsidRDefault="005B069C" w:rsidP="00995204">
      <w:pPr>
        <w:spacing w:line="360" w:lineRule="auto"/>
        <w:rPr>
          <w:rFonts w:ascii="Arial" w:eastAsia="Times New Roman" w:hAnsi="Arial" w:cs="Arial"/>
        </w:rPr>
      </w:pPr>
    </w:p>
    <w:p w14:paraId="47CCE2B2" w14:textId="77777777" w:rsidR="005B069C" w:rsidRDefault="005B069C" w:rsidP="00995204">
      <w:pPr>
        <w:spacing w:line="360" w:lineRule="auto"/>
        <w:rPr>
          <w:rFonts w:ascii="Arial" w:eastAsia="Times New Roman" w:hAnsi="Arial" w:cs="Arial"/>
        </w:rPr>
      </w:pPr>
    </w:p>
    <w:p w14:paraId="1584D8A5" w14:textId="77777777" w:rsidR="005B069C" w:rsidRDefault="005B069C" w:rsidP="00995204">
      <w:pPr>
        <w:spacing w:line="360" w:lineRule="auto"/>
        <w:rPr>
          <w:rFonts w:ascii="Arial" w:eastAsia="Times New Roman" w:hAnsi="Arial" w:cs="Arial"/>
        </w:rPr>
      </w:pPr>
    </w:p>
    <w:p w14:paraId="26D149BC" w14:textId="77777777" w:rsidR="005B069C" w:rsidRDefault="005B069C" w:rsidP="00995204">
      <w:pPr>
        <w:spacing w:line="360" w:lineRule="auto"/>
        <w:rPr>
          <w:rFonts w:ascii="Arial" w:eastAsia="Times New Roman" w:hAnsi="Arial" w:cs="Arial"/>
        </w:rPr>
      </w:pPr>
    </w:p>
    <w:p w14:paraId="011DB188" w14:textId="77777777" w:rsidR="005B069C" w:rsidRDefault="005B069C" w:rsidP="00995204">
      <w:pPr>
        <w:spacing w:line="360" w:lineRule="auto"/>
        <w:rPr>
          <w:rFonts w:ascii="Arial" w:eastAsia="Times New Roman" w:hAnsi="Arial" w:cs="Arial"/>
        </w:rPr>
      </w:pPr>
    </w:p>
    <w:p w14:paraId="3C2795C1" w14:textId="77777777" w:rsidR="005B069C" w:rsidRDefault="005B069C" w:rsidP="00995204">
      <w:pPr>
        <w:spacing w:line="360" w:lineRule="auto"/>
        <w:rPr>
          <w:rFonts w:ascii="Arial" w:eastAsia="Times New Roman" w:hAnsi="Arial" w:cs="Arial"/>
        </w:rPr>
      </w:pPr>
    </w:p>
    <w:p w14:paraId="4CA82531" w14:textId="77777777" w:rsidR="005B069C" w:rsidRDefault="005B069C" w:rsidP="00995204">
      <w:pPr>
        <w:spacing w:line="360" w:lineRule="auto"/>
        <w:rPr>
          <w:rFonts w:ascii="Arial" w:eastAsia="Times New Roman" w:hAnsi="Arial" w:cs="Arial"/>
        </w:rPr>
      </w:pPr>
    </w:p>
    <w:p w14:paraId="5DA74FCD" w14:textId="77777777" w:rsidR="005B069C" w:rsidRDefault="005B069C" w:rsidP="00995204">
      <w:pPr>
        <w:spacing w:line="360" w:lineRule="auto"/>
        <w:rPr>
          <w:rFonts w:ascii="Arial" w:eastAsia="Times New Roman" w:hAnsi="Arial" w:cs="Arial"/>
        </w:rPr>
      </w:pPr>
    </w:p>
    <w:p w14:paraId="2D8459DE" w14:textId="6FE66C5B" w:rsidR="00C51C56" w:rsidRDefault="00C51C56" w:rsidP="00C51C56">
      <w:pPr>
        <w:spacing w:line="360" w:lineRule="auto"/>
        <w:jc w:val="center"/>
        <w:rPr>
          <w:rFonts w:ascii="Arial" w:eastAsia="Times New Roman" w:hAnsi="Arial" w:cs="Arial"/>
          <w:b/>
          <w:bCs/>
        </w:rPr>
      </w:pPr>
      <w:r w:rsidRPr="00C51C56">
        <w:rPr>
          <w:rFonts w:ascii="Arial" w:eastAsia="Times New Roman" w:hAnsi="Arial" w:cs="Arial"/>
          <w:b/>
          <w:bCs/>
        </w:rPr>
        <w:lastRenderedPageBreak/>
        <w:t>REFERENCES FIGURES</w:t>
      </w:r>
    </w:p>
    <w:p w14:paraId="4AA25042" w14:textId="77777777" w:rsidR="00C51C56" w:rsidRDefault="00C51C56" w:rsidP="00C51C56">
      <w:pPr>
        <w:spacing w:line="360" w:lineRule="auto"/>
        <w:jc w:val="center"/>
        <w:rPr>
          <w:rFonts w:ascii="Arial" w:eastAsia="Times New Roman" w:hAnsi="Arial" w:cs="Arial"/>
          <w:b/>
          <w:bCs/>
        </w:rPr>
      </w:pPr>
    </w:p>
    <w:p w14:paraId="455482E2" w14:textId="77777777" w:rsidR="005B069C" w:rsidRDefault="005B069C" w:rsidP="00C51C56">
      <w:pPr>
        <w:spacing w:line="360" w:lineRule="auto"/>
        <w:jc w:val="center"/>
        <w:rPr>
          <w:rFonts w:ascii="Arial" w:eastAsia="Times New Roman" w:hAnsi="Arial" w:cs="Arial"/>
          <w:b/>
          <w:bCs/>
        </w:rPr>
      </w:pPr>
    </w:p>
    <w:p w14:paraId="70E3BDC2" w14:textId="6D38968E" w:rsidR="00C51C56" w:rsidRDefault="005B069C" w:rsidP="005B069C">
      <w:pPr>
        <w:spacing w:line="360" w:lineRule="auto"/>
        <w:rPr>
          <w:rFonts w:ascii="Arial" w:hAnsi="Arial" w:cs="Arial"/>
        </w:rPr>
      </w:pPr>
      <w:r w:rsidRPr="00F330F9">
        <w:rPr>
          <w:rFonts w:ascii="Arial" w:hAnsi="Arial" w:cs="Arial"/>
        </w:rPr>
        <w:t>Madura, J., Hoque, A. and Krishnam</w:t>
      </w:r>
      <w:r>
        <w:rPr>
          <w:rFonts w:ascii="Arial" w:hAnsi="Arial" w:cs="Arial"/>
        </w:rPr>
        <w:t>u</w:t>
      </w:r>
      <w:r w:rsidRPr="00F330F9">
        <w:rPr>
          <w:rFonts w:ascii="Arial" w:hAnsi="Arial" w:cs="Arial"/>
        </w:rPr>
        <w:t>rti, C. (2018)</w:t>
      </w:r>
      <w:r>
        <w:rPr>
          <w:rFonts w:ascii="Arial" w:hAnsi="Arial" w:cs="Arial"/>
        </w:rPr>
        <w:t xml:space="preserve"> MNC Environment [ Figure 1]. Available at: </w:t>
      </w:r>
      <w:hyperlink r:id="rId15" w:history="1">
        <w:r w:rsidRPr="00605AA6">
          <w:rPr>
            <w:rStyle w:val="Hyperlink"/>
            <w:rFonts w:ascii="Arial" w:hAnsi="Arial" w:cs="Arial"/>
          </w:rPr>
          <w:t>https://books.google.co.uk/books?hl=en&amp;lr=&amp;id=vkNMDwAAQBAJ&amp;oi=fnd&amp;pg=PR1&amp;dq=Madura,+J.,+Hoque,+A.+and+Krishnamurti,+C.+(2018)+International+Financial+management.+&amp;ots=xfNGfXZ0_L&amp;sig=n2RZXUMDHJZwuUDHqwH5jZHX_1s&amp;redir_esc=y#v=onepage&amp;q&amp;f=false</w:t>
        </w:r>
      </w:hyperlink>
      <w:r>
        <w:rPr>
          <w:rFonts w:ascii="Arial" w:hAnsi="Arial" w:cs="Arial"/>
        </w:rPr>
        <w:t xml:space="preserve"> (Accessed: 23 December 2023)</w:t>
      </w:r>
    </w:p>
    <w:p w14:paraId="7AC59CA2" w14:textId="77777777" w:rsidR="005B069C" w:rsidRDefault="005B069C" w:rsidP="005B069C">
      <w:pPr>
        <w:spacing w:line="360" w:lineRule="auto"/>
        <w:rPr>
          <w:rFonts w:ascii="Arial" w:hAnsi="Arial" w:cs="Arial"/>
        </w:rPr>
      </w:pPr>
    </w:p>
    <w:p w14:paraId="0C86E2A8" w14:textId="77777777" w:rsidR="006E5838" w:rsidRDefault="006E5838" w:rsidP="005B069C">
      <w:pPr>
        <w:spacing w:line="360" w:lineRule="auto"/>
        <w:rPr>
          <w:rFonts w:ascii="Arial" w:hAnsi="Arial" w:cs="Arial"/>
        </w:rPr>
      </w:pPr>
    </w:p>
    <w:p w14:paraId="36245787" w14:textId="08C4E6D9" w:rsidR="005B069C" w:rsidRPr="00C51C56" w:rsidRDefault="005B069C" w:rsidP="005B069C">
      <w:pPr>
        <w:spacing w:line="360" w:lineRule="auto"/>
        <w:rPr>
          <w:rFonts w:ascii="Arial" w:eastAsia="Times New Roman" w:hAnsi="Arial" w:cs="Arial"/>
          <w:b/>
          <w:bCs/>
          <w:iCs/>
        </w:rPr>
      </w:pPr>
      <w:r>
        <w:rPr>
          <w:rFonts w:ascii="Arial" w:hAnsi="Arial" w:cs="Arial"/>
        </w:rPr>
        <w:t>Jacque, L. (2013)</w:t>
      </w:r>
      <w:r>
        <w:rPr>
          <w:rFonts w:ascii="Arial" w:hAnsi="Arial" w:cs="Arial"/>
        </w:rPr>
        <w:t xml:space="preserve"> FERM Model [Figure 2]. Available at: </w:t>
      </w:r>
      <w:hyperlink r:id="rId16" w:history="1">
        <w:r w:rsidRPr="00605AA6">
          <w:rPr>
            <w:rStyle w:val="Hyperlink"/>
            <w:rFonts w:ascii="Arial" w:hAnsi="Arial" w:cs="Arial"/>
          </w:rPr>
          <w:t>https://books.google.co.uk/books?hl=en&amp;lr=&amp;id=Nh72CAAAQBAJ&amp;oi=fnd&amp;pg=PR13&amp;dq=Jacque,+L.+(2013)+Management+and+control+of+foreign+exchange+risk&amp;ots=nJjHqURG4G&amp;sig=pKvSjEexG9ZxTv3IVL5pR0p73XU&amp;redir_esc=y#v=onepage&amp;q=Jacque%2C%20L.%20(2013)%20Management%20and%20control%20of%20foreign%20exchange%20risk&amp;f=false</w:t>
        </w:r>
      </w:hyperlink>
      <w:r>
        <w:rPr>
          <w:rFonts w:ascii="Arial" w:hAnsi="Arial" w:cs="Arial"/>
        </w:rPr>
        <w:t xml:space="preserve"> (Accessed: 02 January 2024)</w:t>
      </w:r>
    </w:p>
    <w:sectPr w:rsidR="005B069C" w:rsidRPr="00C51C56" w:rsidSect="00C83C98">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142C9" w14:textId="77777777" w:rsidR="00C83C98" w:rsidRDefault="00C83C98" w:rsidP="002145D2">
      <w:r>
        <w:separator/>
      </w:r>
    </w:p>
  </w:endnote>
  <w:endnote w:type="continuationSeparator" w:id="0">
    <w:p w14:paraId="5E37FF2D" w14:textId="77777777" w:rsidR="00C83C98" w:rsidRDefault="00C83C98" w:rsidP="00214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7067658"/>
      <w:docPartObj>
        <w:docPartGallery w:val="Page Numbers (Bottom of Page)"/>
        <w:docPartUnique/>
      </w:docPartObj>
    </w:sdtPr>
    <w:sdtContent>
      <w:p w14:paraId="67177D46" w14:textId="77BF8B82" w:rsidR="002145D2" w:rsidRDefault="002145D2" w:rsidP="00605A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B684F5" w14:textId="77777777" w:rsidR="002145D2" w:rsidRDefault="002145D2" w:rsidP="002145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7643498"/>
      <w:docPartObj>
        <w:docPartGallery w:val="Page Numbers (Bottom of Page)"/>
        <w:docPartUnique/>
      </w:docPartObj>
    </w:sdtPr>
    <w:sdtContent>
      <w:p w14:paraId="7AF9D217" w14:textId="718C9AE3" w:rsidR="002145D2" w:rsidRDefault="002145D2" w:rsidP="00605A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5D1BA1" w14:textId="77777777" w:rsidR="002145D2" w:rsidRDefault="002145D2" w:rsidP="002145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AB21B" w14:textId="77777777" w:rsidR="00C83C98" w:rsidRDefault="00C83C98" w:rsidP="002145D2">
      <w:r>
        <w:separator/>
      </w:r>
    </w:p>
  </w:footnote>
  <w:footnote w:type="continuationSeparator" w:id="0">
    <w:p w14:paraId="74683511" w14:textId="77777777" w:rsidR="00C83C98" w:rsidRDefault="00C83C98" w:rsidP="002145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4124"/>
    <w:multiLevelType w:val="hybridMultilevel"/>
    <w:tmpl w:val="2332C14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76BFB"/>
    <w:multiLevelType w:val="hybridMultilevel"/>
    <w:tmpl w:val="D6DC5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4A3E81"/>
    <w:multiLevelType w:val="hybridMultilevel"/>
    <w:tmpl w:val="252C8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55B69"/>
    <w:multiLevelType w:val="hybridMultilevel"/>
    <w:tmpl w:val="08CE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2A3332"/>
    <w:multiLevelType w:val="hybridMultilevel"/>
    <w:tmpl w:val="64B04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C1519D"/>
    <w:multiLevelType w:val="hybridMultilevel"/>
    <w:tmpl w:val="952E7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A758B0"/>
    <w:multiLevelType w:val="hybridMultilevel"/>
    <w:tmpl w:val="3692E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681ED5"/>
    <w:multiLevelType w:val="hybridMultilevel"/>
    <w:tmpl w:val="0046D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F138BA"/>
    <w:multiLevelType w:val="hybridMultilevel"/>
    <w:tmpl w:val="8CF86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CB744B"/>
    <w:multiLevelType w:val="hybridMultilevel"/>
    <w:tmpl w:val="550AC8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FA4566C"/>
    <w:multiLevelType w:val="hybridMultilevel"/>
    <w:tmpl w:val="821AC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563A50"/>
    <w:multiLevelType w:val="hybridMultilevel"/>
    <w:tmpl w:val="987EA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D86CA2"/>
    <w:multiLevelType w:val="hybridMultilevel"/>
    <w:tmpl w:val="887EB49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3" w15:restartNumberingAfterBreak="0">
    <w:nsid w:val="7DDA730D"/>
    <w:multiLevelType w:val="hybridMultilevel"/>
    <w:tmpl w:val="02B88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4852631">
    <w:abstractNumId w:val="1"/>
  </w:num>
  <w:num w:numId="2" w16cid:durableId="1330475313">
    <w:abstractNumId w:val="5"/>
  </w:num>
  <w:num w:numId="3" w16cid:durableId="962537622">
    <w:abstractNumId w:val="6"/>
  </w:num>
  <w:num w:numId="4" w16cid:durableId="1939486943">
    <w:abstractNumId w:val="13"/>
  </w:num>
  <w:num w:numId="5" w16cid:durableId="930994">
    <w:abstractNumId w:val="10"/>
  </w:num>
  <w:num w:numId="6" w16cid:durableId="1186213495">
    <w:abstractNumId w:val="7"/>
  </w:num>
  <w:num w:numId="7" w16cid:durableId="1621719563">
    <w:abstractNumId w:val="9"/>
  </w:num>
  <w:num w:numId="8" w16cid:durableId="297609093">
    <w:abstractNumId w:val="4"/>
  </w:num>
  <w:num w:numId="9" w16cid:durableId="1462962243">
    <w:abstractNumId w:val="3"/>
  </w:num>
  <w:num w:numId="10" w16cid:durableId="1340615614">
    <w:abstractNumId w:val="11"/>
  </w:num>
  <w:num w:numId="11" w16cid:durableId="747774737">
    <w:abstractNumId w:val="12"/>
  </w:num>
  <w:num w:numId="12" w16cid:durableId="1756050672">
    <w:abstractNumId w:val="2"/>
  </w:num>
  <w:num w:numId="13" w16cid:durableId="1933514067">
    <w:abstractNumId w:val="8"/>
  </w:num>
  <w:num w:numId="14" w16cid:durableId="594703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6CE"/>
    <w:rsid w:val="000356D4"/>
    <w:rsid w:val="00051D4E"/>
    <w:rsid w:val="00062A6E"/>
    <w:rsid w:val="00063073"/>
    <w:rsid w:val="00087ACC"/>
    <w:rsid w:val="00093415"/>
    <w:rsid w:val="00111373"/>
    <w:rsid w:val="00121B81"/>
    <w:rsid w:val="00207DF4"/>
    <w:rsid w:val="002145D2"/>
    <w:rsid w:val="002204B3"/>
    <w:rsid w:val="00247B99"/>
    <w:rsid w:val="00282663"/>
    <w:rsid w:val="002D1E7C"/>
    <w:rsid w:val="0036036C"/>
    <w:rsid w:val="004645D3"/>
    <w:rsid w:val="004659DB"/>
    <w:rsid w:val="005103B4"/>
    <w:rsid w:val="005354BD"/>
    <w:rsid w:val="005A04EC"/>
    <w:rsid w:val="005A6957"/>
    <w:rsid w:val="005B069C"/>
    <w:rsid w:val="005D214E"/>
    <w:rsid w:val="005E2242"/>
    <w:rsid w:val="006064BB"/>
    <w:rsid w:val="00621114"/>
    <w:rsid w:val="00675F57"/>
    <w:rsid w:val="006C101D"/>
    <w:rsid w:val="006D4EEC"/>
    <w:rsid w:val="006E5838"/>
    <w:rsid w:val="007047A0"/>
    <w:rsid w:val="00714ADF"/>
    <w:rsid w:val="0072603C"/>
    <w:rsid w:val="00781C24"/>
    <w:rsid w:val="007B1D59"/>
    <w:rsid w:val="00811894"/>
    <w:rsid w:val="00814C74"/>
    <w:rsid w:val="00844886"/>
    <w:rsid w:val="0087276A"/>
    <w:rsid w:val="00875201"/>
    <w:rsid w:val="008E7864"/>
    <w:rsid w:val="009045C6"/>
    <w:rsid w:val="009260F3"/>
    <w:rsid w:val="00976827"/>
    <w:rsid w:val="00995204"/>
    <w:rsid w:val="00A536CE"/>
    <w:rsid w:val="00AC19B5"/>
    <w:rsid w:val="00AD7AFF"/>
    <w:rsid w:val="00AE0FFB"/>
    <w:rsid w:val="00B034D4"/>
    <w:rsid w:val="00B10E49"/>
    <w:rsid w:val="00B3267D"/>
    <w:rsid w:val="00B36A9B"/>
    <w:rsid w:val="00B86FE8"/>
    <w:rsid w:val="00B95A02"/>
    <w:rsid w:val="00BA1DFD"/>
    <w:rsid w:val="00BC05D9"/>
    <w:rsid w:val="00BD3D99"/>
    <w:rsid w:val="00C51C56"/>
    <w:rsid w:val="00C55E5A"/>
    <w:rsid w:val="00C83C98"/>
    <w:rsid w:val="00CF4B29"/>
    <w:rsid w:val="00D40B42"/>
    <w:rsid w:val="00D55832"/>
    <w:rsid w:val="00D63F47"/>
    <w:rsid w:val="00D7422A"/>
    <w:rsid w:val="00E30811"/>
    <w:rsid w:val="00E336F5"/>
    <w:rsid w:val="00E43D53"/>
    <w:rsid w:val="00E448E3"/>
    <w:rsid w:val="00EA1551"/>
    <w:rsid w:val="00EE2055"/>
    <w:rsid w:val="00F330F9"/>
    <w:rsid w:val="00F40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9E5A5F"/>
  <w15:chartTrackingRefBased/>
  <w15:docId w15:val="{44F010FC-3180-DD47-A9AD-639F90EB5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276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8E3"/>
    <w:pPr>
      <w:ind w:left="720"/>
      <w:contextualSpacing/>
    </w:pPr>
  </w:style>
  <w:style w:type="character" w:styleId="Hyperlink">
    <w:name w:val="Hyperlink"/>
    <w:basedOn w:val="DefaultParagraphFont"/>
    <w:uiPriority w:val="99"/>
    <w:unhideWhenUsed/>
    <w:rsid w:val="00844886"/>
    <w:rPr>
      <w:color w:val="0563C1" w:themeColor="hyperlink"/>
      <w:u w:val="single"/>
    </w:rPr>
  </w:style>
  <w:style w:type="character" w:styleId="UnresolvedMention">
    <w:name w:val="Unresolved Mention"/>
    <w:basedOn w:val="DefaultParagraphFont"/>
    <w:uiPriority w:val="99"/>
    <w:semiHidden/>
    <w:unhideWhenUsed/>
    <w:rsid w:val="00844886"/>
    <w:rPr>
      <w:color w:val="605E5C"/>
      <w:shd w:val="clear" w:color="auto" w:fill="E1DFDD"/>
    </w:rPr>
  </w:style>
  <w:style w:type="character" w:styleId="FollowedHyperlink">
    <w:name w:val="FollowedHyperlink"/>
    <w:basedOn w:val="DefaultParagraphFont"/>
    <w:uiPriority w:val="99"/>
    <w:semiHidden/>
    <w:unhideWhenUsed/>
    <w:rsid w:val="0036036C"/>
    <w:rPr>
      <w:color w:val="954F72" w:themeColor="followedHyperlink"/>
      <w:u w:val="single"/>
    </w:rPr>
  </w:style>
  <w:style w:type="paragraph" w:styleId="NormalWeb">
    <w:name w:val="Normal (Web)"/>
    <w:basedOn w:val="Normal"/>
    <w:uiPriority w:val="99"/>
    <w:semiHidden/>
    <w:unhideWhenUsed/>
    <w:rsid w:val="002D1E7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40B42"/>
  </w:style>
  <w:style w:type="character" w:styleId="Emphasis">
    <w:name w:val="Emphasis"/>
    <w:basedOn w:val="DefaultParagraphFont"/>
    <w:uiPriority w:val="20"/>
    <w:qFormat/>
    <w:rsid w:val="00D40B42"/>
    <w:rPr>
      <w:i/>
      <w:iCs/>
    </w:rPr>
  </w:style>
  <w:style w:type="character" w:customStyle="1" w:styleId="Heading1Char">
    <w:name w:val="Heading 1 Char"/>
    <w:basedOn w:val="DefaultParagraphFont"/>
    <w:link w:val="Heading1"/>
    <w:uiPriority w:val="9"/>
    <w:rsid w:val="0087276A"/>
    <w:rPr>
      <w:rFonts w:ascii="Times New Roman" w:eastAsia="Times New Roman" w:hAnsi="Times New Roman" w:cs="Times New Roman"/>
      <w:b/>
      <w:bCs/>
      <w:kern w:val="36"/>
      <w:sz w:val="48"/>
      <w:szCs w:val="48"/>
      <w:lang w:eastAsia="en-GB"/>
      <w14:ligatures w14:val="none"/>
    </w:rPr>
  </w:style>
  <w:style w:type="paragraph" w:styleId="NoSpacing">
    <w:name w:val="No Spacing"/>
    <w:uiPriority w:val="1"/>
    <w:qFormat/>
    <w:rsid w:val="00AE0FFB"/>
  </w:style>
  <w:style w:type="paragraph" w:styleId="Footer">
    <w:name w:val="footer"/>
    <w:basedOn w:val="Normal"/>
    <w:link w:val="FooterChar"/>
    <w:uiPriority w:val="99"/>
    <w:unhideWhenUsed/>
    <w:rsid w:val="002145D2"/>
    <w:pPr>
      <w:tabs>
        <w:tab w:val="center" w:pos="4513"/>
        <w:tab w:val="right" w:pos="9026"/>
      </w:tabs>
    </w:pPr>
  </w:style>
  <w:style w:type="character" w:customStyle="1" w:styleId="FooterChar">
    <w:name w:val="Footer Char"/>
    <w:basedOn w:val="DefaultParagraphFont"/>
    <w:link w:val="Footer"/>
    <w:uiPriority w:val="99"/>
    <w:rsid w:val="002145D2"/>
  </w:style>
  <w:style w:type="character" w:styleId="PageNumber">
    <w:name w:val="page number"/>
    <w:basedOn w:val="DefaultParagraphFont"/>
    <w:uiPriority w:val="99"/>
    <w:semiHidden/>
    <w:unhideWhenUsed/>
    <w:rsid w:val="002145D2"/>
  </w:style>
  <w:style w:type="table" w:styleId="TableGrid">
    <w:name w:val="Table Grid"/>
    <w:basedOn w:val="TableNormal"/>
    <w:uiPriority w:val="39"/>
    <w:rsid w:val="00B034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870720">
      <w:bodyDiv w:val="1"/>
      <w:marLeft w:val="0"/>
      <w:marRight w:val="0"/>
      <w:marTop w:val="0"/>
      <w:marBottom w:val="0"/>
      <w:divBdr>
        <w:top w:val="none" w:sz="0" w:space="0" w:color="auto"/>
        <w:left w:val="none" w:sz="0" w:space="0" w:color="auto"/>
        <w:bottom w:val="none" w:sz="0" w:space="0" w:color="auto"/>
        <w:right w:val="none" w:sz="0" w:space="0" w:color="auto"/>
      </w:divBdr>
      <w:divsChild>
        <w:div w:id="1926500260">
          <w:marLeft w:val="0"/>
          <w:marRight w:val="0"/>
          <w:marTop w:val="0"/>
          <w:marBottom w:val="0"/>
          <w:divBdr>
            <w:top w:val="none" w:sz="0" w:space="0" w:color="auto"/>
            <w:left w:val="none" w:sz="0" w:space="0" w:color="auto"/>
            <w:bottom w:val="none" w:sz="0" w:space="0" w:color="auto"/>
            <w:right w:val="none" w:sz="0" w:space="0" w:color="auto"/>
          </w:divBdr>
          <w:divsChild>
            <w:div w:id="1806855479">
              <w:marLeft w:val="0"/>
              <w:marRight w:val="0"/>
              <w:marTop w:val="0"/>
              <w:marBottom w:val="0"/>
              <w:divBdr>
                <w:top w:val="none" w:sz="0" w:space="0" w:color="auto"/>
                <w:left w:val="none" w:sz="0" w:space="0" w:color="auto"/>
                <w:bottom w:val="none" w:sz="0" w:space="0" w:color="auto"/>
                <w:right w:val="none" w:sz="0" w:space="0" w:color="auto"/>
              </w:divBdr>
              <w:divsChild>
                <w:div w:id="151653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32452">
      <w:bodyDiv w:val="1"/>
      <w:marLeft w:val="0"/>
      <w:marRight w:val="0"/>
      <w:marTop w:val="0"/>
      <w:marBottom w:val="0"/>
      <w:divBdr>
        <w:top w:val="none" w:sz="0" w:space="0" w:color="auto"/>
        <w:left w:val="none" w:sz="0" w:space="0" w:color="auto"/>
        <w:bottom w:val="none" w:sz="0" w:space="0" w:color="auto"/>
        <w:right w:val="none" w:sz="0" w:space="0" w:color="auto"/>
      </w:divBdr>
      <w:divsChild>
        <w:div w:id="1055204489">
          <w:marLeft w:val="0"/>
          <w:marRight w:val="0"/>
          <w:marTop w:val="0"/>
          <w:marBottom w:val="0"/>
          <w:divBdr>
            <w:top w:val="none" w:sz="0" w:space="0" w:color="auto"/>
            <w:left w:val="none" w:sz="0" w:space="0" w:color="auto"/>
            <w:bottom w:val="none" w:sz="0" w:space="0" w:color="auto"/>
            <w:right w:val="none" w:sz="0" w:space="0" w:color="auto"/>
          </w:divBdr>
          <w:divsChild>
            <w:div w:id="710346901">
              <w:marLeft w:val="0"/>
              <w:marRight w:val="0"/>
              <w:marTop w:val="0"/>
              <w:marBottom w:val="0"/>
              <w:divBdr>
                <w:top w:val="none" w:sz="0" w:space="0" w:color="auto"/>
                <w:left w:val="none" w:sz="0" w:space="0" w:color="auto"/>
                <w:bottom w:val="none" w:sz="0" w:space="0" w:color="auto"/>
                <w:right w:val="none" w:sz="0" w:space="0" w:color="auto"/>
              </w:divBdr>
              <w:divsChild>
                <w:div w:id="904142935">
                  <w:marLeft w:val="0"/>
                  <w:marRight w:val="0"/>
                  <w:marTop w:val="0"/>
                  <w:marBottom w:val="0"/>
                  <w:divBdr>
                    <w:top w:val="none" w:sz="0" w:space="0" w:color="auto"/>
                    <w:left w:val="none" w:sz="0" w:space="0" w:color="auto"/>
                    <w:bottom w:val="none" w:sz="0" w:space="0" w:color="auto"/>
                    <w:right w:val="none" w:sz="0" w:space="0" w:color="auto"/>
                  </w:divBdr>
                  <w:divsChild>
                    <w:div w:id="204664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564780">
      <w:bodyDiv w:val="1"/>
      <w:marLeft w:val="0"/>
      <w:marRight w:val="0"/>
      <w:marTop w:val="0"/>
      <w:marBottom w:val="0"/>
      <w:divBdr>
        <w:top w:val="none" w:sz="0" w:space="0" w:color="auto"/>
        <w:left w:val="none" w:sz="0" w:space="0" w:color="auto"/>
        <w:bottom w:val="none" w:sz="0" w:space="0" w:color="auto"/>
        <w:right w:val="none" w:sz="0" w:space="0" w:color="auto"/>
      </w:divBdr>
    </w:div>
    <w:div w:id="206617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ublication/349733321_Monetary_Policy_Interdependency_in_Fisher_Effect_A_Comparative_Evidence"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orbes.com/sites/forbesbusinesscouncil/2023/12/08/how-businesses-can-navigate-currency-exchange-risks-with-multicurrency-account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ooks.google.co.uk/books?hl=en&amp;lr=&amp;id=Nh72CAAAQBAJ&amp;oi=fnd&amp;pg=PR13&amp;dq=Jacque,+L.+(2013)+Management+and+control+of+foreign+exchange+risk&amp;ots=nJjHqURG4G&amp;sig=pKvSjEexG9ZxTv3IVL5pR0p73XU&amp;redir_esc=y#v=onepage&amp;q=Jacque%2C%20L.%20(2013)%20Management%20and%20control%20of%20foreign%20exchange%20risk&amp;f=fals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3747760_An_Overview_of_the_Literature_about_Derivatives" TargetMode="External"/><Relationship Id="rId5" Type="http://schemas.openxmlformats.org/officeDocument/2006/relationships/footnotes" Target="footnotes.xml"/><Relationship Id="rId15" Type="http://schemas.openxmlformats.org/officeDocument/2006/relationships/hyperlink" Target="https://books.google.co.uk/books?hl=en&amp;lr=&amp;id=vkNMDwAAQBAJ&amp;oi=fnd&amp;pg=PR1&amp;dq=Madura,+J.,+Hoque,+A.+and+Krishnamurti,+C.+(2018)+International+Financial+management.+&amp;ots=xfNGfXZ0_L&amp;sig=n2RZXUMDHJZwuUDHqwH5jZHX_1s&amp;redir_esc=y#v=onepage&amp;q&amp;f=false" TargetMode="External"/><Relationship Id="rId10" Type="http://schemas.openxmlformats.org/officeDocument/2006/relationships/hyperlink" Target="https://www.sciencedirect.com/science/article/abs/pii/S104244311730435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eprints.org/manuscript/202106.0240/v1" TargetMode="External"/><Relationship Id="rId14" Type="http://schemas.openxmlformats.org/officeDocument/2006/relationships/hyperlink" Target="https://www.semanticscholar.org/paper/Study-of-currency-risk-and-the-hedging-strategies.-Tiwari/c849b6653771578ed290c15fd393e8a369298a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12</Pages>
  <Words>2049</Words>
  <Characters>11681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24</cp:revision>
  <dcterms:created xsi:type="dcterms:W3CDTF">2023-12-21T22:20:00Z</dcterms:created>
  <dcterms:modified xsi:type="dcterms:W3CDTF">2024-01-03T10:38:00Z</dcterms:modified>
</cp:coreProperties>
</file>