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F2B66" w14:textId="77777777" w:rsidR="00CF1010" w:rsidRDefault="00CF101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anchor distT="0" distB="0" distL="114300" distR="114300" simplePos="0" relativeHeight="251658240" behindDoc="1" locked="0" layoutInCell="1" allowOverlap="1" wp14:anchorId="2F01F16A" wp14:editId="78306EF6">
            <wp:simplePos x="0" y="0"/>
            <wp:positionH relativeFrom="column">
              <wp:posOffset>-254000</wp:posOffset>
            </wp:positionH>
            <wp:positionV relativeFrom="paragraph">
              <wp:posOffset>-533400</wp:posOffset>
            </wp:positionV>
            <wp:extent cx="15240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p>
    <w:p w14:paraId="2AC5EB7E" w14:textId="77777777" w:rsidR="00CF1010" w:rsidRDefault="00CF1010">
      <w:pPr>
        <w:spacing w:line="360" w:lineRule="auto"/>
        <w:jc w:val="center"/>
        <w:rPr>
          <w:rFonts w:ascii="Times New Roman" w:eastAsia="Times New Roman" w:hAnsi="Times New Roman" w:cs="Times New Roman"/>
          <w:b/>
          <w:sz w:val="32"/>
          <w:szCs w:val="32"/>
        </w:rPr>
      </w:pPr>
    </w:p>
    <w:p w14:paraId="2FABC040" w14:textId="77777777" w:rsidR="00CF1010" w:rsidRDefault="00CF1010">
      <w:pPr>
        <w:spacing w:line="360" w:lineRule="auto"/>
        <w:jc w:val="center"/>
        <w:rPr>
          <w:rFonts w:ascii="Times New Roman" w:eastAsia="Times New Roman" w:hAnsi="Times New Roman" w:cs="Times New Roman"/>
          <w:b/>
          <w:sz w:val="32"/>
          <w:szCs w:val="32"/>
        </w:rPr>
      </w:pPr>
    </w:p>
    <w:p w14:paraId="3E7DB4B9" w14:textId="77777777" w:rsidR="00CF1010" w:rsidRDefault="00CF1010">
      <w:pPr>
        <w:spacing w:line="360" w:lineRule="auto"/>
        <w:jc w:val="center"/>
        <w:rPr>
          <w:rFonts w:ascii="Times New Roman" w:eastAsia="Times New Roman" w:hAnsi="Times New Roman" w:cs="Times New Roman"/>
          <w:b/>
          <w:sz w:val="32"/>
          <w:szCs w:val="32"/>
        </w:rPr>
      </w:pPr>
    </w:p>
    <w:p w14:paraId="272370D4" w14:textId="77777777" w:rsidR="00CF1010" w:rsidRDefault="00CF1010">
      <w:pPr>
        <w:spacing w:line="360" w:lineRule="auto"/>
        <w:jc w:val="center"/>
        <w:rPr>
          <w:rFonts w:ascii="Times New Roman" w:eastAsia="Times New Roman" w:hAnsi="Times New Roman" w:cs="Times New Roman"/>
          <w:b/>
          <w:sz w:val="32"/>
          <w:szCs w:val="32"/>
        </w:rPr>
      </w:pPr>
    </w:p>
    <w:p w14:paraId="0CF58945" w14:textId="77777777" w:rsidR="00CF1010" w:rsidRDefault="00CF1010">
      <w:pPr>
        <w:spacing w:line="360" w:lineRule="auto"/>
        <w:jc w:val="center"/>
        <w:rPr>
          <w:rFonts w:ascii="Times New Roman" w:eastAsia="Times New Roman" w:hAnsi="Times New Roman" w:cs="Times New Roman"/>
          <w:b/>
          <w:sz w:val="32"/>
          <w:szCs w:val="32"/>
        </w:rPr>
      </w:pPr>
    </w:p>
    <w:p w14:paraId="09B004BD" w14:textId="77777777" w:rsidR="00CF1010" w:rsidRDefault="00CF1010">
      <w:pPr>
        <w:spacing w:line="360" w:lineRule="auto"/>
        <w:jc w:val="center"/>
        <w:rPr>
          <w:rFonts w:ascii="Times New Roman" w:eastAsia="Times New Roman" w:hAnsi="Times New Roman" w:cs="Times New Roman"/>
          <w:b/>
          <w:sz w:val="32"/>
          <w:szCs w:val="32"/>
        </w:rPr>
      </w:pPr>
    </w:p>
    <w:p w14:paraId="1A1B615B" w14:textId="77777777" w:rsidR="00CF1010" w:rsidRDefault="00CF1010">
      <w:pPr>
        <w:spacing w:line="360" w:lineRule="auto"/>
        <w:jc w:val="center"/>
        <w:rPr>
          <w:rFonts w:ascii="Times New Roman" w:eastAsia="Times New Roman" w:hAnsi="Times New Roman" w:cs="Times New Roman"/>
          <w:b/>
          <w:sz w:val="32"/>
          <w:szCs w:val="32"/>
        </w:rPr>
      </w:pPr>
    </w:p>
    <w:p w14:paraId="725077E7" w14:textId="77777777" w:rsidR="00CF1010" w:rsidRPr="003F6ECF" w:rsidRDefault="00CF1010">
      <w:pPr>
        <w:spacing w:line="360" w:lineRule="auto"/>
        <w:jc w:val="center"/>
        <w:rPr>
          <w:rFonts w:ascii="Calibri" w:eastAsia="Times New Roman" w:hAnsi="Calibri" w:cs="Calibri"/>
          <w:b/>
          <w:sz w:val="32"/>
          <w:szCs w:val="32"/>
        </w:rPr>
      </w:pPr>
    </w:p>
    <w:p w14:paraId="00000001" w14:textId="2772987B" w:rsidR="00F900C3" w:rsidRPr="003F6ECF" w:rsidRDefault="00740CCA">
      <w:pPr>
        <w:spacing w:line="360" w:lineRule="auto"/>
        <w:jc w:val="center"/>
        <w:rPr>
          <w:rFonts w:ascii="Calibri" w:eastAsia="Times New Roman" w:hAnsi="Calibri" w:cs="Calibri"/>
          <w:b/>
          <w:sz w:val="32"/>
          <w:szCs w:val="32"/>
        </w:rPr>
      </w:pPr>
      <w:r w:rsidRPr="003F6ECF">
        <w:rPr>
          <w:rFonts w:ascii="Calibri" w:eastAsia="Times New Roman" w:hAnsi="Calibri" w:cs="Calibri"/>
          <w:b/>
          <w:sz w:val="32"/>
          <w:szCs w:val="32"/>
        </w:rPr>
        <w:t>ASSESSMENT 1</w:t>
      </w:r>
    </w:p>
    <w:p w14:paraId="00000002" w14:textId="77777777" w:rsidR="00F900C3" w:rsidRPr="003F6ECF" w:rsidRDefault="00F900C3">
      <w:pPr>
        <w:spacing w:line="360" w:lineRule="auto"/>
        <w:jc w:val="center"/>
        <w:rPr>
          <w:rFonts w:ascii="Calibri" w:eastAsia="Times New Roman" w:hAnsi="Calibri" w:cs="Calibri"/>
          <w:b/>
          <w:sz w:val="32"/>
          <w:szCs w:val="32"/>
        </w:rPr>
      </w:pPr>
    </w:p>
    <w:p w14:paraId="7E44D2BB" w14:textId="77777777" w:rsidR="00CF1010" w:rsidRPr="003F6ECF" w:rsidRDefault="00740CCA">
      <w:pPr>
        <w:spacing w:line="360" w:lineRule="auto"/>
        <w:jc w:val="center"/>
        <w:rPr>
          <w:rFonts w:ascii="Calibri" w:eastAsia="Times New Roman" w:hAnsi="Calibri" w:cs="Calibri"/>
          <w:b/>
          <w:sz w:val="32"/>
          <w:szCs w:val="32"/>
        </w:rPr>
      </w:pPr>
      <w:r w:rsidRPr="003F6ECF">
        <w:rPr>
          <w:rFonts w:ascii="Calibri" w:eastAsia="Times New Roman" w:hAnsi="Calibri" w:cs="Calibri"/>
          <w:b/>
          <w:sz w:val="32"/>
          <w:szCs w:val="32"/>
        </w:rPr>
        <w:t>COMMUNITY ENGAGEMENT</w:t>
      </w:r>
    </w:p>
    <w:p w14:paraId="2F88D0B4" w14:textId="77777777" w:rsidR="00CF1010" w:rsidRDefault="00CF1010">
      <w:pPr>
        <w:spacing w:line="360" w:lineRule="auto"/>
        <w:jc w:val="center"/>
        <w:rPr>
          <w:rFonts w:ascii="Times New Roman" w:eastAsia="Times New Roman" w:hAnsi="Times New Roman" w:cs="Times New Roman"/>
          <w:b/>
          <w:sz w:val="32"/>
          <w:szCs w:val="32"/>
        </w:rPr>
      </w:pPr>
    </w:p>
    <w:p w14:paraId="6495CEB8" w14:textId="77777777" w:rsidR="00CF1010" w:rsidRDefault="00CF1010">
      <w:pPr>
        <w:spacing w:line="360" w:lineRule="auto"/>
        <w:jc w:val="center"/>
        <w:rPr>
          <w:rFonts w:ascii="Times New Roman" w:eastAsia="Times New Roman" w:hAnsi="Times New Roman" w:cs="Times New Roman"/>
          <w:b/>
          <w:sz w:val="32"/>
          <w:szCs w:val="32"/>
        </w:rPr>
      </w:pPr>
    </w:p>
    <w:p w14:paraId="3E4DDCD7" w14:textId="77777777" w:rsidR="00CF1010" w:rsidRDefault="00CF1010">
      <w:pPr>
        <w:spacing w:line="360" w:lineRule="auto"/>
        <w:jc w:val="center"/>
        <w:rPr>
          <w:rFonts w:ascii="Times New Roman" w:eastAsia="Times New Roman" w:hAnsi="Times New Roman" w:cs="Times New Roman"/>
          <w:b/>
          <w:sz w:val="32"/>
          <w:szCs w:val="32"/>
        </w:rPr>
      </w:pPr>
    </w:p>
    <w:p w14:paraId="35AC9E33" w14:textId="77777777" w:rsidR="00CF1010" w:rsidRDefault="00CF1010">
      <w:pPr>
        <w:spacing w:line="360" w:lineRule="auto"/>
        <w:jc w:val="center"/>
        <w:rPr>
          <w:rFonts w:ascii="Times New Roman" w:eastAsia="Times New Roman" w:hAnsi="Times New Roman" w:cs="Times New Roman"/>
          <w:b/>
          <w:sz w:val="32"/>
          <w:szCs w:val="32"/>
        </w:rPr>
      </w:pPr>
    </w:p>
    <w:p w14:paraId="718331EF" w14:textId="77777777" w:rsidR="00CF1010" w:rsidRDefault="00CF1010">
      <w:pPr>
        <w:spacing w:line="360" w:lineRule="auto"/>
        <w:jc w:val="center"/>
        <w:rPr>
          <w:rFonts w:ascii="Times New Roman" w:eastAsia="Times New Roman" w:hAnsi="Times New Roman" w:cs="Times New Roman"/>
          <w:b/>
          <w:sz w:val="32"/>
          <w:szCs w:val="32"/>
        </w:rPr>
      </w:pPr>
    </w:p>
    <w:p w14:paraId="414C8EEA" w14:textId="48A0A5B6" w:rsidR="00CF1010" w:rsidRDefault="00CF1010">
      <w:pPr>
        <w:spacing w:line="360" w:lineRule="auto"/>
        <w:jc w:val="center"/>
        <w:rPr>
          <w:rFonts w:ascii="Times New Roman" w:eastAsia="Times New Roman" w:hAnsi="Times New Roman" w:cs="Times New Roman"/>
          <w:b/>
          <w:sz w:val="32"/>
          <w:szCs w:val="32"/>
        </w:rPr>
      </w:pPr>
    </w:p>
    <w:p w14:paraId="560224E3" w14:textId="2B4DF647" w:rsidR="00CF1010" w:rsidRDefault="00CF1010">
      <w:pPr>
        <w:spacing w:line="360" w:lineRule="auto"/>
        <w:jc w:val="center"/>
        <w:rPr>
          <w:rFonts w:ascii="Times New Roman" w:eastAsia="Times New Roman" w:hAnsi="Times New Roman" w:cs="Times New Roman"/>
          <w:b/>
          <w:sz w:val="32"/>
          <w:szCs w:val="32"/>
        </w:rPr>
      </w:pPr>
    </w:p>
    <w:p w14:paraId="211681DF" w14:textId="778118EE" w:rsidR="00CF1010" w:rsidRDefault="00CF1010" w:rsidP="00CF1010">
      <w:pPr>
        <w:spacing w:line="360" w:lineRule="auto"/>
        <w:rPr>
          <w:rFonts w:ascii="Times New Roman" w:eastAsia="Times New Roman" w:hAnsi="Times New Roman" w:cs="Times New Roman"/>
          <w:b/>
          <w:sz w:val="32"/>
          <w:szCs w:val="32"/>
        </w:rPr>
      </w:pPr>
    </w:p>
    <w:p w14:paraId="2EA66942" w14:textId="4120DA20" w:rsidR="00CF1010" w:rsidRDefault="00CF1010">
      <w:pPr>
        <w:spacing w:line="360" w:lineRule="auto"/>
        <w:jc w:val="center"/>
        <w:rPr>
          <w:rFonts w:ascii="Times New Roman" w:eastAsia="Times New Roman" w:hAnsi="Times New Roman" w:cs="Times New Roman"/>
          <w:b/>
          <w:sz w:val="32"/>
          <w:szCs w:val="32"/>
        </w:rPr>
      </w:pPr>
    </w:p>
    <w:p w14:paraId="0CB39A2A" w14:textId="77777777" w:rsidR="00CF1010" w:rsidRDefault="00CF1010">
      <w:pPr>
        <w:spacing w:line="360" w:lineRule="auto"/>
        <w:jc w:val="center"/>
        <w:rPr>
          <w:rFonts w:ascii="Times New Roman" w:eastAsia="Times New Roman" w:hAnsi="Times New Roman" w:cs="Times New Roman"/>
          <w:b/>
          <w:sz w:val="32"/>
          <w:szCs w:val="32"/>
        </w:rPr>
      </w:pPr>
    </w:p>
    <w:p w14:paraId="527F8ACF" w14:textId="77777777" w:rsidR="00CF1010" w:rsidRDefault="00CF1010">
      <w:pPr>
        <w:spacing w:line="360" w:lineRule="auto"/>
        <w:jc w:val="center"/>
        <w:rPr>
          <w:rFonts w:ascii="Times New Roman" w:eastAsia="Times New Roman" w:hAnsi="Times New Roman" w:cs="Times New Roman"/>
          <w:b/>
          <w:sz w:val="32"/>
          <w:szCs w:val="32"/>
        </w:rPr>
      </w:pPr>
    </w:p>
    <w:p w14:paraId="01FCFB6C" w14:textId="77777777" w:rsidR="00CF1010" w:rsidRPr="003E605B" w:rsidRDefault="00CF1010" w:rsidP="00CF1010">
      <w:pPr>
        <w:rPr>
          <w:rFonts w:ascii="Calibri" w:hAnsi="Calibri" w:cs="Calibri"/>
        </w:rPr>
      </w:pPr>
      <w:r w:rsidRPr="003E605B">
        <w:rPr>
          <w:rFonts w:ascii="Calibri" w:hAnsi="Calibri" w:cs="Calibri"/>
        </w:rPr>
        <w:t>Student:</w:t>
      </w:r>
      <w:r w:rsidRPr="003E605B">
        <w:rPr>
          <w:rFonts w:ascii="Calibri" w:hAnsi="Calibri" w:cs="Calibri"/>
          <w:b/>
          <w:bCs/>
        </w:rPr>
        <w:t xml:space="preserve"> Florina Carmen </w:t>
      </w:r>
      <w:proofErr w:type="spellStart"/>
      <w:r w:rsidRPr="003E605B">
        <w:rPr>
          <w:rFonts w:ascii="Calibri" w:hAnsi="Calibri" w:cs="Calibri"/>
          <w:b/>
          <w:bCs/>
        </w:rPr>
        <w:t>Teleoaca</w:t>
      </w:r>
      <w:proofErr w:type="spellEnd"/>
    </w:p>
    <w:p w14:paraId="00000003" w14:textId="708B421F" w:rsidR="00F900C3" w:rsidRPr="00CF1010" w:rsidRDefault="00CF1010" w:rsidP="00CF1010">
      <w:pPr>
        <w:pStyle w:val="NormalWeb"/>
        <w:rPr>
          <w:rFonts w:ascii="Calibri" w:hAnsi="Calibri" w:cs="Calibri"/>
        </w:rPr>
      </w:pPr>
      <w:r w:rsidRPr="00CF1010">
        <w:rPr>
          <w:rFonts w:ascii="Calibri" w:hAnsi="Calibri" w:cs="Calibri"/>
          <w:sz w:val="22"/>
          <w:szCs w:val="22"/>
        </w:rPr>
        <w:t xml:space="preserve">Lecturer: </w:t>
      </w:r>
      <w:r w:rsidRPr="00CF1010">
        <w:rPr>
          <w:rFonts w:ascii="Calibri" w:hAnsi="Calibri" w:cs="Calibri"/>
          <w:b/>
          <w:bCs/>
          <w:sz w:val="22"/>
          <w:szCs w:val="22"/>
        </w:rPr>
        <w:t> Dr Molly Jack</w:t>
      </w:r>
    </w:p>
    <w:p w14:paraId="00000004" w14:textId="79D16D14" w:rsidR="00F900C3" w:rsidRDefault="00740CCA" w:rsidP="00CF1010">
      <w:pPr>
        <w:spacing w:line="360" w:lineRule="auto"/>
        <w:ind w:firstLine="284"/>
        <w:jc w:val="center"/>
        <w:rPr>
          <w:rFonts w:ascii="Calibri" w:eastAsia="Times New Roman" w:hAnsi="Calibri" w:cs="Calibri"/>
          <w:b/>
        </w:rPr>
      </w:pPr>
      <w:r w:rsidRPr="00CF1010">
        <w:rPr>
          <w:rFonts w:ascii="Calibri" w:eastAsia="Times New Roman" w:hAnsi="Calibri" w:cs="Calibri"/>
          <w:b/>
        </w:rPr>
        <w:lastRenderedPageBreak/>
        <w:t>Introduction</w:t>
      </w:r>
    </w:p>
    <w:p w14:paraId="72528ECD" w14:textId="77777777" w:rsidR="00CF1010" w:rsidRPr="00CF1010" w:rsidRDefault="00CF1010" w:rsidP="00CF1010">
      <w:pPr>
        <w:spacing w:line="360" w:lineRule="auto"/>
        <w:ind w:firstLine="284"/>
        <w:jc w:val="center"/>
        <w:rPr>
          <w:rFonts w:ascii="Calibri" w:eastAsia="Times New Roman" w:hAnsi="Calibri" w:cs="Calibri"/>
          <w:b/>
        </w:rPr>
      </w:pPr>
    </w:p>
    <w:p w14:paraId="1B513F04"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The purpose of this essay is to discuss community engagement. Community engagement is a process where public bodies reach out to communities to create community empowerment and empowerment opportunities. </w:t>
      </w:r>
    </w:p>
    <w:p w14:paraId="59ED945C"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Community engagement is more about the participation of a community in policy planning and service, for an example in the case of health policy, if the people of the community can be involved in any discussion, then the plans can be executed properly and the patients will get the services as they expect. Community engagement is based on social justice and the principle of equality. It recognizes that there are many difficulties in health and social services. These barriers are rooted in the failure of organisations to adequately recognize the social, cultural, religious, economic and generational experiences of people from different communities. </w:t>
      </w:r>
    </w:p>
    <w:p w14:paraId="5A15F538"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An important part of community engagement is decision-making that helps provide better services to the community. </w:t>
      </w:r>
    </w:p>
    <w:p w14:paraId="00000006" w14:textId="02FB1DB8" w:rsidR="00F900C3" w:rsidRPr="009455B4" w:rsidRDefault="00740CCA" w:rsidP="009455B4">
      <w:pPr>
        <w:spacing w:line="360" w:lineRule="auto"/>
        <w:ind w:firstLine="284"/>
        <w:jc w:val="both"/>
        <w:rPr>
          <w:rFonts w:ascii="Calibri" w:eastAsia="Times New Roman" w:hAnsi="Calibri" w:cs="Calibri"/>
        </w:rPr>
      </w:pPr>
      <w:r w:rsidRPr="00CF1010">
        <w:rPr>
          <w:rFonts w:ascii="Calibri" w:eastAsia="Times New Roman" w:hAnsi="Calibri" w:cs="Calibri"/>
        </w:rPr>
        <w:t>Another important aspect is making better relationships within or without the community or improving old relationships that are already there. All will be discussed in this essay what is community engagement, principles of community engagement, standards of community engagement, benefits of stakeholders' participation in community engagement, identification of the relationship between stakeholders, strategies to connect stakeholders through community engagement, and how multiple social media platforms can contribute in this strategy of engagement, ways to obtain socio-cultural integration and multiculturalism etc.</w:t>
      </w:r>
    </w:p>
    <w:p w14:paraId="58BE35F9"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Community engagement is actually based on democratic concepts which means that if the people of a community are affected by an issue, then others who belong there have complete freedom to decide to change that issue. It is most effective in business management. </w:t>
      </w:r>
    </w:p>
    <w:p w14:paraId="15B26104" w14:textId="11199F33"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Community engagement defines helping each other by sharing important knowledge across sectors (Kumar and Kumar, 2020). Community engagement in business is about improving business through building relationships with external clients. Its purpose is to improve the society and economy as a result of which it will be easier to get skilled workers in the society and the </w:t>
      </w:r>
      <w:r w:rsidR="00CF1010" w:rsidRPr="00CF1010">
        <w:rPr>
          <w:rFonts w:ascii="Calibri" w:eastAsia="Times New Roman" w:hAnsi="Calibri" w:cs="Calibri"/>
        </w:rPr>
        <w:t>economic</w:t>
      </w:r>
      <w:r w:rsidRPr="00CF1010">
        <w:rPr>
          <w:rFonts w:ascii="Calibri" w:eastAsia="Times New Roman" w:hAnsi="Calibri" w:cs="Calibri"/>
        </w:rPr>
        <w:t xml:space="preserve"> structure of the society will be strengthened.  </w:t>
      </w:r>
    </w:p>
    <w:p w14:paraId="00000007" w14:textId="666A4980" w:rsidR="00F900C3"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Community engagement helps to increase brand awareness and helps to give a positive business reputation. At the same time, community engagement contributes toward philanthropist goals which offer an overall growth to the society. For example, KPMG, a global organisation which works as </w:t>
      </w:r>
      <w:r w:rsidR="00CF1010" w:rsidRPr="00CF1010">
        <w:rPr>
          <w:rFonts w:ascii="Calibri" w:eastAsia="Times New Roman" w:hAnsi="Calibri" w:cs="Calibri"/>
        </w:rPr>
        <w:t>a professional</w:t>
      </w:r>
      <w:r w:rsidRPr="00CF1010">
        <w:rPr>
          <w:rFonts w:ascii="Calibri" w:eastAsia="Times New Roman" w:hAnsi="Calibri" w:cs="Calibri"/>
        </w:rPr>
        <w:t xml:space="preserve"> service firm for tax advisory, and auditing, is working on advancing awareness for </w:t>
      </w:r>
      <w:r w:rsidRPr="00CF1010">
        <w:rPr>
          <w:rFonts w:ascii="Calibri" w:eastAsia="Times New Roman" w:hAnsi="Calibri" w:cs="Calibri"/>
        </w:rPr>
        <w:lastRenderedPageBreak/>
        <w:t>community engagement build-up (</w:t>
      </w:r>
      <w:proofErr w:type="spellStart"/>
      <w:r w:rsidRPr="00CF1010">
        <w:rPr>
          <w:rFonts w:ascii="Calibri" w:eastAsia="Times New Roman" w:hAnsi="Calibri" w:cs="Calibri"/>
        </w:rPr>
        <w:t>Bitc</w:t>
      </w:r>
      <w:proofErr w:type="spellEnd"/>
      <w:r w:rsidRPr="00CF1010">
        <w:rPr>
          <w:rFonts w:ascii="Calibri" w:eastAsia="Times New Roman" w:hAnsi="Calibri" w:cs="Calibri"/>
        </w:rPr>
        <w:t xml:space="preserve">. 2022). The project aims to bring forward racial equality by embracing cultural diversity.  </w:t>
      </w:r>
    </w:p>
    <w:p w14:paraId="01DE624D"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A number of organisations have identified several principles of engagement. Seven principles of community engagement are included which reflect the concerns and understandings of those working in community engagement. </w:t>
      </w:r>
    </w:p>
    <w:p w14:paraId="4FAFEB4C" w14:textId="5250DCAE" w:rsidR="00CF1010" w:rsidRPr="009455B4" w:rsidRDefault="00740CCA" w:rsidP="00CF1010">
      <w:pPr>
        <w:spacing w:line="360" w:lineRule="auto"/>
        <w:ind w:firstLine="284"/>
        <w:jc w:val="both"/>
        <w:rPr>
          <w:rFonts w:ascii="Calibri" w:eastAsia="Times New Roman" w:hAnsi="Calibri" w:cs="Calibri"/>
          <w:b/>
          <w:bCs/>
        </w:rPr>
      </w:pPr>
      <w:r w:rsidRPr="009455B4">
        <w:rPr>
          <w:rFonts w:ascii="Calibri" w:eastAsia="Times New Roman" w:hAnsi="Calibri" w:cs="Calibri"/>
          <w:b/>
          <w:bCs/>
        </w:rPr>
        <w:t xml:space="preserve">Those seven stages of principle are </w:t>
      </w:r>
      <w:r w:rsidR="00CF1010" w:rsidRPr="009455B4">
        <w:rPr>
          <w:rFonts w:ascii="Calibri" w:eastAsia="Times New Roman" w:hAnsi="Calibri" w:cs="Calibri"/>
          <w:b/>
          <w:bCs/>
        </w:rPr>
        <w:t>–</w:t>
      </w:r>
    </w:p>
    <w:p w14:paraId="3B294CC7" w14:textId="77777777" w:rsidR="00CF1010" w:rsidRDefault="00740CCA" w:rsidP="00CF1010">
      <w:pPr>
        <w:spacing w:line="360" w:lineRule="auto"/>
        <w:ind w:firstLine="284"/>
        <w:jc w:val="both"/>
        <w:rPr>
          <w:rFonts w:ascii="Calibri" w:eastAsia="Times New Roman" w:hAnsi="Calibri" w:cs="Calibri"/>
          <w:b/>
        </w:rPr>
      </w:pPr>
      <w:r w:rsidRPr="00CF1010">
        <w:rPr>
          <w:rFonts w:ascii="Calibri" w:eastAsia="Times New Roman" w:hAnsi="Calibri" w:cs="Calibri"/>
          <w:b/>
        </w:rPr>
        <w:t>1</w:t>
      </w:r>
      <w:r w:rsidRPr="00CF1010">
        <w:rPr>
          <w:rFonts w:ascii="Calibri" w:eastAsia="Times New Roman" w:hAnsi="Calibri" w:cs="Calibri"/>
        </w:rPr>
        <w:t>. Planning requires careful preparation, and adequate and inclusive planning to ensure that the design, organisation and assembly of the process meet both a clearly defined objective and the needs of the participants</w:t>
      </w:r>
      <w:r w:rsidRPr="00CF1010">
        <w:rPr>
          <w:rFonts w:ascii="Calibri" w:eastAsia="Times New Roman" w:hAnsi="Calibri" w:cs="Calibri"/>
          <w:b/>
        </w:rPr>
        <w:t xml:space="preserve">. </w:t>
      </w:r>
    </w:p>
    <w:p w14:paraId="7338CDCF" w14:textId="7E6944F4"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b/>
        </w:rPr>
        <w:t>2.</w:t>
      </w:r>
      <w:r w:rsidRPr="00CF1010">
        <w:rPr>
          <w:rFonts w:ascii="Calibri" w:eastAsia="Times New Roman" w:hAnsi="Calibri" w:cs="Calibri"/>
        </w:rPr>
        <w:t xml:space="preserve"> For the diversity of the population and to establish the foundation for democratic legitimacy, equitably include diverse individuals, voices, ideas, and accounts to account</w:t>
      </w:r>
      <w:r w:rsidRPr="00CF1010">
        <w:rPr>
          <w:rFonts w:ascii="Calibri" w:eastAsia="Times New Roman" w:hAnsi="Calibri" w:cs="Calibri"/>
          <w:b/>
        </w:rPr>
        <w:t xml:space="preserve">. </w:t>
      </w:r>
      <w:r w:rsidRPr="00CF1010">
        <w:rPr>
          <w:rFonts w:ascii="Calibri" w:eastAsia="Times New Roman" w:hAnsi="Calibri" w:cs="Calibri"/>
        </w:rPr>
        <w:t>Therefore, one must respect and recognise the diversity of communities (</w:t>
      </w:r>
      <w:proofErr w:type="spellStart"/>
      <w:r w:rsidRPr="00CF1010">
        <w:rPr>
          <w:rFonts w:ascii="Calibri" w:eastAsia="Times New Roman" w:hAnsi="Calibri" w:cs="Calibri"/>
        </w:rPr>
        <w:t>Orau</w:t>
      </w:r>
      <w:proofErr w:type="spellEnd"/>
      <w:r w:rsidRPr="00CF1010">
        <w:rPr>
          <w:rFonts w:ascii="Calibri" w:eastAsia="Times New Roman" w:hAnsi="Calibri" w:cs="Calibri"/>
        </w:rPr>
        <w:t>. 2021)</w:t>
      </w:r>
      <w:r w:rsidR="00CF1010">
        <w:rPr>
          <w:rFonts w:ascii="Calibri" w:eastAsia="Times New Roman" w:hAnsi="Calibri" w:cs="Calibri"/>
        </w:rPr>
        <w:t>.</w:t>
      </w:r>
      <w:r w:rsidRPr="00CF1010">
        <w:rPr>
          <w:rFonts w:ascii="Calibri" w:eastAsia="Times New Roman" w:hAnsi="Calibri" w:cs="Calibri"/>
        </w:rPr>
        <w:t xml:space="preserve"> </w:t>
      </w:r>
    </w:p>
    <w:p w14:paraId="5B379945" w14:textId="2343E307" w:rsidR="00CF1010" w:rsidRDefault="00CF1010" w:rsidP="00CF1010">
      <w:pPr>
        <w:spacing w:line="360" w:lineRule="auto"/>
        <w:ind w:firstLine="284"/>
        <w:jc w:val="both"/>
        <w:rPr>
          <w:rFonts w:ascii="Calibri" w:eastAsia="Times New Roman" w:hAnsi="Calibri" w:cs="Calibri"/>
        </w:rPr>
      </w:pPr>
      <w:r w:rsidRPr="00CF1010">
        <w:rPr>
          <w:rFonts w:ascii="Calibri" w:eastAsia="Times New Roman" w:hAnsi="Calibri" w:cs="Calibri"/>
          <w:b/>
        </w:rPr>
        <w:t>3.</w:t>
      </w:r>
      <w:r w:rsidRPr="00CF1010">
        <w:rPr>
          <w:rFonts w:ascii="Calibri" w:eastAsia="Times New Roman" w:hAnsi="Calibri" w:cs="Calibri"/>
        </w:rPr>
        <w:t xml:space="preserve"> The</w:t>
      </w:r>
      <w:r w:rsidR="00740CCA" w:rsidRPr="00CF1010">
        <w:rPr>
          <w:rFonts w:ascii="Calibri" w:eastAsia="Times New Roman" w:hAnsi="Calibri" w:cs="Calibri"/>
        </w:rPr>
        <w:t xml:space="preserve"> purpose of this stage is cooperation and sharing. Here the participants should be encouraged to work together and help them in their work to boost their morale.</w:t>
      </w:r>
    </w:p>
    <w:p w14:paraId="368BB91E" w14:textId="2787346F"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b/>
        </w:rPr>
        <w:t>4</w:t>
      </w:r>
      <w:r w:rsidRPr="00CF1010">
        <w:rPr>
          <w:rFonts w:ascii="Calibri" w:eastAsia="Times New Roman" w:hAnsi="Calibri" w:cs="Calibri"/>
        </w:rPr>
        <w:t>.</w:t>
      </w:r>
      <w:r w:rsidR="00CF1010">
        <w:rPr>
          <w:rFonts w:ascii="Calibri" w:eastAsia="Times New Roman" w:hAnsi="Calibri" w:cs="Calibri"/>
        </w:rPr>
        <w:t xml:space="preserve"> </w:t>
      </w:r>
      <w:r w:rsidRPr="00CF1010">
        <w:rPr>
          <w:rFonts w:ascii="Calibri" w:eastAsia="Times New Roman" w:hAnsi="Calibri" w:cs="Calibri"/>
        </w:rPr>
        <w:t xml:space="preserve">At this stage openness is taught, participants are taught to listen to each other and it is also taught that they have to develop new ideas without being bound by previous ideas and evaluate their work. Openness and learning are the major ingredients of the principle of community engagement (Penn State College of Agricultural Sciences. 2020). </w:t>
      </w:r>
    </w:p>
    <w:p w14:paraId="02E9BEB4"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b/>
        </w:rPr>
        <w:t xml:space="preserve">5. </w:t>
      </w:r>
      <w:r w:rsidRPr="00CF1010">
        <w:rPr>
          <w:rFonts w:ascii="Calibri" w:eastAsia="Times New Roman" w:hAnsi="Calibri" w:cs="Calibri"/>
        </w:rPr>
        <w:t>The principle of this stage is transparency and trust. It is important to have a clear idea about your work at this stage.</w:t>
      </w:r>
    </w:p>
    <w:p w14:paraId="7736D3FA" w14:textId="08F360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b/>
        </w:rPr>
        <w:t>6.</w:t>
      </w:r>
      <w:r w:rsidR="00CF1010">
        <w:rPr>
          <w:rFonts w:ascii="Calibri" w:eastAsia="Times New Roman" w:hAnsi="Calibri" w:cs="Calibri"/>
          <w:b/>
        </w:rPr>
        <w:t xml:space="preserve"> </w:t>
      </w:r>
      <w:r w:rsidRPr="00CF1010">
        <w:rPr>
          <w:rFonts w:ascii="Calibri" w:eastAsia="Times New Roman" w:hAnsi="Calibri" w:cs="Calibri"/>
        </w:rPr>
        <w:t>The key principles at this level are influence and action. This level should ensure that a distinction is made between the participants and that they are informed about it.</w:t>
      </w:r>
    </w:p>
    <w:p w14:paraId="00000008" w14:textId="7BC87C69" w:rsidR="00F900C3"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b/>
        </w:rPr>
        <w:t>7.</w:t>
      </w:r>
      <w:r w:rsidR="00CF1010">
        <w:rPr>
          <w:rFonts w:ascii="Calibri" w:eastAsia="Times New Roman" w:hAnsi="Calibri" w:cs="Calibri"/>
          <w:b/>
        </w:rPr>
        <w:t xml:space="preserve"> </w:t>
      </w:r>
      <w:r w:rsidRPr="00CF1010">
        <w:rPr>
          <w:rFonts w:ascii="Calibri" w:eastAsia="Times New Roman" w:hAnsi="Calibri" w:cs="Calibri"/>
        </w:rPr>
        <w:t xml:space="preserve">The principle of this phase is the principle of engagement and participation. Promote a culture of participation with programs and institutions that support community engagement. </w:t>
      </w:r>
    </w:p>
    <w:p w14:paraId="7A640369"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Community engagement is a process that builds relationships between public services and community groups. There are seven standards of community engagement- inclusion, planning, support, methods, communication, working together, and impact (</w:t>
      </w:r>
      <w:proofErr w:type="spellStart"/>
      <w:r w:rsidRPr="00CF1010">
        <w:rPr>
          <w:rFonts w:ascii="Calibri" w:eastAsia="Times New Roman" w:hAnsi="Calibri" w:cs="Calibri"/>
        </w:rPr>
        <w:t>Scdc</w:t>
      </w:r>
      <w:proofErr w:type="spellEnd"/>
      <w:r w:rsidRPr="00CF1010">
        <w:rPr>
          <w:rFonts w:ascii="Calibri" w:eastAsia="Times New Roman" w:hAnsi="Calibri" w:cs="Calibri"/>
        </w:rPr>
        <w:t xml:space="preserve">. 2022). </w:t>
      </w:r>
    </w:p>
    <w:p w14:paraId="61EE0925" w14:textId="12B0BE09" w:rsidR="00CF1010" w:rsidRPr="009455B4" w:rsidRDefault="00740CCA" w:rsidP="00CF1010">
      <w:pPr>
        <w:spacing w:line="360" w:lineRule="auto"/>
        <w:ind w:firstLine="284"/>
        <w:jc w:val="both"/>
        <w:rPr>
          <w:rFonts w:ascii="Calibri" w:eastAsia="Times New Roman" w:hAnsi="Calibri" w:cs="Calibri"/>
          <w:b/>
          <w:bCs/>
          <w:color w:val="333333"/>
          <w:highlight w:val="white"/>
        </w:rPr>
      </w:pPr>
      <w:r w:rsidRPr="009455B4">
        <w:rPr>
          <w:rFonts w:ascii="Calibri" w:eastAsia="Times New Roman" w:hAnsi="Calibri" w:cs="Calibri"/>
          <w:b/>
          <w:bCs/>
        </w:rPr>
        <w:t xml:space="preserve">Another ten community developments </w:t>
      </w:r>
      <w:r w:rsidRPr="009455B4">
        <w:rPr>
          <w:rFonts w:ascii="Calibri" w:eastAsia="Times New Roman" w:hAnsi="Calibri" w:cs="Calibri"/>
          <w:b/>
          <w:bCs/>
          <w:color w:val="333333"/>
          <w:highlight w:val="white"/>
        </w:rPr>
        <w:t>are-</w:t>
      </w:r>
    </w:p>
    <w:p w14:paraId="08BABF5E" w14:textId="77777777"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 xml:space="preserve">1 </w:t>
      </w:r>
      <w:r w:rsidRPr="00CF1010">
        <w:rPr>
          <w:rFonts w:ascii="Calibri" w:eastAsia="Times New Roman" w:hAnsi="Calibri" w:cs="Calibri"/>
          <w:color w:val="333333"/>
          <w:highlight w:val="white"/>
        </w:rPr>
        <w:t xml:space="preserve">The </w:t>
      </w:r>
      <w:r w:rsidRPr="00CF1010">
        <w:rPr>
          <w:rFonts w:ascii="Calibri" w:eastAsia="Times New Roman" w:hAnsi="Calibri" w:cs="Calibri"/>
          <w:b/>
          <w:color w:val="333333"/>
          <w:highlight w:val="white"/>
        </w:rPr>
        <w:t>involvement standard</w:t>
      </w:r>
      <w:r w:rsidRPr="00CF1010">
        <w:rPr>
          <w:rFonts w:ascii="Calibri" w:eastAsia="Times New Roman" w:hAnsi="Calibri" w:cs="Calibri"/>
          <w:color w:val="333333"/>
          <w:highlight w:val="white"/>
        </w:rPr>
        <w:t xml:space="preserve"> identifies organisations that are interested in the focal point of engagement.</w:t>
      </w:r>
    </w:p>
    <w:p w14:paraId="4B4020EC" w14:textId="6DDE2D4E"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2</w:t>
      </w:r>
      <w:r w:rsidRPr="00CF1010">
        <w:rPr>
          <w:rFonts w:ascii="Calibri" w:eastAsia="Times New Roman" w:hAnsi="Calibri" w:cs="Calibri"/>
          <w:color w:val="333333"/>
          <w:highlight w:val="white"/>
        </w:rPr>
        <w:t>.</w:t>
      </w:r>
      <w:r w:rsidR="00CF1010">
        <w:rPr>
          <w:rFonts w:ascii="Calibri" w:eastAsia="Times New Roman" w:hAnsi="Calibri" w:cs="Calibri"/>
          <w:color w:val="333333"/>
          <w:highlight w:val="white"/>
        </w:rPr>
        <w:t xml:space="preserve"> </w:t>
      </w:r>
      <w:r w:rsidRPr="00CF1010">
        <w:rPr>
          <w:rFonts w:ascii="Calibri" w:eastAsia="Times New Roman" w:hAnsi="Calibri" w:cs="Calibri"/>
          <w:color w:val="333333"/>
          <w:highlight w:val="white"/>
        </w:rPr>
        <w:t xml:space="preserve">A </w:t>
      </w:r>
      <w:r w:rsidRPr="00CF1010">
        <w:rPr>
          <w:rFonts w:ascii="Calibri" w:eastAsia="Times New Roman" w:hAnsi="Calibri" w:cs="Calibri"/>
          <w:b/>
          <w:color w:val="333333"/>
          <w:highlight w:val="white"/>
        </w:rPr>
        <w:t>support standard</w:t>
      </w:r>
      <w:r w:rsidRPr="00CF1010">
        <w:rPr>
          <w:rFonts w:ascii="Calibri" w:eastAsia="Times New Roman" w:hAnsi="Calibri" w:cs="Calibri"/>
          <w:color w:val="333333"/>
          <w:highlight w:val="white"/>
        </w:rPr>
        <w:t xml:space="preserve"> will be identified that will overcome any barriers to community engagement (Community Planning Toolkit. 2021)</w:t>
      </w:r>
      <w:r w:rsidR="00CF1010">
        <w:rPr>
          <w:rFonts w:ascii="Calibri" w:eastAsia="Times New Roman" w:hAnsi="Calibri" w:cs="Calibri"/>
          <w:color w:val="333333"/>
          <w:highlight w:val="white"/>
        </w:rPr>
        <w:t>.</w:t>
      </w:r>
    </w:p>
    <w:p w14:paraId="6EFE08C4" w14:textId="5559B769"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3</w:t>
      </w:r>
      <w:r w:rsidRPr="00CF1010">
        <w:rPr>
          <w:rFonts w:ascii="Calibri" w:eastAsia="Times New Roman" w:hAnsi="Calibri" w:cs="Calibri"/>
          <w:color w:val="333333"/>
          <w:highlight w:val="white"/>
        </w:rPr>
        <w:t>.</w:t>
      </w:r>
      <w:r w:rsidR="00CF1010">
        <w:rPr>
          <w:rFonts w:ascii="Calibri" w:eastAsia="Times New Roman" w:hAnsi="Calibri" w:cs="Calibri"/>
          <w:color w:val="333333"/>
          <w:highlight w:val="white"/>
        </w:rPr>
        <w:t xml:space="preserve"> </w:t>
      </w:r>
      <w:r w:rsidRPr="00CF1010">
        <w:rPr>
          <w:rFonts w:ascii="Calibri" w:eastAsia="Times New Roman" w:hAnsi="Calibri" w:cs="Calibri"/>
          <w:b/>
          <w:color w:val="333333"/>
          <w:highlight w:val="white"/>
        </w:rPr>
        <w:t>Evidence</w:t>
      </w:r>
      <w:r w:rsidRPr="00CF1010">
        <w:rPr>
          <w:rFonts w:ascii="Calibri" w:eastAsia="Times New Roman" w:hAnsi="Calibri" w:cs="Calibri"/>
          <w:color w:val="333333"/>
          <w:highlight w:val="white"/>
        </w:rPr>
        <w:t xml:space="preserve"> should be collected from available agencies as required and used to agree on its objectives, scope and timeframe and actions to be taken.</w:t>
      </w:r>
    </w:p>
    <w:p w14:paraId="683FE8D8" w14:textId="7F7CF454"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lastRenderedPageBreak/>
        <w:t>4.</w:t>
      </w:r>
      <w:r w:rsidR="00CF1010">
        <w:rPr>
          <w:rFonts w:ascii="Calibri" w:eastAsia="Times New Roman" w:hAnsi="Calibri" w:cs="Calibri"/>
          <w:b/>
          <w:color w:val="333333"/>
          <w:highlight w:val="white"/>
        </w:rPr>
        <w:t xml:space="preserve"> </w:t>
      </w:r>
      <w:r w:rsidRPr="00CF1010">
        <w:rPr>
          <w:rFonts w:ascii="Calibri" w:eastAsia="Times New Roman" w:hAnsi="Calibri" w:cs="Calibri"/>
          <w:color w:val="333333"/>
          <w:highlight w:val="white"/>
        </w:rPr>
        <w:t>The approach must agree to a standard that is the engagement's use of methods that are fit for purpose.</w:t>
      </w:r>
    </w:p>
    <w:p w14:paraId="52F1B55C" w14:textId="77B64967"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5.</w:t>
      </w:r>
      <w:r w:rsidR="00CF1010">
        <w:rPr>
          <w:rFonts w:ascii="Calibri" w:eastAsia="Times New Roman" w:hAnsi="Calibri" w:cs="Calibri"/>
          <w:b/>
          <w:color w:val="333333"/>
          <w:highlight w:val="white"/>
        </w:rPr>
        <w:t xml:space="preserve"> </w:t>
      </w:r>
      <w:r w:rsidRPr="00CF1010">
        <w:rPr>
          <w:rFonts w:ascii="Calibri" w:eastAsia="Times New Roman" w:hAnsi="Calibri" w:cs="Calibri"/>
          <w:b/>
          <w:color w:val="333333"/>
          <w:highlight w:val="white"/>
        </w:rPr>
        <w:t xml:space="preserve">Standards of working </w:t>
      </w:r>
      <w:r w:rsidRPr="00CF1010">
        <w:rPr>
          <w:rFonts w:ascii="Calibri" w:eastAsia="Times New Roman" w:hAnsi="Calibri" w:cs="Calibri"/>
          <w:color w:val="333333"/>
          <w:highlight w:val="white"/>
        </w:rPr>
        <w:t>together should be agreed upon and employees should be encouraged to participate in standard work together.</w:t>
      </w:r>
    </w:p>
    <w:p w14:paraId="068362D3" w14:textId="272ADD3F"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6.</w:t>
      </w:r>
      <w:r w:rsidR="00CF1010">
        <w:rPr>
          <w:rFonts w:ascii="Calibri" w:eastAsia="Times New Roman" w:hAnsi="Calibri" w:cs="Calibri"/>
          <w:b/>
          <w:color w:val="333333"/>
          <w:highlight w:val="white"/>
        </w:rPr>
        <w:t xml:space="preserve"> </w:t>
      </w:r>
      <w:r w:rsidRPr="00CF1010">
        <w:rPr>
          <w:rFonts w:ascii="Calibri" w:eastAsia="Times New Roman" w:hAnsi="Calibri" w:cs="Calibri"/>
          <w:color w:val="333333"/>
          <w:highlight w:val="white"/>
        </w:rPr>
        <w:t>Be aware of whether correct information is being shared among participants.</w:t>
      </w:r>
    </w:p>
    <w:p w14:paraId="49077D97" w14:textId="327671DC"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7.</w:t>
      </w:r>
      <w:r w:rsidR="00CF1010">
        <w:rPr>
          <w:rFonts w:ascii="Calibri" w:eastAsia="Times New Roman" w:hAnsi="Calibri" w:cs="Calibri"/>
          <w:b/>
          <w:color w:val="333333"/>
          <w:highlight w:val="white"/>
        </w:rPr>
        <w:t xml:space="preserve"> </w:t>
      </w:r>
      <w:r w:rsidRPr="00CF1010">
        <w:rPr>
          <w:rFonts w:ascii="Calibri" w:eastAsia="Times New Roman" w:hAnsi="Calibri" w:cs="Calibri"/>
          <w:color w:val="333333"/>
          <w:highlight w:val="white"/>
        </w:rPr>
        <w:t xml:space="preserve">Must work effectively with others with engagement and enthusiasm and </w:t>
      </w:r>
      <w:r w:rsidRPr="00CF1010">
        <w:rPr>
          <w:rFonts w:ascii="Calibri" w:eastAsia="Times New Roman" w:hAnsi="Calibri" w:cs="Calibri"/>
          <w:b/>
          <w:color w:val="333333"/>
          <w:highlight w:val="white"/>
        </w:rPr>
        <w:t>set standards of workin</w:t>
      </w:r>
      <w:r w:rsidRPr="00CF1010">
        <w:rPr>
          <w:rFonts w:ascii="Calibri" w:eastAsia="Times New Roman" w:hAnsi="Calibri" w:cs="Calibri"/>
          <w:color w:val="333333"/>
          <w:highlight w:val="white"/>
        </w:rPr>
        <w:t>g collaboratively with others (Community Planning Toolkit. 2021).</w:t>
      </w:r>
    </w:p>
    <w:p w14:paraId="5DE3633B" w14:textId="1D77D296"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8.</w:t>
      </w:r>
      <w:r w:rsidR="00CF1010">
        <w:rPr>
          <w:rFonts w:ascii="Calibri" w:eastAsia="Times New Roman" w:hAnsi="Calibri" w:cs="Calibri"/>
          <w:b/>
          <w:color w:val="333333"/>
          <w:highlight w:val="white"/>
        </w:rPr>
        <w:t xml:space="preserve"> </w:t>
      </w:r>
      <w:r w:rsidRPr="00CF1010">
        <w:rPr>
          <w:rFonts w:ascii="Calibri" w:eastAsia="Times New Roman" w:hAnsi="Calibri" w:cs="Calibri"/>
          <w:b/>
          <w:color w:val="333333"/>
          <w:highlight w:val="white"/>
        </w:rPr>
        <w:t xml:space="preserve">Improvement standards </w:t>
      </w:r>
      <w:r w:rsidRPr="00CF1010">
        <w:rPr>
          <w:rFonts w:ascii="Calibri" w:eastAsia="Times New Roman" w:hAnsi="Calibri" w:cs="Calibri"/>
          <w:color w:val="333333"/>
          <w:highlight w:val="white"/>
        </w:rPr>
        <w:t>require all participants to actively develop skills, knowledge and confidence.</w:t>
      </w:r>
    </w:p>
    <w:p w14:paraId="58FDFA40" w14:textId="18D67CC4" w:rsidR="00CF1010" w:rsidRDefault="00740CCA" w:rsidP="00CF1010">
      <w:pPr>
        <w:spacing w:line="360" w:lineRule="auto"/>
        <w:ind w:firstLine="284"/>
        <w:jc w:val="both"/>
        <w:rPr>
          <w:rFonts w:ascii="Calibri" w:eastAsia="Times New Roman" w:hAnsi="Calibri" w:cs="Calibri"/>
          <w:color w:val="333333"/>
          <w:highlight w:val="white"/>
        </w:rPr>
      </w:pPr>
      <w:r w:rsidRPr="00CF1010">
        <w:rPr>
          <w:rFonts w:ascii="Calibri" w:eastAsia="Times New Roman" w:hAnsi="Calibri" w:cs="Calibri"/>
          <w:b/>
          <w:color w:val="333333"/>
          <w:highlight w:val="white"/>
        </w:rPr>
        <w:t>9</w:t>
      </w:r>
      <w:r w:rsidRPr="00CF1010">
        <w:rPr>
          <w:rFonts w:ascii="Calibri" w:eastAsia="Times New Roman" w:hAnsi="Calibri" w:cs="Calibri"/>
          <w:color w:val="333333"/>
          <w:highlight w:val="white"/>
        </w:rPr>
        <w:t>.</w:t>
      </w:r>
      <w:r w:rsidR="00CF1010">
        <w:rPr>
          <w:rFonts w:ascii="Calibri" w:eastAsia="Times New Roman" w:hAnsi="Calibri" w:cs="Calibri"/>
          <w:color w:val="333333"/>
          <w:highlight w:val="white"/>
        </w:rPr>
        <w:t xml:space="preserve"> </w:t>
      </w:r>
      <w:r w:rsidR="00CF1010" w:rsidRPr="00CF1010">
        <w:rPr>
          <w:rFonts w:ascii="Calibri" w:eastAsia="Times New Roman" w:hAnsi="Calibri" w:cs="Calibri"/>
          <w:b/>
          <w:color w:val="333333"/>
          <w:highlight w:val="white"/>
        </w:rPr>
        <w:t>Feedback</w:t>
      </w:r>
      <w:r w:rsidRPr="00CF1010">
        <w:rPr>
          <w:rFonts w:ascii="Calibri" w:eastAsia="Times New Roman" w:hAnsi="Calibri" w:cs="Calibri"/>
          <w:b/>
          <w:color w:val="333333"/>
          <w:highlight w:val="white"/>
        </w:rPr>
        <w:t xml:space="preserve"> standards</w:t>
      </w:r>
      <w:r w:rsidRPr="00CF1010">
        <w:rPr>
          <w:rFonts w:ascii="Calibri" w:eastAsia="Times New Roman" w:hAnsi="Calibri" w:cs="Calibri"/>
          <w:color w:val="333333"/>
          <w:highlight w:val="white"/>
        </w:rPr>
        <w:t xml:space="preserve"> require feedback on the results of engagement with the wider community and affected agencies.</w:t>
      </w:r>
    </w:p>
    <w:p w14:paraId="00000009" w14:textId="3493607F" w:rsidR="00F900C3" w:rsidRPr="00CF1010" w:rsidRDefault="00740CCA" w:rsidP="00CF1010">
      <w:pPr>
        <w:spacing w:line="360" w:lineRule="auto"/>
        <w:ind w:firstLine="284"/>
        <w:jc w:val="both"/>
        <w:rPr>
          <w:rFonts w:ascii="Calibri" w:eastAsia="Times New Roman" w:hAnsi="Calibri" w:cs="Calibri"/>
          <w:b/>
          <w:color w:val="333333"/>
          <w:highlight w:val="white"/>
        </w:rPr>
      </w:pPr>
      <w:r w:rsidRPr="00CF1010">
        <w:rPr>
          <w:rFonts w:ascii="Calibri" w:eastAsia="Times New Roman" w:hAnsi="Calibri" w:cs="Calibri"/>
          <w:b/>
          <w:color w:val="333333"/>
          <w:highlight w:val="white"/>
        </w:rPr>
        <w:t>10</w:t>
      </w:r>
      <w:r w:rsidRPr="00CF1010">
        <w:rPr>
          <w:rFonts w:ascii="Calibri" w:eastAsia="Times New Roman" w:hAnsi="Calibri" w:cs="Calibri"/>
          <w:color w:val="333333"/>
          <w:highlight w:val="white"/>
        </w:rPr>
        <w:t>.</w:t>
      </w:r>
      <w:r w:rsidR="00CF1010">
        <w:rPr>
          <w:rFonts w:ascii="Calibri" w:eastAsia="Times New Roman" w:hAnsi="Calibri" w:cs="Calibri"/>
          <w:color w:val="333333"/>
          <w:highlight w:val="white"/>
        </w:rPr>
        <w:t xml:space="preserve"> </w:t>
      </w:r>
      <w:r w:rsidRPr="00CF1010">
        <w:rPr>
          <w:rFonts w:ascii="Calibri" w:eastAsia="Times New Roman" w:hAnsi="Calibri" w:cs="Calibri"/>
          <w:b/>
          <w:color w:val="333333"/>
          <w:highlight w:val="white"/>
        </w:rPr>
        <w:t>Monitoring and Evaluation Standards</w:t>
      </w:r>
      <w:r w:rsidRPr="00CF1010">
        <w:rPr>
          <w:rFonts w:ascii="Calibri" w:eastAsia="Times New Roman" w:hAnsi="Calibri" w:cs="Calibri"/>
          <w:color w:val="333333"/>
          <w:highlight w:val="white"/>
        </w:rPr>
        <w:t xml:space="preserve"> include monitoring and evaluating whether the engagement meets its objectives and national standards for community participation (Community Planning Toolkit. 2021). </w:t>
      </w:r>
    </w:p>
    <w:p w14:paraId="3170D311"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The definition of stakeholder is expanding day by day, companies are targeting a narrow group of stakeholders; shareholders, employees, customers, and regulators. Companies are communicating with many people who affect their business; among these are local residents, community development groups, environment and development agencies, civic associations and non-governmental organisations. </w:t>
      </w:r>
    </w:p>
    <w:p w14:paraId="41F851B4"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Becoming part of a community plays a major role in bringing about success for all scales of businesses and stakeholders (Westman </w:t>
      </w:r>
      <w:r w:rsidRPr="00CF1010">
        <w:rPr>
          <w:rFonts w:ascii="Calibri" w:eastAsia="Times New Roman" w:hAnsi="Calibri" w:cs="Calibri"/>
          <w:i/>
        </w:rPr>
        <w:t>et al.</w:t>
      </w:r>
      <w:r w:rsidRPr="00CF1010">
        <w:rPr>
          <w:rFonts w:ascii="Calibri" w:eastAsia="Times New Roman" w:hAnsi="Calibri" w:cs="Calibri"/>
        </w:rPr>
        <w:t xml:space="preserve"> 2019). Engagement can improve not only the community but also the company by tapping into local knowledge, reducing conflict, increasing recruitment and preventing costly delays. Research identifies and combines three broad strategies to match one's business objectives and context. </w:t>
      </w:r>
    </w:p>
    <w:p w14:paraId="0000000A" w14:textId="505E0526" w:rsidR="00F900C3"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The overall process brings about benefits such as better decision making, local knowledge build-up, conflict reduction, growth of competitiveness and legitimacy, increased recruitment, cultural support etc (Network </w:t>
      </w:r>
      <w:proofErr w:type="gramStart"/>
      <w:r w:rsidRPr="00CF1010">
        <w:rPr>
          <w:rFonts w:ascii="Calibri" w:eastAsia="Times New Roman" w:hAnsi="Calibri" w:cs="Calibri"/>
        </w:rPr>
        <w:t>For</w:t>
      </w:r>
      <w:proofErr w:type="gramEnd"/>
      <w:r w:rsidRPr="00CF1010">
        <w:rPr>
          <w:rFonts w:ascii="Calibri" w:eastAsia="Times New Roman" w:hAnsi="Calibri" w:cs="Calibri"/>
        </w:rPr>
        <w:t xml:space="preserve"> Business Sustainability. 2018). </w:t>
      </w:r>
    </w:p>
    <w:p w14:paraId="722DB763"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There are some common challenges of community engagement. These challenges and ways to address them are discussed in a series that describes real-life experiences from the partnership between the Clinical and Translational Science Awards (CTSA) program, Prevention Research Centre (PRC) program, and </w:t>
      </w:r>
      <w:proofErr w:type="gramStart"/>
      <w:r w:rsidRPr="00CF1010">
        <w:rPr>
          <w:rFonts w:ascii="Calibri" w:eastAsia="Times New Roman" w:hAnsi="Calibri" w:cs="Calibri"/>
        </w:rPr>
        <w:t>other</w:t>
      </w:r>
      <w:proofErr w:type="gramEnd"/>
      <w:r w:rsidRPr="00CF1010">
        <w:rPr>
          <w:rFonts w:ascii="Calibri" w:eastAsia="Times New Roman" w:hAnsi="Calibri" w:cs="Calibri"/>
        </w:rPr>
        <w:t xml:space="preserve"> community-engaged research (</w:t>
      </w:r>
      <w:proofErr w:type="spellStart"/>
      <w:r w:rsidRPr="00CF1010">
        <w:rPr>
          <w:rFonts w:ascii="Calibri" w:eastAsia="Times New Roman" w:hAnsi="Calibri" w:cs="Calibri"/>
        </w:rPr>
        <w:t>CEnR</w:t>
      </w:r>
      <w:proofErr w:type="spellEnd"/>
      <w:r w:rsidRPr="00CF1010">
        <w:rPr>
          <w:rFonts w:ascii="Calibri" w:eastAsia="Times New Roman" w:hAnsi="Calibri" w:cs="Calibri"/>
        </w:rPr>
        <w:t xml:space="preserve">) (ATSDR. 2019). </w:t>
      </w:r>
    </w:p>
    <w:p w14:paraId="0000000B" w14:textId="5570072E" w:rsidR="00F900C3" w:rsidRPr="00CF1010" w:rsidRDefault="00740CCA" w:rsidP="00CF1010">
      <w:pPr>
        <w:spacing w:line="360" w:lineRule="auto"/>
        <w:ind w:firstLine="284"/>
        <w:jc w:val="both"/>
        <w:rPr>
          <w:rFonts w:ascii="Calibri" w:eastAsia="Times New Roman" w:hAnsi="Calibri" w:cs="Calibri"/>
          <w:highlight w:val="white"/>
        </w:rPr>
      </w:pPr>
      <w:r w:rsidRPr="00CF1010">
        <w:rPr>
          <w:rFonts w:ascii="Calibri" w:eastAsia="Times New Roman" w:hAnsi="Calibri" w:cs="Calibri"/>
        </w:rPr>
        <w:t xml:space="preserve">The five challenges are -engagement and maintenance of community involvement, </w:t>
      </w:r>
      <w:r w:rsidRPr="00CF1010">
        <w:rPr>
          <w:rFonts w:ascii="Calibri" w:eastAsia="Times New Roman" w:hAnsi="Calibri" w:cs="Calibri"/>
          <w:highlight w:val="white"/>
        </w:rPr>
        <w:t xml:space="preserve">overcoming diversities among multiple forms of academics and communities, indulging in work relationships with </w:t>
      </w:r>
      <w:r w:rsidR="00CF1010" w:rsidRPr="00CF1010">
        <w:rPr>
          <w:rFonts w:ascii="Calibri" w:eastAsia="Times New Roman" w:hAnsi="Calibri" w:cs="Calibri"/>
          <w:highlight w:val="white"/>
        </w:rPr>
        <w:t>non-traditional</w:t>
      </w:r>
      <w:r w:rsidRPr="00CF1010">
        <w:rPr>
          <w:rFonts w:ascii="Calibri" w:eastAsia="Times New Roman" w:hAnsi="Calibri" w:cs="Calibri"/>
          <w:highlight w:val="white"/>
        </w:rPr>
        <w:t xml:space="preserve"> communities, leading a project with a particular type of community and constructing </w:t>
      </w:r>
      <w:r w:rsidRPr="00CF1010">
        <w:rPr>
          <w:rFonts w:ascii="Calibri" w:eastAsia="Times New Roman" w:hAnsi="Calibri" w:cs="Calibri"/>
          <w:highlight w:val="white"/>
        </w:rPr>
        <w:lastRenderedPageBreak/>
        <w:t>a board for community advisory, and overcoming the priorities which are being competitive and having institutional differences (ATSDR. 2019). Each point describes a challenge faced by the partnership and actions taken and provides relevant messages.</w:t>
      </w:r>
    </w:p>
    <w:p w14:paraId="62634634"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Stakeholders can be individuals, groups and entities that are affected by the operation of a business. A clear relationship with stakeholders can be the key to business growth. For a customer-centric company, no stakeholder relationship is more important than its customers. Treating customers fairly and providing strong products and services helps achieve long-term customer loyalty. </w:t>
      </w:r>
    </w:p>
    <w:p w14:paraId="0000000C" w14:textId="4772382A" w:rsidR="00F900C3" w:rsidRPr="00CF1010" w:rsidRDefault="00740CCA" w:rsidP="00CF1010">
      <w:pPr>
        <w:spacing w:line="360" w:lineRule="auto"/>
        <w:ind w:firstLine="284"/>
        <w:jc w:val="both"/>
        <w:rPr>
          <w:rFonts w:ascii="Calibri" w:eastAsia="Times New Roman" w:hAnsi="Calibri" w:cs="Calibri"/>
          <w:b/>
        </w:rPr>
      </w:pPr>
      <w:r w:rsidRPr="00CF1010">
        <w:rPr>
          <w:rFonts w:ascii="Calibri" w:eastAsia="Times New Roman" w:hAnsi="Calibri" w:cs="Calibri"/>
        </w:rPr>
        <w:t xml:space="preserve">The business relationship with the community is closely related. In addition to acting legally and responsibly, small communities like to support organisations that give back through charity and participation in local community activities and events. This led to the emergence of corporate social responsibility </w:t>
      </w:r>
      <w:r w:rsidR="00CF1010" w:rsidRPr="00CF1010">
        <w:rPr>
          <w:rFonts w:ascii="Calibri" w:eastAsia="Times New Roman" w:hAnsi="Calibri" w:cs="Calibri"/>
        </w:rPr>
        <w:t>practices. Owners</w:t>
      </w:r>
      <w:r w:rsidRPr="00CF1010">
        <w:rPr>
          <w:rFonts w:ascii="Calibri" w:eastAsia="Times New Roman" w:hAnsi="Calibri" w:cs="Calibri"/>
        </w:rPr>
        <w:t xml:space="preserve"> play a small but important role in small businesses owners and stakeholders provide financial support in the corporate structure; which helps in legal profit in business.</w:t>
      </w:r>
    </w:p>
    <w:p w14:paraId="7D60900D"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Community management strategies are important for meaningful progress. The strategy should always be updated keeping in mind the current competition. Community strategies are essential for any long-term or short-term business relationship. </w:t>
      </w:r>
    </w:p>
    <w:p w14:paraId="7D7F97DB" w14:textId="77777777" w:rsidR="00CF1010" w:rsidRDefault="00740CCA" w:rsidP="00CF1010">
      <w:pPr>
        <w:spacing w:line="360" w:lineRule="auto"/>
        <w:ind w:firstLine="284"/>
        <w:jc w:val="both"/>
        <w:rPr>
          <w:rFonts w:ascii="Calibri" w:eastAsia="Times New Roman" w:hAnsi="Calibri" w:cs="Calibri"/>
          <w:b/>
        </w:rPr>
      </w:pPr>
      <w:r w:rsidRPr="00CF1010">
        <w:rPr>
          <w:rFonts w:ascii="Calibri" w:eastAsia="Times New Roman" w:hAnsi="Calibri" w:cs="Calibri"/>
        </w:rPr>
        <w:t xml:space="preserve">The strategy should include multiple strategic steps. It is important to effectively </w:t>
      </w:r>
      <w:r w:rsidRPr="00CF1010">
        <w:rPr>
          <w:rFonts w:ascii="Calibri" w:eastAsia="Times New Roman" w:hAnsi="Calibri" w:cs="Calibri"/>
          <w:b/>
        </w:rPr>
        <w:t>determine the core necessity for the process of community engagement (</w:t>
      </w:r>
      <w:r w:rsidRPr="00CF1010">
        <w:rPr>
          <w:rFonts w:ascii="Calibri" w:eastAsia="Times New Roman" w:hAnsi="Calibri" w:cs="Calibri"/>
        </w:rPr>
        <w:t>EPA.2020)</w:t>
      </w:r>
      <w:r w:rsidRPr="00CF1010">
        <w:rPr>
          <w:rFonts w:ascii="Calibri" w:eastAsia="Times New Roman" w:hAnsi="Calibri" w:cs="Calibri"/>
          <w:b/>
        </w:rPr>
        <w:t xml:space="preserve">. </w:t>
      </w:r>
      <w:r w:rsidRPr="00CF1010">
        <w:rPr>
          <w:rFonts w:ascii="Calibri" w:eastAsia="Times New Roman" w:hAnsi="Calibri" w:cs="Calibri"/>
        </w:rPr>
        <w:t xml:space="preserve">If a business or its stakeholders are working on a project then they must be able to </w:t>
      </w:r>
      <w:r w:rsidRPr="00CF1010">
        <w:rPr>
          <w:rFonts w:ascii="Calibri" w:eastAsia="Times New Roman" w:hAnsi="Calibri" w:cs="Calibri"/>
          <w:b/>
        </w:rPr>
        <w:t>define the goals, aims, scopes and anticipated results of that project related to community engagement (</w:t>
      </w:r>
      <w:r w:rsidRPr="00CF1010">
        <w:rPr>
          <w:rFonts w:ascii="Calibri" w:eastAsia="Times New Roman" w:hAnsi="Calibri" w:cs="Calibri"/>
        </w:rPr>
        <w:t>EPA.2020)</w:t>
      </w:r>
      <w:r w:rsidRPr="00CF1010">
        <w:rPr>
          <w:rFonts w:ascii="Calibri" w:eastAsia="Times New Roman" w:hAnsi="Calibri" w:cs="Calibri"/>
          <w:b/>
        </w:rPr>
        <w:t xml:space="preserve">. </w:t>
      </w:r>
    </w:p>
    <w:p w14:paraId="0000000D" w14:textId="5246B44C" w:rsidR="00F900C3" w:rsidRPr="00CF1010" w:rsidRDefault="00740CCA" w:rsidP="00CF1010">
      <w:pPr>
        <w:spacing w:line="360" w:lineRule="auto"/>
        <w:ind w:firstLine="284"/>
        <w:jc w:val="both"/>
        <w:rPr>
          <w:rFonts w:ascii="Calibri" w:eastAsia="Times New Roman" w:hAnsi="Calibri" w:cs="Calibri"/>
          <w:b/>
        </w:rPr>
      </w:pPr>
      <w:r w:rsidRPr="00CF1010">
        <w:rPr>
          <w:rFonts w:ascii="Calibri" w:eastAsia="Times New Roman" w:hAnsi="Calibri" w:cs="Calibri"/>
        </w:rPr>
        <w:t xml:space="preserve">In order to work on such an approach, it is highly important to </w:t>
      </w:r>
      <w:r w:rsidRPr="00CF1010">
        <w:rPr>
          <w:rFonts w:ascii="Calibri" w:eastAsia="Times New Roman" w:hAnsi="Calibri" w:cs="Calibri"/>
          <w:b/>
        </w:rPr>
        <w:t xml:space="preserve">consider the right method or technique of engagement </w:t>
      </w:r>
      <w:r w:rsidRPr="00CF1010">
        <w:rPr>
          <w:rFonts w:ascii="Calibri" w:eastAsia="Times New Roman" w:hAnsi="Calibri" w:cs="Calibri"/>
        </w:rPr>
        <w:t>(EPA.2020).</w:t>
      </w:r>
      <w:r w:rsidRPr="00CF1010">
        <w:rPr>
          <w:rFonts w:ascii="Calibri" w:eastAsia="Times New Roman" w:hAnsi="Calibri" w:cs="Calibri"/>
          <w:b/>
        </w:rPr>
        <w:t xml:space="preserve"> </w:t>
      </w:r>
      <w:r w:rsidRPr="00CF1010">
        <w:rPr>
          <w:rFonts w:ascii="Calibri" w:eastAsia="Times New Roman" w:hAnsi="Calibri" w:cs="Calibri"/>
        </w:rPr>
        <w:t xml:space="preserve">The stakeholders involved in the act </w:t>
      </w:r>
      <w:r w:rsidRPr="00CF1010">
        <w:rPr>
          <w:rFonts w:ascii="Calibri" w:eastAsia="Times New Roman" w:hAnsi="Calibri" w:cs="Calibri"/>
          <w:b/>
        </w:rPr>
        <w:t xml:space="preserve">must have effective collaborative, communicative, and interpersonal professional skills </w:t>
      </w:r>
      <w:r w:rsidRPr="00CF1010">
        <w:rPr>
          <w:rFonts w:ascii="Calibri" w:eastAsia="Times New Roman" w:hAnsi="Calibri" w:cs="Calibri"/>
        </w:rPr>
        <w:t>(</w:t>
      </w:r>
      <w:proofErr w:type="spellStart"/>
      <w:r w:rsidRPr="00CF1010">
        <w:rPr>
          <w:rFonts w:ascii="Calibri" w:eastAsia="Times New Roman" w:hAnsi="Calibri" w:cs="Calibri"/>
        </w:rPr>
        <w:t>Geekiyanage</w:t>
      </w:r>
      <w:proofErr w:type="spellEnd"/>
      <w:r w:rsidRPr="00CF1010">
        <w:rPr>
          <w:rFonts w:ascii="Calibri" w:eastAsia="Times New Roman" w:hAnsi="Calibri" w:cs="Calibri"/>
        </w:rPr>
        <w:t xml:space="preserve">, Fernando and </w:t>
      </w:r>
      <w:proofErr w:type="spellStart"/>
      <w:r w:rsidRPr="00CF1010">
        <w:rPr>
          <w:rFonts w:ascii="Calibri" w:eastAsia="Times New Roman" w:hAnsi="Calibri" w:cs="Calibri"/>
        </w:rPr>
        <w:t>Keraminiyage</w:t>
      </w:r>
      <w:proofErr w:type="spellEnd"/>
      <w:r w:rsidRPr="00CF1010">
        <w:rPr>
          <w:rFonts w:ascii="Calibri" w:eastAsia="Times New Roman" w:hAnsi="Calibri" w:cs="Calibri"/>
        </w:rPr>
        <w:t>, 2020)</w:t>
      </w:r>
      <w:r w:rsidRPr="00CF1010">
        <w:rPr>
          <w:rFonts w:ascii="Calibri" w:eastAsia="Times New Roman" w:hAnsi="Calibri" w:cs="Calibri"/>
          <w:b/>
        </w:rPr>
        <w:t xml:space="preserve">. </w:t>
      </w:r>
      <w:r w:rsidRPr="00CF1010">
        <w:rPr>
          <w:rFonts w:ascii="Calibri" w:eastAsia="Times New Roman" w:hAnsi="Calibri" w:cs="Calibri"/>
        </w:rPr>
        <w:t xml:space="preserve">Last but not the least, it is important to </w:t>
      </w:r>
      <w:r w:rsidRPr="00CF1010">
        <w:rPr>
          <w:rFonts w:ascii="Calibri" w:eastAsia="Times New Roman" w:hAnsi="Calibri" w:cs="Calibri"/>
          <w:b/>
        </w:rPr>
        <w:t xml:space="preserve">track, monitor, evaluate and modify the planning </w:t>
      </w:r>
      <w:r w:rsidRPr="00CF1010">
        <w:rPr>
          <w:rFonts w:ascii="Calibri" w:eastAsia="Times New Roman" w:hAnsi="Calibri" w:cs="Calibri"/>
        </w:rPr>
        <w:t>(EPA.2020</w:t>
      </w:r>
      <w:r w:rsidRPr="00CF1010">
        <w:rPr>
          <w:rFonts w:ascii="Calibri" w:eastAsia="Times New Roman" w:hAnsi="Calibri" w:cs="Calibri"/>
          <w:b/>
        </w:rPr>
        <w:t xml:space="preserve">). </w:t>
      </w:r>
    </w:p>
    <w:p w14:paraId="29D44550"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Social media platforms are able to provide free communication between the general public and the government. Social media is like a tool for common people to get high activation. The benefit of social media is that it is like an open paper where the public can view comments, ask questions and get direct answers; and stakeholders can be contacted very easily. By understanding how different demographic groups engage with social media platforms, the contribution of social media to finding the stakeholder that they need is huge. </w:t>
      </w:r>
    </w:p>
    <w:p w14:paraId="0000000E" w14:textId="22F19B01" w:rsidR="00F900C3"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Social media is very effective in building a community, attracting people who are interested in such communities and creating a voice of own by expressing support for those communities. Platforms such as Facebook, Twitter, Instagram, and LinkedIn work with great potential in bringing together those </w:t>
      </w:r>
      <w:r w:rsidRPr="00CF1010">
        <w:rPr>
          <w:rFonts w:ascii="Calibri" w:eastAsia="Times New Roman" w:hAnsi="Calibri" w:cs="Calibri"/>
        </w:rPr>
        <w:lastRenderedPageBreak/>
        <w:t xml:space="preserve">communities. It has been observed that brand engagement by businesses with multiple communities can help in erasing brand scandals which highlights the importance of engaging with online communities (Yuan </w:t>
      </w:r>
      <w:r w:rsidRPr="00CF1010">
        <w:rPr>
          <w:rFonts w:ascii="Calibri" w:eastAsia="Times New Roman" w:hAnsi="Calibri" w:cs="Calibri"/>
          <w:i/>
        </w:rPr>
        <w:t xml:space="preserve">et al. </w:t>
      </w:r>
      <w:r w:rsidRPr="00CF1010">
        <w:rPr>
          <w:rFonts w:ascii="Calibri" w:eastAsia="Times New Roman" w:hAnsi="Calibri" w:cs="Calibri"/>
        </w:rPr>
        <w:t xml:space="preserve">2020). </w:t>
      </w:r>
    </w:p>
    <w:p w14:paraId="2B7D8723"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In order to gain a healthy and progressive community engagement, it is highly important that businesses, organisations or any other personal and professional bodies are focused on socio-cultural integration and multiculturalism. However, the process of this integration needs to be highly focused on a respectful rendition of all races, cultural diversity etc (Warren and </w:t>
      </w:r>
      <w:proofErr w:type="spellStart"/>
      <w:r w:rsidRPr="00CF1010">
        <w:rPr>
          <w:rFonts w:ascii="Calibri" w:eastAsia="Times New Roman" w:hAnsi="Calibri" w:cs="Calibri"/>
        </w:rPr>
        <w:t>Akoury</w:t>
      </w:r>
      <w:proofErr w:type="spellEnd"/>
      <w:r w:rsidRPr="00CF1010">
        <w:rPr>
          <w:rFonts w:ascii="Calibri" w:eastAsia="Times New Roman" w:hAnsi="Calibri" w:cs="Calibri"/>
        </w:rPr>
        <w:t xml:space="preserve">, 2020). </w:t>
      </w:r>
    </w:p>
    <w:p w14:paraId="2817D772"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The idea of sociocultural integration tends to correlate with the standard principle of common socio-political interactions. It helps in influencing the subjects to connect with each other using the interactive form of common civil (</w:t>
      </w:r>
      <w:proofErr w:type="spellStart"/>
      <w:r w:rsidRPr="00CF1010">
        <w:rPr>
          <w:rFonts w:ascii="Calibri" w:eastAsia="Times New Roman" w:hAnsi="Calibri" w:cs="Calibri"/>
        </w:rPr>
        <w:t>Ideopol</w:t>
      </w:r>
      <w:proofErr w:type="spellEnd"/>
      <w:r w:rsidRPr="00CF1010">
        <w:rPr>
          <w:rFonts w:ascii="Calibri" w:eastAsia="Times New Roman" w:hAnsi="Calibri" w:cs="Calibri"/>
        </w:rPr>
        <w:t xml:space="preserve">. 2020). </w:t>
      </w:r>
    </w:p>
    <w:p w14:paraId="6139EFEF"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Community involvement through socio-cultural integration is possible when the businesses or organisations or the stakeholders are ready to </w:t>
      </w:r>
      <w:r w:rsidRPr="00CF1010">
        <w:rPr>
          <w:rFonts w:ascii="Calibri" w:eastAsia="Times New Roman" w:hAnsi="Calibri" w:cs="Calibri"/>
          <w:b/>
        </w:rPr>
        <w:t xml:space="preserve">mix up with the locals. Meeting people beyond the language barriers </w:t>
      </w:r>
      <w:r w:rsidRPr="00CF1010">
        <w:rPr>
          <w:rFonts w:ascii="Calibri" w:eastAsia="Times New Roman" w:hAnsi="Calibri" w:cs="Calibri"/>
        </w:rPr>
        <w:t xml:space="preserve">is also important in order to create cultural harmony.  At the same time, it is also highly important to </w:t>
      </w:r>
      <w:r w:rsidRPr="00CF1010">
        <w:rPr>
          <w:rFonts w:ascii="Calibri" w:eastAsia="Times New Roman" w:hAnsi="Calibri" w:cs="Calibri"/>
          <w:b/>
        </w:rPr>
        <w:t xml:space="preserve">get acquainted and communicate consistently with a diverse range of communities </w:t>
      </w:r>
      <w:r w:rsidRPr="00CF1010">
        <w:rPr>
          <w:rFonts w:ascii="Calibri" w:eastAsia="Times New Roman" w:hAnsi="Calibri" w:cs="Calibri"/>
        </w:rPr>
        <w:t xml:space="preserve">which brings networking flexibility. </w:t>
      </w:r>
    </w:p>
    <w:p w14:paraId="0000000F" w14:textId="0EB67251" w:rsidR="00F900C3"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Moreover, organisations, stakeholders or individuals can also </w:t>
      </w:r>
      <w:r w:rsidRPr="00CF1010">
        <w:rPr>
          <w:rFonts w:ascii="Calibri" w:eastAsia="Times New Roman" w:hAnsi="Calibri" w:cs="Calibri"/>
          <w:b/>
        </w:rPr>
        <w:t xml:space="preserve">practise maintaining cultural sensitivity </w:t>
      </w:r>
      <w:r w:rsidRPr="00CF1010">
        <w:rPr>
          <w:rFonts w:ascii="Calibri" w:eastAsia="Times New Roman" w:hAnsi="Calibri" w:cs="Calibri"/>
        </w:rPr>
        <w:t xml:space="preserve">which helps in creating an empathetic engagement with people of cultural differences. It is helpful in gaining reputation and support forces from every section of society.  </w:t>
      </w:r>
    </w:p>
    <w:p w14:paraId="205415E1" w14:textId="54D82397" w:rsidR="00CF1010" w:rsidRPr="00CF1010" w:rsidRDefault="00CF1010" w:rsidP="00CF1010">
      <w:pPr>
        <w:spacing w:line="360" w:lineRule="auto"/>
        <w:ind w:firstLine="284"/>
        <w:jc w:val="both"/>
        <w:rPr>
          <w:rFonts w:ascii="Calibri" w:eastAsia="Times New Roman" w:hAnsi="Calibri" w:cs="Calibri"/>
        </w:rPr>
      </w:pPr>
      <w:r>
        <w:rPr>
          <w:rFonts w:ascii="Calibri" w:eastAsia="Times New Roman" w:hAnsi="Calibri" w:cs="Calibri"/>
        </w:rPr>
        <w:br w:type="page"/>
      </w:r>
    </w:p>
    <w:p w14:paraId="00000010" w14:textId="7000F3FC" w:rsidR="00F900C3" w:rsidRDefault="00740CCA" w:rsidP="00CF1010">
      <w:pPr>
        <w:spacing w:line="360" w:lineRule="auto"/>
        <w:ind w:firstLine="284"/>
        <w:jc w:val="center"/>
        <w:rPr>
          <w:rFonts w:ascii="Calibri" w:eastAsia="Times New Roman" w:hAnsi="Calibri" w:cs="Calibri"/>
          <w:b/>
        </w:rPr>
      </w:pPr>
      <w:r w:rsidRPr="00CF1010">
        <w:rPr>
          <w:rFonts w:ascii="Calibri" w:eastAsia="Times New Roman" w:hAnsi="Calibri" w:cs="Calibri"/>
          <w:b/>
        </w:rPr>
        <w:lastRenderedPageBreak/>
        <w:t>Conclusion</w:t>
      </w:r>
    </w:p>
    <w:p w14:paraId="6F9CFCF6" w14:textId="77777777" w:rsidR="00CF1010" w:rsidRPr="00CF1010" w:rsidRDefault="00CF1010" w:rsidP="00CF1010">
      <w:pPr>
        <w:spacing w:line="360" w:lineRule="auto"/>
        <w:ind w:firstLine="284"/>
        <w:jc w:val="center"/>
        <w:rPr>
          <w:rFonts w:ascii="Calibri" w:eastAsia="Times New Roman" w:hAnsi="Calibri" w:cs="Calibri"/>
          <w:b/>
        </w:rPr>
      </w:pPr>
    </w:p>
    <w:p w14:paraId="0A54CCF3" w14:textId="77777777" w:rsid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The idea of community engagement not only feeds the basic human urge to socialise and live but also it serves as the secret ingredient of progress and future growth. In all the spheres of both business and non-business sectors, community exposure plays a key role in bringing about success and harmony. For businesses not only does it offer better exposure to networking and expansion but also helps in gaining an impeccable reputation. </w:t>
      </w:r>
    </w:p>
    <w:p w14:paraId="19B5F9C0" w14:textId="06062FC6" w:rsidR="00CF1010" w:rsidRDefault="00CF1010" w:rsidP="00CF1010">
      <w:pPr>
        <w:spacing w:line="360" w:lineRule="auto"/>
        <w:ind w:firstLine="284"/>
        <w:jc w:val="both"/>
        <w:rPr>
          <w:rFonts w:ascii="Calibri" w:eastAsia="Times New Roman" w:hAnsi="Calibri" w:cs="Calibri"/>
        </w:rPr>
      </w:pPr>
      <w:r>
        <w:rPr>
          <w:rFonts w:ascii="Calibri" w:eastAsia="Times New Roman" w:hAnsi="Calibri" w:cs="Calibri"/>
        </w:rPr>
        <w:t>E</w:t>
      </w:r>
      <w:r w:rsidR="00740CCA" w:rsidRPr="00CF1010">
        <w:rPr>
          <w:rFonts w:ascii="Calibri" w:eastAsia="Times New Roman" w:hAnsi="Calibri" w:cs="Calibri"/>
        </w:rPr>
        <w:t xml:space="preserve">ven though there are potential challenges that come in the way of community engagement it can be overpowered by the stakeholders by making the right use of the internet and social media platforms. At the same time, their interpersonal skills and professional skills along with effective communication are also important in carrying forward a positive communicative practice. </w:t>
      </w:r>
    </w:p>
    <w:p w14:paraId="00000011" w14:textId="54FA19A0" w:rsidR="00F900C3"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On the other hand, while building up an engagement it is important that stakeholders are focusing on building communal harmony by taking care of the diversity, cultural differences and beliefs. </w:t>
      </w:r>
    </w:p>
    <w:p w14:paraId="187FDA8E" w14:textId="77777777" w:rsidR="00CF1010"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In order to gain community engagement success, a few suggestions would be appropriate. Business organisations or individuals can make use of social media to attract the communities. Joining social media groups of similar interests is highly effective at building such community exposure. Moreover, it is highly important to maintain highly communicative flexibility. </w:t>
      </w:r>
    </w:p>
    <w:p w14:paraId="492B62E8" w14:textId="77777777" w:rsidR="00CF1010" w:rsidRPr="00CF1010" w:rsidRDefault="00740CCA" w:rsidP="00CF1010">
      <w:pPr>
        <w:spacing w:line="360" w:lineRule="auto"/>
        <w:ind w:firstLine="284"/>
        <w:jc w:val="both"/>
        <w:rPr>
          <w:rFonts w:ascii="Calibri" w:eastAsia="Times New Roman" w:hAnsi="Calibri" w:cs="Calibri"/>
        </w:rPr>
      </w:pPr>
      <w:r w:rsidRPr="00CF1010">
        <w:rPr>
          <w:rFonts w:ascii="Calibri" w:eastAsia="Times New Roman" w:hAnsi="Calibri" w:cs="Calibri"/>
        </w:rPr>
        <w:t xml:space="preserve">Building communication through multiple channels, platforms etc. helps in constructing a community which aids in business growth. </w:t>
      </w:r>
    </w:p>
    <w:p w14:paraId="00000012" w14:textId="0406E502" w:rsidR="00F900C3" w:rsidRPr="00CF1010" w:rsidRDefault="00CF1010" w:rsidP="00CF1010">
      <w:pPr>
        <w:spacing w:line="360" w:lineRule="auto"/>
        <w:ind w:firstLine="284"/>
        <w:jc w:val="both"/>
        <w:rPr>
          <w:rFonts w:ascii="Calibri" w:eastAsia="Times New Roman" w:hAnsi="Calibri" w:cs="Calibri"/>
        </w:rPr>
      </w:pPr>
      <w:r w:rsidRPr="00CF1010">
        <w:rPr>
          <w:rFonts w:ascii="Calibri" w:eastAsia="Times New Roman" w:hAnsi="Calibri" w:cs="Calibri"/>
        </w:rPr>
        <w:t>It</w:t>
      </w:r>
      <w:r w:rsidR="00740CCA" w:rsidRPr="00CF1010">
        <w:rPr>
          <w:rFonts w:ascii="Calibri" w:eastAsia="Times New Roman" w:hAnsi="Calibri" w:cs="Calibri"/>
        </w:rPr>
        <w:t xml:space="preserve"> is also important to make use of multiple technologies which helps in team building going beyond cultural diversity through language translation and collaboration. Moreover, collaborating with other companies and businesses is also a great idea to tap into their community of them in order to unleash an ocean of engagement and networking. Staying culturally sensitive while building an engagement with a new community helps in a highly lucrative way to build quick connections. </w:t>
      </w:r>
    </w:p>
    <w:p w14:paraId="00000013" w14:textId="77777777" w:rsidR="00F900C3" w:rsidRPr="00CF1010" w:rsidRDefault="00F900C3" w:rsidP="00CF1010">
      <w:pPr>
        <w:spacing w:line="360" w:lineRule="auto"/>
        <w:ind w:firstLine="284"/>
        <w:jc w:val="both"/>
        <w:rPr>
          <w:rFonts w:ascii="Calibri" w:eastAsia="Times New Roman" w:hAnsi="Calibri" w:cs="Calibri"/>
        </w:rPr>
      </w:pPr>
    </w:p>
    <w:p w14:paraId="00000014" w14:textId="77777777" w:rsidR="00F900C3" w:rsidRPr="00CF1010" w:rsidRDefault="00F900C3" w:rsidP="00CF1010">
      <w:pPr>
        <w:spacing w:line="360" w:lineRule="auto"/>
        <w:ind w:firstLine="284"/>
        <w:jc w:val="both"/>
        <w:rPr>
          <w:rFonts w:ascii="Calibri" w:eastAsia="Times New Roman" w:hAnsi="Calibri" w:cs="Calibri"/>
        </w:rPr>
      </w:pPr>
    </w:p>
    <w:p w14:paraId="00000015" w14:textId="77777777" w:rsidR="00F900C3" w:rsidRPr="00CF1010" w:rsidRDefault="00740CCA" w:rsidP="00CF1010">
      <w:pPr>
        <w:spacing w:line="360" w:lineRule="auto"/>
        <w:ind w:firstLine="284"/>
        <w:jc w:val="both"/>
        <w:rPr>
          <w:rFonts w:ascii="Calibri" w:eastAsia="Times New Roman" w:hAnsi="Calibri" w:cs="Calibri"/>
        </w:rPr>
      </w:pPr>
      <w:r w:rsidRPr="00CF1010">
        <w:rPr>
          <w:rFonts w:ascii="Calibri" w:hAnsi="Calibri" w:cs="Calibri"/>
        </w:rPr>
        <w:br w:type="page"/>
      </w:r>
    </w:p>
    <w:p w14:paraId="00000016" w14:textId="03DECF2A" w:rsidR="00F900C3" w:rsidRDefault="00740CCA" w:rsidP="00CF1010">
      <w:pPr>
        <w:spacing w:line="360" w:lineRule="auto"/>
        <w:ind w:left="284" w:firstLine="284"/>
        <w:jc w:val="center"/>
        <w:rPr>
          <w:rFonts w:ascii="Calibri" w:eastAsia="Times New Roman" w:hAnsi="Calibri" w:cs="Calibri"/>
          <w:b/>
        </w:rPr>
      </w:pPr>
      <w:r w:rsidRPr="00CF1010">
        <w:rPr>
          <w:rFonts w:ascii="Calibri" w:eastAsia="Times New Roman" w:hAnsi="Calibri" w:cs="Calibri"/>
          <w:b/>
        </w:rPr>
        <w:lastRenderedPageBreak/>
        <w:t>References:</w:t>
      </w:r>
    </w:p>
    <w:p w14:paraId="15BE3AF4" w14:textId="77777777" w:rsidR="00CF1010" w:rsidRPr="00CF1010" w:rsidRDefault="00CF1010" w:rsidP="00CF1010">
      <w:pPr>
        <w:spacing w:line="360" w:lineRule="auto"/>
        <w:ind w:left="284" w:firstLine="284"/>
        <w:jc w:val="center"/>
        <w:rPr>
          <w:rFonts w:ascii="Calibri" w:eastAsia="Times New Roman" w:hAnsi="Calibri" w:cs="Calibri"/>
          <w:b/>
        </w:rPr>
      </w:pPr>
    </w:p>
    <w:p w14:paraId="00000017"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r w:rsidRPr="00CF1010">
        <w:rPr>
          <w:rFonts w:ascii="Calibri" w:eastAsia="Times New Roman" w:hAnsi="Calibri" w:cs="Calibri"/>
        </w:rPr>
        <w:t xml:space="preserve">ATSDR. (2019). Chapter 5. Challenges in Improving Community Engagement in Research. Available at. </w:t>
      </w:r>
      <w:hyperlink r:id="rId8">
        <w:r w:rsidRPr="00CF1010">
          <w:rPr>
            <w:rFonts w:ascii="Calibri" w:eastAsia="Times New Roman" w:hAnsi="Calibri" w:cs="Calibri"/>
            <w:color w:val="1155CC"/>
            <w:u w:val="single"/>
          </w:rPr>
          <w:t>https://www.atsdr.cdc.gov/communityengagement/pce_challenges_intro.html</w:t>
        </w:r>
      </w:hyperlink>
      <w:r w:rsidRPr="00CF1010">
        <w:rPr>
          <w:rFonts w:ascii="Calibri" w:eastAsia="Times New Roman" w:hAnsi="Calibri" w:cs="Calibri"/>
        </w:rPr>
        <w:t xml:space="preserve">. (Accessed on 13th July 2022). </w:t>
      </w:r>
    </w:p>
    <w:p w14:paraId="00000018"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proofErr w:type="spellStart"/>
      <w:r w:rsidRPr="00CF1010">
        <w:rPr>
          <w:rFonts w:ascii="Calibri" w:eastAsia="Times New Roman" w:hAnsi="Calibri" w:cs="Calibri"/>
        </w:rPr>
        <w:t>Bitc</w:t>
      </w:r>
      <w:proofErr w:type="spellEnd"/>
      <w:r w:rsidRPr="00CF1010">
        <w:rPr>
          <w:rFonts w:ascii="Calibri" w:eastAsia="Times New Roman" w:hAnsi="Calibri" w:cs="Calibri"/>
        </w:rPr>
        <w:t xml:space="preserve">. (2022). KPMG: Promoting a culture of allyship to drive race equality. Available at. </w:t>
      </w:r>
      <w:hyperlink r:id="rId9">
        <w:r w:rsidRPr="00CF1010">
          <w:rPr>
            <w:rFonts w:ascii="Calibri" w:eastAsia="Times New Roman" w:hAnsi="Calibri" w:cs="Calibri"/>
            <w:color w:val="1155CC"/>
            <w:u w:val="single"/>
          </w:rPr>
          <w:t>https://www.bitc.org.uk/case-study/kpmg-allyship-to-drive-race-equality/</w:t>
        </w:r>
      </w:hyperlink>
      <w:r w:rsidRPr="00CF1010">
        <w:rPr>
          <w:rFonts w:ascii="Calibri" w:eastAsia="Times New Roman" w:hAnsi="Calibri" w:cs="Calibri"/>
        </w:rPr>
        <w:t xml:space="preserve">. (Accessed on 19th July 2022). </w:t>
      </w:r>
    </w:p>
    <w:p w14:paraId="00000019"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color w:val="333333"/>
          <w:highlight w:val="white"/>
        </w:rPr>
      </w:pPr>
      <w:r w:rsidRPr="00CF1010">
        <w:rPr>
          <w:rFonts w:ascii="Calibri" w:eastAsia="Times New Roman" w:hAnsi="Calibri" w:cs="Calibri"/>
          <w:color w:val="333333"/>
          <w:highlight w:val="white"/>
        </w:rPr>
        <w:t xml:space="preserve">Community Planning Toolkit. (2021). National Standards for Community Engagement. Available at. </w:t>
      </w:r>
      <w:hyperlink r:id="rId10">
        <w:r w:rsidRPr="00CF1010">
          <w:rPr>
            <w:rFonts w:ascii="Calibri" w:eastAsia="Times New Roman" w:hAnsi="Calibri" w:cs="Calibri"/>
            <w:color w:val="1155CC"/>
            <w:highlight w:val="white"/>
            <w:u w:val="single"/>
          </w:rPr>
          <w:t>https://www.communityplanningtoolkit.org/sites/default/files/EngagementR5.pdf</w:t>
        </w:r>
      </w:hyperlink>
      <w:r w:rsidRPr="00CF1010">
        <w:rPr>
          <w:rFonts w:ascii="Calibri" w:eastAsia="Times New Roman" w:hAnsi="Calibri" w:cs="Calibri"/>
          <w:color w:val="333333"/>
          <w:highlight w:val="white"/>
        </w:rPr>
        <w:t xml:space="preserve">. (Accessed on 12th July 2022). </w:t>
      </w:r>
    </w:p>
    <w:p w14:paraId="0000001A"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proofErr w:type="gramStart"/>
      <w:r w:rsidRPr="00CF1010">
        <w:rPr>
          <w:rFonts w:ascii="Calibri" w:eastAsia="Times New Roman" w:hAnsi="Calibri" w:cs="Calibri"/>
        </w:rPr>
        <w:t>EPA.(</w:t>
      </w:r>
      <w:proofErr w:type="gramEnd"/>
      <w:r w:rsidRPr="00CF1010">
        <w:rPr>
          <w:rFonts w:ascii="Calibri" w:eastAsia="Times New Roman" w:hAnsi="Calibri" w:cs="Calibri"/>
        </w:rPr>
        <w:t xml:space="preserve">2020).Community Engagement Strategy. Available at. </w:t>
      </w:r>
      <w:hyperlink r:id="rId11">
        <w:r w:rsidRPr="00CF1010">
          <w:rPr>
            <w:rFonts w:ascii="Calibri" w:eastAsia="Times New Roman" w:hAnsi="Calibri" w:cs="Calibri"/>
            <w:color w:val="1155CC"/>
            <w:u w:val="single"/>
          </w:rPr>
          <w:t>https://www.epa.gov/sites/default/files/2017-03/documents/tribalswcommunityengagementstrategy508.pdf</w:t>
        </w:r>
      </w:hyperlink>
      <w:r w:rsidRPr="00CF1010">
        <w:rPr>
          <w:rFonts w:ascii="Calibri" w:eastAsia="Times New Roman" w:hAnsi="Calibri" w:cs="Calibri"/>
        </w:rPr>
        <w:t xml:space="preserve">. (Accessed on 10th July 2022). </w:t>
      </w:r>
    </w:p>
    <w:p w14:paraId="0000001B" w14:textId="11EE4506"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color w:val="222222"/>
          <w:highlight w:val="white"/>
        </w:rPr>
      </w:pPr>
      <w:proofErr w:type="spellStart"/>
      <w:r w:rsidRPr="00CF1010">
        <w:rPr>
          <w:rFonts w:ascii="Calibri" w:eastAsia="Times New Roman" w:hAnsi="Calibri" w:cs="Calibri"/>
          <w:color w:val="222222"/>
          <w:highlight w:val="white"/>
        </w:rPr>
        <w:t>Geekiyanage</w:t>
      </w:r>
      <w:proofErr w:type="spellEnd"/>
      <w:r w:rsidRPr="00CF1010">
        <w:rPr>
          <w:rFonts w:ascii="Calibri" w:eastAsia="Times New Roman" w:hAnsi="Calibri" w:cs="Calibri"/>
          <w:color w:val="222222"/>
          <w:highlight w:val="white"/>
        </w:rPr>
        <w:t xml:space="preserve">, D., Fernando, T. and </w:t>
      </w:r>
      <w:proofErr w:type="spellStart"/>
      <w:r w:rsidRPr="00CF1010">
        <w:rPr>
          <w:rFonts w:ascii="Calibri" w:eastAsia="Times New Roman" w:hAnsi="Calibri" w:cs="Calibri"/>
          <w:color w:val="222222"/>
          <w:highlight w:val="white"/>
        </w:rPr>
        <w:t>Keraminiyage</w:t>
      </w:r>
      <w:proofErr w:type="spellEnd"/>
      <w:r w:rsidRPr="00CF1010">
        <w:rPr>
          <w:rFonts w:ascii="Calibri" w:eastAsia="Times New Roman" w:hAnsi="Calibri" w:cs="Calibri"/>
          <w:color w:val="222222"/>
          <w:highlight w:val="white"/>
        </w:rPr>
        <w:t xml:space="preserve">, K., 2020. Assessing the state of the art in community engagement for participatory decision-making in disaster risk-sensitive urban development. </w:t>
      </w:r>
      <w:r w:rsidRPr="00CF1010">
        <w:rPr>
          <w:rFonts w:ascii="Calibri" w:eastAsia="Times New Roman" w:hAnsi="Calibri" w:cs="Calibri"/>
          <w:i/>
          <w:color w:val="222222"/>
          <w:highlight w:val="white"/>
        </w:rPr>
        <w:t>International journal of disaster risk reduction</w:t>
      </w:r>
      <w:r w:rsidRPr="00CF1010">
        <w:rPr>
          <w:rFonts w:ascii="Calibri" w:eastAsia="Times New Roman" w:hAnsi="Calibri" w:cs="Calibri"/>
          <w:color w:val="222222"/>
          <w:highlight w:val="white"/>
        </w:rPr>
        <w:t xml:space="preserve">, </w:t>
      </w:r>
      <w:r w:rsidRPr="00CF1010">
        <w:rPr>
          <w:rFonts w:ascii="Calibri" w:eastAsia="Times New Roman" w:hAnsi="Calibri" w:cs="Calibri"/>
          <w:i/>
          <w:color w:val="222222"/>
          <w:highlight w:val="white"/>
        </w:rPr>
        <w:t>51</w:t>
      </w:r>
      <w:r w:rsidRPr="00CF1010">
        <w:rPr>
          <w:rFonts w:ascii="Calibri" w:eastAsia="Times New Roman" w:hAnsi="Calibri" w:cs="Calibri"/>
          <w:color w:val="222222"/>
          <w:highlight w:val="white"/>
        </w:rPr>
        <w:t xml:space="preserve">, p.101847. </w:t>
      </w:r>
      <w:r w:rsidR="00CF1010" w:rsidRPr="00CF1010">
        <w:rPr>
          <w:rFonts w:ascii="Calibri" w:eastAsia="Times New Roman" w:hAnsi="Calibri" w:cs="Calibri"/>
          <w:color w:val="333333"/>
          <w:highlight w:val="white"/>
        </w:rPr>
        <w:t>(Accessed on 1</w:t>
      </w:r>
      <w:r w:rsidR="00CF1010">
        <w:rPr>
          <w:rFonts w:ascii="Calibri" w:eastAsia="Times New Roman" w:hAnsi="Calibri" w:cs="Calibri"/>
          <w:color w:val="333333"/>
          <w:highlight w:val="white"/>
        </w:rPr>
        <w:t>4</w:t>
      </w:r>
      <w:r w:rsidR="00CF1010" w:rsidRPr="00CF1010">
        <w:rPr>
          <w:rFonts w:ascii="Calibri" w:eastAsia="Times New Roman" w:hAnsi="Calibri" w:cs="Calibri"/>
          <w:color w:val="333333"/>
          <w:highlight w:val="white"/>
        </w:rPr>
        <w:t>th July 2022).</w:t>
      </w:r>
    </w:p>
    <w:p w14:paraId="0000001C"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proofErr w:type="spellStart"/>
      <w:r w:rsidRPr="00CF1010">
        <w:rPr>
          <w:rFonts w:ascii="Calibri" w:eastAsia="Times New Roman" w:hAnsi="Calibri" w:cs="Calibri"/>
        </w:rPr>
        <w:t>Ideopol</w:t>
      </w:r>
      <w:proofErr w:type="spellEnd"/>
      <w:r w:rsidRPr="00CF1010">
        <w:rPr>
          <w:rFonts w:ascii="Calibri" w:eastAsia="Times New Roman" w:hAnsi="Calibri" w:cs="Calibri"/>
        </w:rPr>
        <w:t xml:space="preserve">. (2020). SOCIOCULTURAL INTEGRATION POLICY IN MULTI-ETHNIC SOCIETIES: UNDERLYING CONCEPTS AND METHODOLOGICAL APPROACHES. Available at. </w:t>
      </w:r>
      <w:hyperlink r:id="rId12">
        <w:r w:rsidRPr="00CF1010">
          <w:rPr>
            <w:rFonts w:ascii="Calibri" w:eastAsia="Times New Roman" w:hAnsi="Calibri" w:cs="Calibri"/>
            <w:color w:val="1155CC"/>
            <w:u w:val="single"/>
          </w:rPr>
          <w:t>https://www.ideopol.org/wp-content/uploads/2020/10/ENG.-1.3.-Popov.pdf</w:t>
        </w:r>
      </w:hyperlink>
      <w:r w:rsidRPr="00CF1010">
        <w:rPr>
          <w:rFonts w:ascii="Calibri" w:eastAsia="Times New Roman" w:hAnsi="Calibri" w:cs="Calibri"/>
        </w:rPr>
        <w:t xml:space="preserve">. (Accessed on 18th July 2022). </w:t>
      </w:r>
    </w:p>
    <w:p w14:paraId="0000001D" w14:textId="79609E30"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r w:rsidRPr="00CF1010">
        <w:rPr>
          <w:rFonts w:ascii="Calibri" w:eastAsia="Times New Roman" w:hAnsi="Calibri" w:cs="Calibri"/>
        </w:rPr>
        <w:t xml:space="preserve">Kumar, J. and Kumar, V., 2020. Drivers of brand community engagement. </w:t>
      </w:r>
      <w:r w:rsidRPr="00CF1010">
        <w:rPr>
          <w:rFonts w:ascii="Calibri" w:eastAsia="Times New Roman" w:hAnsi="Calibri" w:cs="Calibri"/>
          <w:i/>
        </w:rPr>
        <w:t>Journal of Retailing and Consumer Services</w:t>
      </w:r>
      <w:r w:rsidRPr="00CF1010">
        <w:rPr>
          <w:rFonts w:ascii="Calibri" w:eastAsia="Times New Roman" w:hAnsi="Calibri" w:cs="Calibri"/>
        </w:rPr>
        <w:t>, 54, p.101949.</w:t>
      </w:r>
      <w:r w:rsidR="00CF1010">
        <w:rPr>
          <w:rFonts w:ascii="Calibri" w:eastAsia="Times New Roman" w:hAnsi="Calibri" w:cs="Calibri"/>
        </w:rPr>
        <w:t xml:space="preserve"> </w:t>
      </w:r>
      <w:r w:rsidR="00CF1010" w:rsidRPr="00CF1010">
        <w:rPr>
          <w:rFonts w:ascii="Calibri" w:eastAsia="Times New Roman" w:hAnsi="Calibri" w:cs="Calibri"/>
          <w:color w:val="333333"/>
          <w:highlight w:val="white"/>
        </w:rPr>
        <w:t>(Accessed on 1</w:t>
      </w:r>
      <w:r w:rsidR="00CF1010">
        <w:rPr>
          <w:rFonts w:ascii="Calibri" w:eastAsia="Times New Roman" w:hAnsi="Calibri" w:cs="Calibri"/>
          <w:color w:val="333333"/>
          <w:highlight w:val="white"/>
        </w:rPr>
        <w:t>8</w:t>
      </w:r>
      <w:r w:rsidR="00CF1010" w:rsidRPr="00CF1010">
        <w:rPr>
          <w:rFonts w:ascii="Calibri" w:eastAsia="Times New Roman" w:hAnsi="Calibri" w:cs="Calibri"/>
          <w:color w:val="333333"/>
          <w:highlight w:val="white"/>
        </w:rPr>
        <w:t>th July 2022).</w:t>
      </w:r>
    </w:p>
    <w:p w14:paraId="0000001E"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r w:rsidRPr="00CF1010">
        <w:rPr>
          <w:rFonts w:ascii="Calibri" w:eastAsia="Times New Roman" w:hAnsi="Calibri" w:cs="Calibri"/>
        </w:rPr>
        <w:t xml:space="preserve">Network For Business Sustainability. (2018). Engage Your Community Stakeholders: A Guide for Businesses. Available at. </w:t>
      </w:r>
      <w:hyperlink r:id="rId13" w:anchor=":~:text=Engaging%20with%20community%20stakeholders%20can,recruitment%20and%20preventing%20costly%20delays">
        <w:r w:rsidRPr="00CF1010">
          <w:rPr>
            <w:rFonts w:ascii="Calibri" w:eastAsia="Times New Roman" w:hAnsi="Calibri" w:cs="Calibri"/>
            <w:color w:val="1155CC"/>
            <w:u w:val="single"/>
          </w:rPr>
          <w:t>https://nbs.net/engage-your-community-stakeholders-an-introductory-guide-for-businesses/#:~:text=Engaging%20with%20community%20stakeholders%20can,recruitment%20and%20preventing%20costly%20delays</w:t>
        </w:r>
      </w:hyperlink>
      <w:r w:rsidRPr="00CF1010">
        <w:rPr>
          <w:rFonts w:ascii="Calibri" w:eastAsia="Times New Roman" w:hAnsi="Calibri" w:cs="Calibri"/>
        </w:rPr>
        <w:t xml:space="preserve">. (Accessed on 14th July 2022). </w:t>
      </w:r>
    </w:p>
    <w:p w14:paraId="0000001F"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proofErr w:type="spellStart"/>
      <w:r w:rsidRPr="00CF1010">
        <w:rPr>
          <w:rFonts w:ascii="Calibri" w:eastAsia="Times New Roman" w:hAnsi="Calibri" w:cs="Calibri"/>
        </w:rPr>
        <w:t>Orau</w:t>
      </w:r>
      <w:proofErr w:type="spellEnd"/>
      <w:r w:rsidRPr="00CF1010">
        <w:rPr>
          <w:rFonts w:ascii="Calibri" w:eastAsia="Times New Roman" w:hAnsi="Calibri" w:cs="Calibri"/>
        </w:rPr>
        <w:t xml:space="preserve">. (2021). Principles of Community Engagement. Available at. </w:t>
      </w:r>
      <w:hyperlink r:id="rId14">
        <w:r w:rsidRPr="00CF1010">
          <w:rPr>
            <w:rFonts w:ascii="Calibri" w:eastAsia="Times New Roman" w:hAnsi="Calibri" w:cs="Calibri"/>
            <w:color w:val="1155CC"/>
            <w:u w:val="single"/>
          </w:rPr>
          <w:t>https://www.orau.gov/sns/atrisktool/files/PrinciplesofCommunityEngagement.pdf</w:t>
        </w:r>
      </w:hyperlink>
      <w:r w:rsidRPr="00CF1010">
        <w:rPr>
          <w:rFonts w:ascii="Calibri" w:eastAsia="Times New Roman" w:hAnsi="Calibri" w:cs="Calibri"/>
        </w:rPr>
        <w:t xml:space="preserve">. (Accessed on 16th July 2022).  </w:t>
      </w:r>
    </w:p>
    <w:p w14:paraId="00000020"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r w:rsidRPr="00CF1010">
        <w:rPr>
          <w:rFonts w:ascii="Calibri" w:eastAsia="Times New Roman" w:hAnsi="Calibri" w:cs="Calibri"/>
        </w:rPr>
        <w:t xml:space="preserve">Penn State College of Agricultural Sciences. (2020). Core Principles of Community Engagement. Available at. </w:t>
      </w:r>
      <w:hyperlink r:id="rId15" w:anchor=":~:text=Equitably%20incorporate%20diverse%20people%2C%20voices,to%20advance%20the%20common%20good">
        <w:r w:rsidRPr="00CF1010">
          <w:rPr>
            <w:rFonts w:ascii="Calibri" w:eastAsia="Times New Roman" w:hAnsi="Calibri" w:cs="Calibri"/>
            <w:color w:val="1155CC"/>
            <w:u w:val="single"/>
          </w:rPr>
          <w:t>https://aese.psu.edu/research/centers/cecd/engagement-</w:t>
        </w:r>
        <w:r w:rsidRPr="00CF1010">
          <w:rPr>
            <w:rFonts w:ascii="Calibri" w:eastAsia="Times New Roman" w:hAnsi="Calibri" w:cs="Calibri"/>
            <w:color w:val="1155CC"/>
            <w:u w:val="single"/>
          </w:rPr>
          <w:lastRenderedPageBreak/>
          <w:t>toolbox/engagement/core-principles-of-community-engagement#:~:text=Equitably%20incorporate%20diverse%20people%2C%20voices,to%20advance%20the%20common%20good</w:t>
        </w:r>
      </w:hyperlink>
      <w:r w:rsidRPr="00CF1010">
        <w:rPr>
          <w:rFonts w:ascii="Calibri" w:eastAsia="Times New Roman" w:hAnsi="Calibri" w:cs="Calibri"/>
        </w:rPr>
        <w:t xml:space="preserve">. (Accessed on 20th July 2022).  </w:t>
      </w:r>
    </w:p>
    <w:p w14:paraId="00000021" w14:textId="77777777"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proofErr w:type="spellStart"/>
      <w:r w:rsidRPr="00CF1010">
        <w:rPr>
          <w:rFonts w:ascii="Calibri" w:eastAsia="Times New Roman" w:hAnsi="Calibri" w:cs="Calibri"/>
        </w:rPr>
        <w:t>Scdc</w:t>
      </w:r>
      <w:proofErr w:type="spellEnd"/>
      <w:r w:rsidRPr="00CF1010">
        <w:rPr>
          <w:rFonts w:ascii="Calibri" w:eastAsia="Times New Roman" w:hAnsi="Calibri" w:cs="Calibri"/>
        </w:rPr>
        <w:t xml:space="preserve">. (2022). National Standards for Community Engagement. Available at. </w:t>
      </w:r>
      <w:hyperlink r:id="rId16">
        <w:r w:rsidRPr="00CF1010">
          <w:rPr>
            <w:rFonts w:ascii="Calibri" w:eastAsia="Times New Roman" w:hAnsi="Calibri" w:cs="Calibri"/>
            <w:color w:val="1155CC"/>
            <w:u w:val="single"/>
          </w:rPr>
          <w:t>https://www.scdc.org.uk/what/national-standards</w:t>
        </w:r>
      </w:hyperlink>
      <w:r w:rsidRPr="00CF1010">
        <w:rPr>
          <w:rFonts w:ascii="Calibri" w:eastAsia="Times New Roman" w:hAnsi="Calibri" w:cs="Calibri"/>
        </w:rPr>
        <w:t xml:space="preserve">. (Accessed on 10th July 2022). </w:t>
      </w:r>
    </w:p>
    <w:p w14:paraId="00000022" w14:textId="05F74764"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color w:val="222222"/>
          <w:highlight w:val="white"/>
        </w:rPr>
      </w:pPr>
      <w:r w:rsidRPr="00CF1010">
        <w:rPr>
          <w:rFonts w:ascii="Calibri" w:eastAsia="Times New Roman" w:hAnsi="Calibri" w:cs="Calibri"/>
          <w:color w:val="222222"/>
          <w:highlight w:val="white"/>
        </w:rPr>
        <w:t xml:space="preserve">Warren, C.S. and </w:t>
      </w:r>
      <w:proofErr w:type="spellStart"/>
      <w:r w:rsidRPr="00CF1010">
        <w:rPr>
          <w:rFonts w:ascii="Calibri" w:eastAsia="Times New Roman" w:hAnsi="Calibri" w:cs="Calibri"/>
          <w:color w:val="222222"/>
          <w:highlight w:val="white"/>
        </w:rPr>
        <w:t>Akoury</w:t>
      </w:r>
      <w:proofErr w:type="spellEnd"/>
      <w:r w:rsidRPr="00CF1010">
        <w:rPr>
          <w:rFonts w:ascii="Calibri" w:eastAsia="Times New Roman" w:hAnsi="Calibri" w:cs="Calibri"/>
          <w:color w:val="222222"/>
          <w:highlight w:val="white"/>
        </w:rPr>
        <w:t xml:space="preserve">, L.M., 2020. Emphasizing the “cultural” in sociocultural: A systematic review of research on thin-ideal internalization, acculturation, and eating pathology in US ethnic minorities. </w:t>
      </w:r>
      <w:r w:rsidRPr="00CF1010">
        <w:rPr>
          <w:rFonts w:ascii="Calibri" w:eastAsia="Times New Roman" w:hAnsi="Calibri" w:cs="Calibri"/>
          <w:i/>
          <w:color w:val="222222"/>
          <w:highlight w:val="white"/>
        </w:rPr>
        <w:t xml:space="preserve">Psychology Research and </w:t>
      </w:r>
      <w:proofErr w:type="spellStart"/>
      <w:r w:rsidRPr="00CF1010">
        <w:rPr>
          <w:rFonts w:ascii="Calibri" w:eastAsia="Times New Roman" w:hAnsi="Calibri" w:cs="Calibri"/>
          <w:i/>
          <w:color w:val="222222"/>
          <w:highlight w:val="white"/>
        </w:rPr>
        <w:t>Behavior</w:t>
      </w:r>
      <w:proofErr w:type="spellEnd"/>
      <w:r w:rsidRPr="00CF1010">
        <w:rPr>
          <w:rFonts w:ascii="Calibri" w:eastAsia="Times New Roman" w:hAnsi="Calibri" w:cs="Calibri"/>
          <w:i/>
          <w:color w:val="222222"/>
          <w:highlight w:val="white"/>
        </w:rPr>
        <w:t xml:space="preserve"> Management</w:t>
      </w:r>
      <w:r w:rsidRPr="00CF1010">
        <w:rPr>
          <w:rFonts w:ascii="Calibri" w:eastAsia="Times New Roman" w:hAnsi="Calibri" w:cs="Calibri"/>
          <w:color w:val="222222"/>
          <w:highlight w:val="white"/>
        </w:rPr>
        <w:t xml:space="preserve">, </w:t>
      </w:r>
      <w:r w:rsidRPr="00CF1010">
        <w:rPr>
          <w:rFonts w:ascii="Calibri" w:eastAsia="Times New Roman" w:hAnsi="Calibri" w:cs="Calibri"/>
          <w:i/>
          <w:color w:val="222222"/>
          <w:highlight w:val="white"/>
        </w:rPr>
        <w:t>13</w:t>
      </w:r>
      <w:r w:rsidRPr="00CF1010">
        <w:rPr>
          <w:rFonts w:ascii="Calibri" w:eastAsia="Times New Roman" w:hAnsi="Calibri" w:cs="Calibri"/>
          <w:color w:val="222222"/>
          <w:highlight w:val="white"/>
        </w:rPr>
        <w:t xml:space="preserve">, p.319. </w:t>
      </w:r>
      <w:r w:rsidR="00CF1010" w:rsidRPr="00CF1010">
        <w:rPr>
          <w:rFonts w:ascii="Calibri" w:eastAsia="Times New Roman" w:hAnsi="Calibri" w:cs="Calibri"/>
          <w:color w:val="333333"/>
          <w:highlight w:val="white"/>
        </w:rPr>
        <w:t xml:space="preserve">(Accessed on </w:t>
      </w:r>
      <w:r w:rsidR="00CF1010">
        <w:rPr>
          <w:rFonts w:ascii="Calibri" w:eastAsia="Times New Roman" w:hAnsi="Calibri" w:cs="Calibri"/>
          <w:color w:val="333333"/>
          <w:highlight w:val="white"/>
        </w:rPr>
        <w:t xml:space="preserve">20 </w:t>
      </w:r>
      <w:proofErr w:type="spellStart"/>
      <w:r w:rsidR="00CF1010" w:rsidRPr="00CF1010">
        <w:rPr>
          <w:rFonts w:ascii="Calibri" w:eastAsia="Times New Roman" w:hAnsi="Calibri" w:cs="Calibri"/>
          <w:color w:val="333333"/>
          <w:highlight w:val="white"/>
        </w:rPr>
        <w:t>th</w:t>
      </w:r>
      <w:proofErr w:type="spellEnd"/>
      <w:r w:rsidR="00CF1010" w:rsidRPr="00CF1010">
        <w:rPr>
          <w:rFonts w:ascii="Calibri" w:eastAsia="Times New Roman" w:hAnsi="Calibri" w:cs="Calibri"/>
          <w:color w:val="333333"/>
          <w:highlight w:val="white"/>
        </w:rPr>
        <w:t xml:space="preserve"> July 2022).</w:t>
      </w:r>
    </w:p>
    <w:p w14:paraId="00000023" w14:textId="3FEC40C4"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color w:val="222222"/>
          <w:highlight w:val="white"/>
        </w:rPr>
      </w:pPr>
      <w:r w:rsidRPr="00CF1010">
        <w:rPr>
          <w:rFonts w:ascii="Calibri" w:eastAsia="Times New Roman" w:hAnsi="Calibri" w:cs="Calibri"/>
          <w:color w:val="222222"/>
          <w:highlight w:val="white"/>
        </w:rPr>
        <w:t xml:space="preserve">Westman, L., </w:t>
      </w:r>
      <w:proofErr w:type="spellStart"/>
      <w:r w:rsidRPr="00CF1010">
        <w:rPr>
          <w:rFonts w:ascii="Calibri" w:eastAsia="Times New Roman" w:hAnsi="Calibri" w:cs="Calibri"/>
          <w:color w:val="222222"/>
          <w:highlight w:val="white"/>
        </w:rPr>
        <w:t>Luederitz</w:t>
      </w:r>
      <w:proofErr w:type="spellEnd"/>
      <w:r w:rsidRPr="00CF1010">
        <w:rPr>
          <w:rFonts w:ascii="Calibri" w:eastAsia="Times New Roman" w:hAnsi="Calibri" w:cs="Calibri"/>
          <w:color w:val="222222"/>
          <w:highlight w:val="white"/>
        </w:rPr>
        <w:t xml:space="preserve">, C., </w:t>
      </w:r>
      <w:proofErr w:type="spellStart"/>
      <w:r w:rsidRPr="00CF1010">
        <w:rPr>
          <w:rFonts w:ascii="Calibri" w:eastAsia="Times New Roman" w:hAnsi="Calibri" w:cs="Calibri"/>
          <w:color w:val="222222"/>
          <w:highlight w:val="white"/>
        </w:rPr>
        <w:t>Kundurpi</w:t>
      </w:r>
      <w:proofErr w:type="spellEnd"/>
      <w:r w:rsidRPr="00CF1010">
        <w:rPr>
          <w:rFonts w:ascii="Calibri" w:eastAsia="Times New Roman" w:hAnsi="Calibri" w:cs="Calibri"/>
          <w:color w:val="222222"/>
          <w:highlight w:val="white"/>
        </w:rPr>
        <w:t xml:space="preserve">, A., Mercado, A.J., Weber, O. and Burch, S.L., 2019. Conceptualizing businesses as social actors: A framework for understanding sustainability actions in small‐and medium‐sized enterprises. </w:t>
      </w:r>
      <w:r w:rsidRPr="00CF1010">
        <w:rPr>
          <w:rFonts w:ascii="Calibri" w:eastAsia="Times New Roman" w:hAnsi="Calibri" w:cs="Calibri"/>
          <w:i/>
          <w:color w:val="222222"/>
          <w:highlight w:val="white"/>
        </w:rPr>
        <w:t>Business Strategy and the Environment</w:t>
      </w:r>
      <w:r w:rsidRPr="00CF1010">
        <w:rPr>
          <w:rFonts w:ascii="Calibri" w:eastAsia="Times New Roman" w:hAnsi="Calibri" w:cs="Calibri"/>
          <w:color w:val="222222"/>
          <w:highlight w:val="white"/>
        </w:rPr>
        <w:t xml:space="preserve">, </w:t>
      </w:r>
      <w:r w:rsidRPr="00CF1010">
        <w:rPr>
          <w:rFonts w:ascii="Calibri" w:eastAsia="Times New Roman" w:hAnsi="Calibri" w:cs="Calibri"/>
          <w:i/>
          <w:color w:val="222222"/>
          <w:highlight w:val="white"/>
        </w:rPr>
        <w:t>28</w:t>
      </w:r>
      <w:r w:rsidRPr="00CF1010">
        <w:rPr>
          <w:rFonts w:ascii="Calibri" w:eastAsia="Times New Roman" w:hAnsi="Calibri" w:cs="Calibri"/>
          <w:color w:val="222222"/>
          <w:highlight w:val="white"/>
        </w:rPr>
        <w:t xml:space="preserve">(2), pp.388-402. </w:t>
      </w:r>
      <w:r w:rsidR="00CF1010" w:rsidRPr="00CF1010">
        <w:rPr>
          <w:rFonts w:ascii="Calibri" w:eastAsia="Times New Roman" w:hAnsi="Calibri" w:cs="Calibri"/>
          <w:color w:val="333333"/>
          <w:highlight w:val="white"/>
        </w:rPr>
        <w:t xml:space="preserve">(Accessed on </w:t>
      </w:r>
      <w:r w:rsidR="00CF1010">
        <w:rPr>
          <w:rFonts w:ascii="Calibri" w:eastAsia="Times New Roman" w:hAnsi="Calibri" w:cs="Calibri"/>
          <w:color w:val="333333"/>
          <w:highlight w:val="white"/>
        </w:rPr>
        <w:t>2</w:t>
      </w:r>
      <w:r w:rsidR="00CF1010" w:rsidRPr="00CF1010">
        <w:rPr>
          <w:rFonts w:ascii="Calibri" w:eastAsia="Times New Roman" w:hAnsi="Calibri" w:cs="Calibri"/>
          <w:color w:val="333333"/>
          <w:highlight w:val="white"/>
        </w:rPr>
        <w:t>1th July 2022).</w:t>
      </w:r>
    </w:p>
    <w:p w14:paraId="00000024" w14:textId="711AB81B" w:rsidR="00F900C3" w:rsidRPr="00CF1010" w:rsidRDefault="00740CCA" w:rsidP="00CF1010">
      <w:pPr>
        <w:pStyle w:val="ListParagraph"/>
        <w:numPr>
          <w:ilvl w:val="0"/>
          <w:numId w:val="1"/>
        </w:numPr>
        <w:spacing w:line="360" w:lineRule="auto"/>
        <w:ind w:left="0" w:firstLine="284"/>
        <w:jc w:val="both"/>
        <w:rPr>
          <w:rFonts w:ascii="Calibri" w:eastAsia="Times New Roman" w:hAnsi="Calibri" w:cs="Calibri"/>
        </w:rPr>
      </w:pPr>
      <w:r w:rsidRPr="00CF1010">
        <w:rPr>
          <w:rFonts w:ascii="Calibri" w:eastAsia="Times New Roman" w:hAnsi="Calibri" w:cs="Calibri"/>
        </w:rPr>
        <w:t xml:space="preserve">Yuan, D., Lin, Z., </w:t>
      </w:r>
      <w:proofErr w:type="spellStart"/>
      <w:r w:rsidRPr="00CF1010">
        <w:rPr>
          <w:rFonts w:ascii="Calibri" w:eastAsia="Times New Roman" w:hAnsi="Calibri" w:cs="Calibri"/>
        </w:rPr>
        <w:t>Filieri</w:t>
      </w:r>
      <w:proofErr w:type="spellEnd"/>
      <w:r w:rsidRPr="00CF1010">
        <w:rPr>
          <w:rFonts w:ascii="Calibri" w:eastAsia="Times New Roman" w:hAnsi="Calibri" w:cs="Calibri"/>
        </w:rPr>
        <w:t xml:space="preserve">, R., Liu, R. and Zheng, M., 2020. Managing the product-harm crisis in the digital era: The role of consumer online brand community engagement. </w:t>
      </w:r>
      <w:r w:rsidRPr="00CF1010">
        <w:rPr>
          <w:rFonts w:ascii="Calibri" w:eastAsia="Times New Roman" w:hAnsi="Calibri" w:cs="Calibri"/>
          <w:i/>
        </w:rPr>
        <w:t>Journal of Business Research,</w:t>
      </w:r>
      <w:r w:rsidRPr="00CF1010">
        <w:rPr>
          <w:rFonts w:ascii="Calibri" w:eastAsia="Times New Roman" w:hAnsi="Calibri" w:cs="Calibri"/>
        </w:rPr>
        <w:t xml:space="preserve"> 115, pp.38-47. </w:t>
      </w:r>
      <w:r w:rsidR="00CF1010" w:rsidRPr="00CF1010">
        <w:rPr>
          <w:rFonts w:ascii="Calibri" w:eastAsia="Times New Roman" w:hAnsi="Calibri" w:cs="Calibri"/>
          <w:color w:val="333333"/>
          <w:highlight w:val="white"/>
        </w:rPr>
        <w:t xml:space="preserve">(Accessed on </w:t>
      </w:r>
      <w:r w:rsidR="00CF1010">
        <w:rPr>
          <w:rFonts w:ascii="Calibri" w:eastAsia="Times New Roman" w:hAnsi="Calibri" w:cs="Calibri"/>
          <w:color w:val="333333"/>
          <w:highlight w:val="white"/>
        </w:rPr>
        <w:t>20</w:t>
      </w:r>
      <w:r w:rsidR="00CF1010" w:rsidRPr="00CF1010">
        <w:rPr>
          <w:rFonts w:ascii="Calibri" w:eastAsia="Times New Roman" w:hAnsi="Calibri" w:cs="Calibri"/>
          <w:color w:val="333333"/>
          <w:highlight w:val="white"/>
        </w:rPr>
        <w:t>th July 2022).</w:t>
      </w:r>
    </w:p>
    <w:p w14:paraId="00000025" w14:textId="77777777" w:rsidR="00F900C3" w:rsidRPr="00CF1010" w:rsidRDefault="00F900C3" w:rsidP="00CF1010">
      <w:pPr>
        <w:spacing w:line="360" w:lineRule="auto"/>
        <w:ind w:firstLine="284"/>
        <w:jc w:val="both"/>
        <w:rPr>
          <w:rFonts w:ascii="Calibri" w:eastAsia="Times New Roman" w:hAnsi="Calibri" w:cs="Calibri"/>
        </w:rPr>
      </w:pPr>
    </w:p>
    <w:p w14:paraId="00000026" w14:textId="77777777" w:rsidR="00F900C3" w:rsidRPr="00CF1010" w:rsidRDefault="00F900C3" w:rsidP="00CF1010">
      <w:pPr>
        <w:spacing w:line="360" w:lineRule="auto"/>
        <w:ind w:firstLine="284"/>
        <w:jc w:val="both"/>
        <w:rPr>
          <w:rFonts w:ascii="Calibri" w:eastAsia="Times New Roman" w:hAnsi="Calibri" w:cs="Calibri"/>
        </w:rPr>
      </w:pPr>
    </w:p>
    <w:p w14:paraId="00000027" w14:textId="77777777" w:rsidR="00F900C3" w:rsidRPr="00CF1010" w:rsidRDefault="00F900C3" w:rsidP="00CF1010">
      <w:pPr>
        <w:widowControl w:val="0"/>
        <w:pBdr>
          <w:top w:val="nil"/>
          <w:left w:val="nil"/>
          <w:bottom w:val="nil"/>
          <w:right w:val="nil"/>
          <w:between w:val="nil"/>
        </w:pBdr>
        <w:spacing w:line="360" w:lineRule="auto"/>
        <w:ind w:firstLine="284"/>
        <w:jc w:val="both"/>
        <w:rPr>
          <w:rFonts w:ascii="Calibri" w:eastAsia="Times New Roman" w:hAnsi="Calibri" w:cs="Calibri"/>
        </w:rPr>
      </w:pPr>
    </w:p>
    <w:sectPr w:rsidR="00F900C3" w:rsidRPr="00CF1010">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0D171" w14:textId="77777777" w:rsidR="009B0DDE" w:rsidRDefault="009B0DDE">
      <w:pPr>
        <w:spacing w:line="240" w:lineRule="auto"/>
      </w:pPr>
      <w:r>
        <w:separator/>
      </w:r>
    </w:p>
  </w:endnote>
  <w:endnote w:type="continuationSeparator" w:id="0">
    <w:p w14:paraId="33446776" w14:textId="77777777" w:rsidR="009B0DDE" w:rsidRDefault="009B0D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676BAE3B" w:rsidR="00F900C3" w:rsidRDefault="00740CCA">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CF1010">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D77E" w14:textId="77777777" w:rsidR="009B0DDE" w:rsidRDefault="009B0DDE">
      <w:pPr>
        <w:spacing w:line="240" w:lineRule="auto"/>
      </w:pPr>
      <w:r>
        <w:separator/>
      </w:r>
    </w:p>
  </w:footnote>
  <w:footnote w:type="continuationSeparator" w:id="0">
    <w:p w14:paraId="6BB12E8F" w14:textId="77777777" w:rsidR="009B0DDE" w:rsidRDefault="009B0D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D4B64"/>
    <w:multiLevelType w:val="hybridMultilevel"/>
    <w:tmpl w:val="FBBE3AE4"/>
    <w:lvl w:ilvl="0" w:tplc="0809000F">
      <w:start w:val="1"/>
      <w:numFmt w:val="decimal"/>
      <w:lvlText w:val="%1."/>
      <w:lvlJc w:val="left"/>
      <w:pPr>
        <w:ind w:left="1288" w:hanging="360"/>
      </w:pPr>
    </w:lvl>
    <w:lvl w:ilvl="1" w:tplc="08090019" w:tentative="1">
      <w:start w:val="1"/>
      <w:numFmt w:val="lowerLetter"/>
      <w:lvlText w:val="%2."/>
      <w:lvlJc w:val="left"/>
      <w:pPr>
        <w:ind w:left="2008" w:hanging="360"/>
      </w:pPr>
    </w:lvl>
    <w:lvl w:ilvl="2" w:tplc="0809001B" w:tentative="1">
      <w:start w:val="1"/>
      <w:numFmt w:val="lowerRoman"/>
      <w:lvlText w:val="%3."/>
      <w:lvlJc w:val="right"/>
      <w:pPr>
        <w:ind w:left="2728" w:hanging="180"/>
      </w:pPr>
    </w:lvl>
    <w:lvl w:ilvl="3" w:tplc="0809000F" w:tentative="1">
      <w:start w:val="1"/>
      <w:numFmt w:val="decimal"/>
      <w:lvlText w:val="%4."/>
      <w:lvlJc w:val="left"/>
      <w:pPr>
        <w:ind w:left="3448" w:hanging="360"/>
      </w:pPr>
    </w:lvl>
    <w:lvl w:ilvl="4" w:tplc="08090019" w:tentative="1">
      <w:start w:val="1"/>
      <w:numFmt w:val="lowerLetter"/>
      <w:lvlText w:val="%5."/>
      <w:lvlJc w:val="left"/>
      <w:pPr>
        <w:ind w:left="4168" w:hanging="360"/>
      </w:pPr>
    </w:lvl>
    <w:lvl w:ilvl="5" w:tplc="0809001B" w:tentative="1">
      <w:start w:val="1"/>
      <w:numFmt w:val="lowerRoman"/>
      <w:lvlText w:val="%6."/>
      <w:lvlJc w:val="right"/>
      <w:pPr>
        <w:ind w:left="4888" w:hanging="180"/>
      </w:pPr>
    </w:lvl>
    <w:lvl w:ilvl="6" w:tplc="0809000F" w:tentative="1">
      <w:start w:val="1"/>
      <w:numFmt w:val="decimal"/>
      <w:lvlText w:val="%7."/>
      <w:lvlJc w:val="left"/>
      <w:pPr>
        <w:ind w:left="5608" w:hanging="360"/>
      </w:pPr>
    </w:lvl>
    <w:lvl w:ilvl="7" w:tplc="08090019" w:tentative="1">
      <w:start w:val="1"/>
      <w:numFmt w:val="lowerLetter"/>
      <w:lvlText w:val="%8."/>
      <w:lvlJc w:val="left"/>
      <w:pPr>
        <w:ind w:left="6328" w:hanging="360"/>
      </w:pPr>
    </w:lvl>
    <w:lvl w:ilvl="8" w:tplc="0809001B" w:tentative="1">
      <w:start w:val="1"/>
      <w:numFmt w:val="lowerRoman"/>
      <w:lvlText w:val="%9."/>
      <w:lvlJc w:val="right"/>
      <w:pPr>
        <w:ind w:left="7048" w:hanging="180"/>
      </w:pPr>
    </w:lvl>
  </w:abstractNum>
  <w:num w:numId="1" w16cid:durableId="1038554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0C3"/>
    <w:rsid w:val="002E5BAB"/>
    <w:rsid w:val="003F6ECF"/>
    <w:rsid w:val="00740CCA"/>
    <w:rsid w:val="009455B4"/>
    <w:rsid w:val="009B0DDE"/>
    <w:rsid w:val="00CF1010"/>
    <w:rsid w:val="00F90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9CE2F"/>
  <w15:docId w15:val="{8847A9F5-14C6-2F4C-8914-FBC32D166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CF101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F10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745553">
      <w:bodyDiv w:val="1"/>
      <w:marLeft w:val="0"/>
      <w:marRight w:val="0"/>
      <w:marTop w:val="0"/>
      <w:marBottom w:val="0"/>
      <w:divBdr>
        <w:top w:val="none" w:sz="0" w:space="0" w:color="auto"/>
        <w:left w:val="none" w:sz="0" w:space="0" w:color="auto"/>
        <w:bottom w:val="none" w:sz="0" w:space="0" w:color="auto"/>
        <w:right w:val="none" w:sz="0" w:space="0" w:color="auto"/>
      </w:divBdr>
      <w:divsChild>
        <w:div w:id="2024428851">
          <w:marLeft w:val="0"/>
          <w:marRight w:val="0"/>
          <w:marTop w:val="0"/>
          <w:marBottom w:val="0"/>
          <w:divBdr>
            <w:top w:val="none" w:sz="0" w:space="0" w:color="auto"/>
            <w:left w:val="none" w:sz="0" w:space="0" w:color="auto"/>
            <w:bottom w:val="none" w:sz="0" w:space="0" w:color="auto"/>
            <w:right w:val="none" w:sz="0" w:space="0" w:color="auto"/>
          </w:divBdr>
          <w:divsChild>
            <w:div w:id="440414928">
              <w:marLeft w:val="0"/>
              <w:marRight w:val="0"/>
              <w:marTop w:val="0"/>
              <w:marBottom w:val="0"/>
              <w:divBdr>
                <w:top w:val="none" w:sz="0" w:space="0" w:color="auto"/>
                <w:left w:val="none" w:sz="0" w:space="0" w:color="auto"/>
                <w:bottom w:val="none" w:sz="0" w:space="0" w:color="auto"/>
                <w:right w:val="none" w:sz="0" w:space="0" w:color="auto"/>
              </w:divBdr>
              <w:divsChild>
                <w:div w:id="1118447356">
                  <w:marLeft w:val="0"/>
                  <w:marRight w:val="0"/>
                  <w:marTop w:val="0"/>
                  <w:marBottom w:val="0"/>
                  <w:divBdr>
                    <w:top w:val="none" w:sz="0" w:space="0" w:color="auto"/>
                    <w:left w:val="none" w:sz="0" w:space="0" w:color="auto"/>
                    <w:bottom w:val="none" w:sz="0" w:space="0" w:color="auto"/>
                    <w:right w:val="none" w:sz="0" w:space="0" w:color="auto"/>
                  </w:divBdr>
                  <w:divsChild>
                    <w:div w:id="156868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tsdr.cdc.gov/communityengagement/pce_challenges_intro.html" TargetMode="External"/><Relationship Id="rId13" Type="http://schemas.openxmlformats.org/officeDocument/2006/relationships/hyperlink" Target="https://nbs.net/engage-your-community-stakeholders-an-introductory-guide-for-business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deopol.org/wp-content/uploads/2020/10/ENG.-1.3.-Popov.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dc.org.uk/what/national-stand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pa.gov/sites/default/files/2017-03/documents/tribalswcommunityengagementstrategy508.pdf" TargetMode="External"/><Relationship Id="rId5" Type="http://schemas.openxmlformats.org/officeDocument/2006/relationships/footnotes" Target="footnotes.xml"/><Relationship Id="rId15" Type="http://schemas.openxmlformats.org/officeDocument/2006/relationships/hyperlink" Target="https://aese.psu.edu/research/centers/cecd/engagement-toolbox/engagement/core-principles-of-community-engagement" TargetMode="External"/><Relationship Id="rId10" Type="http://schemas.openxmlformats.org/officeDocument/2006/relationships/hyperlink" Target="https://www.communityplanningtoolkit.org/sites/default/files/EngagementR5.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itc.org.uk/case-study/kpmg-allyship-to-drive-race-equality/" TargetMode="External"/><Relationship Id="rId14" Type="http://schemas.openxmlformats.org/officeDocument/2006/relationships/hyperlink" Target="https://www.orau.gov/sns/atrisktool/files/PrinciplesofCommunityEng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9</Pages>
  <Words>2837</Words>
  <Characters>16176</Characters>
  <Application>Microsoft Office Word</Application>
  <DocSecurity>0</DocSecurity>
  <Lines>134</Lines>
  <Paragraphs>37</Paragraphs>
  <ScaleCrop>false</ScaleCrop>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Carmen</cp:lastModifiedBy>
  <cp:revision>4</cp:revision>
  <dcterms:created xsi:type="dcterms:W3CDTF">2022-07-25T16:34:00Z</dcterms:created>
  <dcterms:modified xsi:type="dcterms:W3CDTF">2022-07-25T18:20:00Z</dcterms:modified>
</cp:coreProperties>
</file>