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ACE27" w14:textId="77777777" w:rsidR="00365C3E" w:rsidRDefault="000075C5">
      <w:pPr>
        <w:jc w:val="center"/>
        <w:rPr>
          <w:rFonts w:ascii="Times New Roman" w:hAnsi="Times New Roman" w:cs="Times New Roman"/>
          <w:b/>
          <w:color w:val="000000"/>
          <w:sz w:val="32"/>
          <w:szCs w:val="32"/>
        </w:rPr>
      </w:pPr>
      <w:r>
        <w:rPr>
          <w:rFonts w:ascii="Times New Roman" w:hAnsi="Times New Roman" w:cs="Times New Roman"/>
          <w:b/>
          <w:noProof/>
          <w:color w:val="000000"/>
          <w:sz w:val="32"/>
          <w:szCs w:val="32"/>
        </w:rPr>
        <w:drawing>
          <wp:inline distT="0" distB="0" distL="85723" distR="85723" wp14:anchorId="750D45B1" wp14:editId="193782C0">
            <wp:extent cx="5220848" cy="131327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6"/>
                    <a:stretch>
                      <a:fillRect/>
                    </a:stretch>
                  </pic:blipFill>
                  <pic:spPr>
                    <a:xfrm>
                      <a:off x="0" y="0"/>
                      <a:ext cx="5220848" cy="1313275"/>
                    </a:xfrm>
                    <a:prstGeom prst="rect">
                      <a:avLst/>
                    </a:prstGeom>
                    <a:noFill/>
                    <a:ln w="12700" cap="flat" cmpd="sng">
                      <a:noFill/>
                      <a:prstDash val="solid"/>
                      <a:miter/>
                    </a:ln>
                  </pic:spPr>
                </pic:pic>
              </a:graphicData>
            </a:graphic>
          </wp:inline>
        </w:drawing>
      </w:r>
    </w:p>
    <w:p w14:paraId="71839125" w14:textId="77777777" w:rsidR="00365C3E" w:rsidRDefault="00365C3E">
      <w:pPr>
        <w:jc w:val="center"/>
        <w:rPr>
          <w:rFonts w:ascii="Times New Roman" w:hAnsi="Times New Roman" w:cs="Times New Roman"/>
          <w:b/>
          <w:color w:val="000000"/>
          <w:sz w:val="32"/>
          <w:szCs w:val="32"/>
        </w:rPr>
      </w:pPr>
    </w:p>
    <w:p w14:paraId="5F64369E" w14:textId="77777777" w:rsidR="00365C3E" w:rsidRDefault="00365C3E">
      <w:pPr>
        <w:jc w:val="center"/>
        <w:rPr>
          <w:rFonts w:ascii="Times New Roman" w:hAnsi="Times New Roman" w:cs="Times New Roman"/>
          <w:b/>
          <w:color w:val="000000"/>
          <w:sz w:val="32"/>
          <w:szCs w:val="32"/>
        </w:rPr>
      </w:pPr>
    </w:p>
    <w:p w14:paraId="2290471B" w14:textId="77777777" w:rsidR="00365C3E" w:rsidRDefault="00365C3E">
      <w:pPr>
        <w:jc w:val="center"/>
        <w:rPr>
          <w:rFonts w:ascii="Times New Roman" w:hAnsi="Times New Roman" w:cs="Times New Roman"/>
          <w:b/>
          <w:color w:val="000000"/>
          <w:sz w:val="32"/>
          <w:szCs w:val="32"/>
        </w:rPr>
      </w:pPr>
    </w:p>
    <w:p w14:paraId="1404AC61" w14:textId="77777777" w:rsidR="00365C3E" w:rsidRDefault="00365C3E">
      <w:pPr>
        <w:jc w:val="center"/>
        <w:rPr>
          <w:rFonts w:ascii="Times New Roman" w:hAnsi="Times New Roman" w:cs="Times New Roman"/>
          <w:b/>
          <w:color w:val="000000"/>
          <w:sz w:val="32"/>
          <w:szCs w:val="32"/>
        </w:rPr>
      </w:pPr>
    </w:p>
    <w:p w14:paraId="1255C95A" w14:textId="77777777" w:rsidR="00365C3E" w:rsidRDefault="000075C5">
      <w:pPr>
        <w:jc w:val="center"/>
        <w:rPr>
          <w:rFonts w:ascii="Times New Roman" w:hAnsi="Times New Roman" w:cs="Times New Roman"/>
          <w:b/>
          <w:color w:val="000000"/>
          <w:sz w:val="28"/>
          <w:szCs w:val="28"/>
        </w:rPr>
      </w:pPr>
      <w:r>
        <w:rPr>
          <w:rFonts w:ascii="Times New Roman" w:hAnsi="Times New Roman" w:cs="Times New Roman"/>
          <w:b/>
          <w:color w:val="000000"/>
          <w:sz w:val="28"/>
          <w:szCs w:val="28"/>
        </w:rPr>
        <w:t xml:space="preserve">Program </w:t>
      </w:r>
      <w:proofErr w:type="spellStart"/>
      <w:r>
        <w:rPr>
          <w:rFonts w:ascii="Times New Roman" w:hAnsi="Times New Roman" w:cs="Times New Roman"/>
          <w:b/>
          <w:color w:val="000000"/>
          <w:sz w:val="28"/>
          <w:szCs w:val="28"/>
        </w:rPr>
        <w:t>Name:MBA</w:t>
      </w:r>
      <w:proofErr w:type="spellEnd"/>
      <w:r>
        <w:rPr>
          <w:rFonts w:ascii="Times New Roman" w:hAnsi="Times New Roman" w:cs="Times New Roman"/>
          <w:b/>
          <w:color w:val="000000"/>
          <w:sz w:val="28"/>
          <w:szCs w:val="28"/>
        </w:rPr>
        <w:t xml:space="preserve"> International Business</w:t>
      </w:r>
    </w:p>
    <w:p w14:paraId="001A3972" w14:textId="77777777" w:rsidR="00365C3E" w:rsidRDefault="000075C5">
      <w:pPr>
        <w:jc w:val="center"/>
        <w:rPr>
          <w:rFonts w:ascii="Times New Roman" w:hAnsi="Times New Roman" w:cs="Times New Roman"/>
          <w:b/>
          <w:color w:val="000000"/>
          <w:sz w:val="28"/>
          <w:szCs w:val="28"/>
        </w:rPr>
      </w:pPr>
      <w:r>
        <w:rPr>
          <w:rFonts w:ascii="Times New Roman" w:hAnsi="Times New Roman" w:cs="Times New Roman"/>
          <w:b/>
          <w:color w:val="000000"/>
          <w:sz w:val="28"/>
          <w:szCs w:val="28"/>
        </w:rPr>
        <w:t xml:space="preserve">Student Name: </w:t>
      </w:r>
      <w:proofErr w:type="spellStart"/>
      <w:r>
        <w:rPr>
          <w:rFonts w:ascii="Times New Roman" w:hAnsi="Times New Roman" w:cs="Times New Roman"/>
          <w:b/>
          <w:color w:val="000000"/>
          <w:sz w:val="28"/>
          <w:szCs w:val="28"/>
        </w:rPr>
        <w:t>Sujal</w:t>
      </w:r>
      <w:proofErr w:type="spellEnd"/>
      <w:r>
        <w:rPr>
          <w:rFonts w:ascii="Times New Roman" w:hAnsi="Times New Roman" w:cs="Times New Roman"/>
          <w:b/>
          <w:color w:val="000000"/>
          <w:sz w:val="28"/>
          <w:szCs w:val="28"/>
        </w:rPr>
        <w:t xml:space="preserve"> </w:t>
      </w:r>
      <w:proofErr w:type="spellStart"/>
      <w:r>
        <w:rPr>
          <w:rFonts w:ascii="Times New Roman" w:hAnsi="Times New Roman" w:cs="Times New Roman"/>
          <w:b/>
          <w:color w:val="000000"/>
          <w:sz w:val="28"/>
          <w:szCs w:val="28"/>
        </w:rPr>
        <w:t>Prakashabhai</w:t>
      </w:r>
      <w:proofErr w:type="spellEnd"/>
      <w:r>
        <w:rPr>
          <w:rFonts w:ascii="Times New Roman" w:hAnsi="Times New Roman" w:cs="Times New Roman"/>
          <w:b/>
          <w:color w:val="000000"/>
          <w:sz w:val="28"/>
          <w:szCs w:val="28"/>
        </w:rPr>
        <w:t xml:space="preserve"> </w:t>
      </w:r>
      <w:proofErr w:type="spellStart"/>
      <w:r>
        <w:rPr>
          <w:rFonts w:ascii="Times New Roman" w:hAnsi="Times New Roman" w:cs="Times New Roman"/>
          <w:b/>
          <w:color w:val="000000"/>
          <w:sz w:val="28"/>
          <w:szCs w:val="28"/>
        </w:rPr>
        <w:t>Ahir</w:t>
      </w:r>
      <w:proofErr w:type="spellEnd"/>
    </w:p>
    <w:p w14:paraId="091A834A" w14:textId="77777777" w:rsidR="00365C3E" w:rsidRDefault="000075C5">
      <w:pPr>
        <w:jc w:val="center"/>
        <w:rPr>
          <w:rFonts w:ascii="Times New Roman" w:hAnsi="Times New Roman" w:cs="Times New Roman"/>
          <w:b/>
          <w:color w:val="000000"/>
          <w:sz w:val="28"/>
          <w:szCs w:val="28"/>
        </w:rPr>
      </w:pPr>
      <w:r>
        <w:rPr>
          <w:rFonts w:ascii="Times New Roman" w:hAnsi="Times New Roman" w:cs="Times New Roman"/>
          <w:b/>
          <w:color w:val="000000"/>
          <w:sz w:val="28"/>
          <w:szCs w:val="28"/>
        </w:rPr>
        <w:t>Student ID: 2427253</w:t>
      </w:r>
    </w:p>
    <w:p w14:paraId="592B5C30" w14:textId="77777777" w:rsidR="00365C3E" w:rsidRDefault="000075C5">
      <w:pPr>
        <w:jc w:val="center"/>
        <w:rPr>
          <w:rFonts w:ascii="Times New Roman" w:hAnsi="Times New Roman" w:cs="Times New Roman"/>
          <w:b/>
          <w:color w:val="000000"/>
          <w:sz w:val="28"/>
          <w:szCs w:val="28"/>
        </w:rPr>
      </w:pPr>
      <w:r>
        <w:rPr>
          <w:rFonts w:ascii="Times New Roman" w:hAnsi="Times New Roman" w:cs="Times New Roman"/>
          <w:b/>
          <w:color w:val="000000"/>
          <w:sz w:val="28"/>
          <w:szCs w:val="28"/>
        </w:rPr>
        <w:t>Module Code: LCMB7024</w:t>
      </w:r>
    </w:p>
    <w:p w14:paraId="6F7C8F64" w14:textId="77777777" w:rsidR="00365C3E" w:rsidRDefault="000075C5">
      <w:pPr>
        <w:jc w:val="center"/>
        <w:rPr>
          <w:rFonts w:ascii="Times New Roman" w:hAnsi="Times New Roman" w:cs="Times New Roman"/>
          <w:b/>
          <w:color w:val="000000"/>
          <w:sz w:val="28"/>
          <w:szCs w:val="28"/>
        </w:rPr>
      </w:pPr>
      <w:r>
        <w:rPr>
          <w:rFonts w:ascii="Times New Roman" w:hAnsi="Times New Roman" w:cs="Times New Roman"/>
          <w:b/>
          <w:color w:val="000000"/>
          <w:sz w:val="28"/>
          <w:szCs w:val="28"/>
        </w:rPr>
        <w:t>Module: Marketing Management</w:t>
      </w:r>
    </w:p>
    <w:p w14:paraId="1895EAD0" w14:textId="77777777" w:rsidR="00365C3E" w:rsidRDefault="000075C5">
      <w:pPr>
        <w:jc w:val="center"/>
        <w:rPr>
          <w:rFonts w:ascii="Times New Roman" w:hAnsi="Times New Roman" w:cs="Times New Roman"/>
          <w:b/>
          <w:color w:val="000000"/>
          <w:sz w:val="28"/>
          <w:szCs w:val="28"/>
        </w:rPr>
      </w:pPr>
      <w:r>
        <w:rPr>
          <w:rFonts w:ascii="Times New Roman" w:hAnsi="Times New Roman" w:cs="Times New Roman"/>
          <w:b/>
          <w:color w:val="000000"/>
          <w:sz w:val="28"/>
          <w:szCs w:val="28"/>
        </w:rPr>
        <w:t xml:space="preserve">Lecturer: </w:t>
      </w:r>
      <w:proofErr w:type="spellStart"/>
      <w:r>
        <w:rPr>
          <w:rFonts w:ascii="Times New Roman" w:hAnsi="Times New Roman" w:cs="Times New Roman"/>
          <w:b/>
          <w:color w:val="000000"/>
          <w:sz w:val="28"/>
          <w:szCs w:val="28"/>
        </w:rPr>
        <w:t>Haoran</w:t>
      </w:r>
      <w:proofErr w:type="spellEnd"/>
      <w:r>
        <w:rPr>
          <w:rFonts w:ascii="Times New Roman" w:hAnsi="Times New Roman" w:cs="Times New Roman"/>
          <w:b/>
          <w:color w:val="000000"/>
          <w:sz w:val="28"/>
          <w:szCs w:val="28"/>
        </w:rPr>
        <w:t xml:space="preserve"> Liu</w:t>
      </w:r>
    </w:p>
    <w:p w14:paraId="4A5DEE3A" w14:textId="77777777" w:rsidR="00365C3E" w:rsidRDefault="000075C5">
      <w:pPr>
        <w:jc w:val="center"/>
        <w:rPr>
          <w:rFonts w:ascii="Times New Roman" w:hAnsi="Times New Roman" w:cs="Times New Roman"/>
          <w:b/>
          <w:color w:val="000000"/>
          <w:sz w:val="28"/>
          <w:szCs w:val="28"/>
        </w:rPr>
      </w:pPr>
      <w:r>
        <w:rPr>
          <w:rFonts w:ascii="Times New Roman" w:hAnsi="Times New Roman" w:cs="Times New Roman"/>
          <w:b/>
          <w:color w:val="000000"/>
          <w:sz w:val="28"/>
          <w:szCs w:val="28"/>
        </w:rPr>
        <w:t>Word count : 2700 Words</w:t>
      </w:r>
    </w:p>
    <w:p w14:paraId="1088F78C" w14:textId="50F90407" w:rsidR="00365C3E" w:rsidRDefault="000075C5">
      <w:pPr>
        <w:jc w:val="center"/>
        <w:rPr>
          <w:rFonts w:ascii="Times New Roman" w:hAnsi="Times New Roman" w:cs="Times New Roman"/>
          <w:b/>
          <w:color w:val="000000"/>
          <w:sz w:val="32"/>
          <w:szCs w:val="32"/>
        </w:rPr>
      </w:pPr>
      <w:r>
        <w:rPr>
          <w:rFonts w:ascii="Times New Roman" w:hAnsi="Times New Roman" w:cs="Times New Roman"/>
          <w:b/>
          <w:color w:val="000000"/>
          <w:sz w:val="28"/>
          <w:szCs w:val="28"/>
        </w:rPr>
        <w:t xml:space="preserve">  Submission Date:28 March</w:t>
      </w:r>
      <w:r>
        <w:rPr>
          <w:rFonts w:ascii="Times New Roman" w:hAnsi="Times New Roman" w:cs="Times New Roman"/>
          <w:b/>
          <w:color w:val="000000"/>
          <w:sz w:val="32"/>
          <w:szCs w:val="32"/>
        </w:rPr>
        <w:br w:type="page"/>
      </w:r>
    </w:p>
    <w:p w14:paraId="718D6C7B" w14:textId="77777777" w:rsidR="00365C3E" w:rsidRDefault="000075C5">
      <w:pPr>
        <w:pStyle w:val="TOCHeading1"/>
        <w:spacing w:line="360" w:lineRule="auto"/>
        <w:jc w:val="center"/>
        <w:rPr>
          <w:rFonts w:ascii="Times New Roman" w:hAnsi="Times New Roman"/>
          <w:color w:val="000000"/>
          <w:sz w:val="24"/>
          <w:szCs w:val="24"/>
        </w:rPr>
      </w:pPr>
      <w:r>
        <w:rPr>
          <w:rFonts w:ascii="Times New Roman" w:hAnsi="Times New Roman"/>
          <w:color w:val="000000"/>
          <w:sz w:val="24"/>
          <w:szCs w:val="24"/>
        </w:rPr>
        <w:t>Table of Contents</w:t>
      </w:r>
    </w:p>
    <w:p w14:paraId="5987947B" w14:textId="77777777" w:rsidR="00365C3E" w:rsidRDefault="000075C5">
      <w:pPr>
        <w:pStyle w:val="TOC1"/>
        <w:tabs>
          <w:tab w:val="right" w:leader="dot" w:pos="9350"/>
        </w:tabs>
        <w:spacing w:line="360" w:lineRule="auto"/>
        <w:rPr>
          <w:rFonts w:ascii="Times New Roman" w:eastAsia="SimSun" w:hAnsi="Times New Roman" w:cs="Times New Roman"/>
          <w:sz w:val="24"/>
          <w:szCs w:val="24"/>
        </w:rPr>
      </w:pP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TOC \o "1-3" \h \z \u </w:instrText>
      </w:r>
      <w:r>
        <w:rPr>
          <w:rFonts w:ascii="Times New Roman" w:hAnsi="Times New Roman" w:cs="Times New Roman"/>
          <w:color w:val="000000"/>
          <w:sz w:val="24"/>
          <w:szCs w:val="24"/>
        </w:rPr>
        <w:fldChar w:fldCharType="separate"/>
      </w:r>
      <w:hyperlink w:anchor="_Toc193110073" w:history="1">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_Toc193110073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hyperlink>
    </w:p>
    <w:p w14:paraId="41581ECE" w14:textId="77777777" w:rsidR="00365C3E" w:rsidRDefault="000075C5">
      <w:pPr>
        <w:pStyle w:val="TOC1"/>
        <w:tabs>
          <w:tab w:val="right" w:leader="dot" w:pos="9350"/>
        </w:tabs>
        <w:spacing w:line="360" w:lineRule="auto"/>
        <w:rPr>
          <w:rFonts w:ascii="Times New Roman" w:eastAsia="SimSun" w:hAnsi="Times New Roman" w:cs="Times New Roman"/>
          <w:sz w:val="24"/>
          <w:szCs w:val="24"/>
        </w:rPr>
      </w:pPr>
      <w:hyperlink w:anchor="_Toc193110074" w:history="1">
        <w:r>
          <w:rPr>
            <w:rFonts w:ascii="Times New Roman" w:hAnsi="Times New Roman" w:cs="Times New Roman"/>
            <w:sz w:val="24"/>
            <w:szCs w:val="24"/>
          </w:rPr>
          <w:t>Question 1: What are the advantages of being a pioneer and follower company? Provide examples of successful pioneer and follower companies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_Toc193110074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hyperlink>
    </w:p>
    <w:p w14:paraId="6CA2A2CB"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75" w:history="1">
        <w:r>
          <w:rPr>
            <w:rFonts w:ascii="Times New Roman" w:hAnsi="Times New Roman" w:cs="Times New Roman"/>
            <w:sz w:val="24"/>
            <w:szCs w:val="24"/>
          </w:rPr>
          <w:t>Advantages and Challenges of Being a Pioneer and Follower Company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_Toc193110075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364C3D68"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76" w:history="1">
        <w:r>
          <w:rPr>
            <w:rFonts w:ascii="Times New Roman" w:hAnsi="Times New Roman" w:cs="Times New Roman"/>
            <w:sz w:val="24"/>
            <w:szCs w:val="24"/>
          </w:rPr>
          <w:t>Advantages of Being a Pioneer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_Toc193110076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25DC9BC5"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77" w:history="1">
        <w:r>
          <w:rPr>
            <w:rFonts w:ascii="Times New Roman" w:hAnsi="Times New Roman" w:cs="Times New Roman"/>
            <w:sz w:val="24"/>
            <w:szCs w:val="24"/>
          </w:rPr>
          <w:t>Challenges of Being a Pioneer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_Toc193110077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1B509801"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78" w:history="1">
        <w:r>
          <w:rPr>
            <w:rFonts w:ascii="Times New Roman" w:hAnsi="Times New Roman" w:cs="Times New Roman"/>
            <w:sz w:val="24"/>
            <w:szCs w:val="24"/>
          </w:rPr>
          <w:t>Advantages of Being a Follower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_Toc193110078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7DE4241E"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79" w:history="1">
        <w:r>
          <w:rPr>
            <w:rFonts w:ascii="Times New Roman" w:hAnsi="Times New Roman" w:cs="Times New Roman"/>
            <w:sz w:val="24"/>
            <w:szCs w:val="24"/>
          </w:rPr>
          <w:t>Challenges of Being a Follower</w:t>
        </w:r>
        <w:r>
          <w:rPr>
            <w:rFonts w:ascii="Times New Roman" w:hAnsi="Times New Roman" w:cs="Times New Roman"/>
            <w:sz w:val="24"/>
            <w:szCs w:val="24"/>
          </w:rPr>
          <w:tab/>
          <w:t>4</w:t>
        </w:r>
      </w:hyperlink>
    </w:p>
    <w:p w14:paraId="344A9739" w14:textId="77777777" w:rsidR="00365C3E" w:rsidRDefault="000075C5">
      <w:pPr>
        <w:pStyle w:val="TOC1"/>
        <w:tabs>
          <w:tab w:val="right" w:leader="dot" w:pos="9350"/>
        </w:tabs>
        <w:spacing w:line="360" w:lineRule="auto"/>
        <w:rPr>
          <w:rFonts w:ascii="Times New Roman" w:eastAsia="SimSun" w:hAnsi="Times New Roman" w:cs="Times New Roman"/>
          <w:sz w:val="24"/>
          <w:szCs w:val="24"/>
        </w:rPr>
      </w:pPr>
      <w:hyperlink w:anchor="_Toc193110080" w:history="1">
        <w:r>
          <w:rPr>
            <w:rFonts w:ascii="Times New Roman" w:hAnsi="Times New Roman" w:cs="Times New Roman"/>
            <w:sz w:val="24"/>
            <w:szCs w:val="24"/>
          </w:rPr>
          <w:t>Question 2: What product life cycle strategies do successful pioneer and follower companies implement to increase growth and maintain a strong competitive advantage?</w:t>
        </w:r>
        <w:r>
          <w:rPr>
            <w:rFonts w:ascii="Times New Roman" w:hAnsi="Times New Roman" w:cs="Times New Roman"/>
            <w:sz w:val="24"/>
            <w:szCs w:val="24"/>
          </w:rPr>
          <w:tab/>
          <w:t>5</w:t>
        </w:r>
      </w:hyperlink>
    </w:p>
    <w:p w14:paraId="2C983701"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81" w:history="1">
        <w:r>
          <w:rPr>
            <w:rFonts w:ascii="Times New Roman" w:hAnsi="Times New Roman" w:cs="Times New Roman"/>
            <w:sz w:val="24"/>
            <w:szCs w:val="24"/>
          </w:rPr>
          <w:t>Product Life Cycle and Its Stages</w:t>
        </w:r>
        <w:r>
          <w:rPr>
            <w:rFonts w:ascii="Times New Roman" w:hAnsi="Times New Roman" w:cs="Times New Roman"/>
            <w:sz w:val="24"/>
            <w:szCs w:val="24"/>
          </w:rPr>
          <w:tab/>
          <w:t>5</w:t>
        </w:r>
      </w:hyperlink>
    </w:p>
    <w:p w14:paraId="6682FE46"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82" w:history="1">
        <w:r>
          <w:rPr>
            <w:rFonts w:ascii="Times New Roman" w:hAnsi="Times New Roman" w:cs="Times New Roman"/>
            <w:sz w:val="24"/>
            <w:szCs w:val="24"/>
          </w:rPr>
          <w:t>Boots Pharmacy</w:t>
        </w:r>
        <w:r>
          <w:rPr>
            <w:rFonts w:ascii="Times New Roman" w:hAnsi="Times New Roman" w:cs="Times New Roman"/>
            <w:sz w:val="24"/>
            <w:szCs w:val="24"/>
          </w:rPr>
          <w:tab/>
          <w:t>6</w:t>
        </w:r>
      </w:hyperlink>
    </w:p>
    <w:p w14:paraId="4A61A643"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83" w:history="1">
        <w:r>
          <w:rPr>
            <w:rFonts w:ascii="Times New Roman" w:hAnsi="Times New Roman" w:cs="Times New Roman"/>
            <w:sz w:val="24"/>
            <w:szCs w:val="24"/>
          </w:rPr>
          <w:t>Super Drugs</w:t>
        </w:r>
        <w:r>
          <w:rPr>
            <w:rFonts w:ascii="Times New Roman" w:hAnsi="Times New Roman" w:cs="Times New Roman"/>
            <w:sz w:val="24"/>
            <w:szCs w:val="24"/>
          </w:rPr>
          <w:tab/>
          <w:t>8</w:t>
        </w:r>
      </w:hyperlink>
    </w:p>
    <w:p w14:paraId="1F342239" w14:textId="77777777" w:rsidR="00365C3E" w:rsidRDefault="000075C5">
      <w:pPr>
        <w:pStyle w:val="TOC2"/>
        <w:tabs>
          <w:tab w:val="right" w:leader="dot" w:pos="9350"/>
        </w:tabs>
        <w:spacing w:line="360" w:lineRule="auto"/>
        <w:rPr>
          <w:rFonts w:ascii="Times New Roman" w:eastAsia="SimSun" w:hAnsi="Times New Roman" w:cs="Times New Roman"/>
          <w:sz w:val="24"/>
          <w:szCs w:val="24"/>
        </w:rPr>
      </w:pPr>
      <w:hyperlink w:anchor="_Toc193110084" w:history="1">
        <w:r>
          <w:rPr>
            <w:rFonts w:ascii="Times New Roman" w:hAnsi="Times New Roman" w:cs="Times New Roman"/>
            <w:sz w:val="24"/>
            <w:szCs w:val="24"/>
          </w:rPr>
          <w:t>Lloyds Pharmacy</w:t>
        </w:r>
        <w:r>
          <w:rPr>
            <w:rFonts w:ascii="Times New Roman" w:hAnsi="Times New Roman" w:cs="Times New Roman"/>
            <w:sz w:val="24"/>
            <w:szCs w:val="24"/>
          </w:rPr>
          <w:tab/>
          <w:t>9</w:t>
        </w:r>
      </w:hyperlink>
    </w:p>
    <w:p w14:paraId="2E119BEE" w14:textId="77777777" w:rsidR="00365C3E" w:rsidRDefault="000075C5">
      <w:pPr>
        <w:pStyle w:val="TOC1"/>
        <w:tabs>
          <w:tab w:val="right" w:leader="dot" w:pos="9350"/>
        </w:tabs>
        <w:spacing w:line="360" w:lineRule="auto"/>
        <w:rPr>
          <w:rFonts w:ascii="Times New Roman" w:eastAsia="SimSun" w:hAnsi="Times New Roman" w:cs="Times New Roman"/>
          <w:sz w:val="24"/>
          <w:szCs w:val="24"/>
        </w:rPr>
      </w:pPr>
      <w:hyperlink w:anchor="_Toc193110085" w:history="1">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_Toc193110085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7497CE47" w14:textId="77777777" w:rsidR="00365C3E" w:rsidRDefault="000075C5">
      <w:pPr>
        <w:pStyle w:val="TOC1"/>
        <w:tabs>
          <w:tab w:val="right" w:leader="dot" w:pos="9350"/>
        </w:tabs>
        <w:spacing w:line="360" w:lineRule="auto"/>
      </w:pPr>
      <w:hyperlink w:anchor="_Toc193110086" w:history="1">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_Toc193110086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hyperlink>
      <w:r>
        <w:rPr>
          <w:rFonts w:ascii="Times New Roman" w:hAnsi="Times New Roman" w:cs="Times New Roman"/>
          <w:color w:val="000000"/>
          <w:sz w:val="24"/>
          <w:szCs w:val="24"/>
        </w:rPr>
        <w:fldChar w:fldCharType="end"/>
      </w:r>
      <w:r>
        <w:rPr>
          <w:rFonts w:ascii="Times New Roman" w:hAnsi="Times New Roman" w:cs="Times New Roman"/>
          <w:color w:val="000000"/>
          <w:sz w:val="24"/>
          <w:szCs w:val="24"/>
        </w:rPr>
        <w:t>2</w:t>
      </w:r>
    </w:p>
    <w:p w14:paraId="7ED16B4E" w14:textId="77777777" w:rsidR="00365C3E" w:rsidRDefault="000075C5">
      <w:pPr>
        <w:rPr>
          <w:rFonts w:ascii="Cambria" w:eastAsia="SimSun" w:hAnsi="Cambria" w:cs="Times New Roman"/>
          <w:b/>
          <w:bCs/>
          <w:color w:val="365F91"/>
          <w:sz w:val="28"/>
          <w:szCs w:val="28"/>
        </w:rPr>
      </w:pPr>
      <w:r>
        <w:br w:type="page"/>
      </w:r>
    </w:p>
    <w:p w14:paraId="430E96BB" w14:textId="77777777" w:rsidR="00365C3E" w:rsidRDefault="000075C5">
      <w:pPr>
        <w:pStyle w:val="Heading1"/>
      </w:pPr>
      <w:bookmarkStart w:id="0" w:name="_Toc193110073"/>
      <w:r>
        <w:t>Introduction</w:t>
      </w:r>
      <w:bookmarkEnd w:id="0"/>
    </w:p>
    <w:p w14:paraId="21B96677"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Product Life cycle (PLC) is an important framework for understanding how business maintains competitive advantage in the competitive and dynamic market. It focuses on leading UK health and beauty retailers’ PLC strategies (Boots Pharmacy, Superdrug and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This study analyzes how pioneer and follower companies take steps from market entry, growth, to long term sustainability by looking into their approaches at each stage. The comparison highlights strategic innovation, competitive positioning, and adaptability in the changed retail pharmacy sector and provides a total view into how these establishments bring together product improvement, branding and client involvement to remain at the top of the business. By effectively </w:t>
      </w:r>
      <w:proofErr w:type="spellStart"/>
      <w:r>
        <w:rPr>
          <w:rFonts w:ascii="Times New Roman" w:hAnsi="Times New Roman" w:cs="Times New Roman"/>
          <w:color w:val="000000"/>
          <w:sz w:val="24"/>
          <w:szCs w:val="24"/>
        </w:rPr>
        <w:t>analysing</w:t>
      </w:r>
      <w:proofErr w:type="spellEnd"/>
      <w:r>
        <w:rPr>
          <w:rFonts w:ascii="Times New Roman" w:hAnsi="Times New Roman" w:cs="Times New Roman"/>
          <w:color w:val="000000"/>
          <w:sz w:val="24"/>
          <w:szCs w:val="24"/>
        </w:rPr>
        <w:t xml:space="preserve"> and evaluat</w:t>
      </w:r>
      <w:r>
        <w:rPr>
          <w:rFonts w:ascii="Times New Roman" w:hAnsi="Times New Roman" w:cs="Times New Roman"/>
          <w:color w:val="000000"/>
          <w:sz w:val="24"/>
          <w:szCs w:val="24"/>
        </w:rPr>
        <w:t>ing the approaches of Pioneer and follower companies at multiple stages of their product life cycle the study effectively highlights the major factors influencing market entry along with market expansion and long term sustainability. It also evaluates how these companies are unable to integrate innovation, brand positioning and customer engagement in order to navigate challenges and capitalize on opportunities within the sector. This also provides effective understanding on valuable insights regarding how s</w:t>
      </w:r>
      <w:r>
        <w:rPr>
          <w:rFonts w:ascii="Times New Roman" w:hAnsi="Times New Roman" w:cs="Times New Roman"/>
          <w:color w:val="000000"/>
          <w:sz w:val="24"/>
          <w:szCs w:val="24"/>
        </w:rPr>
        <w:t xml:space="preserve">trategic adaptability, differentiation and customer focused innovation contribute towards industry leadership </w:t>
      </w:r>
    </w:p>
    <w:p w14:paraId="609CB799" w14:textId="77777777" w:rsidR="00365C3E" w:rsidRDefault="000075C5">
      <w:pPr>
        <w:pStyle w:val="Heading1"/>
        <w:rPr>
          <w:szCs w:val="24"/>
        </w:rPr>
      </w:pPr>
      <w:bookmarkStart w:id="1" w:name="_Toc193110074"/>
      <w:r>
        <w:rPr>
          <w:szCs w:val="24"/>
        </w:rPr>
        <w:t>Question 1: What are the advantages of being a pioneer and follower company? Provide examples of successful pioneer and follower companies</w:t>
      </w:r>
      <w:bookmarkEnd w:id="1"/>
    </w:p>
    <w:p w14:paraId="773C56A6" w14:textId="77777777" w:rsidR="00365C3E" w:rsidRDefault="000075C5">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Pioneer Companies</w:t>
      </w:r>
    </w:p>
    <w:p w14:paraId="60D517FD"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Pioneer companies are organizations that are the first to bring a new product, technology or a business model to a market (</w:t>
      </w:r>
      <w:proofErr w:type="spellStart"/>
      <w:r>
        <w:rPr>
          <w:rFonts w:ascii="Times New Roman" w:hAnsi="Times New Roman" w:cs="Times New Roman"/>
          <w:color w:val="000000"/>
          <w:sz w:val="24"/>
          <w:szCs w:val="24"/>
        </w:rPr>
        <w:t>Besharat</w:t>
      </w:r>
      <w:proofErr w:type="spellEnd"/>
      <w:r>
        <w:rPr>
          <w:rFonts w:ascii="Times New Roman" w:hAnsi="Times New Roman" w:cs="Times New Roman"/>
          <w:color w:val="000000"/>
          <w:sz w:val="24"/>
          <w:szCs w:val="24"/>
        </w:rPr>
        <w:t xml:space="preserve"> et al., 2016). First mover advantages are gained because pioneers get technological leadership, get to acquire customers early, earn economies of scale (</w:t>
      </w:r>
      <w:proofErr w:type="spellStart"/>
      <w:r>
        <w:rPr>
          <w:rFonts w:ascii="Times New Roman" w:hAnsi="Times New Roman" w:cs="Times New Roman"/>
          <w:color w:val="000000"/>
          <w:sz w:val="24"/>
          <w:szCs w:val="24"/>
        </w:rPr>
        <w:t>Halberstadt</w:t>
      </w:r>
      <w:proofErr w:type="spellEnd"/>
      <w:r>
        <w:rPr>
          <w:rFonts w:ascii="Times New Roman" w:hAnsi="Times New Roman" w:cs="Times New Roman"/>
          <w:color w:val="000000"/>
          <w:sz w:val="24"/>
          <w:szCs w:val="24"/>
        </w:rPr>
        <w:t xml:space="preserve"> et al., 2022). </w:t>
      </w:r>
    </w:p>
    <w:p w14:paraId="6A061E26"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Boots Pharmacy is a classic example of a pioneer in the UK health and beauty market. One of the first to set up a chain pharmacy enterprise, participate in private label healthcare and beauty products, and also introduce digitized prescription services. </w:t>
      </w:r>
    </w:p>
    <w:p w14:paraId="07BF7E76"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Follower Companies</w:t>
      </w:r>
    </w:p>
    <w:p w14:paraId="5863227F"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After the pioneers have made a product or a service, a follower company enters the market taking the advantage of the learning and market awareness made by the first mover (Kamp and Ruiz, 2023). In most cases, these </w:t>
      </w:r>
      <w:r>
        <w:rPr>
          <w:rFonts w:ascii="Times New Roman" w:hAnsi="Times New Roman" w:cs="Times New Roman"/>
          <w:color w:val="000000"/>
          <w:sz w:val="24"/>
          <w:szCs w:val="24"/>
        </w:rPr>
        <w:t>companies are competing by selling lower priced items, better features, or displaying superior customer service (</w:t>
      </w:r>
      <w:proofErr w:type="spellStart"/>
      <w:r>
        <w:rPr>
          <w:rFonts w:ascii="Times New Roman" w:hAnsi="Times New Roman" w:cs="Times New Roman"/>
          <w:color w:val="000000"/>
          <w:sz w:val="24"/>
          <w:szCs w:val="24"/>
        </w:rPr>
        <w:t>Klingebiel</w:t>
      </w:r>
      <w:proofErr w:type="spellEnd"/>
      <w:r>
        <w:rPr>
          <w:rFonts w:ascii="Times New Roman" w:hAnsi="Times New Roman" w:cs="Times New Roman"/>
          <w:color w:val="000000"/>
          <w:sz w:val="24"/>
          <w:szCs w:val="24"/>
        </w:rPr>
        <w:t xml:space="preserve"> and Joseph, 2015).</w:t>
      </w:r>
    </w:p>
    <w:p w14:paraId="6E2F53BA"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For example, when super drug entered into the UK pharmacy and beauty retail sector after Boots and it positioned itself as a strong competitor by focusing on offering lower prices, exclusive brands, and a strong high-street presence. </w:t>
      </w:r>
    </w:p>
    <w:p w14:paraId="28ABEE7F" w14:textId="77777777" w:rsidR="00365C3E" w:rsidRDefault="000075C5">
      <w:pPr>
        <w:pStyle w:val="Heading2"/>
      </w:pPr>
      <w:bookmarkStart w:id="2" w:name="_Toc193110075"/>
      <w:r>
        <w:t>Advantages and Challenges of Being a Pioneer and Follower Company</w:t>
      </w:r>
      <w:bookmarkEnd w:id="2"/>
    </w:p>
    <w:p w14:paraId="66E95593" w14:textId="77777777" w:rsidR="00365C3E" w:rsidRDefault="000075C5">
      <w:pPr>
        <w:pStyle w:val="Heading2"/>
      </w:pPr>
      <w:bookmarkStart w:id="3" w:name="_Toc193110076"/>
      <w:r>
        <w:t>Advantages of Being a Pioneer</w:t>
      </w:r>
      <w:bookmarkEnd w:id="3"/>
    </w:p>
    <w:p w14:paraId="2084E7A2"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First-Mover Advantage: pioneer companies create and hold brand recognition early on, that generate strong customer loyalty and synonymous to the product category (</w:t>
      </w:r>
      <w:proofErr w:type="spellStart"/>
      <w:r>
        <w:rPr>
          <w:rFonts w:ascii="Times New Roman" w:hAnsi="Times New Roman" w:cs="Times New Roman"/>
          <w:color w:val="000000"/>
          <w:sz w:val="24"/>
          <w:szCs w:val="24"/>
        </w:rPr>
        <w:t>Udokanma</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Georgewill</w:t>
      </w:r>
      <w:proofErr w:type="spellEnd"/>
      <w:r>
        <w:rPr>
          <w:rFonts w:ascii="Times New Roman" w:hAnsi="Times New Roman" w:cs="Times New Roman"/>
          <w:color w:val="000000"/>
          <w:sz w:val="24"/>
          <w:szCs w:val="24"/>
        </w:rPr>
        <w:t xml:space="preserve"> 2024). </w:t>
      </w:r>
    </w:p>
    <w:p w14:paraId="25B6F5AA"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Technological Leadership: Pioneers invest heavily in R&amp;D and achieve patents and intellectual property rights that form barriers to followers (</w:t>
      </w:r>
      <w:proofErr w:type="spellStart"/>
      <w:r>
        <w:rPr>
          <w:rFonts w:ascii="Times New Roman" w:hAnsi="Times New Roman" w:cs="Times New Roman"/>
          <w:color w:val="000000"/>
          <w:sz w:val="24"/>
          <w:szCs w:val="24"/>
        </w:rPr>
        <w:t>Abdin</w:t>
      </w:r>
      <w:proofErr w:type="spellEnd"/>
      <w:r>
        <w:rPr>
          <w:rFonts w:ascii="Times New Roman" w:hAnsi="Times New Roman" w:cs="Times New Roman"/>
          <w:color w:val="000000"/>
          <w:sz w:val="24"/>
          <w:szCs w:val="24"/>
        </w:rPr>
        <w:t xml:space="preserve"> et al., 2024). </w:t>
      </w:r>
    </w:p>
    <w:p w14:paraId="76FB3CFE" w14:textId="77777777" w:rsidR="00365C3E" w:rsidRDefault="000075C5">
      <w:pPr>
        <w:pStyle w:val="Heading2"/>
      </w:pPr>
      <w:bookmarkStart w:id="4" w:name="_Toc193110077"/>
      <w:r>
        <w:t>Challenges of Being a Pioneer</w:t>
      </w:r>
      <w:bookmarkEnd w:id="4"/>
    </w:p>
    <w:p w14:paraId="1F5FCBFE"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High costs and market Uncertainty: it is one of the main challenges of pioneer as developing new products requires substantial investment in R&amp;D, marketing, and infrastructure (</w:t>
      </w:r>
      <w:proofErr w:type="spellStart"/>
      <w:r>
        <w:rPr>
          <w:rFonts w:ascii="Times New Roman" w:hAnsi="Times New Roman" w:cs="Times New Roman"/>
          <w:color w:val="000000"/>
          <w:sz w:val="24"/>
          <w:szCs w:val="24"/>
        </w:rPr>
        <w:t>Soltanisehat</w:t>
      </w:r>
      <w:proofErr w:type="spellEnd"/>
      <w:r>
        <w:rPr>
          <w:rFonts w:ascii="Times New Roman" w:hAnsi="Times New Roman" w:cs="Times New Roman"/>
          <w:color w:val="000000"/>
          <w:sz w:val="24"/>
          <w:szCs w:val="24"/>
        </w:rPr>
        <w:t xml:space="preserve"> et al., 2019). </w:t>
      </w:r>
    </w:p>
    <w:p w14:paraId="3921A285" w14:textId="77777777" w:rsidR="00365C3E" w:rsidRDefault="000075C5">
      <w:pPr>
        <w:spacing w:line="360" w:lineRule="auto"/>
        <w:jc w:val="both"/>
        <w:rPr>
          <w:rFonts w:ascii="Times New Roman" w:hAnsi="Times New Roman" w:cs="Times New Roman"/>
          <w:b/>
          <w:bCs/>
          <w:color w:val="000000"/>
          <w:sz w:val="24"/>
          <w:szCs w:val="24"/>
        </w:rPr>
      </w:pPr>
      <w:r>
        <w:rPr>
          <w:rFonts w:ascii="Times New Roman" w:hAnsi="Times New Roman" w:cs="Times New Roman"/>
          <w:color w:val="000000"/>
          <w:sz w:val="24"/>
          <w:szCs w:val="24"/>
        </w:rPr>
        <w:t>Competitor Advantage in Learning from Mistakes: The followers take note of the pioneer’s strategy and improve on it, without making the error that has cost the pioneer (</w:t>
      </w:r>
      <w:proofErr w:type="spellStart"/>
      <w:r>
        <w:rPr>
          <w:rFonts w:ascii="Times New Roman" w:hAnsi="Times New Roman" w:cs="Times New Roman"/>
          <w:color w:val="000000"/>
          <w:sz w:val="24"/>
          <w:szCs w:val="24"/>
        </w:rPr>
        <w:t>Kalicanin</w:t>
      </w:r>
      <w:proofErr w:type="spellEnd"/>
      <w:r>
        <w:rPr>
          <w:rFonts w:ascii="Times New Roman" w:hAnsi="Times New Roman" w:cs="Times New Roman"/>
          <w:color w:val="000000"/>
          <w:sz w:val="24"/>
          <w:szCs w:val="24"/>
        </w:rPr>
        <w:t xml:space="preserve">, 2008). </w:t>
      </w:r>
    </w:p>
    <w:p w14:paraId="5A649A96" w14:textId="77777777" w:rsidR="00365C3E" w:rsidRDefault="000075C5">
      <w:pPr>
        <w:pStyle w:val="Heading2"/>
      </w:pPr>
      <w:bookmarkStart w:id="5" w:name="_Toc193110078"/>
      <w:r>
        <w:t>Advantages of Being a Follower</w:t>
      </w:r>
      <w:bookmarkEnd w:id="5"/>
    </w:p>
    <w:p w14:paraId="608B5743" w14:textId="77777777" w:rsidR="00365C3E" w:rsidRDefault="000075C5">
      <w:pPr>
        <w:spacing w:line="360" w:lineRule="auto"/>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Lower Investment Costs: Initial investment by followers is lower due to which they can come up with their product keeping in mind the successes and failures of the pioneer (</w:t>
      </w:r>
      <w:r>
        <w:rPr>
          <w:rFonts w:ascii="Times New Roman" w:hAnsi="Times New Roman" w:cs="Times New Roman"/>
          <w:color w:val="000000"/>
          <w:sz w:val="24"/>
          <w:szCs w:val="24"/>
        </w:rPr>
        <w:t>Min et al., 2006)</w:t>
      </w:r>
      <w:r>
        <w:rPr>
          <w:rFonts w:ascii="Times New Roman" w:hAnsi="Times New Roman" w:cs="Times New Roman"/>
          <w:bCs/>
          <w:color w:val="000000"/>
          <w:sz w:val="24"/>
          <w:szCs w:val="24"/>
        </w:rPr>
        <w:t xml:space="preserve">. </w:t>
      </w:r>
    </w:p>
    <w:p w14:paraId="5C9F9F52" w14:textId="77777777" w:rsidR="00365C3E" w:rsidRDefault="000075C5">
      <w:pPr>
        <w:spacing w:line="360" w:lineRule="auto"/>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Faster Market Penetration: Followers use the experience of pioneers in the market to benefit from resource reserves. </w:t>
      </w:r>
    </w:p>
    <w:p w14:paraId="72B001E6" w14:textId="77777777" w:rsidR="00365C3E" w:rsidRDefault="000075C5">
      <w:pPr>
        <w:pStyle w:val="Heading2"/>
      </w:pPr>
      <w:bookmarkStart w:id="6" w:name="_Toc193110079"/>
      <w:r>
        <w:t>Challenges of Being a Follower</w:t>
      </w:r>
      <w:bookmarkEnd w:id="6"/>
    </w:p>
    <w:p w14:paraId="6545D115" w14:textId="77777777" w:rsidR="00365C3E" w:rsidRDefault="000075C5">
      <w:pPr>
        <w:spacing w:line="360" w:lineRule="auto"/>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Customer Loyalty and Brand Recognition: Being a pioneer in customer perception makes it challenging for followers to gain any distinction (</w:t>
      </w:r>
      <w:r>
        <w:rPr>
          <w:rFonts w:ascii="Times New Roman" w:hAnsi="Times New Roman" w:cs="Times New Roman"/>
          <w:color w:val="000000"/>
          <w:sz w:val="24"/>
          <w:szCs w:val="24"/>
        </w:rPr>
        <w:t>Brunner et al., 2008</w:t>
      </w:r>
      <w:r>
        <w:rPr>
          <w:rFonts w:ascii="Times New Roman" w:hAnsi="Times New Roman" w:cs="Times New Roman"/>
          <w:bCs/>
          <w:color w:val="000000"/>
          <w:sz w:val="24"/>
          <w:szCs w:val="24"/>
        </w:rPr>
        <w:t xml:space="preserve">). </w:t>
      </w:r>
    </w:p>
    <w:p w14:paraId="42730E7C" w14:textId="77777777" w:rsidR="00365C3E" w:rsidRDefault="000075C5">
      <w:pPr>
        <w:spacing w:line="360" w:lineRule="auto"/>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Dependence on Pioneer’s Moves: Followers cannot really extend the pioneer’s foundation unless they are very adept at innovating. For example, Huawei, despite having a strong smartphone market growth, had significant hard time before developing </w:t>
      </w:r>
      <w:proofErr w:type="spellStart"/>
      <w:r>
        <w:rPr>
          <w:rFonts w:ascii="Times New Roman" w:hAnsi="Times New Roman" w:cs="Times New Roman"/>
          <w:bCs/>
          <w:color w:val="000000"/>
          <w:sz w:val="24"/>
          <w:szCs w:val="24"/>
        </w:rPr>
        <w:t>HarmonyOS</w:t>
      </w:r>
      <w:proofErr w:type="spellEnd"/>
      <w:r>
        <w:rPr>
          <w:rFonts w:ascii="Times New Roman" w:hAnsi="Times New Roman" w:cs="Times New Roman"/>
          <w:bCs/>
          <w:color w:val="000000"/>
          <w:sz w:val="24"/>
          <w:szCs w:val="24"/>
        </w:rPr>
        <w:t xml:space="preserve"> a separate operating system from the Android (</w:t>
      </w:r>
      <w:r>
        <w:rPr>
          <w:rFonts w:ascii="Times New Roman" w:hAnsi="Times New Roman" w:cs="Times New Roman"/>
          <w:color w:val="000000"/>
          <w:sz w:val="24"/>
          <w:szCs w:val="24"/>
        </w:rPr>
        <w:t>Reuters 2024</w:t>
      </w:r>
      <w:r>
        <w:rPr>
          <w:rFonts w:ascii="Times New Roman" w:hAnsi="Times New Roman" w:cs="Times New Roman"/>
          <w:bCs/>
          <w:color w:val="000000"/>
          <w:sz w:val="24"/>
          <w:szCs w:val="24"/>
        </w:rPr>
        <w:t>).</w:t>
      </w:r>
    </w:p>
    <w:p w14:paraId="52FF8E8D" w14:textId="77777777" w:rsidR="00365C3E" w:rsidRDefault="000075C5">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Pioneer Company: Boots Pharmacy</w:t>
      </w:r>
    </w:p>
    <w:p w14:paraId="310C9974" w14:textId="77777777" w:rsidR="00365C3E" w:rsidRDefault="000075C5">
      <w:pPr>
        <w:spacing w:line="360" w:lineRule="auto"/>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Boots Pharmacy is one of the UK’s leading pharmacy-led health and beauty retailer founded in 1849. Boots was pioneering in the sector and pioneered innovative practices, including private label health products and in store pharmacies to online digital prescription services. It has over 2,200 stores in the UK and about 45 million customers in the UK (</w:t>
      </w:r>
      <w:r>
        <w:rPr>
          <w:rFonts w:ascii="Times New Roman" w:hAnsi="Times New Roman" w:cs="Times New Roman"/>
          <w:color w:val="000000"/>
          <w:sz w:val="24"/>
          <w:szCs w:val="24"/>
        </w:rPr>
        <w:t>www.boots-uk.com 2019</w:t>
      </w:r>
      <w:r>
        <w:rPr>
          <w:rFonts w:ascii="Times New Roman" w:hAnsi="Times New Roman" w:cs="Times New Roman"/>
          <w:bCs/>
          <w:color w:val="000000"/>
          <w:sz w:val="24"/>
          <w:szCs w:val="24"/>
        </w:rPr>
        <w:t xml:space="preserve">). </w:t>
      </w:r>
    </w:p>
    <w:p w14:paraId="4B67D600"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Boots was an early adopter of </w:t>
      </w:r>
      <w:r>
        <w:rPr>
          <w:rFonts w:ascii="Times New Roman" w:hAnsi="Times New Roman" w:cs="Times New Roman"/>
          <w:color w:val="000000"/>
          <w:sz w:val="24"/>
          <w:szCs w:val="24"/>
        </w:rPr>
        <w:t xml:space="preserve">e-commerce and digital healthcare that enabled it to be one of the strongest players in online pharmacy services. Boots had strong </w:t>
      </w:r>
      <w:proofErr w:type="spellStart"/>
      <w:r>
        <w:rPr>
          <w:rFonts w:ascii="Times New Roman" w:hAnsi="Times New Roman" w:cs="Times New Roman"/>
          <w:color w:val="000000"/>
          <w:sz w:val="24"/>
          <w:szCs w:val="24"/>
        </w:rPr>
        <w:t>omnichannel</w:t>
      </w:r>
      <w:proofErr w:type="spellEnd"/>
      <w:r>
        <w:rPr>
          <w:rFonts w:ascii="Times New Roman" w:hAnsi="Times New Roman" w:cs="Times New Roman"/>
          <w:color w:val="000000"/>
          <w:sz w:val="24"/>
          <w:szCs w:val="24"/>
        </w:rPr>
        <w:t xml:space="preserve"> presence in 2022, and the digital sales grew by 22%. Its parent company, Walgreens Boots Alliance also reported $132.5 billion in revenue in 2023, clearly showing how dominant it is (</w:t>
      </w:r>
      <w:proofErr w:type="spellStart"/>
      <w:r>
        <w:rPr>
          <w:rFonts w:ascii="Times New Roman" w:hAnsi="Times New Roman" w:cs="Times New Roman"/>
          <w:color w:val="000000"/>
          <w:sz w:val="24"/>
          <w:szCs w:val="24"/>
        </w:rPr>
        <w:t>Onita</w:t>
      </w:r>
      <w:proofErr w:type="spellEnd"/>
      <w:r>
        <w:rPr>
          <w:rFonts w:ascii="Times New Roman" w:hAnsi="Times New Roman" w:cs="Times New Roman"/>
          <w:color w:val="000000"/>
          <w:sz w:val="24"/>
          <w:szCs w:val="24"/>
        </w:rPr>
        <w:t>, and Meyer, 2025).</w:t>
      </w:r>
    </w:p>
    <w:p w14:paraId="69899630"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Follower Company: Superdrug</w:t>
      </w:r>
    </w:p>
    <w:p w14:paraId="5E53A79F"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Superdrug was founded in 1964 and entered the market after Boots, and despite this, it has managed to position itself as the cheaper alternative. It has more than 830 UK and Irish stores, where it sells focusing on focus on affordability and exclusive beauty brands. Superdrug’s revenue reached £1.4 billion in 2023 which underpins its competitive strength (Warn, 2024).</w:t>
      </w:r>
    </w:p>
    <w:p w14:paraId="4A526616"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Superdrug was unlike Boots, it differentiated itself by providing cheaper alternatives and even its own brand products. It also began to put Health &amp; Beauty card loyalty program in place, which is currently flourishing with 14 million members, competing with Boots Advantage Card and also used it as a tool to ensure digital growth in retail, growing online sales by more than 30 percent in 2023 (</w:t>
      </w:r>
      <w:proofErr w:type="spellStart"/>
      <w:r>
        <w:rPr>
          <w:rFonts w:ascii="Times New Roman" w:hAnsi="Times New Roman" w:cs="Times New Roman"/>
          <w:color w:val="000000"/>
          <w:sz w:val="24"/>
          <w:szCs w:val="24"/>
        </w:rPr>
        <w:t>Statista</w:t>
      </w:r>
      <w:proofErr w:type="spellEnd"/>
      <w:r>
        <w:rPr>
          <w:rFonts w:ascii="Times New Roman" w:hAnsi="Times New Roman" w:cs="Times New Roman"/>
          <w:color w:val="000000"/>
          <w:sz w:val="24"/>
          <w:szCs w:val="24"/>
        </w:rPr>
        <w:t xml:space="preserve"> 2023).</w:t>
      </w:r>
    </w:p>
    <w:p w14:paraId="56234656" w14:textId="77777777" w:rsidR="00365C3E" w:rsidRDefault="000075C5">
      <w:pPr>
        <w:pStyle w:val="Heading1"/>
        <w:rPr>
          <w:szCs w:val="24"/>
        </w:rPr>
      </w:pPr>
      <w:bookmarkStart w:id="7" w:name="_Toc193110080"/>
      <w:r>
        <w:rPr>
          <w:szCs w:val="24"/>
        </w:rPr>
        <w:t>Question 2: What product life cycle strategies do successful pioneer and follower companies implement to increase growth and maintain a strong competitive advantage?</w:t>
      </w:r>
      <w:bookmarkEnd w:id="7"/>
    </w:p>
    <w:p w14:paraId="224E441C" w14:textId="77777777" w:rsidR="00365C3E" w:rsidRDefault="000075C5">
      <w:pPr>
        <w:pStyle w:val="Heading2"/>
      </w:pPr>
      <w:bookmarkStart w:id="8" w:name="_Toc193110081"/>
      <w:r>
        <w:t>Product Life Cycle and Its Stages</w:t>
      </w:r>
      <w:bookmarkEnd w:id="8"/>
    </w:p>
    <w:p w14:paraId="2F97AB1B"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Product Life Cycle (PLC) refers to a business concept that encompasses the progression of every product from its inception to the decline stage of its life for better management (Cao, and </w:t>
      </w:r>
      <w:proofErr w:type="spellStart"/>
      <w:r>
        <w:rPr>
          <w:rFonts w:ascii="Times New Roman" w:hAnsi="Times New Roman" w:cs="Times New Roman"/>
          <w:color w:val="000000"/>
          <w:sz w:val="24"/>
          <w:szCs w:val="24"/>
        </w:rPr>
        <w:t>Folan</w:t>
      </w:r>
      <w:proofErr w:type="spellEnd"/>
      <w:r>
        <w:rPr>
          <w:rFonts w:ascii="Times New Roman" w:hAnsi="Times New Roman" w:cs="Times New Roman"/>
          <w:color w:val="000000"/>
          <w:sz w:val="24"/>
          <w:szCs w:val="24"/>
        </w:rPr>
        <w:t>, 2011). It enables companies to formulate their marketing, sales and operational efforts to achieve highest profitability and competitiveness. The 4 main stages are:</w:t>
      </w:r>
    </w:p>
    <w:p w14:paraId="688C08D7" w14:textId="77777777" w:rsidR="00365C3E" w:rsidRDefault="000075C5">
      <w:pPr>
        <w:spacing w:line="360" w:lineRule="auto"/>
        <w:jc w:val="center"/>
        <w:rPr>
          <w:rFonts w:ascii="Times New Roman" w:hAnsi="Times New Roman" w:cs="Times New Roman"/>
          <w:color w:val="000000"/>
          <w:sz w:val="24"/>
          <w:szCs w:val="24"/>
        </w:rPr>
      </w:pPr>
      <w:r>
        <w:rPr>
          <w:noProof/>
        </w:rPr>
        <w:drawing>
          <wp:inline distT="0" distB="0" distL="0" distR="0" wp14:anchorId="019FC55D" wp14:editId="69632A71">
            <wp:extent cx="4953635" cy="2329815"/>
            <wp:effectExtent l="0" t="0" r="0" b="0"/>
            <wp:docPr id="4" name="图片 4"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7"/>
                    <a:stretch>
                      <a:fillRect/>
                    </a:stretch>
                  </pic:blipFill>
                  <pic:spPr>
                    <a:xfrm>
                      <a:off x="0" y="0"/>
                      <a:ext cx="4953635" cy="2329815"/>
                    </a:xfrm>
                    <a:prstGeom prst="rect">
                      <a:avLst/>
                    </a:prstGeom>
                    <a:noFill/>
                    <a:ln w="9525" cap="flat" cmpd="sng">
                      <a:noFill/>
                      <a:prstDash val="solid"/>
                      <a:miter/>
                    </a:ln>
                  </pic:spPr>
                </pic:pic>
              </a:graphicData>
            </a:graphic>
          </wp:inline>
        </w:drawing>
      </w:r>
    </w:p>
    <w:p w14:paraId="5F3C1EBC" w14:textId="77777777" w:rsidR="00365C3E" w:rsidRDefault="000075C5">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Figure 1: Product life cycle </w:t>
      </w:r>
    </w:p>
    <w:p w14:paraId="2073EB17" w14:textId="77777777" w:rsidR="00365C3E" w:rsidRDefault="000075C5">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Source: (Cao, and </w:t>
      </w:r>
      <w:proofErr w:type="spellStart"/>
      <w:r>
        <w:rPr>
          <w:rFonts w:ascii="Times New Roman" w:hAnsi="Times New Roman" w:cs="Times New Roman"/>
          <w:color w:val="000000"/>
          <w:sz w:val="24"/>
          <w:szCs w:val="24"/>
        </w:rPr>
        <w:t>Folan</w:t>
      </w:r>
      <w:proofErr w:type="spellEnd"/>
      <w:r>
        <w:rPr>
          <w:rFonts w:ascii="Times New Roman" w:hAnsi="Times New Roman" w:cs="Times New Roman"/>
          <w:color w:val="000000"/>
          <w:sz w:val="24"/>
          <w:szCs w:val="24"/>
        </w:rPr>
        <w:t>, 2011)</w:t>
      </w:r>
    </w:p>
    <w:p w14:paraId="1A0E8E33"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1. Introduction Stage</w:t>
      </w:r>
    </w:p>
    <w:p w14:paraId="3B7200E3"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This is the point at which the product is launched into the market for the first time. At the early stages of awareness, sales are not too high. Companies spend exorbitant money on marketing, promotion and distribution. They may be expensive to recover development costs or low to get early adopters. </w:t>
      </w:r>
    </w:p>
    <w:p w14:paraId="1F98CD73"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2. Growth Stage</w:t>
      </w:r>
    </w:p>
    <w:p w14:paraId="440E651B"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As the demand goes up sales increase rapidly. The distribution is expanded, the product improved, and the company differentiates itself from its competitors. Brand loyalty starts to develop (</w:t>
      </w:r>
      <w:proofErr w:type="spellStart"/>
      <w:r>
        <w:rPr>
          <w:rFonts w:ascii="Times New Roman" w:hAnsi="Times New Roman" w:cs="Times New Roman"/>
          <w:color w:val="000000"/>
          <w:sz w:val="24"/>
          <w:szCs w:val="24"/>
        </w:rPr>
        <w:t>Dwivedi</w:t>
      </w:r>
      <w:proofErr w:type="spellEnd"/>
      <w:r>
        <w:rPr>
          <w:rFonts w:ascii="Times New Roman" w:hAnsi="Times New Roman" w:cs="Times New Roman"/>
          <w:color w:val="000000"/>
          <w:sz w:val="24"/>
          <w:szCs w:val="24"/>
        </w:rPr>
        <w:t xml:space="preserve"> et al., 2021). </w:t>
      </w:r>
    </w:p>
    <w:p w14:paraId="77499CB7"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3. Maturity Stage</w:t>
      </w:r>
    </w:p>
    <w:p w14:paraId="5E0E0580"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Sales peak and competition intensifies. To maintain demand companies introduce product variations, promote products, and enhance product features. Market saturation may occur. </w:t>
      </w:r>
    </w:p>
    <w:p w14:paraId="5AF5E46D"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4. Decline Stage</w:t>
      </w:r>
    </w:p>
    <w:p w14:paraId="26491D24"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Sales and profits decrease because of market saturation, change in consumer preference or technological advancement (Felix, 2015). Also the product may be discontinued, rebranded, no replacements will be offered, or a new product may come out.</w:t>
      </w:r>
    </w:p>
    <w:p w14:paraId="5DEFA500" w14:textId="77777777" w:rsidR="00365C3E" w:rsidRDefault="000075C5">
      <w:pPr>
        <w:pStyle w:val="Heading2"/>
      </w:pPr>
      <w:bookmarkStart w:id="9" w:name="_Toc193110082"/>
      <w:r>
        <w:t>Boots Pharmacy</w:t>
      </w:r>
      <w:bookmarkEnd w:id="9"/>
    </w:p>
    <w:p w14:paraId="4D99D04F"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 UK health and beauty retailer Boots pharmacy has been able to traverse all stages of the product life cycle: pre-launch, introduction, growth, maturity and decline, to stimulate growth and maintain a competitive edge. </w:t>
      </w:r>
    </w:p>
    <w:p w14:paraId="20D94257"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1. Pre-Launch Stage</w:t>
      </w:r>
    </w:p>
    <w:p w14:paraId="49D2BCB3"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The Boots first seeks for market research for their new products or services to find if there is a necessity for such products or if the products are not in trending consumer needs, so they can introduce them into the market. This proactive approach allows the development of the offerings that have resonated with the target audience. For instance it can be added that recognizing the growing demand for dedicated and personalized beauty consultations, Boots focused on launching virtual beauty services, allowi</w:t>
      </w:r>
      <w:r>
        <w:rPr>
          <w:rFonts w:ascii="Times New Roman" w:hAnsi="Times New Roman" w:cs="Times New Roman"/>
          <w:color w:val="000000"/>
          <w:sz w:val="24"/>
          <w:szCs w:val="24"/>
        </w:rPr>
        <w:t xml:space="preserve">ng customers to receive tailored advice from experts online. According to www.boots-uk.com (2016) Boots was not only addressing a market need, but also a position of the company becoming an innovator in the digital retail space. </w:t>
      </w:r>
    </w:p>
    <w:p w14:paraId="349E089A"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2. Introduction Stage</w:t>
      </w:r>
    </w:p>
    <w:p w14:paraId="2DBCD32A"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Conducting campaigns for the introduction phase, Boots helped create awareness and attract customers’ interest. In this context a suitable example can be the revamp of their beauty offering and in-store experience to "reinvent" retail, acknowledging that heritage alone is not sufficient for the requirements of modern consumers. It also focused on updating store layout and bolstering product display in efforts to attract a different customer base. </w:t>
      </w:r>
    </w:p>
    <w:p w14:paraId="3FFDB638"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3. Growth Stage</w:t>
      </w:r>
    </w:p>
    <w:p w14:paraId="03445285"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At maturity, Boots concentrates on scaling up operations and on expanding the market reach. This approach is effectively exemplified by the company’s </w:t>
      </w:r>
      <w:proofErr w:type="spellStart"/>
      <w:r>
        <w:rPr>
          <w:rFonts w:ascii="Times New Roman" w:hAnsi="Times New Roman" w:cs="Times New Roman"/>
          <w:color w:val="000000"/>
          <w:sz w:val="24"/>
          <w:szCs w:val="24"/>
        </w:rPr>
        <w:t>omnichannel</w:t>
      </w:r>
      <w:proofErr w:type="spellEnd"/>
      <w:r>
        <w:rPr>
          <w:rFonts w:ascii="Times New Roman" w:hAnsi="Times New Roman" w:cs="Times New Roman"/>
          <w:color w:val="000000"/>
          <w:sz w:val="24"/>
          <w:szCs w:val="24"/>
        </w:rPr>
        <w:t xml:space="preserve"> marketing strategy. Boots combines online and offline platforms to provide a smooth customer experience. This brought the idea of virtual beauty consultations, where customers could book appointments for free online makeup, skincare and self-care advice online and have a balance of digital convenience and personalized service. This strategy has worked out as Boots’ total UK Sales rose 15.2% year on year in the second quarter ending February 28, 2022 and comparable retail Sales increased by 22% (</w:t>
      </w:r>
      <w:r>
        <w:rPr>
          <w:rFonts w:ascii="Times New Roman" w:hAnsi="Times New Roman" w:cs="Times New Roman"/>
          <w:color w:val="000000"/>
          <w:sz w:val="24"/>
          <w:szCs w:val="24"/>
        </w:rPr>
        <w:t xml:space="preserve">Singh, 2025). </w:t>
      </w:r>
    </w:p>
    <w:p w14:paraId="6F1E796D"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4. Maturity Stage</w:t>
      </w:r>
    </w:p>
    <w:p w14:paraId="7F2544E1"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In the maturity stage, Boots on the one hand tries to maintain the market share with differentiation. To generate more revenue streams, the company has also expanded its services to in-store clinics, health coaching and telemedicine services for customers that fall in line with their holistic health needs. In addition that it is also observed that, Boots has strengthened its digital presence with the help of enhancing its online pharmacy services and adequately focusing on integrating AI-driven health consu</w:t>
      </w:r>
      <w:r>
        <w:rPr>
          <w:rFonts w:ascii="Times New Roman" w:hAnsi="Times New Roman" w:cs="Times New Roman"/>
          <w:color w:val="000000"/>
          <w:sz w:val="24"/>
          <w:szCs w:val="24"/>
        </w:rPr>
        <w:t xml:space="preserve">ltations. These strategic practices adopted by boots for expansion is adequately aligned with evolving consumer demands, reinforcing customer loyalty and sustaining long-term growth. Boots cited 5.9 percent rise in retail sales for the quarter to February 29, 2024, reflecting the 12th consecutive quarter of retail market share growth (Grice, 2024). </w:t>
      </w:r>
    </w:p>
    <w:p w14:paraId="53D06D4A"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5. Decline Stage</w:t>
      </w:r>
    </w:p>
    <w:p w14:paraId="7DFD8BF7"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Strategies including product discontinuation, rebranding or repositioning are applied by Boots to address products or services in decline. In this case, the company has responded to threat of online competition, by concentrating on its strengths, moving into new revenue streams such as health and wellness services (</w:t>
      </w:r>
      <w:proofErr w:type="spellStart"/>
      <w:r>
        <w:rPr>
          <w:rFonts w:ascii="Times New Roman" w:hAnsi="Times New Roman" w:cs="Times New Roman"/>
          <w:color w:val="000000"/>
          <w:sz w:val="24"/>
          <w:szCs w:val="24"/>
        </w:rPr>
        <w:t>Onita</w:t>
      </w:r>
      <w:proofErr w:type="spellEnd"/>
      <w:r>
        <w:rPr>
          <w:rFonts w:ascii="Times New Roman" w:hAnsi="Times New Roman" w:cs="Times New Roman"/>
          <w:color w:val="000000"/>
          <w:sz w:val="24"/>
          <w:szCs w:val="24"/>
        </w:rPr>
        <w:t xml:space="preserve"> and Meyer, 2025). </w:t>
      </w:r>
    </w:p>
    <w:p w14:paraId="02EF8C01" w14:textId="77777777" w:rsidR="00365C3E" w:rsidRDefault="000075C5">
      <w:pPr>
        <w:pStyle w:val="Heading2"/>
      </w:pPr>
      <w:bookmarkStart w:id="10" w:name="_Toc193110083"/>
      <w:r>
        <w:t>Super Drugs</w:t>
      </w:r>
      <w:bookmarkEnd w:id="10"/>
    </w:p>
    <w:p w14:paraId="3ADAACD9"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Leading health and beauty retailer within the UK, Superdrug has successfully gone through the stages of the product life cycle including pre launch, introduction, growth, maturity and decline in order to help it grow and stay competitive. At each stage of their strategies, they have been </w:t>
      </w:r>
      <w:proofErr w:type="spellStart"/>
      <w:r>
        <w:rPr>
          <w:rFonts w:ascii="Times New Roman" w:hAnsi="Times New Roman" w:cs="Times New Roman"/>
          <w:color w:val="000000"/>
          <w:sz w:val="24"/>
          <w:szCs w:val="24"/>
        </w:rPr>
        <w:t>analysed</w:t>
      </w:r>
      <w:proofErr w:type="spellEnd"/>
      <w:r>
        <w:rPr>
          <w:rFonts w:ascii="Times New Roman" w:hAnsi="Times New Roman" w:cs="Times New Roman"/>
          <w:color w:val="000000"/>
          <w:sz w:val="24"/>
          <w:szCs w:val="24"/>
        </w:rPr>
        <w:t>.</w:t>
      </w:r>
    </w:p>
    <w:p w14:paraId="7225DA4C"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1. Pre-Launch Stage</w:t>
      </w:r>
    </w:p>
    <w:p w14:paraId="313481CF"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Superdrug does thorough research on the market before introducing new products or services. Such a proactive approach helps in the development of offerings that find resonance with the target audiences. An example of such a step would be Superdrug opening a vegan pop up shop at </w:t>
      </w:r>
      <w:proofErr w:type="spellStart"/>
      <w:r>
        <w:rPr>
          <w:rFonts w:ascii="Times New Roman" w:hAnsi="Times New Roman" w:cs="Times New Roman"/>
          <w:color w:val="000000"/>
          <w:sz w:val="24"/>
          <w:szCs w:val="24"/>
        </w:rPr>
        <w:t>Shoreditch's</w:t>
      </w:r>
      <w:proofErr w:type="spellEnd"/>
      <w:r>
        <w:rPr>
          <w:rFonts w:ascii="Times New Roman" w:hAnsi="Times New Roman" w:cs="Times New Roman"/>
          <w:color w:val="000000"/>
          <w:sz w:val="24"/>
          <w:szCs w:val="24"/>
        </w:rPr>
        <w:t xml:space="preserve"> Box Park in March 2018, showing its own brand beauty and cosmetic products alongside exclusive branded products that are vegan friendly (</w:t>
      </w:r>
      <w:proofErr w:type="spellStart"/>
      <w:r>
        <w:rPr>
          <w:rFonts w:ascii="Times New Roman" w:hAnsi="Times New Roman" w:cs="Times New Roman"/>
          <w:color w:val="000000"/>
          <w:sz w:val="24"/>
          <w:szCs w:val="24"/>
        </w:rPr>
        <w:t>Bargh</w:t>
      </w:r>
      <w:proofErr w:type="spellEnd"/>
      <w:r>
        <w:rPr>
          <w:rFonts w:ascii="Times New Roman" w:hAnsi="Times New Roman" w:cs="Times New Roman"/>
          <w:color w:val="000000"/>
          <w:sz w:val="24"/>
          <w:szCs w:val="24"/>
        </w:rPr>
        <w:t xml:space="preserve">, 2018). </w:t>
      </w:r>
    </w:p>
    <w:p w14:paraId="4664A0C4"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2. Introduction Stage</w:t>
      </w:r>
    </w:p>
    <w:p w14:paraId="1D784C62"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Strategic marketing campaigns are used by Superdrug during the introduction phase in order to create awareness and expedite interest. For example, the Superdrug Store Plc resurrected its own brand, B. Makeup, a vegan makeup campaign. Having an extensive own brand collection also helps Superdrug put a mainstream spin on premium beauty trends (Rogers, 2017). Along with meeting a market need, this initiative positioned Superdrug as a branding inclusive and innovative brand. </w:t>
      </w:r>
    </w:p>
    <w:p w14:paraId="2B170287"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3. Growth Stage</w:t>
      </w:r>
    </w:p>
    <w:p w14:paraId="2CC8ADFD"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Superdrug centers its efforts on enhancing the service and extending its market reach. How the company competing in the asset management market succeeded in becoming successful was by focusing its strategy on providing value to customers through competitive pricing and wide product selection. Superdrug’s market position as a value retailer differentiates it from competitors in the health and beauty market. Superdrug manages to attract a diverse customer base based on the fact that they offer with affordable</w:t>
      </w:r>
      <w:r>
        <w:rPr>
          <w:rFonts w:ascii="Times New Roman" w:hAnsi="Times New Roman" w:cs="Times New Roman"/>
          <w:color w:val="000000"/>
          <w:sz w:val="24"/>
          <w:szCs w:val="24"/>
        </w:rPr>
        <w:t xml:space="preserve"> prices without compromising on the quality of products. The retailer offers a constant supply of well known brand on its own private label and other brands, which satisfy the varying consumer taste and needs. Financially Superdrug has experienced success in the UK health and beauty sector increasing its market share. As reported by Yahoo Finance, Superdrug’s market share has increased to almost 40% (McGuire, 2024). </w:t>
      </w:r>
    </w:p>
    <w:p w14:paraId="29C79E8D"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4. Maturity Stage</w:t>
      </w:r>
    </w:p>
    <w:p w14:paraId="6A1A4051"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Superdrug differentiates in the maturity phase to maintain stable market share. In line with that, the company also expanded its reach to health related services, including in store clinics, health coaching and telemedicine services to customers holistically meeting health needs and consequently generate additional revenues. Superdrug has also focused on improving its digital offerings, along with integrating AI-driven skincare consultations and also personalized wellness plans in order to provide stability</w:t>
      </w:r>
      <w:r>
        <w:rPr>
          <w:rFonts w:ascii="Times New Roman" w:hAnsi="Times New Roman" w:cs="Times New Roman"/>
          <w:color w:val="000000"/>
          <w:sz w:val="24"/>
          <w:szCs w:val="24"/>
        </w:rPr>
        <w:t xml:space="preserve"> to its maturity stage. Hence it was observed that these initiatives have strengthened customer loyalty for the firm and brand positioning. These practices as a result showed that Superdrug’s efforts have not only increased customer satisfaction but sales growth as well outperforming its market competitors</w:t>
      </w:r>
      <w:r>
        <w:rPr>
          <w:rFonts w:ascii="Times New Roman" w:hAnsi="Times New Roman" w:cs="Times New Roman"/>
          <w:color w:val="FF0000"/>
          <w:sz w:val="24"/>
          <w:szCs w:val="24"/>
        </w:rPr>
        <w:t>.</w:t>
      </w:r>
    </w:p>
    <w:p w14:paraId="0C224D01"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5. Decline Stage</w:t>
      </w:r>
    </w:p>
    <w:p w14:paraId="1AF0D038"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For the declining products and services, Superdrug uses strategies of product discontinuation, rebranding or repositioning. The company manages the online competition by leveraging the strengths and exploring the new revenue stream, such as the health and wellness services. Superdrug has been by such approach in retaining its competitive advantage in a retail environment that is increasingly fast moving.</w:t>
      </w:r>
    </w:p>
    <w:p w14:paraId="2370B84E" w14:textId="77777777" w:rsidR="00365C3E" w:rsidRDefault="000075C5">
      <w:pPr>
        <w:pStyle w:val="Heading2"/>
      </w:pPr>
      <w:bookmarkStart w:id="11" w:name="_Toc193110084"/>
      <w:r>
        <w:t>Lloyds Pharmacy</w:t>
      </w:r>
      <w:bookmarkEnd w:id="11"/>
    </w:p>
    <w:p w14:paraId="365B5883"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1. Pre-Launch Stage</w:t>
      </w:r>
    </w:p>
    <w:p w14:paraId="695F5AB3"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carries out considerable research on the market before introducing any new product or service. They focus on possibilities in digital healthcare including online prescription service and AI help with consultations to match preference or demand from the consumers (retailtechinnovationhub.com 2025).</w:t>
      </w:r>
    </w:p>
    <w:p w14:paraId="0A277F50"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2. Introduction Stage</w:t>
      </w:r>
    </w:p>
    <w:p w14:paraId="284BE453"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The company, with the base of strong branding, enters the market with link to McKesson Group in its supply chain efficiency. It brings in competitive services like in store GP services to attract initial consumers.</w:t>
      </w:r>
    </w:p>
    <w:p w14:paraId="028309D7"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3. Growth Stage</w:t>
      </w:r>
    </w:p>
    <w:p w14:paraId="781D2DBB"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broadens its reach through acquisitions, partnership and the digital innovations. For examples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expands its digital healthcare offering through new </w:t>
      </w:r>
      <w:proofErr w:type="spellStart"/>
      <w:r>
        <w:rPr>
          <w:rFonts w:ascii="Times New Roman" w:hAnsi="Times New Roman" w:cs="Times New Roman"/>
          <w:color w:val="000000"/>
          <w:sz w:val="24"/>
          <w:szCs w:val="24"/>
        </w:rPr>
        <w:t>VideoGP</w:t>
      </w:r>
      <w:proofErr w:type="spellEnd"/>
      <w:r>
        <w:rPr>
          <w:rFonts w:ascii="Times New Roman" w:hAnsi="Times New Roman" w:cs="Times New Roman"/>
          <w:color w:val="000000"/>
          <w:sz w:val="24"/>
          <w:szCs w:val="24"/>
        </w:rPr>
        <w:t xml:space="preserve"> service. Hence with the implications of the new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VideoGP</w:t>
      </w:r>
      <w:proofErr w:type="spellEnd"/>
      <w:r>
        <w:rPr>
          <w:rFonts w:ascii="Times New Roman" w:hAnsi="Times New Roman" w:cs="Times New Roman"/>
          <w:color w:val="000000"/>
          <w:sz w:val="24"/>
          <w:szCs w:val="24"/>
        </w:rPr>
        <w:t xml:space="preserve"> service, patients are now able to access a GP appointment in as little as 30 minutes, seven days a week.  It gets an online presence, integrated with services for home delivery, and extends its private healthcare providing range of services with flu vaccinations and der</w:t>
      </w:r>
      <w:r>
        <w:rPr>
          <w:rFonts w:ascii="Times New Roman" w:hAnsi="Times New Roman" w:cs="Times New Roman"/>
          <w:color w:val="000000"/>
          <w:sz w:val="24"/>
          <w:szCs w:val="24"/>
        </w:rPr>
        <w:t>matology consultations. These changes have significantly enhanced its growth in the market (Williams, 2021).</w:t>
      </w:r>
    </w:p>
    <w:p w14:paraId="12705AB8" w14:textId="77777777" w:rsidR="00365C3E" w:rsidRDefault="000075C5">
      <w:pPr>
        <w:spacing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4. Maturity Stage</w:t>
      </w:r>
    </w:p>
    <w:p w14:paraId="7B5511F1" w14:textId="77777777" w:rsidR="00365C3E" w:rsidRDefault="000075C5">
      <w:pPr>
        <w:spacing w:line="360" w:lineRule="auto"/>
        <w:jc w:val="both"/>
        <w:rPr>
          <w:rFonts w:ascii="Times New Roman" w:hAnsi="Times New Roman" w:cs="Times New Roman"/>
          <w:b/>
          <w:color w:val="000000"/>
          <w:sz w:val="24"/>
          <w:szCs w:val="24"/>
        </w:rPr>
      </w:pPr>
      <w:proofErr w:type="spellStart"/>
      <w:r>
        <w:rPr>
          <w:rFonts w:ascii="Times New Roman" w:hAnsi="Times New Roman" w:cs="Times New Roman"/>
          <w:color w:val="000000"/>
          <w:sz w:val="24"/>
          <w:szCs w:val="24"/>
        </w:rPr>
        <w:t>Omnichannel</w:t>
      </w:r>
      <w:proofErr w:type="spellEnd"/>
      <w:r>
        <w:rPr>
          <w:rFonts w:ascii="Times New Roman" w:hAnsi="Times New Roman" w:cs="Times New Roman"/>
          <w:color w:val="000000"/>
          <w:sz w:val="24"/>
          <w:szCs w:val="24"/>
        </w:rPr>
        <w:t xml:space="preserve"> is used by the company to optimize operations, grow digital prescription, and improve customer experience. It is differentiated by personalized health plan and targeted marketing (retailtechinnovationhub.com 2025). With the increasing competition in the market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has partnered with </w:t>
      </w:r>
      <w:proofErr w:type="spellStart"/>
      <w:r>
        <w:rPr>
          <w:rFonts w:ascii="Times New Roman" w:hAnsi="Times New Roman" w:cs="Times New Roman"/>
          <w:color w:val="000000"/>
          <w:sz w:val="24"/>
          <w:szCs w:val="24"/>
        </w:rPr>
        <w:t>Mapp</w:t>
      </w:r>
      <w:proofErr w:type="spellEnd"/>
      <w:r>
        <w:rPr>
          <w:rFonts w:ascii="Times New Roman" w:hAnsi="Times New Roman" w:cs="Times New Roman"/>
          <w:color w:val="000000"/>
          <w:sz w:val="24"/>
          <w:szCs w:val="24"/>
        </w:rPr>
        <w:t xml:space="preserve"> the leading provider of insight-led customer experiences. This has been done aiming the goal of delivering exceptional service for customers across all channels at scale. This is why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needed to uni</w:t>
      </w:r>
      <w:r>
        <w:rPr>
          <w:rFonts w:ascii="Times New Roman" w:hAnsi="Times New Roman" w:cs="Times New Roman"/>
          <w:color w:val="000000"/>
          <w:sz w:val="24"/>
          <w:szCs w:val="24"/>
        </w:rPr>
        <w:t xml:space="preserve">fy its unconnected data sets and profiles in one safe and secure place. This significantly benefitted the business to acquire increased channel adoption, including social media and display advertising (mapp.com (2022).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has selected its insight-led solution to integrate customer intelligence at the heart of its marketing.</w:t>
      </w:r>
      <w:r>
        <w:rPr>
          <w:rFonts w:ascii="Times New Roman" w:hAnsi="Times New Roman" w:cs="Times New Roman"/>
          <w:b/>
          <w:color w:val="000000"/>
          <w:sz w:val="24"/>
          <w:szCs w:val="24"/>
        </w:rPr>
        <w:t>5. Decline Stage</w:t>
      </w:r>
    </w:p>
    <w:p w14:paraId="099E473C"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With online pharmacies competing and customers becoming more used to online shopping,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plans on closing poor performing stores, guide business towards e-commerce and reduce focus on its high street services.</w:t>
      </w:r>
    </w:p>
    <w:p w14:paraId="181F85DE" w14:textId="77777777" w:rsidR="00365C3E" w:rsidRDefault="000075C5">
      <w:pPr>
        <w:pStyle w:val="Heading1"/>
      </w:pPr>
      <w:bookmarkStart w:id="12" w:name="_Toc193110085"/>
      <w:r>
        <w:t>Conclusion</w:t>
      </w:r>
      <w:bookmarkEnd w:id="12"/>
    </w:p>
    <w:p w14:paraId="0C5F4A8D"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This research presents a range of strategic PLC management for UK's competitive pharmacy retail industry. In this case Boots Pharmacy, Superdrug and </w:t>
      </w:r>
      <w:proofErr w:type="spellStart"/>
      <w:r>
        <w:rPr>
          <w:rFonts w:ascii="Times New Roman" w:hAnsi="Times New Roman" w:cs="Times New Roman"/>
          <w:color w:val="000000"/>
          <w:sz w:val="24"/>
          <w:szCs w:val="24"/>
        </w:rPr>
        <w:t>LloydsPharmacy</w:t>
      </w:r>
      <w:proofErr w:type="spellEnd"/>
      <w:r>
        <w:rPr>
          <w:rFonts w:ascii="Times New Roman" w:hAnsi="Times New Roman" w:cs="Times New Roman"/>
          <w:color w:val="000000"/>
          <w:sz w:val="24"/>
          <w:szCs w:val="24"/>
        </w:rPr>
        <w:t xml:space="preserve"> serve as useful examples of how businesses undergo innovation, competitive pricing strategy and service expansion to grow. Follower Superdrug and Lloyds Pharmacy, though not as dominant as Boots are, take advantage of cost elasticity and service differentiation. By understanding these dynamics businesses have an opportunity to predict market movement, increase customer retention, and survive in an industry. The PLC strategy that is well executed directs how resilient a company is for long ter</w:t>
      </w:r>
      <w:r>
        <w:rPr>
          <w:rFonts w:ascii="Times New Roman" w:hAnsi="Times New Roman" w:cs="Times New Roman"/>
          <w:color w:val="000000"/>
          <w:sz w:val="24"/>
          <w:szCs w:val="24"/>
        </w:rPr>
        <w:t>m sustainability and long term adaptability to a digital and a customer driven retail environment. This research effectively highlighted the dynamic interplay between Pioneer and follower strategies in structuring business success. Effective PLC strategies consisting continuous product improvement, digital transformation and customer loyalty programs are able to drive sustainable growth. The comparative analysis of these businesses also highlight the importance of agility, strategic decision making And cons</w:t>
      </w:r>
      <w:r>
        <w:rPr>
          <w:rFonts w:ascii="Times New Roman" w:hAnsi="Times New Roman" w:cs="Times New Roman"/>
          <w:color w:val="000000"/>
          <w:sz w:val="24"/>
          <w:szCs w:val="24"/>
        </w:rPr>
        <w:t>umer sent it approaches in order to maintain a strong market presence. Hence Businesses are required to evolve with industry Trends and remain competitive in an ever changing market landscape whether they are a Pioneer or follower.</w:t>
      </w:r>
    </w:p>
    <w:p w14:paraId="3EBBBFD7" w14:textId="77777777" w:rsidR="00365C3E" w:rsidRDefault="00365C3E">
      <w:pPr>
        <w:spacing w:line="360" w:lineRule="auto"/>
        <w:jc w:val="both"/>
        <w:rPr>
          <w:rFonts w:ascii="Times New Roman" w:hAnsi="Times New Roman" w:cs="Times New Roman"/>
          <w:color w:val="000000"/>
          <w:sz w:val="24"/>
          <w:szCs w:val="24"/>
        </w:rPr>
      </w:pPr>
    </w:p>
    <w:p w14:paraId="43BB72EC" w14:textId="77777777" w:rsidR="00365C3E" w:rsidRDefault="000075C5">
      <w:pPr>
        <w:spacing w:after="0" w:line="240" w:lineRule="auto"/>
        <w:rPr>
          <w:rFonts w:ascii="Times New Roman" w:eastAsia="SimSun" w:hAnsi="Times New Roman" w:cs="Times New Roman"/>
          <w:b/>
          <w:bCs/>
          <w:color w:val="000000"/>
          <w:sz w:val="28"/>
          <w:szCs w:val="24"/>
        </w:rPr>
      </w:pPr>
      <w:bookmarkStart w:id="13" w:name="_Toc193110086"/>
      <w:r>
        <w:rPr>
          <w:szCs w:val="24"/>
        </w:rPr>
        <w:br w:type="page"/>
      </w:r>
    </w:p>
    <w:p w14:paraId="09349D15" w14:textId="77777777" w:rsidR="00365C3E" w:rsidRDefault="000075C5">
      <w:pPr>
        <w:pStyle w:val="Heading1"/>
        <w:rPr>
          <w:szCs w:val="24"/>
        </w:rPr>
      </w:pPr>
      <w:r>
        <w:rPr>
          <w:szCs w:val="24"/>
        </w:rPr>
        <w:t>References</w:t>
      </w:r>
      <w:bookmarkEnd w:id="13"/>
    </w:p>
    <w:p w14:paraId="427ADDD5"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Abdin</w:t>
      </w:r>
      <w:proofErr w:type="spellEnd"/>
      <w:r>
        <w:rPr>
          <w:rFonts w:ascii="Times New Roman" w:hAnsi="Times New Roman" w:cs="Times New Roman"/>
          <w:color w:val="000000"/>
          <w:sz w:val="24"/>
          <w:szCs w:val="24"/>
        </w:rPr>
        <w:t xml:space="preserve">, J., Sharma, A., Trivedi, R. and Wang, C. (2024). Financing constraints, intellectual property rights protection and incremental innovation: Evidence from transition economy firms. </w:t>
      </w:r>
      <w:r>
        <w:rPr>
          <w:rFonts w:ascii="Times New Roman" w:hAnsi="Times New Roman" w:cs="Times New Roman"/>
          <w:i/>
          <w:iCs/>
          <w:color w:val="000000"/>
          <w:sz w:val="24"/>
          <w:szCs w:val="24"/>
        </w:rPr>
        <w:t>Technological Forecasting and Social Change</w:t>
      </w:r>
      <w:r>
        <w:rPr>
          <w:rFonts w:ascii="Times New Roman" w:hAnsi="Times New Roman" w:cs="Times New Roman"/>
          <w:color w:val="000000"/>
          <w:sz w:val="24"/>
          <w:szCs w:val="24"/>
        </w:rPr>
        <w:t xml:space="preserve">, 198, pp.122982–122982.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://doi.org/10.1016/j.techfore.2023.122982.</w:t>
      </w:r>
    </w:p>
    <w:p w14:paraId="7E9D1ED9"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Bargh</w:t>
      </w:r>
      <w:proofErr w:type="spellEnd"/>
      <w:r>
        <w:rPr>
          <w:rFonts w:ascii="Times New Roman" w:hAnsi="Times New Roman" w:cs="Times New Roman"/>
          <w:color w:val="000000"/>
          <w:sz w:val="24"/>
          <w:szCs w:val="24"/>
        </w:rPr>
        <w:t xml:space="preserve">, B. (2018). </w:t>
      </w:r>
      <w:r>
        <w:rPr>
          <w:rFonts w:ascii="Times New Roman" w:hAnsi="Times New Roman" w:cs="Times New Roman"/>
          <w:i/>
          <w:iCs/>
          <w:color w:val="000000"/>
          <w:sz w:val="24"/>
          <w:szCs w:val="24"/>
        </w:rPr>
        <w:t>Superdrug set to open vegan pop-up shop</w:t>
      </w:r>
      <w:r>
        <w:rPr>
          <w:rFonts w:ascii="Times New Roman" w:hAnsi="Times New Roman" w:cs="Times New Roman"/>
          <w:color w:val="000000"/>
          <w:sz w:val="24"/>
          <w:szCs w:val="24"/>
        </w:rPr>
        <w:t>. [online] Cosmeticsbusiness.com. Available at: https://cosmeticsbusiness.com/superdrug-set-to-open-vegan-pop-up-shop-140908 [Accessed 7 Mar. 2025].</w:t>
      </w:r>
    </w:p>
    <w:p w14:paraId="6CB56F4E"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Besharat</w:t>
      </w:r>
      <w:proofErr w:type="spellEnd"/>
      <w:r>
        <w:rPr>
          <w:rFonts w:ascii="Times New Roman" w:hAnsi="Times New Roman" w:cs="Times New Roman"/>
          <w:color w:val="000000"/>
          <w:sz w:val="24"/>
          <w:szCs w:val="24"/>
        </w:rPr>
        <w:t xml:space="preserve">, A., </w:t>
      </w:r>
      <w:proofErr w:type="spellStart"/>
      <w:r>
        <w:rPr>
          <w:rFonts w:ascii="Times New Roman" w:hAnsi="Times New Roman" w:cs="Times New Roman"/>
          <w:color w:val="000000"/>
          <w:sz w:val="24"/>
          <w:szCs w:val="24"/>
        </w:rPr>
        <w:t>Langan</w:t>
      </w:r>
      <w:proofErr w:type="spellEnd"/>
      <w:r>
        <w:rPr>
          <w:rFonts w:ascii="Times New Roman" w:hAnsi="Times New Roman" w:cs="Times New Roman"/>
          <w:color w:val="000000"/>
          <w:sz w:val="24"/>
          <w:szCs w:val="24"/>
        </w:rPr>
        <w:t xml:space="preserve">, R.J. and Nguyen, C.A. (2016). Fashionably late: Strategies for competing against a pioneer advantage. </w:t>
      </w:r>
      <w:r>
        <w:rPr>
          <w:rFonts w:ascii="Times New Roman" w:hAnsi="Times New Roman" w:cs="Times New Roman"/>
          <w:i/>
          <w:iCs/>
          <w:color w:val="000000"/>
          <w:sz w:val="24"/>
          <w:szCs w:val="24"/>
        </w:rPr>
        <w:t>Journal of Business Research</w:t>
      </w:r>
      <w:r>
        <w:rPr>
          <w:rFonts w:ascii="Times New Roman" w:hAnsi="Times New Roman" w:cs="Times New Roman"/>
          <w:color w:val="000000"/>
          <w:sz w:val="24"/>
          <w:szCs w:val="24"/>
        </w:rPr>
        <w:t xml:space="preserve">, 69(2), pp.718–725.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://doi.org/10.1016/j.jbusres.2015.08.010.</w:t>
      </w:r>
    </w:p>
    <w:p w14:paraId="077BE293"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Brunner, T.A., </w:t>
      </w:r>
      <w:proofErr w:type="spellStart"/>
      <w:r>
        <w:rPr>
          <w:rFonts w:ascii="Times New Roman" w:hAnsi="Times New Roman" w:cs="Times New Roman"/>
          <w:color w:val="000000"/>
          <w:sz w:val="24"/>
          <w:szCs w:val="24"/>
        </w:rPr>
        <w:t>Stöcklin</w:t>
      </w:r>
      <w:proofErr w:type="spellEnd"/>
      <w:r>
        <w:rPr>
          <w:rFonts w:ascii="Times New Roman" w:hAnsi="Times New Roman" w:cs="Times New Roman"/>
          <w:color w:val="000000"/>
          <w:sz w:val="24"/>
          <w:szCs w:val="24"/>
        </w:rPr>
        <w:t xml:space="preserve">, M. and </w:t>
      </w:r>
      <w:proofErr w:type="spellStart"/>
      <w:r>
        <w:rPr>
          <w:rFonts w:ascii="Times New Roman" w:hAnsi="Times New Roman" w:cs="Times New Roman"/>
          <w:color w:val="000000"/>
          <w:sz w:val="24"/>
          <w:szCs w:val="24"/>
        </w:rPr>
        <w:t>Opwis</w:t>
      </w:r>
      <w:proofErr w:type="spellEnd"/>
      <w:r>
        <w:rPr>
          <w:rFonts w:ascii="Times New Roman" w:hAnsi="Times New Roman" w:cs="Times New Roman"/>
          <w:color w:val="000000"/>
          <w:sz w:val="24"/>
          <w:szCs w:val="24"/>
        </w:rPr>
        <w:t xml:space="preserve">, K. (2008). Satisfaction, image and loyalty: new versus experienced customers. </w:t>
      </w:r>
      <w:r>
        <w:rPr>
          <w:rFonts w:ascii="Times New Roman" w:hAnsi="Times New Roman" w:cs="Times New Roman"/>
          <w:i/>
          <w:iCs/>
          <w:color w:val="000000"/>
          <w:sz w:val="24"/>
          <w:szCs w:val="24"/>
        </w:rPr>
        <w:t>European Journal of Marketing</w:t>
      </w:r>
      <w:r>
        <w:rPr>
          <w:rFonts w:ascii="Times New Roman" w:hAnsi="Times New Roman" w:cs="Times New Roman"/>
          <w:color w:val="000000"/>
          <w:sz w:val="24"/>
          <w:szCs w:val="24"/>
        </w:rPr>
        <w:t xml:space="preserve">, 42(9/10), pp.1095–1105.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://doi.org/10.1108/03090560810891163.</w:t>
      </w:r>
    </w:p>
    <w:p w14:paraId="36AFCFC9"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Cao, H. and </w:t>
      </w:r>
      <w:proofErr w:type="spellStart"/>
      <w:r>
        <w:rPr>
          <w:rFonts w:ascii="Times New Roman" w:hAnsi="Times New Roman" w:cs="Times New Roman"/>
          <w:color w:val="000000"/>
          <w:sz w:val="24"/>
          <w:szCs w:val="24"/>
        </w:rPr>
        <w:t>Folan</w:t>
      </w:r>
      <w:proofErr w:type="spellEnd"/>
      <w:r>
        <w:rPr>
          <w:rFonts w:ascii="Times New Roman" w:hAnsi="Times New Roman" w:cs="Times New Roman"/>
          <w:color w:val="000000"/>
          <w:sz w:val="24"/>
          <w:szCs w:val="24"/>
        </w:rPr>
        <w:t xml:space="preserve">, P. (2011). </w:t>
      </w:r>
      <w:r>
        <w:rPr>
          <w:rFonts w:ascii="Times New Roman" w:hAnsi="Times New Roman" w:cs="Times New Roman"/>
          <w:i/>
          <w:iCs/>
          <w:color w:val="000000"/>
          <w:sz w:val="24"/>
          <w:szCs w:val="24"/>
        </w:rPr>
        <w:t>(PDF) Product life cycle: The evolution of a paradigm and literature review from 1950-2009</w:t>
      </w:r>
      <w:r>
        <w:rPr>
          <w:rFonts w:ascii="Times New Roman" w:hAnsi="Times New Roman" w:cs="Times New Roman"/>
          <w:color w:val="000000"/>
          <w:sz w:val="24"/>
          <w:szCs w:val="24"/>
        </w:rPr>
        <w:t xml:space="preserve">. [online] </w:t>
      </w:r>
      <w:proofErr w:type="spellStart"/>
      <w:r>
        <w:rPr>
          <w:rFonts w:ascii="Times New Roman" w:hAnsi="Times New Roman" w:cs="Times New Roman"/>
          <w:color w:val="000000"/>
          <w:sz w:val="24"/>
          <w:szCs w:val="24"/>
        </w:rPr>
        <w:t>ResearchGate</w:t>
      </w:r>
      <w:proofErr w:type="spellEnd"/>
      <w:r>
        <w:rPr>
          <w:rFonts w:ascii="Times New Roman" w:hAnsi="Times New Roman" w:cs="Times New Roman"/>
          <w:color w:val="000000"/>
          <w:sz w:val="24"/>
          <w:szCs w:val="24"/>
        </w:rPr>
        <w:t xml:space="preserve">. Available at: </w:t>
      </w:r>
      <w:hyperlink r:id="rId8" w:history="1">
        <w:r>
          <w:rPr>
            <w:rStyle w:val="Hyperlink"/>
            <w:rFonts w:ascii="Times New Roman" w:hAnsi="Times New Roman" w:cs="Times New Roman"/>
            <w:sz w:val="24"/>
            <w:szCs w:val="24"/>
          </w:rPr>
          <w:t>https://www.researchgate.net/publication/254305492_Product_life_cycle_The_evolution_of_a_paradigm_and_literature_review_from_1950-2009</w:t>
        </w:r>
      </w:hyperlink>
      <w:r>
        <w:rPr>
          <w:rFonts w:ascii="Times New Roman" w:hAnsi="Times New Roman" w:cs="Times New Roman"/>
          <w:color w:val="000000"/>
          <w:sz w:val="24"/>
          <w:szCs w:val="24"/>
        </w:rPr>
        <w:t>.</w:t>
      </w:r>
    </w:p>
    <w:p w14:paraId="11C31635"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Dwivedi</w:t>
      </w:r>
      <w:proofErr w:type="spellEnd"/>
      <w:r>
        <w:rPr>
          <w:rFonts w:ascii="Times New Roman" w:hAnsi="Times New Roman" w:cs="Times New Roman"/>
          <w:color w:val="000000"/>
          <w:sz w:val="24"/>
          <w:szCs w:val="24"/>
        </w:rPr>
        <w:t xml:space="preserve">, Y.K., </w:t>
      </w:r>
      <w:proofErr w:type="spellStart"/>
      <w:r>
        <w:rPr>
          <w:rFonts w:ascii="Times New Roman" w:hAnsi="Times New Roman" w:cs="Times New Roman"/>
          <w:color w:val="000000"/>
          <w:sz w:val="24"/>
          <w:szCs w:val="24"/>
        </w:rPr>
        <w:t>Ismagilova</w:t>
      </w:r>
      <w:proofErr w:type="spellEnd"/>
      <w:r>
        <w:rPr>
          <w:rFonts w:ascii="Times New Roman" w:hAnsi="Times New Roman" w:cs="Times New Roman"/>
          <w:color w:val="000000"/>
          <w:sz w:val="24"/>
          <w:szCs w:val="24"/>
        </w:rPr>
        <w:t xml:space="preserve">, E., Hughes, D.L. and Carlson, J. (2021). Setting the future of digital and social media marketing research: Perspectives and research propositions. </w:t>
      </w:r>
      <w:r>
        <w:rPr>
          <w:rFonts w:ascii="Times New Roman" w:hAnsi="Times New Roman" w:cs="Times New Roman"/>
          <w:i/>
          <w:iCs/>
          <w:color w:val="000000"/>
          <w:sz w:val="24"/>
          <w:szCs w:val="24"/>
        </w:rPr>
        <w:t>International Journal of Information Management</w:t>
      </w:r>
      <w:r>
        <w:rPr>
          <w:rFonts w:ascii="Times New Roman" w:hAnsi="Times New Roman" w:cs="Times New Roman"/>
          <w:color w:val="000000"/>
          <w:sz w:val="24"/>
          <w:szCs w:val="24"/>
        </w:rPr>
        <w:t xml:space="preserve">, [online] 59(1), pp.1–37.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://doi.org/10.1016/j.ijinfomgt.2020.102168.</w:t>
      </w:r>
    </w:p>
    <w:p w14:paraId="0437ADF9"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Felix, E. (2015). </w:t>
      </w:r>
      <w:r>
        <w:rPr>
          <w:rFonts w:ascii="Times New Roman" w:hAnsi="Times New Roman" w:cs="Times New Roman"/>
          <w:i/>
          <w:iCs/>
          <w:color w:val="000000"/>
          <w:sz w:val="24"/>
          <w:szCs w:val="24"/>
        </w:rPr>
        <w:t>Marketing Challenges of Satisfying Consumers Changing Expectations and Preferences in a Competitive Market</w:t>
      </w:r>
      <w:r>
        <w:rPr>
          <w:rFonts w:ascii="Times New Roman" w:hAnsi="Times New Roman" w:cs="Times New Roman"/>
          <w:color w:val="000000"/>
          <w:sz w:val="24"/>
          <w:szCs w:val="24"/>
        </w:rPr>
        <w:t xml:space="preserve">. [online] </w:t>
      </w:r>
      <w:proofErr w:type="spellStart"/>
      <w:r>
        <w:rPr>
          <w:rFonts w:ascii="Times New Roman" w:hAnsi="Times New Roman" w:cs="Times New Roman"/>
          <w:color w:val="000000"/>
          <w:sz w:val="24"/>
          <w:szCs w:val="24"/>
        </w:rPr>
        <w:t>ResearchGate</w:t>
      </w:r>
      <w:proofErr w:type="spellEnd"/>
      <w:r>
        <w:rPr>
          <w:rFonts w:ascii="Times New Roman" w:hAnsi="Times New Roman" w:cs="Times New Roman"/>
          <w:color w:val="000000"/>
          <w:sz w:val="24"/>
          <w:szCs w:val="24"/>
        </w:rPr>
        <w:t xml:space="preserve">. Available at: </w:t>
      </w:r>
      <w:hyperlink r:id="rId9" w:history="1">
        <w:r>
          <w:rPr>
            <w:rStyle w:val="Hyperlink"/>
            <w:rFonts w:ascii="Times New Roman" w:hAnsi="Times New Roman" w:cs="Times New Roman"/>
            <w:sz w:val="24"/>
            <w:szCs w:val="24"/>
          </w:rPr>
          <w:t>https://www.researchgate.net/publication/282589055_Marketing_Challenges_of_Satisfying_Consumers_Changing_Expectations_and_Preferences_in_a_Competitive_Market</w:t>
        </w:r>
      </w:hyperlink>
      <w:r>
        <w:rPr>
          <w:rFonts w:ascii="Times New Roman" w:hAnsi="Times New Roman" w:cs="Times New Roman"/>
          <w:color w:val="000000"/>
          <w:sz w:val="24"/>
          <w:szCs w:val="24"/>
        </w:rPr>
        <w:t>.</w:t>
      </w:r>
    </w:p>
    <w:p w14:paraId="6719DE34"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Grice, P. (2024). </w:t>
      </w:r>
      <w:r>
        <w:rPr>
          <w:rFonts w:ascii="Times New Roman" w:hAnsi="Times New Roman" w:cs="Times New Roman"/>
          <w:i/>
          <w:iCs/>
          <w:color w:val="000000"/>
          <w:sz w:val="24"/>
          <w:szCs w:val="24"/>
        </w:rPr>
        <w:t>Boots posts 12th quarter of retail market share growth</w:t>
      </w:r>
      <w:r>
        <w:rPr>
          <w:rFonts w:ascii="Times New Roman" w:hAnsi="Times New Roman" w:cs="Times New Roman"/>
          <w:color w:val="000000"/>
          <w:sz w:val="24"/>
          <w:szCs w:val="24"/>
        </w:rPr>
        <w:t xml:space="preserve">. [online] Pharmacymagazine.co.uk. Available at: </w:t>
      </w:r>
      <w:hyperlink r:id="rId10" w:history="1">
        <w:r>
          <w:rPr>
            <w:rStyle w:val="Hyperlink"/>
            <w:rFonts w:ascii="Times New Roman" w:hAnsi="Times New Roman" w:cs="Times New Roman"/>
            <w:sz w:val="24"/>
            <w:szCs w:val="24"/>
          </w:rPr>
          <w:t>https://www.pharmacymagazine.co.uk/retailer-news/boots-posts-12th-quarter-of-retail-market-share-growth</w:t>
        </w:r>
      </w:hyperlink>
      <w:r>
        <w:rPr>
          <w:rFonts w:ascii="Times New Roman" w:hAnsi="Times New Roman" w:cs="Times New Roman"/>
          <w:color w:val="000000"/>
          <w:sz w:val="24"/>
          <w:szCs w:val="24"/>
        </w:rPr>
        <w:t>.</w:t>
      </w:r>
    </w:p>
    <w:p w14:paraId="666E6C4C"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Halberstadt</w:t>
      </w:r>
      <w:proofErr w:type="spellEnd"/>
      <w:r>
        <w:rPr>
          <w:rFonts w:ascii="Times New Roman" w:hAnsi="Times New Roman" w:cs="Times New Roman"/>
          <w:color w:val="000000"/>
          <w:sz w:val="24"/>
          <w:szCs w:val="24"/>
        </w:rPr>
        <w:t xml:space="preserve">, J., </w:t>
      </w:r>
      <w:proofErr w:type="spellStart"/>
      <w:r>
        <w:rPr>
          <w:rFonts w:ascii="Times New Roman" w:hAnsi="Times New Roman" w:cs="Times New Roman"/>
          <w:color w:val="000000"/>
          <w:sz w:val="24"/>
          <w:szCs w:val="24"/>
        </w:rPr>
        <w:t>Kollhoff</w:t>
      </w:r>
      <w:proofErr w:type="spellEnd"/>
      <w:r>
        <w:rPr>
          <w:rFonts w:ascii="Times New Roman" w:hAnsi="Times New Roman" w:cs="Times New Roman"/>
          <w:color w:val="000000"/>
          <w:sz w:val="24"/>
          <w:szCs w:val="24"/>
        </w:rPr>
        <w:t xml:space="preserve">, S., Kraus, S. and </w:t>
      </w:r>
      <w:proofErr w:type="spellStart"/>
      <w:r>
        <w:rPr>
          <w:rFonts w:ascii="Times New Roman" w:hAnsi="Times New Roman" w:cs="Times New Roman"/>
          <w:color w:val="000000"/>
          <w:sz w:val="24"/>
          <w:szCs w:val="24"/>
        </w:rPr>
        <w:t>Dhir</w:t>
      </w:r>
      <w:proofErr w:type="spellEnd"/>
      <w:r>
        <w:rPr>
          <w:rFonts w:ascii="Times New Roman" w:hAnsi="Times New Roman" w:cs="Times New Roman"/>
          <w:color w:val="000000"/>
          <w:sz w:val="24"/>
          <w:szCs w:val="24"/>
        </w:rPr>
        <w:t xml:space="preserve">, A. (2022). Early bird or early worm? First-mover (dis)advantages and the success of web-based social enterprises. </w:t>
      </w:r>
      <w:r>
        <w:rPr>
          <w:rFonts w:ascii="Times New Roman" w:hAnsi="Times New Roman" w:cs="Times New Roman"/>
          <w:i/>
          <w:iCs/>
          <w:color w:val="000000"/>
          <w:sz w:val="24"/>
          <w:szCs w:val="24"/>
        </w:rPr>
        <w:t>Technological Forecasting and Social Change</w:t>
      </w:r>
      <w:r>
        <w:rPr>
          <w:rFonts w:ascii="Times New Roman" w:hAnsi="Times New Roman" w:cs="Times New Roman"/>
          <w:color w:val="000000"/>
          <w:sz w:val="24"/>
          <w:szCs w:val="24"/>
        </w:rPr>
        <w:t xml:space="preserve">, 181, p.121784.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://doi.org/10.1016/j.techfore.2022.121784.</w:t>
      </w:r>
    </w:p>
    <w:p w14:paraId="353D7FAB"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Kalicanin</w:t>
      </w:r>
      <w:proofErr w:type="spellEnd"/>
      <w:r>
        <w:rPr>
          <w:rFonts w:ascii="Times New Roman" w:hAnsi="Times New Roman" w:cs="Times New Roman"/>
          <w:color w:val="000000"/>
          <w:sz w:val="24"/>
          <w:szCs w:val="24"/>
        </w:rPr>
        <w:t xml:space="preserve">, D. (2008). A question of strategy: To be a pioneer or a follower? </w:t>
      </w:r>
      <w:proofErr w:type="spellStart"/>
      <w:r>
        <w:rPr>
          <w:rFonts w:ascii="Times New Roman" w:hAnsi="Times New Roman" w:cs="Times New Roman"/>
          <w:i/>
          <w:iCs/>
          <w:color w:val="000000"/>
          <w:sz w:val="24"/>
          <w:szCs w:val="24"/>
        </w:rPr>
        <w:t>Ekonomski</w:t>
      </w:r>
      <w:proofErr w:type="spellEnd"/>
      <w:r>
        <w:rPr>
          <w:rFonts w:ascii="Times New Roman" w:hAnsi="Times New Roman" w:cs="Times New Roman"/>
          <w:i/>
          <w:iCs/>
          <w:color w:val="000000"/>
          <w:sz w:val="24"/>
          <w:szCs w:val="24"/>
        </w:rPr>
        <w:t xml:space="preserve"> </w:t>
      </w:r>
      <w:proofErr w:type="spellStart"/>
      <w:r>
        <w:rPr>
          <w:rFonts w:ascii="Times New Roman" w:hAnsi="Times New Roman" w:cs="Times New Roman"/>
          <w:i/>
          <w:iCs/>
          <w:color w:val="000000"/>
          <w:sz w:val="24"/>
          <w:szCs w:val="24"/>
        </w:rPr>
        <w:t>anali</w:t>
      </w:r>
      <w:proofErr w:type="spellEnd"/>
      <w:r>
        <w:rPr>
          <w:rFonts w:ascii="Times New Roman" w:hAnsi="Times New Roman" w:cs="Times New Roman"/>
          <w:color w:val="000000"/>
          <w:sz w:val="24"/>
          <w:szCs w:val="24"/>
        </w:rPr>
        <w:t xml:space="preserve">, 53(177), pp.89–102.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://doi.org/10.2298/eka0877089k.</w:t>
      </w:r>
    </w:p>
    <w:p w14:paraId="135797B8"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Kamp, B. and Ruiz, I. (2023). Leveraging (in)formal early-mover and diligent-follower advantage mechanisms to attain international niche market leadership: insights from Basque ‘hidden champions’. </w:t>
      </w:r>
      <w:r>
        <w:rPr>
          <w:rFonts w:ascii="Times New Roman" w:hAnsi="Times New Roman" w:cs="Times New Roman"/>
          <w:i/>
          <w:iCs/>
          <w:color w:val="000000"/>
          <w:sz w:val="24"/>
          <w:szCs w:val="24"/>
        </w:rPr>
        <w:t>Competitiveness review</w:t>
      </w:r>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://doi.org/10.1108/cr-10-2022-0158.</w:t>
      </w:r>
    </w:p>
    <w:p w14:paraId="22642418"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Klingebiel</w:t>
      </w:r>
      <w:proofErr w:type="spellEnd"/>
      <w:r>
        <w:rPr>
          <w:rFonts w:ascii="Times New Roman" w:hAnsi="Times New Roman" w:cs="Times New Roman"/>
          <w:color w:val="000000"/>
          <w:sz w:val="24"/>
          <w:szCs w:val="24"/>
        </w:rPr>
        <w:t xml:space="preserve">, R. and Joseph, J. (2015). </w:t>
      </w:r>
      <w:r>
        <w:rPr>
          <w:rFonts w:ascii="Times New Roman" w:hAnsi="Times New Roman" w:cs="Times New Roman"/>
          <w:i/>
          <w:iCs/>
          <w:color w:val="000000"/>
          <w:sz w:val="24"/>
          <w:szCs w:val="24"/>
        </w:rPr>
        <w:t>When First Movers Are Rewarded, and When They’re Not</w:t>
      </w:r>
      <w:r>
        <w:rPr>
          <w:rFonts w:ascii="Times New Roman" w:hAnsi="Times New Roman" w:cs="Times New Roman"/>
          <w:color w:val="000000"/>
          <w:sz w:val="24"/>
          <w:szCs w:val="24"/>
        </w:rPr>
        <w:t xml:space="preserve">. [online] Harvard Business Review. Available at: </w:t>
      </w:r>
      <w:hyperlink r:id="rId11" w:history="1">
        <w:r>
          <w:rPr>
            <w:rStyle w:val="Hyperlink"/>
            <w:rFonts w:ascii="Times New Roman" w:hAnsi="Times New Roman" w:cs="Times New Roman"/>
            <w:sz w:val="24"/>
            <w:szCs w:val="24"/>
          </w:rPr>
          <w:t>https://hbr.org/2015/08/when-first-movers-are-rewarded-and-when-theyre-not</w:t>
        </w:r>
      </w:hyperlink>
      <w:r>
        <w:rPr>
          <w:rFonts w:ascii="Times New Roman" w:hAnsi="Times New Roman" w:cs="Times New Roman"/>
          <w:color w:val="000000"/>
          <w:sz w:val="24"/>
          <w:szCs w:val="24"/>
        </w:rPr>
        <w:t>.</w:t>
      </w:r>
    </w:p>
    <w:p w14:paraId="76C973AC"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mapp.com (2022). </w:t>
      </w:r>
      <w:proofErr w:type="spellStart"/>
      <w:r>
        <w:rPr>
          <w:rFonts w:ascii="Times New Roman" w:hAnsi="Times New Roman" w:cs="Times New Roman"/>
          <w:i/>
          <w:iCs/>
          <w:color w:val="000000"/>
          <w:sz w:val="24"/>
          <w:szCs w:val="24"/>
        </w:rPr>
        <w:t>Mapp</w:t>
      </w:r>
      <w:proofErr w:type="spellEnd"/>
      <w:r>
        <w:rPr>
          <w:rFonts w:ascii="Times New Roman" w:hAnsi="Times New Roman" w:cs="Times New Roman"/>
          <w:i/>
          <w:iCs/>
          <w:color w:val="000000"/>
          <w:sz w:val="24"/>
          <w:szCs w:val="24"/>
        </w:rPr>
        <w:t xml:space="preserve"> Prescribes Exceptional Customer Experience To Boost </w:t>
      </w:r>
      <w:proofErr w:type="spellStart"/>
      <w:r>
        <w:rPr>
          <w:rFonts w:ascii="Times New Roman" w:hAnsi="Times New Roman" w:cs="Times New Roman"/>
          <w:i/>
          <w:iCs/>
          <w:color w:val="000000"/>
          <w:sz w:val="24"/>
          <w:szCs w:val="24"/>
        </w:rPr>
        <w:t>LloydsPharmacy’s</w:t>
      </w:r>
      <w:proofErr w:type="spellEnd"/>
      <w:r>
        <w:rPr>
          <w:rFonts w:ascii="Times New Roman" w:hAnsi="Times New Roman" w:cs="Times New Roman"/>
          <w:i/>
          <w:iCs/>
          <w:color w:val="000000"/>
          <w:sz w:val="24"/>
          <w:szCs w:val="24"/>
        </w:rPr>
        <w:t xml:space="preserve"> Strategy</w:t>
      </w:r>
      <w:r>
        <w:rPr>
          <w:rFonts w:ascii="Times New Roman" w:hAnsi="Times New Roman" w:cs="Times New Roman"/>
          <w:color w:val="000000"/>
          <w:sz w:val="24"/>
          <w:szCs w:val="24"/>
        </w:rPr>
        <w:t xml:space="preserve">. [online] </w:t>
      </w:r>
      <w:r>
        <w:rPr>
          <w:rFonts w:ascii="Times New Roman" w:hAnsi="Times New Roman" w:cs="Times New Roman"/>
          <w:i/>
          <w:iCs/>
          <w:color w:val="000000"/>
          <w:sz w:val="24"/>
          <w:szCs w:val="24"/>
        </w:rPr>
        <w:t>mapp.com</w:t>
      </w:r>
      <w:r>
        <w:rPr>
          <w:rFonts w:ascii="Times New Roman" w:hAnsi="Times New Roman" w:cs="Times New Roman"/>
          <w:color w:val="000000"/>
          <w:sz w:val="24"/>
          <w:szCs w:val="24"/>
        </w:rPr>
        <w:t>. Available at: https://mapp.com/wp-content/uploads/2022/07/Press_Release_Mapp_LloydsPharmacy.pdf.</w:t>
      </w:r>
    </w:p>
    <w:p w14:paraId="29678E36"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McGuire, L. (2024). Superdrug market share hits 10-year high as savvy shoppers boost sales. [online] Yahoo Finance. Available at: https://uk.finance.yahoo.com/news/superdrug-market-share-hits-10-141324574.html [Accessed 7 Mar. 2025].</w:t>
      </w:r>
    </w:p>
    <w:p w14:paraId="04C789B5"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Min, S., </w:t>
      </w:r>
      <w:proofErr w:type="spellStart"/>
      <w:r>
        <w:rPr>
          <w:rFonts w:ascii="Times New Roman" w:hAnsi="Times New Roman" w:cs="Times New Roman"/>
          <w:color w:val="000000"/>
          <w:sz w:val="24"/>
          <w:szCs w:val="24"/>
        </w:rPr>
        <w:t>Kalwani</w:t>
      </w:r>
      <w:proofErr w:type="spellEnd"/>
      <w:r>
        <w:rPr>
          <w:rFonts w:ascii="Times New Roman" w:hAnsi="Times New Roman" w:cs="Times New Roman"/>
          <w:color w:val="000000"/>
          <w:sz w:val="24"/>
          <w:szCs w:val="24"/>
        </w:rPr>
        <w:t xml:space="preserve">, M.U. and Robinson, W.T. (2006). Market Pioneer and Early Follower Survival Risks: A Contingency Analysis of Really New versus Incrementally New Product-Markets. </w:t>
      </w:r>
      <w:r>
        <w:rPr>
          <w:rFonts w:ascii="Times New Roman" w:hAnsi="Times New Roman" w:cs="Times New Roman"/>
          <w:i/>
          <w:iCs/>
          <w:color w:val="000000"/>
          <w:sz w:val="24"/>
          <w:szCs w:val="24"/>
        </w:rPr>
        <w:t>Journal of Marketing</w:t>
      </w:r>
      <w:r>
        <w:rPr>
          <w:rFonts w:ascii="Times New Roman" w:hAnsi="Times New Roman" w:cs="Times New Roman"/>
          <w:color w:val="000000"/>
          <w:sz w:val="24"/>
          <w:szCs w:val="24"/>
        </w:rPr>
        <w:t xml:space="preserve">, 70(1), pp.15–33.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://doi.org/10.1509/jmkg.70.1.015.qxd.</w:t>
      </w:r>
    </w:p>
    <w:p w14:paraId="75FAA14B"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Onita</w:t>
      </w:r>
      <w:proofErr w:type="spellEnd"/>
      <w:r>
        <w:rPr>
          <w:rFonts w:ascii="Times New Roman" w:hAnsi="Times New Roman" w:cs="Times New Roman"/>
          <w:color w:val="000000"/>
          <w:sz w:val="24"/>
          <w:szCs w:val="24"/>
        </w:rPr>
        <w:t xml:space="preserve">, L. and Meyer, G. (2025). </w:t>
      </w:r>
      <w:r>
        <w:rPr>
          <w:rFonts w:ascii="Times New Roman" w:hAnsi="Times New Roman" w:cs="Times New Roman"/>
          <w:i/>
          <w:iCs/>
          <w:color w:val="000000"/>
          <w:sz w:val="24"/>
          <w:szCs w:val="24"/>
        </w:rPr>
        <w:t>What went wrong after Walgreens bought Boots?</w:t>
      </w:r>
      <w:r>
        <w:rPr>
          <w:rFonts w:ascii="Times New Roman" w:hAnsi="Times New Roman" w:cs="Times New Roman"/>
          <w:color w:val="000000"/>
          <w:sz w:val="24"/>
          <w:szCs w:val="24"/>
        </w:rPr>
        <w:t xml:space="preserve"> [online] @FinancialTimes. Available at: </w:t>
      </w:r>
      <w:hyperlink r:id="rId12" w:history="1">
        <w:r>
          <w:rPr>
            <w:rStyle w:val="Hyperlink"/>
            <w:rFonts w:ascii="Times New Roman" w:hAnsi="Times New Roman" w:cs="Times New Roman"/>
            <w:sz w:val="24"/>
            <w:szCs w:val="24"/>
          </w:rPr>
          <w:t>https://www.ft.com/content/9385d1b7-ae61-4478-b4e1-d7eb7d6d8452</w:t>
        </w:r>
      </w:hyperlink>
      <w:r>
        <w:rPr>
          <w:rFonts w:ascii="Times New Roman" w:hAnsi="Times New Roman" w:cs="Times New Roman"/>
          <w:color w:val="000000"/>
          <w:sz w:val="24"/>
          <w:szCs w:val="24"/>
        </w:rPr>
        <w:t>.</w:t>
      </w:r>
    </w:p>
    <w:p w14:paraId="2B0AB175"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retailtechinnovationhub.com. (2025). </w:t>
      </w:r>
      <w:r>
        <w:rPr>
          <w:rFonts w:ascii="Times New Roman" w:hAnsi="Times New Roman" w:cs="Times New Roman"/>
          <w:i/>
          <w:iCs/>
          <w:color w:val="000000"/>
          <w:sz w:val="24"/>
          <w:szCs w:val="24"/>
        </w:rPr>
        <w:t>Retail Technology Innovation Hub</w:t>
      </w:r>
      <w:r>
        <w:rPr>
          <w:rFonts w:ascii="Times New Roman" w:hAnsi="Times New Roman" w:cs="Times New Roman"/>
          <w:color w:val="000000"/>
          <w:sz w:val="24"/>
          <w:szCs w:val="24"/>
        </w:rPr>
        <w:t>. [online] Retail Technology Innovation Hub. Available at: https://retailtechinnovationhub.com/home/2025/1/14/lloyds-pharmacy-taps-slimstock-ai-powered-slim4-platform-to-centralise-forecasting-ordering-and-replenishment-process [Accessed 17 Mar. 2025].</w:t>
      </w:r>
    </w:p>
    <w:p w14:paraId="5446AF0B"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Reuters (2024). </w:t>
      </w:r>
      <w:r>
        <w:rPr>
          <w:rFonts w:ascii="Times New Roman" w:hAnsi="Times New Roman" w:cs="Times New Roman"/>
          <w:i/>
          <w:iCs/>
          <w:color w:val="000000"/>
          <w:sz w:val="24"/>
          <w:szCs w:val="24"/>
        </w:rPr>
        <w:t>Huawei says it has made huge strides, from operating systems to AI</w:t>
      </w:r>
      <w:r>
        <w:rPr>
          <w:rFonts w:ascii="Times New Roman" w:hAnsi="Times New Roman" w:cs="Times New Roman"/>
          <w:color w:val="000000"/>
          <w:sz w:val="24"/>
          <w:szCs w:val="24"/>
        </w:rPr>
        <w:t>. [online] The Economic Times. Available at: https://m.economictimes.com/tech/technology/huawei-says-it-has-made-huge-strides-from-operating-systems-to-ai/articleshow/111161903.cms [Accessed 7 Mar. 2025].</w:t>
      </w:r>
    </w:p>
    <w:p w14:paraId="36B61529"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Rogers, C. (2017). </w:t>
      </w:r>
      <w:r>
        <w:rPr>
          <w:rFonts w:ascii="Times New Roman" w:hAnsi="Times New Roman" w:cs="Times New Roman"/>
          <w:i/>
          <w:iCs/>
          <w:color w:val="000000"/>
          <w:sz w:val="24"/>
          <w:szCs w:val="24"/>
        </w:rPr>
        <w:t xml:space="preserve">How own-label brands are </w:t>
      </w:r>
      <w:proofErr w:type="spellStart"/>
      <w:r>
        <w:rPr>
          <w:rFonts w:ascii="Times New Roman" w:hAnsi="Times New Roman" w:cs="Times New Roman"/>
          <w:i/>
          <w:iCs/>
          <w:color w:val="000000"/>
          <w:sz w:val="24"/>
          <w:szCs w:val="24"/>
        </w:rPr>
        <w:t>dialling</w:t>
      </w:r>
      <w:proofErr w:type="spellEnd"/>
      <w:r>
        <w:rPr>
          <w:rFonts w:ascii="Times New Roman" w:hAnsi="Times New Roman" w:cs="Times New Roman"/>
          <w:i/>
          <w:iCs/>
          <w:color w:val="000000"/>
          <w:sz w:val="24"/>
          <w:szCs w:val="24"/>
        </w:rPr>
        <w:t xml:space="preserve"> up desirability</w:t>
      </w:r>
      <w:r>
        <w:rPr>
          <w:rFonts w:ascii="Times New Roman" w:hAnsi="Times New Roman" w:cs="Times New Roman"/>
          <w:color w:val="000000"/>
          <w:sz w:val="24"/>
          <w:szCs w:val="24"/>
        </w:rPr>
        <w:t xml:space="preserve">. [online] Marketing Week. Available at: </w:t>
      </w:r>
      <w:hyperlink r:id="rId13" w:history="1">
        <w:r>
          <w:rPr>
            <w:rStyle w:val="Hyperlink"/>
            <w:rFonts w:ascii="Times New Roman" w:hAnsi="Times New Roman" w:cs="Times New Roman"/>
            <w:color w:val="000000"/>
            <w:sz w:val="24"/>
            <w:szCs w:val="24"/>
          </w:rPr>
          <w:t>https://www.marketingweek.com/own-brands-desirability/</w:t>
        </w:r>
      </w:hyperlink>
      <w:r>
        <w:rPr>
          <w:rFonts w:ascii="Times New Roman" w:hAnsi="Times New Roman" w:cs="Times New Roman"/>
          <w:color w:val="000000"/>
          <w:sz w:val="24"/>
          <w:szCs w:val="24"/>
        </w:rPr>
        <w:t>.</w:t>
      </w:r>
    </w:p>
    <w:p w14:paraId="02568969"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Singh, P. (2025). </w:t>
      </w:r>
      <w:r>
        <w:rPr>
          <w:rFonts w:ascii="Times New Roman" w:hAnsi="Times New Roman" w:cs="Times New Roman"/>
          <w:i/>
          <w:iCs/>
          <w:color w:val="000000"/>
          <w:sz w:val="24"/>
          <w:szCs w:val="24"/>
        </w:rPr>
        <w:t>Boots UK records strong Q1</w:t>
      </w:r>
      <w:r>
        <w:rPr>
          <w:rFonts w:ascii="Times New Roman" w:hAnsi="Times New Roman" w:cs="Times New Roman"/>
          <w:color w:val="000000"/>
          <w:sz w:val="24"/>
          <w:szCs w:val="24"/>
        </w:rPr>
        <w:t xml:space="preserve">. [online] </w:t>
      </w:r>
      <w:proofErr w:type="spellStart"/>
      <w:r>
        <w:rPr>
          <w:rFonts w:ascii="Times New Roman" w:hAnsi="Times New Roman" w:cs="Times New Roman"/>
          <w:color w:val="000000"/>
          <w:sz w:val="24"/>
          <w:szCs w:val="24"/>
        </w:rPr>
        <w:t>FashionUnited</w:t>
      </w:r>
      <w:proofErr w:type="spellEnd"/>
      <w:r>
        <w:rPr>
          <w:rFonts w:ascii="Times New Roman" w:hAnsi="Times New Roman" w:cs="Times New Roman"/>
          <w:color w:val="000000"/>
          <w:sz w:val="24"/>
          <w:szCs w:val="24"/>
        </w:rPr>
        <w:t>. Available at: https://fashionunited.in/news/business/boots-uk-records-strong-q1/2025011248347 [Accessed 7 Mar. 2025].</w:t>
      </w:r>
    </w:p>
    <w:p w14:paraId="4CE22782"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Soltanisehat</w:t>
      </w:r>
      <w:proofErr w:type="spellEnd"/>
      <w:r>
        <w:rPr>
          <w:rFonts w:ascii="Times New Roman" w:hAnsi="Times New Roman" w:cs="Times New Roman"/>
          <w:color w:val="000000"/>
          <w:sz w:val="24"/>
          <w:szCs w:val="24"/>
        </w:rPr>
        <w:t xml:space="preserve">, L., </w:t>
      </w:r>
      <w:proofErr w:type="spellStart"/>
      <w:r>
        <w:rPr>
          <w:rFonts w:ascii="Times New Roman" w:hAnsi="Times New Roman" w:cs="Times New Roman"/>
          <w:color w:val="000000"/>
          <w:sz w:val="24"/>
          <w:szCs w:val="24"/>
        </w:rPr>
        <w:t>Alizadeh</w:t>
      </w:r>
      <w:proofErr w:type="spellEnd"/>
      <w:r>
        <w:rPr>
          <w:rFonts w:ascii="Times New Roman" w:hAnsi="Times New Roman" w:cs="Times New Roman"/>
          <w:color w:val="000000"/>
          <w:sz w:val="24"/>
          <w:szCs w:val="24"/>
        </w:rPr>
        <w:t xml:space="preserve">, R. and </w:t>
      </w:r>
      <w:proofErr w:type="spellStart"/>
      <w:r>
        <w:rPr>
          <w:rFonts w:ascii="Times New Roman" w:hAnsi="Times New Roman" w:cs="Times New Roman"/>
          <w:color w:val="000000"/>
          <w:sz w:val="24"/>
          <w:szCs w:val="24"/>
        </w:rPr>
        <w:t>Mehregan</w:t>
      </w:r>
      <w:proofErr w:type="spellEnd"/>
      <w:r>
        <w:rPr>
          <w:rFonts w:ascii="Times New Roman" w:hAnsi="Times New Roman" w:cs="Times New Roman"/>
          <w:color w:val="000000"/>
          <w:sz w:val="24"/>
          <w:szCs w:val="24"/>
        </w:rPr>
        <w:t xml:space="preserve">, N. (2019). Research and Development Investment and Productivity Growth in Firms with Different Levels of Technology. </w:t>
      </w:r>
      <w:r>
        <w:rPr>
          <w:rFonts w:ascii="Times New Roman" w:hAnsi="Times New Roman" w:cs="Times New Roman"/>
          <w:i/>
          <w:iCs/>
          <w:color w:val="000000"/>
          <w:sz w:val="24"/>
          <w:szCs w:val="24"/>
        </w:rPr>
        <w:t>Iranian Economic Review</w:t>
      </w:r>
      <w:r>
        <w:rPr>
          <w:rFonts w:ascii="Times New Roman" w:hAnsi="Times New Roman" w:cs="Times New Roman"/>
          <w:color w:val="000000"/>
          <w:sz w:val="24"/>
          <w:szCs w:val="24"/>
        </w:rPr>
        <w:t xml:space="preserve">, [online] 23(4), pp.795–818. </w:t>
      </w:r>
      <w:proofErr w:type="spellStart"/>
      <w:r>
        <w:rPr>
          <w:rFonts w:ascii="Times New Roman" w:hAnsi="Times New Roman" w:cs="Times New Roman"/>
          <w:color w:val="000000"/>
          <w:sz w:val="24"/>
          <w:szCs w:val="24"/>
        </w:rPr>
        <w:t>doi:https</w:t>
      </w:r>
      <w:proofErr w:type="spellEnd"/>
      <w:r>
        <w:rPr>
          <w:rFonts w:ascii="Times New Roman" w:hAnsi="Times New Roman" w:cs="Times New Roman"/>
          <w:color w:val="000000"/>
          <w:sz w:val="24"/>
          <w:szCs w:val="24"/>
        </w:rPr>
        <w:t>://doi.org/10.22059/ier.2019.72991.</w:t>
      </w:r>
    </w:p>
    <w:p w14:paraId="1B128012"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Statista</w:t>
      </w:r>
      <w:proofErr w:type="spellEnd"/>
      <w:r>
        <w:rPr>
          <w:rFonts w:ascii="Times New Roman" w:hAnsi="Times New Roman" w:cs="Times New Roman"/>
          <w:color w:val="000000"/>
          <w:sz w:val="24"/>
          <w:szCs w:val="24"/>
        </w:rPr>
        <w:t xml:space="preserve"> (2023). </w:t>
      </w:r>
      <w:r>
        <w:rPr>
          <w:rFonts w:ascii="Times New Roman" w:hAnsi="Times New Roman" w:cs="Times New Roman"/>
          <w:i/>
          <w:iCs/>
          <w:color w:val="000000"/>
          <w:sz w:val="24"/>
          <w:szCs w:val="24"/>
        </w:rPr>
        <w:t>Superdrug brand profile UK 2022</w:t>
      </w:r>
      <w:r>
        <w:rPr>
          <w:rFonts w:ascii="Times New Roman" w:hAnsi="Times New Roman" w:cs="Times New Roman"/>
          <w:color w:val="000000"/>
          <w:sz w:val="24"/>
          <w:szCs w:val="24"/>
        </w:rPr>
        <w:t xml:space="preserve">. [online] </w:t>
      </w:r>
      <w:proofErr w:type="spellStart"/>
      <w:r>
        <w:rPr>
          <w:rFonts w:ascii="Times New Roman" w:hAnsi="Times New Roman" w:cs="Times New Roman"/>
          <w:color w:val="000000"/>
          <w:sz w:val="24"/>
          <w:szCs w:val="24"/>
        </w:rPr>
        <w:t>Statista</w:t>
      </w:r>
      <w:proofErr w:type="spellEnd"/>
      <w:r>
        <w:rPr>
          <w:rFonts w:ascii="Times New Roman" w:hAnsi="Times New Roman" w:cs="Times New Roman"/>
          <w:color w:val="000000"/>
          <w:sz w:val="24"/>
          <w:szCs w:val="24"/>
        </w:rPr>
        <w:t xml:space="preserve">. Available at: </w:t>
      </w:r>
      <w:hyperlink r:id="rId14" w:history="1">
        <w:r>
          <w:rPr>
            <w:rStyle w:val="Hyperlink"/>
            <w:rFonts w:ascii="Times New Roman" w:hAnsi="Times New Roman" w:cs="Times New Roman"/>
            <w:sz w:val="24"/>
            <w:szCs w:val="24"/>
          </w:rPr>
          <w:t>https://www.statista.com/forecasts/1252227/superdrug-beauty-and-health-brand-profile-in-the-uk</w:t>
        </w:r>
      </w:hyperlink>
      <w:r>
        <w:rPr>
          <w:rFonts w:ascii="Times New Roman" w:hAnsi="Times New Roman" w:cs="Times New Roman"/>
          <w:color w:val="000000"/>
          <w:sz w:val="24"/>
          <w:szCs w:val="24"/>
        </w:rPr>
        <w:t>.</w:t>
      </w:r>
    </w:p>
    <w:p w14:paraId="2FC7F4DA" w14:textId="77777777" w:rsidR="00365C3E" w:rsidRDefault="000075C5">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Udokanma</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Georgewill</w:t>
      </w:r>
      <w:proofErr w:type="spellEnd"/>
      <w:r>
        <w:rPr>
          <w:rFonts w:ascii="Times New Roman" w:hAnsi="Times New Roman" w:cs="Times New Roman"/>
          <w:color w:val="000000"/>
          <w:sz w:val="24"/>
          <w:szCs w:val="24"/>
        </w:rPr>
        <w:t xml:space="preserve"> (2024). </w:t>
      </w:r>
      <w:r>
        <w:rPr>
          <w:rFonts w:ascii="Times New Roman" w:hAnsi="Times New Roman" w:cs="Times New Roman"/>
          <w:i/>
          <w:iCs/>
          <w:color w:val="000000"/>
          <w:sz w:val="24"/>
          <w:szCs w:val="24"/>
        </w:rPr>
        <w:t>The First Mover Advantage: Myth or Reality? | Startup Graveyard</w:t>
      </w:r>
      <w:r>
        <w:rPr>
          <w:rFonts w:ascii="Times New Roman" w:hAnsi="Times New Roman" w:cs="Times New Roman"/>
          <w:color w:val="000000"/>
          <w:sz w:val="24"/>
          <w:szCs w:val="24"/>
        </w:rPr>
        <w:t xml:space="preserve">. [online] </w:t>
      </w:r>
      <w:proofErr w:type="spellStart"/>
      <w:r>
        <w:rPr>
          <w:rFonts w:ascii="Times New Roman" w:hAnsi="Times New Roman" w:cs="Times New Roman"/>
          <w:color w:val="000000"/>
          <w:sz w:val="24"/>
          <w:szCs w:val="24"/>
        </w:rPr>
        <w:t>Startupgraveyard.africa</w:t>
      </w:r>
      <w:proofErr w:type="spellEnd"/>
      <w:r>
        <w:rPr>
          <w:rFonts w:ascii="Times New Roman" w:hAnsi="Times New Roman" w:cs="Times New Roman"/>
          <w:color w:val="000000"/>
          <w:sz w:val="24"/>
          <w:szCs w:val="24"/>
        </w:rPr>
        <w:t>. Available at: https://startupgraveyard.africa/blog/the-first-mover-advantage-myth-or-reality [Accessed 7 Mar. 2025].</w:t>
      </w:r>
    </w:p>
    <w:p w14:paraId="25091F85"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Warn, G. (2024). </w:t>
      </w:r>
      <w:r>
        <w:rPr>
          <w:rFonts w:ascii="Times New Roman" w:hAnsi="Times New Roman" w:cs="Times New Roman"/>
          <w:i/>
          <w:iCs/>
          <w:color w:val="000000"/>
          <w:sz w:val="24"/>
          <w:szCs w:val="24"/>
        </w:rPr>
        <w:t xml:space="preserve">Beauty in Focus: Superdrug’s 60 years of </w:t>
      </w:r>
      <w:proofErr w:type="spellStart"/>
      <w:r>
        <w:rPr>
          <w:rFonts w:ascii="Times New Roman" w:hAnsi="Times New Roman" w:cs="Times New Roman"/>
          <w:i/>
          <w:iCs/>
          <w:color w:val="000000"/>
          <w:sz w:val="24"/>
          <w:szCs w:val="24"/>
        </w:rPr>
        <w:t>democratising</w:t>
      </w:r>
      <w:proofErr w:type="spellEnd"/>
      <w:r>
        <w:rPr>
          <w:rFonts w:ascii="Times New Roman" w:hAnsi="Times New Roman" w:cs="Times New Roman"/>
          <w:i/>
          <w:iCs/>
          <w:color w:val="000000"/>
          <w:sz w:val="24"/>
          <w:szCs w:val="24"/>
        </w:rPr>
        <w:t xml:space="preserve"> cosmetics and personal care : The British Beauty Council</w:t>
      </w:r>
      <w:r>
        <w:rPr>
          <w:rFonts w:ascii="Times New Roman" w:hAnsi="Times New Roman" w:cs="Times New Roman"/>
          <w:color w:val="000000"/>
          <w:sz w:val="24"/>
          <w:szCs w:val="24"/>
        </w:rPr>
        <w:t xml:space="preserve">. [online] The British Beauty Council. Available at: </w:t>
      </w:r>
      <w:hyperlink r:id="rId15" w:history="1">
        <w:r>
          <w:rPr>
            <w:rStyle w:val="Hyperlink"/>
            <w:rFonts w:ascii="Times New Roman" w:hAnsi="Times New Roman" w:cs="Times New Roman"/>
            <w:sz w:val="24"/>
            <w:szCs w:val="24"/>
          </w:rPr>
          <w:t>https://britishbeautycouncil.com/superdrug-60-anniversary/</w:t>
        </w:r>
      </w:hyperlink>
    </w:p>
    <w:p w14:paraId="6A0B005D"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Williams, T. (2021). </w:t>
      </w:r>
      <w:proofErr w:type="spellStart"/>
      <w:r>
        <w:rPr>
          <w:rFonts w:ascii="Times New Roman" w:hAnsi="Times New Roman" w:cs="Times New Roman"/>
          <w:i/>
          <w:iCs/>
          <w:color w:val="000000"/>
          <w:sz w:val="24"/>
          <w:szCs w:val="24"/>
        </w:rPr>
        <w:t>LloydsPharmacy</w:t>
      </w:r>
      <w:proofErr w:type="spellEnd"/>
      <w:r>
        <w:rPr>
          <w:rFonts w:ascii="Times New Roman" w:hAnsi="Times New Roman" w:cs="Times New Roman"/>
          <w:i/>
          <w:iCs/>
          <w:color w:val="000000"/>
          <w:sz w:val="24"/>
          <w:szCs w:val="24"/>
        </w:rPr>
        <w:t xml:space="preserve"> expands digital healthcare offering with new </w:t>
      </w:r>
      <w:proofErr w:type="spellStart"/>
      <w:r>
        <w:rPr>
          <w:rFonts w:ascii="Times New Roman" w:hAnsi="Times New Roman" w:cs="Times New Roman"/>
          <w:i/>
          <w:iCs/>
          <w:color w:val="000000"/>
          <w:sz w:val="24"/>
          <w:szCs w:val="24"/>
        </w:rPr>
        <w:t>VideoGP</w:t>
      </w:r>
      <w:proofErr w:type="spellEnd"/>
      <w:r>
        <w:rPr>
          <w:rFonts w:ascii="Times New Roman" w:hAnsi="Times New Roman" w:cs="Times New Roman"/>
          <w:i/>
          <w:iCs/>
          <w:color w:val="000000"/>
          <w:sz w:val="24"/>
          <w:szCs w:val="24"/>
        </w:rPr>
        <w:t xml:space="preserve"> service - Digital Health Technology News</w:t>
      </w:r>
      <w:r>
        <w:rPr>
          <w:rFonts w:ascii="Times New Roman" w:hAnsi="Times New Roman" w:cs="Times New Roman"/>
          <w:color w:val="000000"/>
          <w:sz w:val="24"/>
          <w:szCs w:val="24"/>
        </w:rPr>
        <w:t>. [online] Digital Health Technology News. Available at: https://www.healthtechdigital.com/lloydspharmacy-expands-digital-healthcare-offering-with-new-videogp-service/ [Accessed 26 Mar. 2025].</w:t>
      </w:r>
    </w:p>
    <w:p w14:paraId="4319E1D3"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www.boots-uk.com (2016). </w:t>
      </w:r>
      <w:r>
        <w:rPr>
          <w:rFonts w:ascii="Times New Roman" w:hAnsi="Times New Roman" w:cs="Times New Roman"/>
          <w:i/>
          <w:iCs/>
          <w:color w:val="000000"/>
          <w:sz w:val="24"/>
          <w:szCs w:val="24"/>
        </w:rPr>
        <w:t xml:space="preserve">Boots UK announces further steps in </w:t>
      </w:r>
      <w:r>
        <w:rPr>
          <w:rFonts w:ascii="Times New Roman" w:hAnsi="Times New Roman" w:cs="Times New Roman"/>
          <w:i/>
          <w:iCs/>
          <w:color w:val="000000"/>
          <w:sz w:val="24"/>
          <w:szCs w:val="24"/>
        </w:rPr>
        <w:t>ongoing strategic plan</w:t>
      </w:r>
      <w:r>
        <w:rPr>
          <w:rFonts w:ascii="Times New Roman" w:hAnsi="Times New Roman" w:cs="Times New Roman"/>
          <w:color w:val="000000"/>
          <w:sz w:val="24"/>
          <w:szCs w:val="24"/>
        </w:rPr>
        <w:t xml:space="preserve">. [online] www.boots-uk.com. Available at: </w:t>
      </w:r>
      <w:hyperlink r:id="rId16" w:history="1">
        <w:r>
          <w:rPr>
            <w:rStyle w:val="Hyperlink"/>
            <w:rFonts w:ascii="Times New Roman" w:hAnsi="Times New Roman" w:cs="Times New Roman"/>
            <w:sz w:val="24"/>
            <w:szCs w:val="24"/>
          </w:rPr>
          <w:t>https://www.boots-uk.com/newsroom/news/boots-uk-announces-further-steps-in-ongoing-strategic-plan</w:t>
        </w:r>
      </w:hyperlink>
    </w:p>
    <w:p w14:paraId="52F94706" w14:textId="77777777" w:rsidR="00365C3E" w:rsidRDefault="000075C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www.boots-uk.com (2019). </w:t>
      </w:r>
      <w:r>
        <w:rPr>
          <w:rFonts w:ascii="Times New Roman" w:hAnsi="Times New Roman" w:cs="Times New Roman"/>
          <w:i/>
          <w:iCs/>
          <w:color w:val="000000"/>
          <w:sz w:val="24"/>
          <w:szCs w:val="24"/>
        </w:rPr>
        <w:t>Boots UK Transforms Pharmacy Experience</w:t>
      </w:r>
      <w:r>
        <w:rPr>
          <w:rFonts w:ascii="Times New Roman" w:hAnsi="Times New Roman" w:cs="Times New Roman"/>
          <w:color w:val="000000"/>
          <w:sz w:val="24"/>
          <w:szCs w:val="24"/>
        </w:rPr>
        <w:t xml:space="preserve">. [online] www.boots-uk.com. Available at: </w:t>
      </w:r>
      <w:hyperlink r:id="rId17" w:history="1">
        <w:r>
          <w:rPr>
            <w:rStyle w:val="Hyperlink"/>
            <w:rFonts w:ascii="Times New Roman" w:hAnsi="Times New Roman" w:cs="Times New Roman"/>
            <w:sz w:val="24"/>
            <w:szCs w:val="24"/>
          </w:rPr>
          <w:t>https://www.boots-uk.com/newsroom/features/boots-uk-transforms-pharmacy-experience/</w:t>
        </w:r>
      </w:hyperlink>
      <w:r>
        <w:rPr>
          <w:rFonts w:ascii="Times New Roman" w:hAnsi="Times New Roman" w:cs="Times New Roman"/>
          <w:color w:val="000000"/>
          <w:sz w:val="24"/>
          <w:szCs w:val="24"/>
        </w:rPr>
        <w:t>.</w:t>
      </w:r>
    </w:p>
    <w:p w14:paraId="4026962F" w14:textId="77777777" w:rsidR="00365C3E" w:rsidRDefault="00365C3E">
      <w:pPr>
        <w:spacing w:line="360" w:lineRule="auto"/>
        <w:jc w:val="both"/>
        <w:rPr>
          <w:rFonts w:ascii="Times New Roman" w:hAnsi="Times New Roman" w:cs="Times New Roman"/>
          <w:color w:val="000000"/>
          <w:sz w:val="24"/>
          <w:szCs w:val="24"/>
        </w:rPr>
      </w:pPr>
    </w:p>
    <w:p w14:paraId="235C5D39" w14:textId="77777777" w:rsidR="00365C3E" w:rsidRDefault="00365C3E">
      <w:pPr>
        <w:spacing w:line="360" w:lineRule="auto"/>
        <w:jc w:val="both"/>
        <w:rPr>
          <w:rFonts w:ascii="Times New Roman" w:hAnsi="Times New Roman" w:cs="Times New Roman"/>
          <w:color w:val="000000"/>
          <w:sz w:val="24"/>
          <w:szCs w:val="24"/>
        </w:rPr>
      </w:pPr>
    </w:p>
    <w:p w14:paraId="29710683" w14:textId="77777777" w:rsidR="00365C3E" w:rsidRDefault="00365C3E">
      <w:pPr>
        <w:spacing w:line="360" w:lineRule="auto"/>
        <w:jc w:val="both"/>
        <w:rPr>
          <w:rFonts w:ascii="Times New Roman" w:hAnsi="Times New Roman" w:cs="Times New Roman"/>
          <w:color w:val="000000"/>
          <w:sz w:val="24"/>
          <w:szCs w:val="24"/>
        </w:rPr>
      </w:pPr>
    </w:p>
    <w:p w14:paraId="701388E8" w14:textId="77777777" w:rsidR="00365C3E" w:rsidRDefault="00365C3E">
      <w:pPr>
        <w:spacing w:line="360" w:lineRule="auto"/>
        <w:jc w:val="both"/>
        <w:rPr>
          <w:rFonts w:ascii="Times New Roman" w:hAnsi="Times New Roman" w:cs="Times New Roman"/>
          <w:color w:val="000000"/>
          <w:sz w:val="24"/>
          <w:szCs w:val="24"/>
        </w:rPr>
      </w:pPr>
    </w:p>
    <w:p w14:paraId="38782AC3" w14:textId="77777777" w:rsidR="00365C3E" w:rsidRDefault="00365C3E">
      <w:pPr>
        <w:spacing w:line="360" w:lineRule="auto"/>
        <w:jc w:val="both"/>
        <w:rPr>
          <w:rFonts w:ascii="Times New Roman" w:hAnsi="Times New Roman" w:cs="Times New Roman"/>
          <w:color w:val="000000"/>
          <w:sz w:val="24"/>
          <w:szCs w:val="24"/>
        </w:rPr>
      </w:pPr>
    </w:p>
    <w:sectPr w:rsidR="00365C3E">
      <w:footerReference w:type="default" r:id="rId1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DD5E2" w14:textId="77777777" w:rsidR="000075C5" w:rsidRDefault="000075C5">
      <w:pPr>
        <w:spacing w:after="0" w:line="240" w:lineRule="auto"/>
      </w:pPr>
      <w:r>
        <w:separator/>
      </w:r>
    </w:p>
  </w:endnote>
  <w:endnote w:type="continuationSeparator" w:id="0">
    <w:p w14:paraId="4CFBBAE1" w14:textId="77777777" w:rsidR="000075C5" w:rsidRDefault="00007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C617C" w14:textId="77777777" w:rsidR="00365C3E" w:rsidRDefault="000075C5">
    <w:pPr>
      <w:pStyle w:val="Footer"/>
      <w:jc w:val="right"/>
      <w:rPr>
        <w:b/>
      </w:rPr>
    </w:pPr>
    <w:r>
      <w:t xml:space="preserve">Page </w:t>
    </w:r>
    <w:r>
      <w:rPr>
        <w:b/>
      </w:rPr>
      <w:fldChar w:fldCharType="begin"/>
    </w:r>
    <w:r>
      <w:rPr>
        <w:b/>
      </w:rPr>
      <w:instrText xml:space="preserve"> PAGE </w:instrText>
    </w:r>
    <w:r>
      <w:rPr>
        <w:b/>
        <w:sz w:val="24"/>
        <w:szCs w:val="24"/>
      </w:rPr>
      <w:fldChar w:fldCharType="separate"/>
    </w:r>
    <w:r>
      <w:rPr>
        <w:b/>
      </w:rPr>
      <w:t>15</w:t>
    </w:r>
    <w:r>
      <w:rPr>
        <w:b/>
        <w:sz w:val="24"/>
        <w:szCs w:val="24"/>
      </w:rPr>
      <w:fldChar w:fldCharType="end"/>
    </w:r>
    <w:r>
      <w:t xml:space="preserve"> of </w:t>
    </w:r>
    <w:r>
      <w:rPr>
        <w:b/>
      </w:rPr>
      <w:t>15</w:t>
    </w:r>
  </w:p>
  <w:p w14:paraId="5114C25D" w14:textId="77777777" w:rsidR="00365C3E" w:rsidRDefault="00365C3E">
    <w:pPr>
      <w:pStyle w:val="Footer"/>
      <w:jc w:val="right"/>
    </w:pPr>
  </w:p>
  <w:p w14:paraId="24714E6A" w14:textId="77777777" w:rsidR="00365C3E" w:rsidRDefault="00365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2E845" w14:textId="77777777" w:rsidR="000075C5" w:rsidRDefault="000075C5">
      <w:pPr>
        <w:spacing w:after="0" w:line="240" w:lineRule="auto"/>
      </w:pPr>
      <w:r>
        <w:separator/>
      </w:r>
    </w:p>
  </w:footnote>
  <w:footnote w:type="continuationSeparator" w:id="0">
    <w:p w14:paraId="0A000255" w14:textId="77777777" w:rsidR="000075C5" w:rsidRDefault="000075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bordersDoNotSurroundHeader/>
  <w:bordersDoNotSurroundFooter/>
  <w:proofState w:spelling="clean"/>
  <w:revisionView w:inkAnnotations="0"/>
  <w:defaultTabStop w:val="720"/>
  <w:drawingGridHorizontalSpacing w:val="110"/>
  <w:drawingGridVerticalSpacing w:val="156"/>
  <w:displayHorizontalDrawingGridEvery w:val="2"/>
  <w:characterSpacingControl w:val="doNotCompress"/>
  <w:footnotePr>
    <w:footnote w:id="-1"/>
    <w:footnote w:id="0"/>
  </w:footnotePr>
  <w:endnotePr>
    <w:endnote w:id="-1"/>
    <w:endnote w:id="0"/>
  </w:endnotePr>
  <w:compat>
    <w:spaceForUL/>
    <w:growAutofit/>
    <w:useFELayout/>
    <w:compatSetting w:name="compatibilityMode" w:uri="http://schemas.microsoft.com/office/word" w:val="14"/>
    <w:compatSetting w:name="useWord2013TrackBottomHyphenation" w:uri="http://schemas.microsoft.com/office/word" w:val="1"/>
  </w:compat>
  <w:rsids>
    <w:rsidRoot w:val="00365C3E"/>
    <w:rsid w:val="000075C5"/>
    <w:rsid w:val="00365C3E"/>
    <w:rsid w:val="003B6E74"/>
    <w:rsid w:val="00692FBA"/>
    <w:rsid w:val="00DB52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17B0975"/>
  <w15:docId w15:val="{974F2485-8B2D-6F4F-A937-19B838BCF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Calibri" w:eastAsia="Calibri" w:hAnsi="Calibri" w:cs="Arial"/>
      <w:sz w:val="22"/>
      <w:szCs w:val="22"/>
      <w:lang w:eastAsia="en-US"/>
    </w:rPr>
  </w:style>
  <w:style w:type="paragraph" w:styleId="Heading1">
    <w:name w:val="heading 1"/>
    <w:basedOn w:val="Normal"/>
    <w:next w:val="Normal"/>
    <w:uiPriority w:val="9"/>
    <w:qFormat/>
    <w:pPr>
      <w:keepNext/>
      <w:keepLines/>
      <w:spacing w:before="480" w:after="0" w:line="360" w:lineRule="auto"/>
      <w:jc w:val="both"/>
      <w:outlineLvl w:val="0"/>
    </w:pPr>
    <w:rPr>
      <w:rFonts w:ascii="Times New Roman" w:eastAsia="SimSun" w:hAnsi="Times New Roman" w:cs="Times New Roman"/>
      <w:b/>
      <w:bCs/>
      <w:color w:val="000000"/>
      <w:sz w:val="28"/>
      <w:szCs w:val="28"/>
    </w:rPr>
  </w:style>
  <w:style w:type="paragraph" w:styleId="Heading2">
    <w:name w:val="heading 2"/>
    <w:basedOn w:val="Normal"/>
    <w:next w:val="Normal"/>
    <w:uiPriority w:val="9"/>
    <w:unhideWhenUsed/>
    <w:qFormat/>
    <w:pPr>
      <w:keepNext/>
      <w:keepLines/>
      <w:spacing w:before="200" w:after="0" w:line="360" w:lineRule="auto"/>
      <w:jc w:val="both"/>
      <w:outlineLvl w:val="1"/>
    </w:pPr>
    <w:rPr>
      <w:rFonts w:ascii="Times New Roman" w:eastAsia="SimSun" w:hAnsi="Times New Roman" w:cs="Times New Roman"/>
      <w:b/>
      <w:bCs/>
      <w:color w:val="000000"/>
      <w:sz w:val="24"/>
      <w:szCs w:val="26"/>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customStyle="1" w:styleId="ListParagraph1">
    <w:name w:val="List Paragraph1"/>
    <w:basedOn w:val="Normal"/>
    <w:pPr>
      <w:ind w:left="720"/>
      <w:contextualSpacing/>
    </w:pPr>
  </w:style>
  <w:style w:type="paragraph" w:styleId="Header">
    <w:name w:val="header"/>
    <w:basedOn w:val="Normal"/>
    <w:pPr>
      <w:tabs>
        <w:tab w:val="center" w:pos="4680"/>
        <w:tab w:val="right" w:pos="9360"/>
      </w:tabs>
      <w:spacing w:after="0" w:line="240" w:lineRule="auto"/>
    </w:pPr>
  </w:style>
  <w:style w:type="paragraph" w:styleId="Footer">
    <w:name w:val="footer"/>
    <w:basedOn w:val="Normal"/>
    <w:pPr>
      <w:tabs>
        <w:tab w:val="center" w:pos="4680"/>
        <w:tab w:val="right" w:pos="9360"/>
      </w:tabs>
      <w:spacing w:after="0" w:line="240" w:lineRule="auto"/>
    </w:pPr>
  </w:style>
  <w:style w:type="paragraph" w:customStyle="1" w:styleId="TOCHeading1">
    <w:name w:val="TOC Heading1"/>
    <w:basedOn w:val="Heading1"/>
    <w:next w:val="Normal"/>
    <w:pPr>
      <w:spacing w:line="276" w:lineRule="auto"/>
      <w:jc w:val="left"/>
      <w:outlineLvl w:val="9"/>
    </w:pPr>
    <w:rPr>
      <w:rFonts w:ascii="Cambria" w:hAnsi="Cambria"/>
      <w:color w:val="365F91"/>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BalloonText">
    <w:name w:val="Balloon Text"/>
    <w:basedOn w:val="Normal"/>
    <w:pPr>
      <w:spacing w:after="0" w:line="240" w:lineRule="auto"/>
    </w:pPr>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4305492_Product_life_cycle_The_evolution_of_a_paradigm_and_literature_review_from_1950-2009" TargetMode="External" /><Relationship Id="rId13" Type="http://schemas.openxmlformats.org/officeDocument/2006/relationships/hyperlink" Target="https://www.marketingweek.com/own-brands-desirability/" TargetMode="External" /><Relationship Id="rId1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hyperlink" Target="https://www.ft.com/content/9385d1b7-ae61-4478-b4e1-d7eb7d6d8452" TargetMode="External" /><Relationship Id="rId17" Type="http://schemas.openxmlformats.org/officeDocument/2006/relationships/hyperlink" Target="https://www.boots-uk.com/newsroom/features/boots-uk-transforms-pharmacy-experience/" TargetMode="External" /><Relationship Id="rId2" Type="http://schemas.openxmlformats.org/officeDocument/2006/relationships/settings" Target="settings.xml" /><Relationship Id="rId16" Type="http://schemas.openxmlformats.org/officeDocument/2006/relationships/hyperlink" Target="https://www.boots-uk.com/newsroom/news/boots-uk-announces-further-steps-in-ongoing-strategic-plan" TargetMode="Externa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hbr.org/2015/08/when-first-movers-are-rewarded-and-when-theyre-not" TargetMode="External" /><Relationship Id="rId5" Type="http://schemas.openxmlformats.org/officeDocument/2006/relationships/endnotes" Target="endnotes.xml" /><Relationship Id="rId15" Type="http://schemas.openxmlformats.org/officeDocument/2006/relationships/hyperlink" Target="https://britishbeautycouncil.com/superdrug-60-anniversary/" TargetMode="External" /><Relationship Id="rId10" Type="http://schemas.openxmlformats.org/officeDocument/2006/relationships/hyperlink" Target="https://www.pharmacymagazine.co.uk/retailer-news/boots-posts-12th-quarter-of-retail-market-share-growth" TargetMode="External" /><Relationship Id="rId19"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s://www.researchgate.net/publication/282589055_Marketing_Challenges_of_Satisfying_Consumers_Changing_Expectations_and_Preferences_in_a_Competitive_Market" TargetMode="External" /><Relationship Id="rId14" Type="http://schemas.openxmlformats.org/officeDocument/2006/relationships/hyperlink" Target="https://www.statista.com/forecasts/1252227/superdrug-beauty-and-health-brand-profile-in-the-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4118</Words>
  <Characters>23478</Characters>
  <Application>Microsoft Office Word</Application>
  <DocSecurity>0</DocSecurity>
  <Lines>195</Lines>
  <Paragraphs>55</Paragraphs>
  <ScaleCrop>false</ScaleCrop>
  <Company/>
  <LinksUpToDate>false</LinksUpToDate>
  <CharactersWithSpaces>27541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Sujal Ahir</cp:lastModifiedBy>
  <cp:revision>2</cp:revision>
  <dcterms:created xsi:type="dcterms:W3CDTF">2025-03-27T20:56:00Z</dcterms:created>
  <dcterms:modified xsi:type="dcterms:W3CDTF">2025-03-27T20:56:00Z</dcterms:modified>
</cp:coreProperties>
</file>