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ind w:left="0" w:right="0" w:firstLine="0"/>
        <w:jc w:val="left"/>
        <w:rPr>
          <w:rFonts w:ascii="Arial" w:cs="Arial" w:hAnsi="Arial" w:eastAsia="Arial"/>
          <w:sz w:val="24"/>
          <w:szCs w:val="24"/>
          <w:u w:color="000000"/>
          <w:rtl w:val="0"/>
        </w:rPr>
      </w:pPr>
      <w:r>
        <w:rPr>
          <w:rFonts w:ascii="Arial" w:cs="Arial" w:hAnsi="Arial" w:eastAsia="Arial"/>
          <w:sz w:val="24"/>
          <w:szCs w:val="24"/>
          <w:u w:color="000000"/>
          <w:rtl w:val="0"/>
        </w:rPr>
        <w:drawing>
          <wp:anchor distT="152400" distB="152400" distL="152400" distR="152400" simplePos="0" relativeHeight="251666432" behindDoc="0" locked="0" layoutInCell="1" allowOverlap="1">
            <wp:simplePos x="0" y="0"/>
            <wp:positionH relativeFrom="margin">
              <wp:posOffset>-174880</wp:posOffset>
            </wp:positionH>
            <wp:positionV relativeFrom="line">
              <wp:posOffset>-152400</wp:posOffset>
            </wp:positionV>
            <wp:extent cx="6457118" cy="8890466"/>
            <wp:effectExtent l="0" t="0" r="0" b="0"/>
            <wp:wrapNone/>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shot 2019-04-29 at 16.33.12.png"/>
                    <pic:cNvPicPr>
                      <a:picLocks noChangeAspect="1"/>
                    </pic:cNvPicPr>
                  </pic:nvPicPr>
                  <pic:blipFill>
                    <a:blip r:embed="rId4">
                      <a:extLst/>
                    </a:blip>
                    <a:stretch>
                      <a:fillRect/>
                    </a:stretch>
                  </pic:blipFill>
                  <pic:spPr>
                    <a:xfrm>
                      <a:off x="0" y="0"/>
                      <a:ext cx="6457118" cy="8890466"/>
                    </a:xfrm>
                    <a:prstGeom prst="rect">
                      <a:avLst/>
                    </a:prstGeom>
                    <a:ln w="12700" cap="flat">
                      <a:noFill/>
                      <a:miter lim="400000"/>
                    </a:ln>
                    <a:effectLst/>
                  </pic:spPr>
                </pic:pic>
              </a:graphicData>
            </a:graphic>
          </wp:anchor>
        </w:drawing>
      </w: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r>
        <w:rPr>
          <w:rFonts w:ascii="Arial" w:cs="Arial" w:hAnsi="Arial" w:eastAsia="Arial"/>
          <w:sz w:val="24"/>
          <w:szCs w:val="24"/>
          <w:u w:color="000000"/>
          <w:rtl w:val="0"/>
        </w:rPr>
        <mc:AlternateContent>
          <mc:Choice Requires="wps">
            <w:drawing>
              <wp:anchor distT="152400" distB="152400" distL="152400" distR="152400" simplePos="0" relativeHeight="251667456" behindDoc="0" locked="0" layoutInCell="1" allowOverlap="1">
                <wp:simplePos x="0" y="0"/>
                <wp:positionH relativeFrom="margin">
                  <wp:posOffset>-121321</wp:posOffset>
                </wp:positionH>
                <wp:positionV relativeFrom="line">
                  <wp:posOffset>212179</wp:posOffset>
                </wp:positionV>
                <wp:extent cx="6350000" cy="9051965"/>
                <wp:effectExtent l="0" t="0" r="0" b="0"/>
                <wp:wrapNone/>
                <wp:docPr id="1073741826" name="officeArt object"/>
                <wp:cNvGraphicFramePr/>
                <a:graphic xmlns:a="http://schemas.openxmlformats.org/drawingml/2006/main">
                  <a:graphicData uri="http://schemas.microsoft.com/office/word/2010/wordprocessingShape">
                    <wps:wsp>
                      <wps:cNvSpPr txBox="1"/>
                      <wps:spPr>
                        <a:xfrm>
                          <a:off x="0" y="0"/>
                          <a:ext cx="6350000" cy="9051965"/>
                        </a:xfrm>
                        <a:prstGeom prst="rect">
                          <a:avLst/>
                        </a:prstGeom>
                        <a:noFill/>
                        <a:ln w="12700" cap="flat">
                          <a:noFill/>
                          <a:miter lim="400000"/>
                        </a:ln>
                        <a:effectLst/>
                      </wps:spPr>
                      <wps:txbx>
                        <w:txbxContent>
                          <w:p>
                            <w:pPr>
                              <w:pStyle w:val="Body"/>
                              <w:jc w:val="center"/>
                              <w:rPr>
                                <w:rFonts w:ascii="Arial" w:cs="Arial" w:hAnsi="Arial" w:eastAsia="Arial"/>
                                <w:sz w:val="50"/>
                                <w:szCs w:val="50"/>
                              </w:rPr>
                            </w:pPr>
                            <w:r>
                              <w:rPr>
                                <w:rFonts w:ascii="Arial" w:hAnsi="Arial"/>
                                <w:sz w:val="50"/>
                                <w:szCs w:val="50"/>
                                <w:rtl w:val="0"/>
                                <w:lang w:val="en-US"/>
                              </w:rPr>
                              <w:t>Contents</w:t>
                            </w:r>
                          </w:p>
                          <w:p>
                            <w:pPr>
                              <w:pStyle w:val="Body"/>
                              <w:jc w:val="center"/>
                              <w:rPr>
                                <w:rFonts w:ascii="Arial" w:cs="Arial" w:hAnsi="Arial" w:eastAsia="Arial"/>
                                <w:sz w:val="50"/>
                                <w:szCs w:val="50"/>
                              </w:rPr>
                            </w:pPr>
                          </w:p>
                          <w:p>
                            <w:pPr>
                              <w:pStyle w:val="Body"/>
                              <w:jc w:val="left"/>
                              <w:rPr>
                                <w:rFonts w:ascii="Arial" w:cs="Arial" w:hAnsi="Arial" w:eastAsia="Arial"/>
                                <w:sz w:val="44"/>
                                <w:szCs w:val="44"/>
                              </w:rPr>
                            </w:pPr>
                            <w:r>
                              <w:rPr>
                                <w:rFonts w:ascii="Arial" w:hAnsi="Arial"/>
                                <w:sz w:val="44"/>
                                <w:szCs w:val="44"/>
                                <w:rtl w:val="0"/>
                                <w:lang w:val="en-US"/>
                              </w:rPr>
                              <w:t>Introduction</w:t>
                            </w:r>
                            <w:r>
                              <w:rPr>
                                <w:rFonts w:ascii="Arial" w:hAnsi="Arial" w:hint="default"/>
                                <w:sz w:val="44"/>
                                <w:szCs w:val="44"/>
                                <w:rtl w:val="0"/>
                                <w:lang w:val="en-US"/>
                              </w:rPr>
                              <w:t xml:space="preserve">—— </w:t>
                            </w:r>
                            <w:r>
                              <w:rPr>
                                <w:rFonts w:ascii="Arial" w:hAnsi="Arial"/>
                                <w:sz w:val="44"/>
                                <w:szCs w:val="44"/>
                                <w:rtl w:val="0"/>
                                <w:lang w:val="en-US"/>
                              </w:rPr>
                              <w:t>Pg.3-4</w:t>
                            </w:r>
                          </w:p>
                          <w:p>
                            <w:pPr>
                              <w:pStyle w:val="Body"/>
                              <w:jc w:val="left"/>
                              <w:rPr>
                                <w:rFonts w:ascii="Arial" w:cs="Arial" w:hAnsi="Arial" w:eastAsia="Arial"/>
                                <w:sz w:val="44"/>
                                <w:szCs w:val="44"/>
                              </w:rPr>
                            </w:pPr>
                          </w:p>
                          <w:p>
                            <w:pPr>
                              <w:pStyle w:val="Body"/>
                              <w:jc w:val="left"/>
                              <w:rPr>
                                <w:rFonts w:ascii="Arial" w:cs="Arial" w:hAnsi="Arial" w:eastAsia="Arial"/>
                                <w:sz w:val="44"/>
                                <w:szCs w:val="44"/>
                              </w:rPr>
                            </w:pPr>
                            <w:r>
                              <w:rPr>
                                <w:rFonts w:ascii="Arial" w:hAnsi="Arial"/>
                                <w:sz w:val="44"/>
                                <w:szCs w:val="44"/>
                                <w:rtl w:val="0"/>
                                <w:lang w:val="en-US"/>
                              </w:rPr>
                              <w:t>Methodology</w:t>
                            </w:r>
                            <w:r>
                              <w:rPr>
                                <w:rFonts w:ascii="Arial" w:hAnsi="Arial" w:hint="default"/>
                                <w:sz w:val="44"/>
                                <w:szCs w:val="44"/>
                                <w:rtl w:val="0"/>
                                <w:lang w:val="en-US"/>
                              </w:rPr>
                              <w:t xml:space="preserve">—— </w:t>
                            </w:r>
                            <w:r>
                              <w:rPr>
                                <w:rFonts w:ascii="Arial" w:hAnsi="Arial"/>
                                <w:sz w:val="44"/>
                                <w:szCs w:val="44"/>
                                <w:rtl w:val="0"/>
                                <w:lang w:val="en-US"/>
                              </w:rPr>
                              <w:t>Pg.5</w:t>
                            </w:r>
                          </w:p>
                          <w:p>
                            <w:pPr>
                              <w:pStyle w:val="Body"/>
                              <w:jc w:val="left"/>
                              <w:rPr>
                                <w:rFonts w:ascii="Arial" w:cs="Arial" w:hAnsi="Arial" w:eastAsia="Arial"/>
                                <w:sz w:val="44"/>
                                <w:szCs w:val="44"/>
                              </w:rPr>
                            </w:pPr>
                          </w:p>
                          <w:p>
                            <w:pPr>
                              <w:pStyle w:val="Body"/>
                              <w:jc w:val="left"/>
                              <w:rPr>
                                <w:rFonts w:ascii="Arial" w:cs="Arial" w:hAnsi="Arial" w:eastAsia="Arial"/>
                                <w:sz w:val="44"/>
                                <w:szCs w:val="44"/>
                              </w:rPr>
                            </w:pPr>
                            <w:r>
                              <w:rPr>
                                <w:rFonts w:ascii="Arial" w:hAnsi="Arial"/>
                                <w:sz w:val="44"/>
                                <w:szCs w:val="44"/>
                                <w:rtl w:val="0"/>
                                <w:lang w:val="en-US"/>
                              </w:rPr>
                              <w:t>Analysis of screening and diagnosis</w:t>
                            </w:r>
                            <w:r>
                              <w:rPr>
                                <w:rFonts w:ascii="Arial" w:hAnsi="Arial" w:hint="default"/>
                                <w:sz w:val="44"/>
                                <w:szCs w:val="44"/>
                                <w:rtl w:val="0"/>
                                <w:lang w:val="en-US"/>
                              </w:rPr>
                              <w:t xml:space="preserve">—— </w:t>
                            </w:r>
                            <w:r>
                              <w:rPr>
                                <w:rFonts w:ascii="Arial" w:hAnsi="Arial"/>
                                <w:sz w:val="44"/>
                                <w:szCs w:val="44"/>
                                <w:rtl w:val="0"/>
                                <w:lang w:val="en-US"/>
                              </w:rPr>
                              <w:t>Pg.6-8</w:t>
                            </w:r>
                          </w:p>
                          <w:p>
                            <w:pPr>
                              <w:pStyle w:val="Body"/>
                              <w:jc w:val="left"/>
                              <w:rPr>
                                <w:rFonts w:ascii="Arial" w:cs="Arial" w:hAnsi="Arial" w:eastAsia="Arial"/>
                                <w:sz w:val="44"/>
                                <w:szCs w:val="44"/>
                              </w:rPr>
                            </w:pPr>
                          </w:p>
                          <w:p>
                            <w:pPr>
                              <w:pStyle w:val="Body"/>
                              <w:jc w:val="left"/>
                              <w:rPr>
                                <w:rFonts w:ascii="Arial" w:cs="Arial" w:hAnsi="Arial" w:eastAsia="Arial"/>
                                <w:sz w:val="44"/>
                                <w:szCs w:val="44"/>
                              </w:rPr>
                            </w:pPr>
                            <w:r>
                              <w:rPr>
                                <w:rFonts w:ascii="Arial" w:hAnsi="Arial"/>
                                <w:sz w:val="44"/>
                                <w:szCs w:val="44"/>
                                <w:rtl w:val="0"/>
                                <w:lang w:val="en-US"/>
                              </w:rPr>
                              <w:t>Analysis of teacher training</w:t>
                            </w:r>
                            <w:r>
                              <w:rPr>
                                <w:rFonts w:ascii="Arial" w:hAnsi="Arial" w:hint="default"/>
                                <w:sz w:val="44"/>
                                <w:szCs w:val="44"/>
                                <w:rtl w:val="0"/>
                                <w:lang w:val="en-US"/>
                              </w:rPr>
                              <w:t xml:space="preserve">—— </w:t>
                            </w:r>
                            <w:r>
                              <w:rPr>
                                <w:rFonts w:ascii="Arial" w:hAnsi="Arial"/>
                                <w:sz w:val="44"/>
                                <w:szCs w:val="44"/>
                                <w:rtl w:val="0"/>
                                <w:lang w:val="en-US"/>
                              </w:rPr>
                              <w:t>Pg.8-9</w:t>
                            </w:r>
                          </w:p>
                          <w:p>
                            <w:pPr>
                              <w:pStyle w:val="Body"/>
                              <w:jc w:val="left"/>
                              <w:rPr>
                                <w:rFonts w:ascii="Arial" w:cs="Arial" w:hAnsi="Arial" w:eastAsia="Arial"/>
                                <w:sz w:val="44"/>
                                <w:szCs w:val="44"/>
                              </w:rPr>
                            </w:pPr>
                          </w:p>
                          <w:p>
                            <w:pPr>
                              <w:pStyle w:val="Body"/>
                              <w:jc w:val="left"/>
                              <w:rPr>
                                <w:rFonts w:ascii="Arial" w:cs="Arial" w:hAnsi="Arial" w:eastAsia="Arial"/>
                                <w:sz w:val="44"/>
                                <w:szCs w:val="44"/>
                              </w:rPr>
                            </w:pPr>
                            <w:r>
                              <w:rPr>
                                <w:rFonts w:ascii="Arial" w:hAnsi="Arial"/>
                                <w:sz w:val="44"/>
                                <w:szCs w:val="44"/>
                                <w:rtl w:val="0"/>
                                <w:lang w:val="en-US"/>
                              </w:rPr>
                              <w:t>Analysis of provisions and use</w:t>
                            </w:r>
                            <w:r>
                              <w:rPr>
                                <w:rFonts w:ascii="Arial" w:hAnsi="Arial" w:hint="default"/>
                                <w:sz w:val="44"/>
                                <w:szCs w:val="44"/>
                                <w:rtl w:val="0"/>
                                <w:lang w:val="en-US"/>
                              </w:rPr>
                              <w:t xml:space="preserve">—— </w:t>
                            </w:r>
                            <w:r>
                              <w:rPr>
                                <w:rFonts w:ascii="Arial" w:hAnsi="Arial"/>
                                <w:sz w:val="44"/>
                                <w:szCs w:val="44"/>
                                <w:rtl w:val="0"/>
                                <w:lang w:val="en-US"/>
                              </w:rPr>
                              <w:t>Pg.10-12</w:t>
                            </w:r>
                          </w:p>
                          <w:p>
                            <w:pPr>
                              <w:pStyle w:val="Body"/>
                              <w:jc w:val="left"/>
                              <w:rPr>
                                <w:rFonts w:ascii="Arial" w:cs="Arial" w:hAnsi="Arial" w:eastAsia="Arial"/>
                                <w:sz w:val="44"/>
                                <w:szCs w:val="44"/>
                              </w:rPr>
                            </w:pPr>
                          </w:p>
                          <w:p>
                            <w:pPr>
                              <w:pStyle w:val="Body"/>
                              <w:jc w:val="left"/>
                              <w:rPr>
                                <w:rFonts w:ascii="Arial" w:cs="Arial" w:hAnsi="Arial" w:eastAsia="Arial"/>
                                <w:sz w:val="44"/>
                                <w:szCs w:val="44"/>
                              </w:rPr>
                            </w:pPr>
                            <w:r>
                              <w:rPr>
                                <w:rFonts w:ascii="Arial" w:hAnsi="Arial"/>
                                <w:sz w:val="44"/>
                                <w:szCs w:val="44"/>
                                <w:rtl w:val="0"/>
                                <w:lang w:val="en-US"/>
                              </w:rPr>
                              <w:t>Conclusion</w:t>
                            </w:r>
                            <w:r>
                              <w:rPr>
                                <w:rFonts w:ascii="Arial" w:hAnsi="Arial" w:hint="default"/>
                                <w:sz w:val="44"/>
                                <w:szCs w:val="44"/>
                                <w:rtl w:val="0"/>
                                <w:lang w:val="en-US"/>
                              </w:rPr>
                              <w:t xml:space="preserve">—— </w:t>
                            </w:r>
                            <w:r>
                              <w:rPr>
                                <w:rFonts w:ascii="Arial" w:hAnsi="Arial"/>
                                <w:sz w:val="44"/>
                                <w:szCs w:val="44"/>
                                <w:rtl w:val="0"/>
                                <w:lang w:val="en-US"/>
                              </w:rPr>
                              <w:t>Pg.13-14</w:t>
                            </w:r>
                          </w:p>
                          <w:p>
                            <w:pPr>
                              <w:pStyle w:val="Body"/>
                              <w:jc w:val="left"/>
                              <w:rPr>
                                <w:rFonts w:ascii="Arial" w:cs="Arial" w:hAnsi="Arial" w:eastAsia="Arial"/>
                                <w:sz w:val="44"/>
                                <w:szCs w:val="44"/>
                              </w:rPr>
                            </w:pPr>
                          </w:p>
                          <w:p>
                            <w:pPr>
                              <w:pStyle w:val="Body"/>
                              <w:jc w:val="left"/>
                              <w:rPr>
                                <w:rFonts w:ascii="Arial" w:cs="Arial" w:hAnsi="Arial" w:eastAsia="Arial"/>
                                <w:sz w:val="44"/>
                                <w:szCs w:val="44"/>
                              </w:rPr>
                            </w:pPr>
                            <w:r>
                              <w:rPr>
                                <w:rFonts w:ascii="Arial" w:hAnsi="Arial"/>
                                <w:sz w:val="44"/>
                                <w:szCs w:val="44"/>
                                <w:rtl w:val="0"/>
                                <w:lang w:val="en-US"/>
                              </w:rPr>
                              <w:t>References</w:t>
                            </w:r>
                            <w:r>
                              <w:rPr>
                                <w:rFonts w:ascii="Arial" w:hAnsi="Arial" w:hint="default"/>
                                <w:sz w:val="44"/>
                                <w:szCs w:val="44"/>
                                <w:rtl w:val="0"/>
                                <w:lang w:val="en-US"/>
                              </w:rPr>
                              <w:t xml:space="preserve">—— </w:t>
                            </w:r>
                            <w:r>
                              <w:rPr>
                                <w:rFonts w:ascii="Arial" w:hAnsi="Arial"/>
                                <w:sz w:val="44"/>
                                <w:szCs w:val="44"/>
                                <w:rtl w:val="0"/>
                                <w:lang w:val="en-US"/>
                              </w:rPr>
                              <w:t>Pg.14-16</w:t>
                            </w:r>
                          </w:p>
                          <w:p>
                            <w:pPr>
                              <w:pStyle w:val="Body"/>
                              <w:jc w:val="left"/>
                              <w:rPr>
                                <w:rFonts w:ascii="Arial" w:cs="Arial" w:hAnsi="Arial" w:eastAsia="Arial"/>
                                <w:sz w:val="44"/>
                                <w:szCs w:val="44"/>
                              </w:rPr>
                            </w:pPr>
                          </w:p>
                          <w:p>
                            <w:pPr>
                              <w:pStyle w:val="Body"/>
                              <w:jc w:val="left"/>
                            </w:pPr>
                            <w:r>
                              <w:rPr>
                                <w:rFonts w:ascii="Arial" w:hAnsi="Arial"/>
                                <w:sz w:val="44"/>
                                <w:szCs w:val="44"/>
                                <w:rtl w:val="0"/>
                                <w:lang w:val="en-US"/>
                              </w:rPr>
                              <w:t>Appendix</w:t>
                            </w:r>
                            <w:r>
                              <w:rPr>
                                <w:rFonts w:ascii="Arial" w:hAnsi="Arial" w:hint="default"/>
                                <w:sz w:val="44"/>
                                <w:szCs w:val="44"/>
                                <w:rtl w:val="0"/>
                                <w:lang w:val="en-US"/>
                              </w:rPr>
                              <w:t xml:space="preserve">—— </w:t>
                            </w:r>
                            <w:r>
                              <w:rPr>
                                <w:rFonts w:ascii="Arial" w:hAnsi="Arial"/>
                                <w:sz w:val="44"/>
                                <w:szCs w:val="44"/>
                                <w:rtl w:val="0"/>
                                <w:lang w:val="en-US"/>
                              </w:rPr>
                              <w:t>Pg.17</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9.6pt;margin-top:16.7pt;width:500.0pt;height:712.8pt;z-index:251667456;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jc w:val="center"/>
                        <w:rPr>
                          <w:rFonts w:ascii="Arial" w:cs="Arial" w:hAnsi="Arial" w:eastAsia="Arial"/>
                          <w:sz w:val="50"/>
                          <w:szCs w:val="50"/>
                        </w:rPr>
                      </w:pPr>
                      <w:r>
                        <w:rPr>
                          <w:rFonts w:ascii="Arial" w:hAnsi="Arial"/>
                          <w:sz w:val="50"/>
                          <w:szCs w:val="50"/>
                          <w:rtl w:val="0"/>
                          <w:lang w:val="en-US"/>
                        </w:rPr>
                        <w:t>Contents</w:t>
                      </w:r>
                    </w:p>
                    <w:p>
                      <w:pPr>
                        <w:pStyle w:val="Body"/>
                        <w:jc w:val="center"/>
                        <w:rPr>
                          <w:rFonts w:ascii="Arial" w:cs="Arial" w:hAnsi="Arial" w:eastAsia="Arial"/>
                          <w:sz w:val="50"/>
                          <w:szCs w:val="50"/>
                        </w:rPr>
                      </w:pPr>
                    </w:p>
                    <w:p>
                      <w:pPr>
                        <w:pStyle w:val="Body"/>
                        <w:jc w:val="left"/>
                        <w:rPr>
                          <w:rFonts w:ascii="Arial" w:cs="Arial" w:hAnsi="Arial" w:eastAsia="Arial"/>
                          <w:sz w:val="44"/>
                          <w:szCs w:val="44"/>
                        </w:rPr>
                      </w:pPr>
                      <w:r>
                        <w:rPr>
                          <w:rFonts w:ascii="Arial" w:hAnsi="Arial"/>
                          <w:sz w:val="44"/>
                          <w:szCs w:val="44"/>
                          <w:rtl w:val="0"/>
                          <w:lang w:val="en-US"/>
                        </w:rPr>
                        <w:t>Introduction</w:t>
                      </w:r>
                      <w:r>
                        <w:rPr>
                          <w:rFonts w:ascii="Arial" w:hAnsi="Arial" w:hint="default"/>
                          <w:sz w:val="44"/>
                          <w:szCs w:val="44"/>
                          <w:rtl w:val="0"/>
                          <w:lang w:val="en-US"/>
                        </w:rPr>
                        <w:t xml:space="preserve">—— </w:t>
                      </w:r>
                      <w:r>
                        <w:rPr>
                          <w:rFonts w:ascii="Arial" w:hAnsi="Arial"/>
                          <w:sz w:val="44"/>
                          <w:szCs w:val="44"/>
                          <w:rtl w:val="0"/>
                          <w:lang w:val="en-US"/>
                        </w:rPr>
                        <w:t>Pg.3-4</w:t>
                      </w:r>
                    </w:p>
                    <w:p>
                      <w:pPr>
                        <w:pStyle w:val="Body"/>
                        <w:jc w:val="left"/>
                        <w:rPr>
                          <w:rFonts w:ascii="Arial" w:cs="Arial" w:hAnsi="Arial" w:eastAsia="Arial"/>
                          <w:sz w:val="44"/>
                          <w:szCs w:val="44"/>
                        </w:rPr>
                      </w:pPr>
                    </w:p>
                    <w:p>
                      <w:pPr>
                        <w:pStyle w:val="Body"/>
                        <w:jc w:val="left"/>
                        <w:rPr>
                          <w:rFonts w:ascii="Arial" w:cs="Arial" w:hAnsi="Arial" w:eastAsia="Arial"/>
                          <w:sz w:val="44"/>
                          <w:szCs w:val="44"/>
                        </w:rPr>
                      </w:pPr>
                      <w:r>
                        <w:rPr>
                          <w:rFonts w:ascii="Arial" w:hAnsi="Arial"/>
                          <w:sz w:val="44"/>
                          <w:szCs w:val="44"/>
                          <w:rtl w:val="0"/>
                          <w:lang w:val="en-US"/>
                        </w:rPr>
                        <w:t>Methodology</w:t>
                      </w:r>
                      <w:r>
                        <w:rPr>
                          <w:rFonts w:ascii="Arial" w:hAnsi="Arial" w:hint="default"/>
                          <w:sz w:val="44"/>
                          <w:szCs w:val="44"/>
                          <w:rtl w:val="0"/>
                          <w:lang w:val="en-US"/>
                        </w:rPr>
                        <w:t xml:space="preserve">—— </w:t>
                      </w:r>
                      <w:r>
                        <w:rPr>
                          <w:rFonts w:ascii="Arial" w:hAnsi="Arial"/>
                          <w:sz w:val="44"/>
                          <w:szCs w:val="44"/>
                          <w:rtl w:val="0"/>
                          <w:lang w:val="en-US"/>
                        </w:rPr>
                        <w:t>Pg.5</w:t>
                      </w:r>
                    </w:p>
                    <w:p>
                      <w:pPr>
                        <w:pStyle w:val="Body"/>
                        <w:jc w:val="left"/>
                        <w:rPr>
                          <w:rFonts w:ascii="Arial" w:cs="Arial" w:hAnsi="Arial" w:eastAsia="Arial"/>
                          <w:sz w:val="44"/>
                          <w:szCs w:val="44"/>
                        </w:rPr>
                      </w:pPr>
                    </w:p>
                    <w:p>
                      <w:pPr>
                        <w:pStyle w:val="Body"/>
                        <w:jc w:val="left"/>
                        <w:rPr>
                          <w:rFonts w:ascii="Arial" w:cs="Arial" w:hAnsi="Arial" w:eastAsia="Arial"/>
                          <w:sz w:val="44"/>
                          <w:szCs w:val="44"/>
                        </w:rPr>
                      </w:pPr>
                      <w:r>
                        <w:rPr>
                          <w:rFonts w:ascii="Arial" w:hAnsi="Arial"/>
                          <w:sz w:val="44"/>
                          <w:szCs w:val="44"/>
                          <w:rtl w:val="0"/>
                          <w:lang w:val="en-US"/>
                        </w:rPr>
                        <w:t>Analysis of screening and diagnosis</w:t>
                      </w:r>
                      <w:r>
                        <w:rPr>
                          <w:rFonts w:ascii="Arial" w:hAnsi="Arial" w:hint="default"/>
                          <w:sz w:val="44"/>
                          <w:szCs w:val="44"/>
                          <w:rtl w:val="0"/>
                          <w:lang w:val="en-US"/>
                        </w:rPr>
                        <w:t xml:space="preserve">—— </w:t>
                      </w:r>
                      <w:r>
                        <w:rPr>
                          <w:rFonts w:ascii="Arial" w:hAnsi="Arial"/>
                          <w:sz w:val="44"/>
                          <w:szCs w:val="44"/>
                          <w:rtl w:val="0"/>
                          <w:lang w:val="en-US"/>
                        </w:rPr>
                        <w:t>Pg.6-8</w:t>
                      </w:r>
                    </w:p>
                    <w:p>
                      <w:pPr>
                        <w:pStyle w:val="Body"/>
                        <w:jc w:val="left"/>
                        <w:rPr>
                          <w:rFonts w:ascii="Arial" w:cs="Arial" w:hAnsi="Arial" w:eastAsia="Arial"/>
                          <w:sz w:val="44"/>
                          <w:szCs w:val="44"/>
                        </w:rPr>
                      </w:pPr>
                    </w:p>
                    <w:p>
                      <w:pPr>
                        <w:pStyle w:val="Body"/>
                        <w:jc w:val="left"/>
                        <w:rPr>
                          <w:rFonts w:ascii="Arial" w:cs="Arial" w:hAnsi="Arial" w:eastAsia="Arial"/>
                          <w:sz w:val="44"/>
                          <w:szCs w:val="44"/>
                        </w:rPr>
                      </w:pPr>
                      <w:r>
                        <w:rPr>
                          <w:rFonts w:ascii="Arial" w:hAnsi="Arial"/>
                          <w:sz w:val="44"/>
                          <w:szCs w:val="44"/>
                          <w:rtl w:val="0"/>
                          <w:lang w:val="en-US"/>
                        </w:rPr>
                        <w:t>Analysis of teacher training</w:t>
                      </w:r>
                      <w:r>
                        <w:rPr>
                          <w:rFonts w:ascii="Arial" w:hAnsi="Arial" w:hint="default"/>
                          <w:sz w:val="44"/>
                          <w:szCs w:val="44"/>
                          <w:rtl w:val="0"/>
                          <w:lang w:val="en-US"/>
                        </w:rPr>
                        <w:t xml:space="preserve">—— </w:t>
                      </w:r>
                      <w:r>
                        <w:rPr>
                          <w:rFonts w:ascii="Arial" w:hAnsi="Arial"/>
                          <w:sz w:val="44"/>
                          <w:szCs w:val="44"/>
                          <w:rtl w:val="0"/>
                          <w:lang w:val="en-US"/>
                        </w:rPr>
                        <w:t>Pg.8-9</w:t>
                      </w:r>
                    </w:p>
                    <w:p>
                      <w:pPr>
                        <w:pStyle w:val="Body"/>
                        <w:jc w:val="left"/>
                        <w:rPr>
                          <w:rFonts w:ascii="Arial" w:cs="Arial" w:hAnsi="Arial" w:eastAsia="Arial"/>
                          <w:sz w:val="44"/>
                          <w:szCs w:val="44"/>
                        </w:rPr>
                      </w:pPr>
                    </w:p>
                    <w:p>
                      <w:pPr>
                        <w:pStyle w:val="Body"/>
                        <w:jc w:val="left"/>
                        <w:rPr>
                          <w:rFonts w:ascii="Arial" w:cs="Arial" w:hAnsi="Arial" w:eastAsia="Arial"/>
                          <w:sz w:val="44"/>
                          <w:szCs w:val="44"/>
                        </w:rPr>
                      </w:pPr>
                      <w:r>
                        <w:rPr>
                          <w:rFonts w:ascii="Arial" w:hAnsi="Arial"/>
                          <w:sz w:val="44"/>
                          <w:szCs w:val="44"/>
                          <w:rtl w:val="0"/>
                          <w:lang w:val="en-US"/>
                        </w:rPr>
                        <w:t>Analysis of provisions and use</w:t>
                      </w:r>
                      <w:r>
                        <w:rPr>
                          <w:rFonts w:ascii="Arial" w:hAnsi="Arial" w:hint="default"/>
                          <w:sz w:val="44"/>
                          <w:szCs w:val="44"/>
                          <w:rtl w:val="0"/>
                          <w:lang w:val="en-US"/>
                        </w:rPr>
                        <w:t xml:space="preserve">—— </w:t>
                      </w:r>
                      <w:r>
                        <w:rPr>
                          <w:rFonts w:ascii="Arial" w:hAnsi="Arial"/>
                          <w:sz w:val="44"/>
                          <w:szCs w:val="44"/>
                          <w:rtl w:val="0"/>
                          <w:lang w:val="en-US"/>
                        </w:rPr>
                        <w:t>Pg.10-12</w:t>
                      </w:r>
                    </w:p>
                    <w:p>
                      <w:pPr>
                        <w:pStyle w:val="Body"/>
                        <w:jc w:val="left"/>
                        <w:rPr>
                          <w:rFonts w:ascii="Arial" w:cs="Arial" w:hAnsi="Arial" w:eastAsia="Arial"/>
                          <w:sz w:val="44"/>
                          <w:szCs w:val="44"/>
                        </w:rPr>
                      </w:pPr>
                    </w:p>
                    <w:p>
                      <w:pPr>
                        <w:pStyle w:val="Body"/>
                        <w:jc w:val="left"/>
                        <w:rPr>
                          <w:rFonts w:ascii="Arial" w:cs="Arial" w:hAnsi="Arial" w:eastAsia="Arial"/>
                          <w:sz w:val="44"/>
                          <w:szCs w:val="44"/>
                        </w:rPr>
                      </w:pPr>
                      <w:r>
                        <w:rPr>
                          <w:rFonts w:ascii="Arial" w:hAnsi="Arial"/>
                          <w:sz w:val="44"/>
                          <w:szCs w:val="44"/>
                          <w:rtl w:val="0"/>
                          <w:lang w:val="en-US"/>
                        </w:rPr>
                        <w:t>Conclusion</w:t>
                      </w:r>
                      <w:r>
                        <w:rPr>
                          <w:rFonts w:ascii="Arial" w:hAnsi="Arial" w:hint="default"/>
                          <w:sz w:val="44"/>
                          <w:szCs w:val="44"/>
                          <w:rtl w:val="0"/>
                          <w:lang w:val="en-US"/>
                        </w:rPr>
                        <w:t xml:space="preserve">—— </w:t>
                      </w:r>
                      <w:r>
                        <w:rPr>
                          <w:rFonts w:ascii="Arial" w:hAnsi="Arial"/>
                          <w:sz w:val="44"/>
                          <w:szCs w:val="44"/>
                          <w:rtl w:val="0"/>
                          <w:lang w:val="en-US"/>
                        </w:rPr>
                        <w:t>Pg.13-14</w:t>
                      </w:r>
                    </w:p>
                    <w:p>
                      <w:pPr>
                        <w:pStyle w:val="Body"/>
                        <w:jc w:val="left"/>
                        <w:rPr>
                          <w:rFonts w:ascii="Arial" w:cs="Arial" w:hAnsi="Arial" w:eastAsia="Arial"/>
                          <w:sz w:val="44"/>
                          <w:szCs w:val="44"/>
                        </w:rPr>
                      </w:pPr>
                    </w:p>
                    <w:p>
                      <w:pPr>
                        <w:pStyle w:val="Body"/>
                        <w:jc w:val="left"/>
                        <w:rPr>
                          <w:rFonts w:ascii="Arial" w:cs="Arial" w:hAnsi="Arial" w:eastAsia="Arial"/>
                          <w:sz w:val="44"/>
                          <w:szCs w:val="44"/>
                        </w:rPr>
                      </w:pPr>
                      <w:r>
                        <w:rPr>
                          <w:rFonts w:ascii="Arial" w:hAnsi="Arial"/>
                          <w:sz w:val="44"/>
                          <w:szCs w:val="44"/>
                          <w:rtl w:val="0"/>
                          <w:lang w:val="en-US"/>
                        </w:rPr>
                        <w:t>References</w:t>
                      </w:r>
                      <w:r>
                        <w:rPr>
                          <w:rFonts w:ascii="Arial" w:hAnsi="Arial" w:hint="default"/>
                          <w:sz w:val="44"/>
                          <w:szCs w:val="44"/>
                          <w:rtl w:val="0"/>
                          <w:lang w:val="en-US"/>
                        </w:rPr>
                        <w:t xml:space="preserve">—— </w:t>
                      </w:r>
                      <w:r>
                        <w:rPr>
                          <w:rFonts w:ascii="Arial" w:hAnsi="Arial"/>
                          <w:sz w:val="44"/>
                          <w:szCs w:val="44"/>
                          <w:rtl w:val="0"/>
                          <w:lang w:val="en-US"/>
                        </w:rPr>
                        <w:t>Pg.14-16</w:t>
                      </w:r>
                    </w:p>
                    <w:p>
                      <w:pPr>
                        <w:pStyle w:val="Body"/>
                        <w:jc w:val="left"/>
                        <w:rPr>
                          <w:rFonts w:ascii="Arial" w:cs="Arial" w:hAnsi="Arial" w:eastAsia="Arial"/>
                          <w:sz w:val="44"/>
                          <w:szCs w:val="44"/>
                        </w:rPr>
                      </w:pPr>
                    </w:p>
                    <w:p>
                      <w:pPr>
                        <w:pStyle w:val="Body"/>
                        <w:jc w:val="left"/>
                      </w:pPr>
                      <w:r>
                        <w:rPr>
                          <w:rFonts w:ascii="Arial" w:hAnsi="Arial"/>
                          <w:sz w:val="44"/>
                          <w:szCs w:val="44"/>
                          <w:rtl w:val="0"/>
                          <w:lang w:val="en-US"/>
                        </w:rPr>
                        <w:t>Appendix</w:t>
                      </w:r>
                      <w:r>
                        <w:rPr>
                          <w:rFonts w:ascii="Arial" w:hAnsi="Arial" w:hint="default"/>
                          <w:sz w:val="44"/>
                          <w:szCs w:val="44"/>
                          <w:rtl w:val="0"/>
                          <w:lang w:val="en-US"/>
                        </w:rPr>
                        <w:t xml:space="preserve">—— </w:t>
                      </w:r>
                      <w:r>
                        <w:rPr>
                          <w:rFonts w:ascii="Arial" w:hAnsi="Arial"/>
                          <w:sz w:val="44"/>
                          <w:szCs w:val="44"/>
                          <w:rtl w:val="0"/>
                          <w:lang w:val="en-US"/>
                        </w:rPr>
                        <w:t>Pg.17</w:t>
                      </w:r>
                    </w:p>
                  </w:txbxContent>
                </v:textbox>
                <w10:wrap type="none" side="bothSides" anchorx="margin"/>
              </v:shape>
            </w:pict>
          </mc:Fallback>
        </mc:AlternateContent>
      </w: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spacing w:line="480" w:lineRule="auto"/>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 xml:space="preserve">Based on evidence from current research and policy as well as on data gathered from a group questionnaire, critically discuss an inclusive approach to supporting the needs of a particular group of pupils.  Focus on </w:t>
      </w:r>
      <w:r>
        <w:rPr>
          <w:rFonts w:ascii="Arial" w:hAnsi="Arial"/>
          <w:b w:val="1"/>
          <w:bCs w:val="1"/>
          <w:sz w:val="24"/>
          <w:szCs w:val="24"/>
          <w:u w:val="single" w:color="000000"/>
          <w:rtl w:val="0"/>
          <w:lang w:val="en-US"/>
        </w:rPr>
        <w:t>one</w:t>
      </w:r>
      <w:r>
        <w:rPr>
          <w:rFonts w:ascii="Arial" w:hAnsi="Arial"/>
          <w:sz w:val="24"/>
          <w:szCs w:val="24"/>
          <w:u w:color="000000"/>
          <w:rtl w:val="0"/>
          <w:lang w:val="en-US"/>
        </w:rPr>
        <w:t xml:space="preserve"> specific learning difficulty, disability or additional need for your discussion.</w:t>
      </w:r>
    </w:p>
    <w:p>
      <w:pPr>
        <w:pStyle w:val="Body"/>
        <w:spacing w:line="480" w:lineRule="auto"/>
        <w:jc w:val="left"/>
        <w:rPr>
          <w:rFonts w:ascii="Arial" w:cs="Arial" w:hAnsi="Arial" w:eastAsia="Arial"/>
          <w:sz w:val="24"/>
          <w:szCs w:val="24"/>
          <w:u w:color="000000"/>
        </w:rPr>
      </w:pPr>
      <w:r>
        <w:rPr>
          <w:rFonts w:ascii="Arial" w:hAnsi="Arial"/>
          <w:sz w:val="24"/>
          <w:szCs w:val="24"/>
          <w:u w:color="000000"/>
          <w:rtl w:val="0"/>
          <w:lang w:val="en-US"/>
        </w:rPr>
        <w:t>Use ICT skills developed within the module to present your findings.</w:t>
      </w:r>
    </w:p>
    <w:p>
      <w:pPr>
        <w:pStyle w:val="Body"/>
        <w:bidi w:val="0"/>
        <w:spacing w:line="480" w:lineRule="auto"/>
        <w:ind w:left="0" w:right="0" w:firstLine="0"/>
        <w:jc w:val="both"/>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r>
        <w:rPr>
          <w:rFonts w:ascii="Arial" w:hAnsi="Arial"/>
          <w:u w:color="000000"/>
          <w:rtl w:val="0"/>
          <w:lang w:val="en-US"/>
        </w:rPr>
        <w:t xml:space="preserve">This piece will discuss the implementation of inclusive approaches to supporting the needs of pupils showing dyslexic tendencies as well as those with a diagnosis.The writer will look at the implementation of supportive techniques and tools, the age of diagnosis, and the benefits to pupils regardless of diagnosis. Through a questionnaire distributed to schools the writer looked to gather first hand insight into dyslexia in the school setting.The survey coupled with recent studies and research can  aid in the creation of a critical analysis of dyslexic inclusivity in the classroom. Analysing the overall effects of whole class approaches to dyslexia inclusion, and the awareness and training on dyslexia among education practitioners. </w:t>
      </w:r>
    </w:p>
    <w:p>
      <w:pPr>
        <w:pStyle w:val="Body"/>
        <w:bidi w:val="0"/>
        <w:spacing w:line="480" w:lineRule="auto"/>
        <w:ind w:left="0" w:right="0" w:firstLine="0"/>
        <w:jc w:val="left"/>
        <w:rPr>
          <w:rFonts w:ascii="Arial" w:cs="Arial" w:hAnsi="Arial" w:eastAsia="Arial"/>
          <w:u w:color="000000"/>
          <w:rtl w:val="0"/>
        </w:rPr>
      </w:pPr>
      <w:r>
        <w:rPr>
          <w:rFonts w:ascii="Arial" w:hAnsi="Arial"/>
          <w:u w:color="000000"/>
          <w:rtl w:val="0"/>
          <w:lang w:val="en-US"/>
        </w:rPr>
        <w:t>Dyslexia if part of a family of neurological difficulties affecting the way in which information is processed, they can occur independently of intelligence. The umbrella term for these are Specific Learning Difficulties (SpLD)  and consist of dyslexia, dyspraxia, dyscalculia, and dysgraphia. Each of these come with their own specific characteristics but have co-occuring commonalities such as memory difficulties, organisational difficulties and time management difficulties. These difficulties  are not, by themselves, signs of a specific specific learning difficulty. Dyslexia itself varies from person to person but will often manifest as difficulties with processing (listening and associating sounds with words), reading, and writing words and lette</w:t>
      </w:r>
      <w:r>
        <w:rPr>
          <w:rFonts w:ascii="Arial" w:hAnsi="Arial"/>
          <w:u w:color="000000"/>
          <w:rtl w:val="0"/>
          <w:lang w:val="en-US"/>
        </w:rPr>
        <w:t>rs. (British Dyslexia association, 2019). Dyslexia is estimated to occur between 1 in every 10 people in the uk and</w:t>
      </w:r>
      <w:r>
        <w:rPr>
          <w:rFonts w:ascii="Arial" w:hAnsi="Arial"/>
          <w:u w:color="000000"/>
          <w:rtl w:val="0"/>
          <w:lang w:val="en-US"/>
        </w:rPr>
        <w:t xml:space="preserve"> currently it is not know exactly how dyslexia is caused only that it appears to run in families, it is </w:t>
      </w:r>
      <w:r>
        <w:rPr>
          <w:rFonts w:ascii="Arial" w:hAnsi="Arial"/>
          <w:u w:color="000000"/>
          <w:rtl w:val="0"/>
          <w:lang w:val="en-US"/>
        </w:rPr>
        <w:t>thought that it is a combination of both parents genes that affect how parts of the brain develop (NHS,2018).</w:t>
      </w:r>
    </w:p>
    <w:p>
      <w:pPr>
        <w:pStyle w:val="Body"/>
        <w:bidi w:val="0"/>
        <w:spacing w:line="480" w:lineRule="auto"/>
        <w:ind w:left="0" w:right="0" w:firstLine="0"/>
        <w:jc w:val="left"/>
        <w:rPr>
          <w:rFonts w:ascii="Arial" w:cs="Arial" w:hAnsi="Arial" w:eastAsia="Arial"/>
          <w:u w:color="000000"/>
          <w:rtl w:val="0"/>
        </w:rPr>
      </w:pPr>
      <w:r>
        <w:rPr>
          <w:rFonts w:ascii="Arial" w:hAnsi="Arial"/>
          <w:u w:color="000000"/>
          <w:rtl w:val="0"/>
          <w:lang w:val="en-US"/>
        </w:rPr>
        <w:t xml:space="preserve"> The UN Convention on the Rights of a Child(1989) is a treaty written by United Nations on the rights of children across the world. Currently there are 140 signatory countries signed up to the UNCRC, with over 190 countries party to the convention. The convention contains 54 articles that cover all aspects of modern childhood. It states the requirements and rights of each child that inhabits a country. Each article is linked and has equal importance, they must be enforced by both adults (18 years +) and governments. Articles 28 and 29 are significant to this piece as they state the requirement for all children to be given free primary education and that this education must develop their abilities and skills as individuals to the fullest. Article 23 of the convention is more specific to children with Dyslexia as it states that a child with a disability has the right to live a life to the fullest possible with the opportunity to become independent and part of a community. These three articles show the importance of inclusiveness and equal opportunities in the school setting, a child that has dyslexia is equal to all other pupils and must be treated as such without unnecessary exclusion or attention. Teaching practitioners will play a large role in facilitating these articles and ensuring that the child is treated fairly and as equal as possible within the school. Within Wales Practitioners are to comply with the Special Education Needs Code of Practice (Welsh Assembly, 2013) a partner to England</w:t>
      </w:r>
      <w:r>
        <w:rPr>
          <w:rFonts w:ascii="Arial" w:hAnsi="Arial" w:hint="default"/>
          <w:u w:color="000000"/>
          <w:rtl w:val="0"/>
          <w:lang w:val="en-US"/>
        </w:rPr>
        <w:t>’</w:t>
      </w:r>
      <w:r>
        <w:rPr>
          <w:rFonts w:ascii="Arial" w:hAnsi="Arial"/>
          <w:u w:color="000000"/>
          <w:rtl w:val="0"/>
          <w:lang w:val="en-US"/>
        </w:rPr>
        <w:t>s SEND Code of practice (2014), these documents outline the requirements of education providers and professionals to ensuring the fair and equal treatment of learners aged 0-25. The documents also note the provisions available and the steps taken to receive these provisions or services. Additionally there is the Equalities act (2010), an act of parliament that consolidated and updated several different anti-discrimination acts and regulations. These documents state the legal obligation other than the moral obligation to treat all students equally ensuring inclusiveness and fairness.</w:t>
      </w: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r>
        <w:rPr>
          <w:rFonts w:ascii="Arial" w:hAnsi="Arial"/>
          <w:u w:color="000000"/>
          <w:rtl w:val="0"/>
          <w:lang w:val="en-US"/>
        </w:rPr>
        <w:t>The research undertaken in this assignment was carried out as a group consisting of four BA Ed students. The group met regularly and discussed our aims for the survey, this helped the group create a short questionnaire consisting of 25 questions that was to be sent out to various schools across several counties in Wales. The group intended for all persons who may come in contact with pupils within the learning environment that may have shown signs of, or were diagnosed with dyslexia. The group did have a common intended goal of the questionnaire but individual needs and interests required a slightly broader range of questions. The range of questions slightly hindered exploring in-depth into a specific area, which has been limiting to the depth of the research. Personal interest into the level of training received by practitioners was unfortunately cut short due to the needs of the group and ensuring an appealing questionnaire. The group received a good response from recipients with many interesting answers to the extended questions, however the sample size was still relatively small and could not be considered an accurate representation of South Wales as a whole. The research conducted by the group will be compared to larger scale research and knowledge, this will hopefully produce interesting results with the expectation of alining with current research but there may also be the possibility of opposing it. If there are contra-indicatory results from our research there will be opportunity to analyse our practice and possibly give reason for the alternative result. The group received responses from many different roles within the school from teaching assistants and support staff to Additional Learning Needs Coordinator</w:t>
      </w:r>
      <w:r>
        <w:rPr>
          <w:rFonts w:ascii="Arial" w:hAnsi="Arial" w:hint="default"/>
          <w:u w:color="000000"/>
          <w:rtl w:val="0"/>
          <w:lang w:val="en-US"/>
        </w:rPr>
        <w:t>’</w:t>
      </w:r>
      <w:r>
        <w:rPr>
          <w:rFonts w:ascii="Arial" w:hAnsi="Arial"/>
          <w:u w:color="000000"/>
          <w:rtl w:val="0"/>
          <w:lang w:val="en-US"/>
        </w:rPr>
        <w:t xml:space="preserve">s </w:t>
      </w:r>
      <w:r>
        <w:rPr>
          <w:rFonts w:ascii="Arial" w:hAnsi="Arial"/>
          <w:u w:color="000000"/>
          <w:rtl w:val="0"/>
          <w:lang w:val="en-US"/>
        </w:rPr>
        <w:t xml:space="preserve">(ALNCO) </w:t>
      </w:r>
      <w:r>
        <w:rPr>
          <w:rFonts w:ascii="Arial" w:hAnsi="Arial"/>
          <w:u w:color="000000"/>
          <w:rtl w:val="0"/>
          <w:lang w:val="en-US"/>
        </w:rPr>
        <w:t>and headteachers (Fig.1). This should give us a good scope of opinions and experience on dyslexia within the classroom.</w:t>
      </w:r>
      <w:r>
        <w:rPr>
          <w:rFonts w:ascii="Arial" w:cs="Arial" w:hAnsi="Arial" w:eastAsia="Arial"/>
          <w:u w:color="000000"/>
          <w:rtl w:val="0"/>
        </w:rPr>
        <mc:AlternateContent>
          <mc:Choice Requires="wpg">
            <w:drawing>
              <wp:anchor distT="152400" distB="152400" distL="152400" distR="152400" simplePos="0" relativeHeight="251659264" behindDoc="0" locked="0" layoutInCell="1" allowOverlap="1">
                <wp:simplePos x="0" y="0"/>
                <wp:positionH relativeFrom="margin">
                  <wp:posOffset>-193548</wp:posOffset>
                </wp:positionH>
                <wp:positionV relativeFrom="line">
                  <wp:posOffset>186152</wp:posOffset>
                </wp:positionV>
                <wp:extent cx="6120057" cy="3077448"/>
                <wp:effectExtent l="0" t="0" r="0" b="0"/>
                <wp:wrapNone/>
                <wp:docPr id="1073741829" name="officeArt object"/>
                <wp:cNvGraphicFramePr/>
                <a:graphic xmlns:a="http://schemas.openxmlformats.org/drawingml/2006/main">
                  <a:graphicData uri="http://schemas.microsoft.com/office/word/2010/wordprocessingGroup">
                    <wpg:wgp>
                      <wpg:cNvGrpSpPr/>
                      <wpg:grpSpPr>
                        <a:xfrm>
                          <a:off x="0" y="0"/>
                          <a:ext cx="6120057" cy="3077448"/>
                          <a:chOff x="0" y="0"/>
                          <a:chExt cx="6120056" cy="3077447"/>
                        </a:xfrm>
                      </wpg:grpSpPr>
                      <pic:pic xmlns:pic="http://schemas.openxmlformats.org/drawingml/2006/picture">
                        <pic:nvPicPr>
                          <pic:cNvPr id="1073741827" name="Screenshot 2019-04-29 at 11.48.56.png"/>
                          <pic:cNvPicPr>
                            <a:picLocks noChangeAspect="1"/>
                          </pic:cNvPicPr>
                        </pic:nvPicPr>
                        <pic:blipFill>
                          <a:blip r:embed="rId5">
                            <a:extLst/>
                          </a:blip>
                          <a:stretch>
                            <a:fillRect/>
                          </a:stretch>
                        </pic:blipFill>
                        <pic:spPr>
                          <a:xfrm>
                            <a:off x="0" y="0"/>
                            <a:ext cx="6120057" cy="3077448"/>
                          </a:xfrm>
                          <a:prstGeom prst="rect">
                            <a:avLst/>
                          </a:prstGeom>
                          <a:ln w="12700" cap="flat">
                            <a:noFill/>
                            <a:miter lim="400000"/>
                          </a:ln>
                          <a:effectLst/>
                        </pic:spPr>
                      </pic:pic>
                      <wps:wsp>
                        <wps:cNvPr id="1073741828" name="Shape 1073741828"/>
                        <wps:cNvSpPr txBox="1"/>
                        <wps:spPr>
                          <a:xfrm>
                            <a:off x="365596" y="121848"/>
                            <a:ext cx="3175001" cy="1625601"/>
                          </a:xfrm>
                          <a:prstGeom prst="rect">
                            <a:avLst/>
                          </a:prstGeom>
                          <a:noFill/>
                          <a:ln w="12700" cap="flat">
                            <a:noFill/>
                            <a:miter lim="400000"/>
                          </a:ln>
                          <a:effectLst/>
                        </wps:spPr>
                        <wps:txbx>
                          <w:txbxContent>
                            <w:p>
                              <w:pPr>
                                <w:pStyle w:val="Body"/>
                              </w:pPr>
                              <w:r>
                                <w:rPr>
                                  <w:i w:val="1"/>
                                  <w:iCs w:val="1"/>
                                  <w:rtl w:val="0"/>
                                  <w:lang w:val="en-US"/>
                                </w:rPr>
                                <w:t>Fig.1. Chart showing the range of job roles from 15 responses.</w:t>
                              </w:r>
                            </w:p>
                          </w:txbxContent>
                        </wps:txbx>
                        <wps:bodyPr wrap="square" lIns="50800" tIns="50800" rIns="50800" bIns="50800" numCol="1" anchor="t">
                          <a:noAutofit/>
                        </wps:bodyPr>
                      </wps:wsp>
                    </wpg:wgp>
                  </a:graphicData>
                </a:graphic>
              </wp:anchor>
            </w:drawing>
          </mc:Choice>
          <mc:Fallback>
            <w:pict>
              <v:group id="_x0000_s1027" style="visibility:visible;position:absolute;margin-left:-15.2pt;margin-top:14.7pt;width:481.9pt;height:242.3pt;z-index:251659264;mso-position-horizontal:absolute;mso-position-horizontal-relative:margin;mso-position-vertical:absolute;mso-position-vertical-relative:line;mso-wrap-distance-left:12.0pt;mso-wrap-distance-top:12.0pt;mso-wrap-distance-right:12.0pt;mso-wrap-distance-bottom:12.0pt;" coordorigin="0,0" coordsize="6120056,3077448">
                <w10:wrap type="none" side="bothSides" anchorx="margin"/>
                <v:shape id="_x0000_s1028" type="#_x0000_t75" style="position:absolute;left:0;top:0;width:6120056;height:3077448;">
                  <v:imagedata r:id="rId5" o:title="Screenshot 2019-04-29 at 11.48.56.png"/>
                </v:shape>
                <v:shape id="_x0000_s1029" type="#_x0000_t202" style="position:absolute;left:365596;top:121849;width:3175000;height:1625600;">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i w:val="1"/>
                            <w:iCs w:val="1"/>
                            <w:rtl w:val="0"/>
                            <w:lang w:val="en-US"/>
                          </w:rPr>
                          <w:t>Fig.1. Chart showing the range of job roles from 15 responses.</w:t>
                        </w:r>
                      </w:p>
                    </w:txbxContent>
                  </v:textbox>
                </v:shape>
              </v:group>
            </w:pict>
          </mc:Fallback>
        </mc:AlternateContent>
      </w:r>
      <w:r>
        <w:rPr>
          <w:rFonts w:ascii="Arial" w:hAnsi="Arial"/>
          <w:u w:color="000000"/>
          <w:rtl w:val="0"/>
          <w:lang w:val="en-US"/>
        </w:rPr>
        <w:t xml:space="preserve"> </w:t>
      </w: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u w:color="000000"/>
          <w:rtl w:val="0"/>
        </w:rPr>
      </w:pPr>
      <w:r>
        <w:rPr>
          <w:rFonts w:ascii="Arial" w:hAnsi="Arial"/>
          <w:u w:color="000000"/>
          <w:rtl w:val="0"/>
          <w:lang w:val="en-US"/>
        </w:rPr>
        <w:t xml:space="preserve">There were many points the writer wished to investigate within this piece, each will be explored in turn.They will all affect the inclusiveness of dyslexia within the classroom and the outside factors  that may have an effect such as diagnosis, teacher training, and the use of a wide range of support provisions. The first of these points is issues with the age of diagnosis and what are the repercussions of poor diagnosis. During teaching practice the writer anecdotally heard from practitioners of the difficulties teachers face while seeking a diagnosis for dyslexia. </w:t>
      </w:r>
    </w:p>
    <w:p>
      <w:pPr>
        <w:pStyle w:val="Body"/>
        <w:bidi w:val="0"/>
        <w:spacing w:line="480" w:lineRule="auto"/>
        <w:ind w:left="0" w:right="0" w:firstLine="0"/>
        <w:jc w:val="left"/>
        <w:rPr>
          <w:rFonts w:ascii="Arial" w:cs="Arial" w:hAnsi="Arial" w:eastAsia="Arial"/>
          <w:u w:color="000000"/>
          <w:rtl w:val="0"/>
        </w:rPr>
      </w:pPr>
      <w:r>
        <w:rPr>
          <w:rFonts w:ascii="Arial" w:hAnsi="Arial"/>
          <w:u w:color="000000"/>
          <w:rtl w:val="0"/>
          <w:lang w:val="en-US"/>
        </w:rPr>
        <w:t>Although the signs of dyslexia start early and are noticeable from a young age our results (Fig.2.) suggest that there is a long delay in diagnosis with some children having to wait years, one response even expanded on their answer and noted the difficulty of getting a full diagnosis. This response mirrors Jenny Thompsons report (2010) into dyslexic interventions. Thompson states the difficulty of getting a full diagnosis is due to the nature of dyslexia and the way in which it manifests itself. These difficulties are shown in our results with only a small minority of learners displaying signs of dyslexia actually receiving a diagnosis [Appendix 1.1]. The difficulties are present on a continuum and the decision on what is a significant problem is subjective. There is also significant difficulties with diagnosis, currently there are two prominent methods for diagnosis. The oldest is discrepancy criteria, this method measure for any significant differences between a child</w:t>
      </w:r>
      <w:r>
        <w:rPr>
          <w:rFonts w:ascii="Arial" w:hAnsi="Arial" w:hint="default"/>
          <w:u w:color="000000"/>
          <w:rtl w:val="0"/>
          <w:lang w:val="en-US"/>
        </w:rPr>
        <w:t>’</w:t>
      </w:r>
      <w:r>
        <w:rPr>
          <w:rFonts w:ascii="Arial" w:hAnsi="Arial"/>
          <w:u w:color="000000"/>
          <w:rtl w:val="0"/>
          <w:lang w:val="en-US"/>
        </w:rPr>
        <w:t xml:space="preserve">s wider cognitive skills and their reading ability. The discrepancy method is build upon the works of </w:t>
      </w:r>
      <w:r>
        <w:rPr>
          <w:rFonts w:ascii="Arial" w:hAnsi="Arial"/>
          <w:u w:color="000000"/>
          <w:rtl w:val="0"/>
        </w:rPr>
        <w:t>Harris &amp;</w:t>
      </w:r>
      <w:r>
        <w:rPr>
          <w:rFonts w:ascii="Arial" w:hAnsi="Arial"/>
          <w:u w:color="000000"/>
          <w:rtl w:val="0"/>
          <w:lang w:val="en-US"/>
        </w:rPr>
        <w:t xml:space="preserve"> </w:t>
      </w:r>
      <w:r>
        <w:rPr>
          <w:rFonts w:ascii="Arial" w:hAnsi="Arial"/>
          <w:u w:color="000000"/>
          <w:rtl w:val="0"/>
          <w:lang w:val="en-US"/>
        </w:rPr>
        <w:t xml:space="preserve">Sipay, </w:t>
      </w:r>
      <w:r>
        <w:rPr>
          <w:rFonts w:ascii="Arial" w:hAnsi="Arial"/>
          <w:u w:color="000000"/>
          <w:rtl w:val="0"/>
          <w:lang w:val="en-US"/>
        </w:rPr>
        <w:t>(</w:t>
      </w:r>
      <w:r>
        <w:rPr>
          <w:rFonts w:ascii="Arial" w:hAnsi="Arial"/>
          <w:u w:color="000000"/>
          <w:rtl w:val="0"/>
        </w:rPr>
        <w:t>1975</w:t>
      </w:r>
      <w:r>
        <w:rPr>
          <w:rFonts w:ascii="Arial" w:hAnsi="Arial"/>
          <w:u w:color="000000"/>
          <w:rtl w:val="0"/>
          <w:lang w:val="en-US"/>
        </w:rPr>
        <w:t xml:space="preserve">) on the field of reading. This method was once the core and most widespread method of diagnosing learning difficulties. In a report from the Institute for research in learning disabilities (Warner,1981) the use of discrepancy criteria is advised despite its flaws, as it is (at the time) the only way to measure the discrepancy between achievement and ability, which according to </w:t>
      </w:r>
      <w:r>
        <w:rPr>
          <w:rFonts w:ascii="Arial" w:hAnsi="Arial"/>
          <w:u w:color="000000"/>
          <w:rtl w:val="0"/>
          <w:lang w:val="it-IT"/>
        </w:rPr>
        <w:t>Aram, D. M., Morris, R., &amp; Hall, N. E. (1992)</w:t>
      </w:r>
      <w:r>
        <w:rPr>
          <w:rFonts w:ascii="Arial" w:hAnsi="Arial"/>
          <w:u w:color="000000"/>
          <w:rtl w:val="0"/>
          <w:lang w:val="en-US"/>
        </w:rPr>
        <w:t xml:space="preserve"> is fundamental in the diagnosis of a learning disability. This method unfortunately relies on the child building up a large discrepancy in areas of learning before diagnosis which causes late intervention, something the next method opposes. The second method is </w:t>
      </w:r>
      <w:r>
        <w:rPr>
          <w:rFonts w:ascii="Arial" w:hAnsi="Arial"/>
          <w:u w:color="000000"/>
          <w:rtl w:val="0"/>
          <w:lang w:val="en-US"/>
        </w:rPr>
        <w:t>Response</w:t>
      </w:r>
      <w:r>
        <w:rPr>
          <w:rFonts w:ascii="Arial Unicode MS" w:cs="Arial Unicode MS" w:hAnsi="Arial Unicode MS" w:eastAsia="Arial Unicode MS" w:hint="default"/>
          <w:b w:val="0"/>
          <w:bCs w:val="0"/>
          <w:i w:val="0"/>
          <w:iCs w:val="0"/>
          <w:u w:color="000000"/>
          <w:rtl w:val="0"/>
        </w:rPr>
        <w:t>‐</w:t>
      </w:r>
      <w:r>
        <w:rPr>
          <w:rFonts w:ascii="Arial" w:hAnsi="Arial"/>
          <w:u w:color="000000"/>
          <w:rtl w:val="0"/>
        </w:rPr>
        <w:t>to</w:t>
      </w:r>
      <w:r>
        <w:rPr>
          <w:rFonts w:ascii="Arial Unicode MS" w:cs="Arial Unicode MS" w:hAnsi="Arial Unicode MS" w:eastAsia="Arial Unicode MS" w:hint="default"/>
          <w:b w:val="0"/>
          <w:bCs w:val="0"/>
          <w:i w:val="0"/>
          <w:iCs w:val="0"/>
          <w:u w:color="000000"/>
          <w:rtl w:val="0"/>
        </w:rPr>
        <w:t>‐</w:t>
      </w:r>
      <w:r>
        <w:rPr>
          <w:rFonts w:ascii="Arial" w:hAnsi="Arial"/>
          <w:u w:color="000000"/>
          <w:rtl w:val="0"/>
          <w:lang w:val="fr-FR"/>
        </w:rPr>
        <w:t>Intervention (RTI)</w:t>
      </w:r>
      <w:r>
        <w:rPr>
          <w:rFonts w:ascii="Arial" w:hAnsi="Arial"/>
          <w:u w:color="000000"/>
          <w:rtl w:val="0"/>
          <w:lang w:val="en-US"/>
        </w:rPr>
        <w:t xml:space="preserve"> and is an early intervention multi-tiered approach to providing services to learners at varying degrees of intensity. The approach monitors student progress and adjusts instructions or intensity of services continuously using progress monitoring data (</w:t>
      </w:r>
      <w:r>
        <w:rPr>
          <w:rFonts w:ascii="Arial" w:hAnsi="Arial"/>
          <w:u w:color="000000"/>
          <w:rtl w:val="0"/>
          <w:lang w:val="de-DE"/>
        </w:rPr>
        <w:t>NASET LD Report #5</w:t>
      </w:r>
      <w:r>
        <w:rPr>
          <w:rFonts w:ascii="Arial" w:hAnsi="Arial"/>
          <w:u w:color="000000"/>
          <w:rtl w:val="0"/>
          <w:lang w:val="en-US"/>
        </w:rPr>
        <w:t>,2006). The NASET promote the use of RTI alongside other assisting systems as a way to ensure effective Specific Learning Difficulty diagnosis and intervention and note the benefits of RTI over Discrepancy Criteria. The benefits in their opinion are; the ability to differentiate between Specific Learning Difficulties and general academic issues, the ability to differentiate the response to interventions and instructional changes, the accuracy of identification across the IQ scale without discrimination. While RTI appears the better option of the two there are still many flaws, firstly the levels and intensity of interventions are subjective there are no clear guideline on what is appropriate. Additionally there is sometimes over-identification of underachievers as some learners will naturally struggle to match their peers. This may suggest that best practise would be a combination of both methods (Crouse, 2017).</w:t>
      </w:r>
      <w:r>
        <w:rPr>
          <w:rFonts w:ascii="Arial" w:cs="Arial" w:hAnsi="Arial" w:eastAsia="Arial"/>
          <w:u w:color="000000"/>
          <w:rtl w:val="0"/>
        </w:rPr>
        <mc:AlternateContent>
          <mc:Choice Requires="wpg">
            <w:drawing>
              <wp:anchor distT="152400" distB="152400" distL="152400" distR="152400" simplePos="0" relativeHeight="251660288" behindDoc="0" locked="0" layoutInCell="1" allowOverlap="1">
                <wp:simplePos x="0" y="0"/>
                <wp:positionH relativeFrom="margin">
                  <wp:posOffset>-122256</wp:posOffset>
                </wp:positionH>
                <wp:positionV relativeFrom="line">
                  <wp:posOffset>235571</wp:posOffset>
                </wp:positionV>
                <wp:extent cx="6364569" cy="3175199"/>
                <wp:effectExtent l="0" t="0" r="0" b="0"/>
                <wp:wrapNone/>
                <wp:docPr id="1073741832" name="officeArt object"/>
                <wp:cNvGraphicFramePr/>
                <a:graphic xmlns:a="http://schemas.openxmlformats.org/drawingml/2006/main">
                  <a:graphicData uri="http://schemas.microsoft.com/office/word/2010/wordprocessingGroup">
                    <wpg:wgp>
                      <wpg:cNvGrpSpPr/>
                      <wpg:grpSpPr>
                        <a:xfrm>
                          <a:off x="0" y="0"/>
                          <a:ext cx="6364569" cy="3175199"/>
                          <a:chOff x="0" y="0"/>
                          <a:chExt cx="6364568" cy="3175198"/>
                        </a:xfrm>
                      </wpg:grpSpPr>
                      <pic:pic xmlns:pic="http://schemas.openxmlformats.org/drawingml/2006/picture">
                        <pic:nvPicPr>
                          <pic:cNvPr id="1073741830" name="pasted-image.tiff"/>
                          <pic:cNvPicPr>
                            <a:picLocks noChangeAspect="1"/>
                          </pic:cNvPicPr>
                        </pic:nvPicPr>
                        <pic:blipFill>
                          <a:blip r:embed="rId6">
                            <a:extLst/>
                          </a:blip>
                          <a:stretch>
                            <a:fillRect/>
                          </a:stretch>
                        </pic:blipFill>
                        <pic:spPr>
                          <a:xfrm>
                            <a:off x="0" y="0"/>
                            <a:ext cx="4327679" cy="3175199"/>
                          </a:xfrm>
                          <a:prstGeom prst="rect">
                            <a:avLst/>
                          </a:prstGeom>
                          <a:ln w="12700" cap="flat">
                            <a:noFill/>
                            <a:miter lim="400000"/>
                          </a:ln>
                          <a:effectLst/>
                        </pic:spPr>
                      </pic:pic>
                      <wps:wsp>
                        <wps:cNvPr id="1073741831" name="Shape 1073741831"/>
                        <wps:cNvSpPr txBox="1"/>
                        <wps:spPr>
                          <a:xfrm>
                            <a:off x="3189568" y="2209998"/>
                            <a:ext cx="3175001" cy="669212"/>
                          </a:xfrm>
                          <a:prstGeom prst="rect">
                            <a:avLst/>
                          </a:prstGeom>
                          <a:noFill/>
                          <a:ln w="12700" cap="flat">
                            <a:noFill/>
                            <a:miter lim="400000"/>
                          </a:ln>
                          <a:effectLst/>
                        </wps:spPr>
                        <wps:txbx>
                          <w:txbxContent>
                            <w:p>
                              <w:pPr>
                                <w:pStyle w:val="Body"/>
                              </w:pPr>
                              <w:r>
                                <w:rPr>
                                  <w:i w:val="1"/>
                                  <w:iCs w:val="1"/>
                                  <w:rtl w:val="0"/>
                                  <w:lang w:val="en-US"/>
                                </w:rPr>
                                <w:t>Fig.2. Chart showing the range of ages where a child has been diagnosed. 15 responses.</w:t>
                              </w:r>
                            </w:p>
                          </w:txbxContent>
                        </wps:txbx>
                        <wps:bodyPr wrap="square" lIns="50800" tIns="50800" rIns="50800" bIns="50800" numCol="1" anchor="t">
                          <a:noAutofit/>
                        </wps:bodyPr>
                      </wps:wsp>
                    </wpg:wgp>
                  </a:graphicData>
                </a:graphic>
              </wp:anchor>
            </w:drawing>
          </mc:Choice>
          <mc:Fallback>
            <w:pict>
              <v:group id="_x0000_s1030" style="visibility:visible;position:absolute;margin-left:-9.6pt;margin-top:18.5pt;width:501.1pt;height:250.0pt;z-index:251660288;mso-position-horizontal:absolute;mso-position-horizontal-relative:margin;mso-position-vertical:absolute;mso-position-vertical-relative:line;mso-wrap-distance-left:12.0pt;mso-wrap-distance-top:12.0pt;mso-wrap-distance-right:12.0pt;mso-wrap-distance-bottom:12.0pt;" coordorigin="0,0" coordsize="6364568,3175198">
                <w10:wrap type="none" side="bothSides" anchorx="margin"/>
                <v:shape id="_x0000_s1031" type="#_x0000_t75" style="position:absolute;left:0;top:0;width:4327678;height:3175198;">
                  <v:imagedata r:id="rId6" o:title="pasted-image.tiff"/>
                </v:shape>
                <v:shape id="_x0000_s1032" type="#_x0000_t202" style="position:absolute;left:3189568;top:2209998;width:3175000;height:669211;">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i w:val="1"/>
                            <w:iCs w:val="1"/>
                            <w:rtl w:val="0"/>
                            <w:lang w:val="en-US"/>
                          </w:rPr>
                          <w:t>Fig.2. Chart showing the range of ages where a child has been diagnosed. 15 responses.</w:t>
                        </w:r>
                      </w:p>
                    </w:txbxContent>
                  </v:textbox>
                </v:shape>
              </v:group>
            </w:pict>
          </mc:Fallback>
        </mc:AlternateContent>
      </w:r>
      <w:r>
        <w:rPr>
          <w:rFonts w:ascii="Arial" w:hAnsi="Arial"/>
          <w:u w:color="000000"/>
          <w:rtl w:val="0"/>
          <w:lang w:val="en-US"/>
        </w:rPr>
        <w:t xml:space="preserve"> </w:t>
      </w: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r>
        <w:rPr>
          <w:rFonts w:ascii="Arial" w:hAnsi="Arial"/>
          <w:u w:color="000000"/>
          <w:rtl w:val="0"/>
          <w:lang w:val="en-US"/>
        </w:rPr>
        <w:t xml:space="preserve">Welsh Assembly research into dyslexia  in 2012 writes that the age of diagnosis is lowering with more and more screening being carried out at ages 5-7, but asserts that there is difficulty with diagnosing at a younger age with the best screening methods still returning a high relative number of false negatives and false positives. This difficulty my factor into the decision to postpone diagnosis until later years. This is shown in our research (fig.2.) with very few pupils being diagnosed between ages 5-8, and then a large jump in diagnosis at 9-11. Additionally over 20% of respondents reported no diagnosis or difficulty obtaining one. In a publication by the International Dyslexic Association (2017) they note the the social and emotional effects of failure to diagnose and treat dyslexia quickly, they suggest that pupils will become socially distant due to the fear of public failure and embarrassment and thus furthering their difficulties as they look to avoid the issues rather than seek alternatives or aids. The Rose Report (2009) notes that the majority of calls the British Dyslexia Association receives is from anxious parents who were concerned of the time taken for their child to receive treatment or services. The impact of literacy difficulties on future success has been reported by the </w:t>
      </w:r>
      <w:r>
        <w:rPr>
          <w:rFonts w:ascii="Arial" w:hAnsi="Arial"/>
          <w:u w:color="000000"/>
          <w:rtl w:val="0"/>
          <w:lang w:val="en-US"/>
        </w:rPr>
        <w:t>House of Commons Education Committee</w:t>
      </w:r>
      <w:r>
        <w:rPr>
          <w:rFonts w:ascii="Arial" w:hAnsi="Arial"/>
          <w:u w:color="000000"/>
          <w:rtl w:val="0"/>
          <w:lang w:val="en-US"/>
        </w:rPr>
        <w:t xml:space="preserve"> (2018) that a third of </w:t>
      </w:r>
      <w:r>
        <w:rPr>
          <w:rFonts w:ascii="Arial" w:hAnsi="Arial"/>
          <w:u w:color="000000"/>
          <w:rtl w:val="0"/>
          <w:lang w:val="en-US"/>
        </w:rPr>
        <w:t>young people in Pupil Referral Units and Alternative Provision (AP) have SEN</w:t>
      </w:r>
      <w:r>
        <w:rPr>
          <w:rFonts w:ascii="Arial" w:hAnsi="Arial"/>
          <w:u w:color="000000"/>
          <w:rtl w:val="0"/>
          <w:lang w:val="en-US"/>
        </w:rPr>
        <w:t>, and that pupils with poor reading skills are far more likely to become truant in school (</w:t>
      </w:r>
      <w:r>
        <w:rPr>
          <w:rFonts w:ascii="Arial" w:hAnsi="Arial"/>
          <w:u w:color="000000"/>
          <w:rtl w:val="0"/>
          <w:lang w:val="en-US"/>
        </w:rPr>
        <w:t>National Literacy Trust</w:t>
      </w:r>
      <w:r>
        <w:rPr>
          <w:rFonts w:ascii="Arial" w:hAnsi="Arial"/>
          <w:u w:color="000000"/>
          <w:rtl w:val="0"/>
          <w:lang w:val="en-US"/>
        </w:rPr>
        <w:t>, 2014). I</w:t>
      </w:r>
      <w:r>
        <w:rPr>
          <w:rFonts w:ascii="Arial" w:hAnsi="Arial"/>
          <w:u w:color="000000"/>
          <w:rtl w:val="0"/>
          <w:lang w:val="en-US"/>
        </w:rPr>
        <w:t>f these statistics are correlated</w:t>
      </w:r>
      <w:r>
        <w:rPr>
          <w:rFonts w:ascii="Arial" w:hAnsi="Arial"/>
          <w:u w:color="000000"/>
          <w:rtl w:val="0"/>
          <w:lang w:val="en-US"/>
        </w:rPr>
        <w:t xml:space="preserve">, missing pupils who suffer from  undiagnosed or untreated literacy issues will have negative lifelong effects and that there is a link between literacy and behaviour. </w:t>
      </w: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u w:color="000000"/>
          <w:rtl w:val="0"/>
        </w:rPr>
      </w:pPr>
      <w:r>
        <w:rPr>
          <w:rFonts w:ascii="Arial" w:hAnsi="Arial"/>
          <w:u w:color="000000"/>
          <w:rtl w:val="0"/>
          <w:lang w:val="en-US"/>
        </w:rPr>
        <w:t xml:space="preserve">During professional teaching practice there was also talk amongst staff on the limited availability of quality training for teachers and education providers on dyslexia, some practitioners noted their difficulty with adapting their lessons for pupils. This again was all anecdotal and the writer wished to research it further.  </w:t>
      </w:r>
    </w:p>
    <w:p>
      <w:pPr>
        <w:pStyle w:val="Body"/>
        <w:bidi w:val="0"/>
        <w:spacing w:line="480" w:lineRule="auto"/>
        <w:ind w:left="0" w:right="0" w:firstLine="0"/>
        <w:jc w:val="left"/>
        <w:rPr>
          <w:rFonts w:ascii="Arial" w:cs="Arial" w:hAnsi="Arial" w:eastAsia="Arial"/>
          <w:u w:color="000000"/>
          <w:rtl w:val="0"/>
        </w:rPr>
      </w:pPr>
      <w:r>
        <w:rPr>
          <w:rFonts w:ascii="Arial" w:hAnsi="Arial"/>
          <w:u w:color="000000"/>
          <w:rtl w:val="0"/>
          <w:lang w:val="en-US"/>
        </w:rPr>
        <w:t>Tory Whaley M.Ed has written in an article (2014) on the Lexercise website that teachers are the initial gatekeepers of the diagnosis pathway, they misunderstand many signs or hold misguided beliefs that delay the steps taken towards a diagnosis. She concludes that poor training on dyslexia has caused many pupils to slip through the gaps.This is in agreement with the No to Failure study (</w:t>
      </w:r>
      <w:r>
        <w:rPr>
          <w:rFonts w:ascii="Arial" w:hAnsi="Arial"/>
          <w:u w:color="000000"/>
          <w:rtl w:val="0"/>
          <w:lang w:val="de-DE"/>
        </w:rPr>
        <w:t>Dyslexia-SpLD Trust</w:t>
      </w:r>
      <w:r>
        <w:rPr>
          <w:rFonts w:ascii="Arial" w:hAnsi="Arial"/>
          <w:u w:color="000000"/>
          <w:rtl w:val="0"/>
          <w:lang w:val="en-US"/>
        </w:rPr>
        <w:t>, 2009) where they found that over 55% of children screened as at risk of dyslexia were not already on a Special Educational Needs register. According to a Driver Youth Trust Report (2019) over 91% of teachers that responded to their survey thought that there was significant barriers to receiving an effective level of training on identifying and teaching children with dyslexic characteristics. With 1 in 4 believing that there is no appropriate training available for the support of Special Education Needs (SEN) pupils. These reports and finding show a significant failure to educate and inform most teachers on successfully identifying at risk children and are corroborated by the findings of Ross(2017). This may also correlate with the age of diagnosis, if teachers have received poor training on correctly identifying dyslexia or its characteristics then they may not begin a pathway for an at risk child to receive additional aid or support. The late diagnosis will then occur when the child has developed significant discrepancy in their abilities which highlights their difficulties. The No to Failure (</w:t>
      </w:r>
      <w:r>
        <w:rPr>
          <w:rFonts w:ascii="Arial" w:hAnsi="Arial"/>
          <w:u w:color="000000"/>
          <w:rtl w:val="0"/>
          <w:lang w:val="de-DE"/>
        </w:rPr>
        <w:t>Dyslexia-SpLD Trust</w:t>
      </w:r>
      <w:r>
        <w:rPr>
          <w:rFonts w:ascii="Arial" w:hAnsi="Arial"/>
          <w:u w:color="000000"/>
          <w:rtl w:val="0"/>
          <w:lang w:val="en-US"/>
        </w:rPr>
        <w:t>,2009) study suggests further actions to combat this. The report advocates for compulsory Specific Learning Difficulties training during initial teacher training, something that current teacher training programmes do not include. A 2008 OFSTED Report stated the important role that the local authority has on Specific Learning Difficulties, the authority will provide the funding towards services and training for new teachers. There is often difficulty in providing these services, either the authority lacks funding or the school cannot schedule time off for all new teachers to receive training. There was also a lack of monitoring following the training to ensure progress or that all new teachers had attended. In our research (Fig.3.), out of 15 respondents 3 reported that they had received no training on dyslexia. If these statistics were true for the whole of Wales it would mean that 20% of teachers or learner support workers have no training on dyslexia whatsoever. This may mean that hundreds of children are remaining undiagnosed or unreported due to the lack of awareness. These statistics also show that schools would be failing to meet the base level of the DCSF (2008) suggested tier system with all teachers receiving good core skills in the teaching of pupils with special educational needs.</w:t>
      </w:r>
    </w:p>
    <w:p>
      <w:pPr>
        <w:pStyle w:val="Body"/>
        <w:bidi w:val="0"/>
        <w:spacing w:line="480" w:lineRule="auto"/>
        <w:ind w:left="0" w:right="0" w:firstLine="0"/>
        <w:jc w:val="left"/>
        <w:rPr>
          <w:rFonts w:ascii="Arial" w:cs="Arial" w:hAnsi="Arial" w:eastAsia="Arial"/>
          <w:u w:color="000000"/>
          <w:rtl w:val="0"/>
        </w:rPr>
      </w:pPr>
      <w:r>
        <w:rPr>
          <w:rFonts w:ascii="Arial" w:hAnsi="Arial"/>
          <w:u w:color="000000"/>
          <w:rtl w:val="0"/>
          <w:lang w:val="en-US"/>
        </w:rPr>
        <w:t xml:space="preserve">Unfortunately due to the constraints of the group work and the need to ensure an effective questionnaire the writer was unable to add additional questions on this topic. It would have been intriguing to enquire into the quality of the training received by the respondents of our survey and compare to the findings of the Driver Youth Trust Report. Additionally there is a call for a higher standard of teacher training The Rose Report (2009) outlines a need for education practitioners to be trained in providing support for pupils with dyslexia as they deem the current level of training insufficient in providing pupils with high frequency interventions in class. </w:t>
      </w:r>
    </w:p>
    <w:p>
      <w:pPr>
        <w:pStyle w:val="Body"/>
        <w:bidi w:val="0"/>
        <w:spacing w:line="480" w:lineRule="auto"/>
        <w:ind w:left="0" w:right="0" w:firstLine="0"/>
        <w:jc w:val="left"/>
        <w:rPr>
          <w:rFonts w:ascii="Arial" w:cs="Arial" w:hAnsi="Arial" w:eastAsia="Arial"/>
          <w:u w:color="000000"/>
          <w:rtl w:val="0"/>
        </w:rPr>
      </w:pPr>
      <w:r>
        <w:rPr>
          <w:rFonts w:ascii="Arial" w:cs="Arial" w:hAnsi="Arial" w:eastAsia="Arial"/>
          <w:u w:color="000000"/>
          <w:rtl w:val="0"/>
        </w:rPr>
        <mc:AlternateContent>
          <mc:Choice Requires="wpg">
            <w:drawing>
              <wp:anchor distT="152400" distB="152400" distL="152400" distR="152400" simplePos="0" relativeHeight="251661312" behindDoc="0" locked="0" layoutInCell="1" allowOverlap="1">
                <wp:simplePos x="0" y="0"/>
                <wp:positionH relativeFrom="margin">
                  <wp:posOffset>-203708</wp:posOffset>
                </wp:positionH>
                <wp:positionV relativeFrom="line">
                  <wp:posOffset>164043</wp:posOffset>
                </wp:positionV>
                <wp:extent cx="6120057" cy="2966720"/>
                <wp:effectExtent l="0" t="0" r="0" b="0"/>
                <wp:wrapNone/>
                <wp:docPr id="1073741835" name="officeArt object"/>
                <wp:cNvGraphicFramePr/>
                <a:graphic xmlns:a="http://schemas.openxmlformats.org/drawingml/2006/main">
                  <a:graphicData uri="http://schemas.microsoft.com/office/word/2010/wordprocessingGroup">
                    <wpg:wgp>
                      <wpg:cNvGrpSpPr/>
                      <wpg:grpSpPr>
                        <a:xfrm>
                          <a:off x="0" y="0"/>
                          <a:ext cx="6120057" cy="2966720"/>
                          <a:chOff x="0" y="0"/>
                          <a:chExt cx="6120056" cy="2966719"/>
                        </a:xfrm>
                      </wpg:grpSpPr>
                      <pic:pic xmlns:pic="http://schemas.openxmlformats.org/drawingml/2006/picture">
                        <pic:nvPicPr>
                          <pic:cNvPr id="1073741833" name="Screenshot 2019-04-29 at 11.51.56.png"/>
                          <pic:cNvPicPr>
                            <a:picLocks noChangeAspect="1"/>
                          </pic:cNvPicPr>
                        </pic:nvPicPr>
                        <pic:blipFill>
                          <a:blip r:embed="rId7">
                            <a:extLst/>
                          </a:blip>
                          <a:stretch>
                            <a:fillRect/>
                          </a:stretch>
                        </pic:blipFill>
                        <pic:spPr>
                          <a:xfrm>
                            <a:off x="0" y="189248"/>
                            <a:ext cx="6120057" cy="2777472"/>
                          </a:xfrm>
                          <a:prstGeom prst="rect">
                            <a:avLst/>
                          </a:prstGeom>
                          <a:ln w="12700" cap="flat">
                            <a:noFill/>
                            <a:miter lim="400000"/>
                          </a:ln>
                          <a:effectLst/>
                        </pic:spPr>
                      </pic:pic>
                      <wps:wsp>
                        <wps:cNvPr id="1073741834" name="Shape 1073741834"/>
                        <wps:cNvSpPr txBox="1"/>
                        <wps:spPr>
                          <a:xfrm>
                            <a:off x="173228" y="0"/>
                            <a:ext cx="3175001" cy="770057"/>
                          </a:xfrm>
                          <a:prstGeom prst="rect">
                            <a:avLst/>
                          </a:prstGeom>
                          <a:noFill/>
                          <a:ln w="12700" cap="flat">
                            <a:noFill/>
                            <a:miter lim="400000"/>
                          </a:ln>
                          <a:effectLst/>
                        </wps:spPr>
                        <wps:txbx>
                          <w:txbxContent>
                            <w:p>
                              <w:pPr>
                                <w:pStyle w:val="Body"/>
                              </w:pPr>
                              <w:r>
                                <w:rPr>
                                  <w:i w:val="1"/>
                                  <w:iCs w:val="1"/>
                                  <w:rtl w:val="0"/>
                                  <w:lang w:val="en-US"/>
                                </w:rPr>
                                <w:t xml:space="preserve">Fig.3. Chart showing the level of training received by respondents (15) </w:t>
                              </w:r>
                            </w:p>
                          </w:txbxContent>
                        </wps:txbx>
                        <wps:bodyPr wrap="square" lIns="50800" tIns="50800" rIns="50800" bIns="50800" numCol="1" anchor="t">
                          <a:noAutofit/>
                        </wps:bodyPr>
                      </wps:wsp>
                    </wpg:wgp>
                  </a:graphicData>
                </a:graphic>
              </wp:anchor>
            </w:drawing>
          </mc:Choice>
          <mc:Fallback>
            <w:pict>
              <v:group id="_x0000_s1033" style="visibility:visible;position:absolute;margin-left:-16.0pt;margin-top:12.9pt;width:481.9pt;height:233.6pt;z-index:251661312;mso-position-horizontal:absolute;mso-position-horizontal-relative:margin;mso-position-vertical:absolute;mso-position-vertical-relative:line;mso-wrap-distance-left:12.0pt;mso-wrap-distance-top:12.0pt;mso-wrap-distance-right:12.0pt;mso-wrap-distance-bottom:12.0pt;" coordorigin="0,0" coordsize="6120056,2966720">
                <w10:wrap type="none" side="bothSides" anchorx="margin"/>
                <v:shape id="_x0000_s1034" type="#_x0000_t75" style="position:absolute;left:0;top:189248;width:6120056;height:2777472;">
                  <v:imagedata r:id="rId7" o:title="Screenshot 2019-04-29 at 11.51.56.png"/>
                </v:shape>
                <v:shape id="_x0000_s1035" type="#_x0000_t202" style="position:absolute;left:173228;top:0;width:3175000;height:770057;">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i w:val="1"/>
                            <w:iCs w:val="1"/>
                            <w:rtl w:val="0"/>
                            <w:lang w:val="en-US"/>
                          </w:rPr>
                          <w:t xml:space="preserve">Fig.3. Chart showing the level of training received by respondents (15) </w:t>
                        </w:r>
                      </w:p>
                    </w:txbxContent>
                  </v:textbox>
                </v:shape>
              </v:group>
            </w:pict>
          </mc:Fallback>
        </mc:AlternateContent>
      </w: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u w:color="000000"/>
          <w:rtl w:val="0"/>
        </w:rPr>
      </w:pPr>
      <w:r>
        <w:rPr>
          <w:rFonts w:ascii="Arial" w:hAnsi="Arial"/>
          <w:u w:color="000000"/>
          <w:rtl w:val="0"/>
          <w:lang w:val="en-US"/>
        </w:rPr>
        <w:t xml:space="preserve">Personal interest pushed the reasons behind this aspect of research. The writer wished to investigate the supportive techniques used by practitioners on pupils with dyslexia and whether these techniques are used with the whole class or with individuals only. </w:t>
      </w:r>
    </w:p>
    <w:p>
      <w:pPr>
        <w:pStyle w:val="Body"/>
        <w:bidi w:val="0"/>
        <w:spacing w:line="480" w:lineRule="auto"/>
        <w:ind w:left="0" w:right="0" w:firstLine="0"/>
        <w:jc w:val="left"/>
        <w:rPr>
          <w:rFonts w:ascii="Arial" w:cs="Arial" w:hAnsi="Arial" w:eastAsia="Arial"/>
          <w:u w:color="000000"/>
          <w:rtl w:val="0"/>
        </w:rPr>
      </w:pPr>
      <w:r>
        <w:rPr>
          <w:rFonts w:ascii="Arial" w:hAnsi="Arial"/>
          <w:u w:color="000000"/>
          <w:rtl w:val="0"/>
          <w:lang w:val="en-US"/>
        </w:rPr>
        <w:t>It has been reported that there are</w:t>
      </w:r>
      <w:r>
        <w:rPr>
          <w:rFonts w:ascii="Arial" w:hAnsi="Arial"/>
          <w:u w:color="000000"/>
          <w:rtl w:val="0"/>
          <w:lang w:val="en-US"/>
        </w:rPr>
        <w:t xml:space="preserve"> issues with in class provisions, some schools will have greater funding available to use towards Specific Learning Difficulties. This variability in provision creates a lottery where some pupils will receive far greater support based solely on their locati</w:t>
      </w:r>
      <w:r>
        <w:rPr>
          <w:rFonts w:ascii="Arial" w:hAnsi="Arial"/>
          <w:u w:color="000000"/>
          <w:rtl w:val="0"/>
          <w:lang w:val="en-US"/>
        </w:rPr>
        <w:t>on (Rose Report, 2009). There is call for school leaders to provide far more in-class provisions towards Specific Learning Difficulties if schools and local authorities cannot ensure SpLD specialists in all schools then physical provisions must be provided for practitioners to use as in-class interventions reducing the need for  trained intervention specialists (Driver Youth Trust, 2019). Our results (Fig.4.) do show that education specialists use a varied arrangement of physical resources and provisions for SpLD learners but it also shows that these are mostly used on an individual only basis. These techniques align with those suggested in the Department for Education (2017) SEN Support research document. This document also suggests using techniques across the whole class where appropriate to aid inclusivity and offers some suggestions. Dyslexic friendly reading materials and fonts, varying colours for titles and dates are a sample of the techniques and provisions that can be used with the whole class. They note the minimal disturbance to normal teaching but a large benefit to those in need. This is mirrored by our results (fig.5.) where over 90% of the respondents reported that these techniques had a positive impact on the class as a whole, the other 10% noted no effect on the class. One respondent also elaborated that t</w:t>
      </w:r>
      <w:r>
        <w:rPr>
          <w:rFonts w:ascii="Arial" w:hAnsi="Arial"/>
          <w:u w:color="000000"/>
          <w:rtl w:val="0"/>
          <w:lang w:val="en-US"/>
        </w:rPr>
        <w:t>he SpLD techniques used also benefitted non-SpLD pupils. Interestingl</w:t>
      </w:r>
      <w:r>
        <w:rPr>
          <w:rFonts w:ascii="Arial" w:hAnsi="Arial"/>
          <w:u w:color="000000"/>
          <w:rtl w:val="0"/>
          <w:lang w:val="en-US"/>
        </w:rPr>
        <w:t>y there is some opposing research on the benefits of coloured overlays to learners with dyslexia (</w:t>
      </w:r>
      <w:r>
        <w:rPr>
          <w:rFonts w:ascii="Arial" w:hAnsi="Arial"/>
          <w:u w:color="000000"/>
          <w:rtl w:val="0"/>
          <w:lang w:val="en-US"/>
        </w:rPr>
        <w:t>Henderson, Taylor, Barrett and</w:t>
      </w:r>
      <w:r>
        <w:rPr>
          <w:rFonts w:ascii="Arial" w:cs="Arial" w:hAnsi="Arial" w:eastAsia="Arial"/>
          <w:u w:color="000000"/>
          <w:rtl w:val="0"/>
        </w:rPr>
        <mc:AlternateContent>
          <mc:Choice Requires="wpg">
            <w:drawing>
              <wp:anchor distT="152400" distB="152400" distL="152400" distR="152400" simplePos="0" relativeHeight="251662336" behindDoc="0" locked="0" layoutInCell="1" allowOverlap="1">
                <wp:simplePos x="0" y="0"/>
                <wp:positionH relativeFrom="margin">
                  <wp:posOffset>-172109</wp:posOffset>
                </wp:positionH>
                <wp:positionV relativeFrom="line">
                  <wp:posOffset>439078</wp:posOffset>
                </wp:positionV>
                <wp:extent cx="5890543" cy="2629185"/>
                <wp:effectExtent l="0" t="0" r="0" b="0"/>
                <wp:wrapNone/>
                <wp:docPr id="1073741840" name="officeArt object"/>
                <wp:cNvGraphicFramePr/>
                <a:graphic xmlns:a="http://schemas.openxmlformats.org/drawingml/2006/main">
                  <a:graphicData uri="http://schemas.microsoft.com/office/word/2010/wordprocessingGroup">
                    <wpg:wgp>
                      <wpg:cNvGrpSpPr/>
                      <wpg:grpSpPr>
                        <a:xfrm>
                          <a:off x="0" y="0"/>
                          <a:ext cx="5890543" cy="2629185"/>
                          <a:chOff x="0" y="0"/>
                          <a:chExt cx="5890542" cy="2629184"/>
                        </a:xfrm>
                      </wpg:grpSpPr>
                      <pic:pic xmlns:pic="http://schemas.openxmlformats.org/drawingml/2006/picture">
                        <pic:nvPicPr>
                          <pic:cNvPr id="1073741836" name="Screenshot 2019-04-29 at 11.53.01.png"/>
                          <pic:cNvPicPr>
                            <a:picLocks noChangeAspect="1"/>
                          </pic:cNvPicPr>
                        </pic:nvPicPr>
                        <pic:blipFill>
                          <a:blip r:embed="rId8">
                            <a:extLst/>
                          </a:blip>
                          <a:stretch>
                            <a:fillRect/>
                          </a:stretch>
                        </pic:blipFill>
                        <pic:spPr>
                          <a:xfrm>
                            <a:off x="0" y="333847"/>
                            <a:ext cx="5890543" cy="2295338"/>
                          </a:xfrm>
                          <a:prstGeom prst="rect">
                            <a:avLst/>
                          </a:prstGeom>
                          <a:ln w="12700" cap="flat">
                            <a:noFill/>
                            <a:miter lim="400000"/>
                          </a:ln>
                          <a:effectLst/>
                        </pic:spPr>
                      </pic:pic>
                      <wps:wsp>
                        <wps:cNvPr id="1073741837" name="Shape 1073741837"/>
                        <wps:cNvSpPr txBox="1"/>
                        <wps:spPr>
                          <a:xfrm>
                            <a:off x="1095088" y="0"/>
                            <a:ext cx="3055932" cy="461484"/>
                          </a:xfrm>
                          <a:prstGeom prst="rect">
                            <a:avLst/>
                          </a:prstGeom>
                          <a:noFill/>
                          <a:ln w="12700" cap="flat">
                            <a:noFill/>
                            <a:miter lim="400000"/>
                          </a:ln>
                          <a:effectLst/>
                        </wps:spPr>
                        <wps:txbx>
                          <w:txbxContent>
                            <w:p>
                              <w:pPr>
                                <w:pStyle w:val="Body"/>
                              </w:pPr>
                              <w:r>
                                <w:rPr>
                                  <w:i w:val="1"/>
                                  <w:iCs w:val="1"/>
                                  <w:rtl w:val="0"/>
                                  <w:lang w:val="en-US"/>
                                </w:rPr>
                                <w:t>Fig.4. Chart showing the range of provisions used and how they are used.</w:t>
                              </w:r>
                            </w:p>
                          </w:txbxContent>
                        </wps:txbx>
                        <wps:bodyPr wrap="square" lIns="50800" tIns="50800" rIns="50800" bIns="50800" numCol="1" anchor="t">
                          <a:noAutofit/>
                        </wps:bodyPr>
                      </wps:wsp>
                      <wps:wsp>
                        <wps:cNvPr id="1073741838" name="Shape 1073741838"/>
                        <wps:cNvSpPr txBox="1"/>
                        <wps:spPr>
                          <a:xfrm rot="16200000">
                            <a:off x="-688293" y="1169064"/>
                            <a:ext cx="1701164" cy="324580"/>
                          </a:xfrm>
                          <a:prstGeom prst="rect">
                            <a:avLst/>
                          </a:prstGeom>
                          <a:noFill/>
                          <a:ln w="12700" cap="flat">
                            <a:noFill/>
                            <a:miter lim="400000"/>
                          </a:ln>
                          <a:effectLst/>
                        </wps:spPr>
                        <wps:txbx>
                          <w:txbxContent>
                            <w:p>
                              <w:pPr>
                                <w:pStyle w:val="Body"/>
                                <w:bidi w:val="0"/>
                              </w:pPr>
                              <w:r>
                                <w:rPr>
                                  <w:rFonts w:cs="Arial Unicode MS" w:eastAsia="Arial Unicode MS"/>
                                  <w:rtl w:val="0"/>
                                  <w:lang w:val="en-US"/>
                                </w:rPr>
                                <w:t>Number of responses</w:t>
                              </w:r>
                            </w:p>
                          </w:txbxContent>
                        </wps:txbx>
                        <wps:bodyPr wrap="square" lIns="50800" tIns="50800" rIns="50800" bIns="50800" numCol="1" anchor="t">
                          <a:noAutofit/>
                        </wps:bodyPr>
                      </wps:wsp>
                      <wps:wsp>
                        <wps:cNvPr id="1073741839" name="Shape 1073741839"/>
                        <wps:cNvSpPr txBox="1"/>
                        <wps:spPr>
                          <a:xfrm>
                            <a:off x="1584037" y="2372523"/>
                            <a:ext cx="3055932" cy="256661"/>
                          </a:xfrm>
                          <a:prstGeom prst="rect">
                            <a:avLst/>
                          </a:prstGeom>
                          <a:noFill/>
                          <a:ln w="12700" cap="flat">
                            <a:noFill/>
                            <a:miter lim="400000"/>
                          </a:ln>
                          <a:effectLst/>
                        </wps:spPr>
                        <wps:txbx>
                          <w:txbxContent>
                            <w:p>
                              <w:pPr>
                                <w:pStyle w:val="Body"/>
                                <w:bidi w:val="0"/>
                              </w:pPr>
                              <w:r>
                                <w:rPr>
                                  <w:rFonts w:cs="Arial Unicode MS" w:eastAsia="Arial Unicode MS"/>
                                  <w:rtl w:val="0"/>
                                  <w:lang w:val="en-US"/>
                                </w:rPr>
                                <w:t>Provision used and where</w:t>
                              </w:r>
                            </w:p>
                          </w:txbxContent>
                        </wps:txbx>
                        <wps:bodyPr wrap="square" lIns="50800" tIns="50800" rIns="50800" bIns="50800" numCol="1" anchor="t">
                          <a:noAutofit/>
                        </wps:bodyPr>
                      </wps:wsp>
                    </wpg:wgp>
                  </a:graphicData>
                </a:graphic>
              </wp:anchor>
            </w:drawing>
          </mc:Choice>
          <mc:Fallback>
            <w:pict>
              <v:group id="_x0000_s1036" style="visibility:visible;position:absolute;margin-left:-13.6pt;margin-top:34.6pt;width:463.8pt;height:207.0pt;z-index:251662336;mso-position-horizontal:absolute;mso-position-horizontal-relative:margin;mso-position-vertical:absolute;mso-position-vertical-relative:line;mso-wrap-distance-left:12.0pt;mso-wrap-distance-top:12.0pt;mso-wrap-distance-right:12.0pt;mso-wrap-distance-bottom:12.0pt;" coordorigin="0,0" coordsize="5890543,2629184">
                <w10:wrap type="none" side="bothSides" anchorx="margin"/>
                <v:shape id="_x0000_s1037" type="#_x0000_t75" style="position:absolute;left:0;top:333847;width:5890543;height:2295337;">
                  <v:imagedata r:id="rId8" o:title="Screenshot 2019-04-29 at 11.53.01.png"/>
                </v:shape>
                <v:shape id="_x0000_s1038" type="#_x0000_t202" style="position:absolute;left:1095088;top:0;width:3055932;height:461484;">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i w:val="1"/>
                            <w:iCs w:val="1"/>
                            <w:rtl w:val="0"/>
                            <w:lang w:val="en-US"/>
                          </w:rPr>
                          <w:t>Fig.4. Chart showing the range of provisions used and how they are used.</w:t>
                        </w:r>
                      </w:p>
                    </w:txbxContent>
                  </v:textbox>
                </v:shape>
                <v:shape id="_x0000_s1039" type="#_x0000_t202" style="position:absolute;left:-688292;top:1169065;width:1701162;height:324578;rotation:17694720fd;">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Fonts w:cs="Arial Unicode MS" w:eastAsia="Arial Unicode MS"/>
                            <w:rtl w:val="0"/>
                            <w:lang w:val="en-US"/>
                          </w:rPr>
                          <w:t>Number of responses</w:t>
                        </w:r>
                      </w:p>
                    </w:txbxContent>
                  </v:textbox>
                </v:shape>
                <v:shape id="_x0000_s1040" type="#_x0000_t202" style="position:absolute;left:1584037;top:2372524;width:3055932;height:256660;">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Fonts w:cs="Arial Unicode MS" w:eastAsia="Arial Unicode MS"/>
                            <w:rtl w:val="0"/>
                            <w:lang w:val="en-US"/>
                          </w:rPr>
                          <w:t>Provision used and where</w:t>
                        </w:r>
                      </w:p>
                    </w:txbxContent>
                  </v:textbox>
                </v:shape>
              </v:group>
            </w:pict>
          </mc:Fallback>
        </mc:AlternateContent>
      </w:r>
      <w:r>
        <w:rPr>
          <w:rFonts w:ascii="Arial" w:hAnsi="Arial"/>
          <w:u w:color="000000"/>
          <w:rtl w:val="0"/>
          <w:lang w:val="en-US"/>
        </w:rPr>
        <w:t xml:space="preserve"> Griffiths, 2014</w:t>
      </w:r>
      <w:r>
        <w:rPr>
          <w:rFonts w:ascii="Arial" w:hAnsi="Arial"/>
          <w:u w:color="000000"/>
          <w:rtl w:val="0"/>
          <w:lang w:val="en-US"/>
        </w:rPr>
        <w:t xml:space="preserve">) </w:t>
      </w: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r>
        <w:rPr>
          <w:rFonts w:ascii="Arial" w:cs="Arial" w:hAnsi="Arial" w:eastAsia="Arial"/>
          <w:u w:color="000000"/>
          <w:rtl w:val="0"/>
        </w:rPr>
        <mc:AlternateContent>
          <mc:Choice Requires="wpg">
            <w:drawing>
              <wp:anchor distT="152400" distB="152400" distL="152400" distR="152400" simplePos="0" relativeHeight="251663360" behindDoc="0" locked="0" layoutInCell="1" allowOverlap="1">
                <wp:simplePos x="0" y="0"/>
                <wp:positionH relativeFrom="margin">
                  <wp:posOffset>-91217</wp:posOffset>
                </wp:positionH>
                <wp:positionV relativeFrom="line">
                  <wp:posOffset>152771</wp:posOffset>
                </wp:positionV>
                <wp:extent cx="5919150" cy="3357276"/>
                <wp:effectExtent l="0" t="0" r="0" b="0"/>
                <wp:wrapNone/>
                <wp:docPr id="1073741843" name="officeArt object"/>
                <wp:cNvGraphicFramePr/>
                <a:graphic xmlns:a="http://schemas.openxmlformats.org/drawingml/2006/main">
                  <a:graphicData uri="http://schemas.microsoft.com/office/word/2010/wordprocessingGroup">
                    <wpg:wgp>
                      <wpg:cNvGrpSpPr/>
                      <wpg:grpSpPr>
                        <a:xfrm>
                          <a:off x="0" y="0"/>
                          <a:ext cx="5919150" cy="3357276"/>
                          <a:chOff x="0" y="0"/>
                          <a:chExt cx="5919149" cy="3357275"/>
                        </a:xfrm>
                      </wpg:grpSpPr>
                      <pic:pic xmlns:pic="http://schemas.openxmlformats.org/drawingml/2006/picture">
                        <pic:nvPicPr>
                          <pic:cNvPr id="1073741841" name="Screenshot 2019-04-29 at 11.53.38.png"/>
                          <pic:cNvPicPr>
                            <a:picLocks noChangeAspect="1"/>
                          </pic:cNvPicPr>
                        </pic:nvPicPr>
                        <pic:blipFill>
                          <a:blip r:embed="rId9">
                            <a:extLst/>
                          </a:blip>
                          <a:srcRect l="0" t="0" r="0" b="0"/>
                          <a:stretch>
                            <a:fillRect/>
                          </a:stretch>
                        </pic:blipFill>
                        <pic:spPr>
                          <a:xfrm>
                            <a:off x="0" y="173765"/>
                            <a:ext cx="5919150" cy="3183511"/>
                          </a:xfrm>
                          <a:prstGeom prst="rect">
                            <a:avLst/>
                          </a:prstGeom>
                          <a:ln w="12700" cap="flat">
                            <a:noFill/>
                            <a:miter lim="400000"/>
                          </a:ln>
                          <a:effectLst/>
                        </pic:spPr>
                      </pic:pic>
                      <wps:wsp>
                        <wps:cNvPr id="1073741842" name="Shape 1073741842"/>
                        <wps:cNvSpPr txBox="1"/>
                        <wps:spPr>
                          <a:xfrm>
                            <a:off x="334591" y="0"/>
                            <a:ext cx="3070774" cy="1572236"/>
                          </a:xfrm>
                          <a:prstGeom prst="rect">
                            <a:avLst/>
                          </a:prstGeom>
                          <a:noFill/>
                          <a:ln w="12700" cap="flat">
                            <a:noFill/>
                            <a:miter lim="400000"/>
                          </a:ln>
                          <a:effectLst/>
                        </wps:spPr>
                        <wps:txbx>
                          <w:txbxContent>
                            <w:p>
                              <w:pPr>
                                <w:pStyle w:val="Body"/>
                              </w:pPr>
                              <w:r>
                                <w:rPr>
                                  <w:i w:val="1"/>
                                  <w:iCs w:val="1"/>
                                  <w:rtl w:val="0"/>
                                  <w:lang w:val="en-US"/>
                                </w:rPr>
                                <w:t>Fig.5. Chart showing the responses to the question on whether these provisions impacted the whole class (15 responses)</w:t>
                              </w:r>
                            </w:p>
                          </w:txbxContent>
                        </wps:txbx>
                        <wps:bodyPr wrap="square" lIns="50800" tIns="50800" rIns="50800" bIns="50800" numCol="1" anchor="t">
                          <a:noAutofit/>
                        </wps:bodyPr>
                      </wps:wsp>
                    </wpg:wgp>
                  </a:graphicData>
                </a:graphic>
              </wp:anchor>
            </w:drawing>
          </mc:Choice>
          <mc:Fallback>
            <w:pict>
              <v:group id="_x0000_s1041" style="visibility:visible;position:absolute;margin-left:-7.2pt;margin-top:12.0pt;width:466.1pt;height:264.4pt;z-index:251663360;mso-position-horizontal:absolute;mso-position-horizontal-relative:margin;mso-position-vertical:absolute;mso-position-vertical-relative:line;mso-wrap-distance-left:12.0pt;mso-wrap-distance-top:12.0pt;mso-wrap-distance-right:12.0pt;mso-wrap-distance-bottom:12.0pt;" coordorigin="0,0" coordsize="5919150,3357276">
                <w10:wrap type="none" side="bothSides" anchorx="margin"/>
                <v:shape id="_x0000_s1042" type="#_x0000_t75" style="position:absolute;left:0;top:173766;width:5919150;height:3183510;">
                  <v:imagedata r:id="rId9" o:title="Screenshot 2019-04-29 at 11.53.38.png" cropright="0.0%" cropbottom="0.0%"/>
                </v:shape>
                <v:shape id="_x0000_s1043" type="#_x0000_t202" style="position:absolute;left:334592;top:0;width:3070773;height:1572236;">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i w:val="1"/>
                            <w:iCs w:val="1"/>
                            <w:rtl w:val="0"/>
                            <w:lang w:val="en-US"/>
                          </w:rPr>
                          <w:t>Fig.5. Chart showing the responses to the question on whether these provisions impacted the whole class (15 responses)</w:t>
                        </w:r>
                      </w:p>
                    </w:txbxContent>
                  </v:textbox>
                </v:shape>
              </v:group>
            </w:pict>
          </mc:Fallback>
        </mc:AlternateContent>
      </w: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i w:val="0"/>
          <w:iCs w:val="0"/>
          <w:u w:color="000000"/>
          <w:rtl w:val="0"/>
        </w:rPr>
      </w:pPr>
    </w:p>
    <w:p>
      <w:pPr>
        <w:pStyle w:val="Body"/>
        <w:bidi w:val="0"/>
        <w:spacing w:line="480" w:lineRule="auto"/>
        <w:ind w:left="0" w:right="0" w:firstLine="0"/>
        <w:jc w:val="left"/>
        <w:rPr>
          <w:rFonts w:ascii="Arial" w:cs="Arial" w:hAnsi="Arial" w:eastAsia="Arial"/>
          <w:i w:val="0"/>
          <w:iCs w:val="0"/>
          <w:u w:color="000000"/>
          <w:rtl w:val="0"/>
        </w:rPr>
      </w:pPr>
    </w:p>
    <w:p>
      <w:pPr>
        <w:pStyle w:val="Body"/>
        <w:bidi w:val="0"/>
        <w:spacing w:line="480" w:lineRule="auto"/>
        <w:ind w:left="0" w:right="0" w:firstLine="0"/>
        <w:jc w:val="left"/>
        <w:rPr>
          <w:rFonts w:ascii="Arial" w:cs="Arial" w:hAnsi="Arial" w:eastAsia="Arial"/>
          <w:i w:val="0"/>
          <w:iCs w:val="0"/>
          <w:u w:color="000000"/>
          <w:rtl w:val="0"/>
        </w:rPr>
      </w:pPr>
    </w:p>
    <w:p>
      <w:pPr>
        <w:pStyle w:val="Body"/>
        <w:bidi w:val="0"/>
        <w:spacing w:line="480" w:lineRule="auto"/>
        <w:ind w:left="0" w:right="0" w:firstLine="0"/>
        <w:jc w:val="left"/>
        <w:rPr>
          <w:rFonts w:ascii="Arial" w:cs="Arial" w:hAnsi="Arial" w:eastAsia="Arial"/>
          <w:i w:val="0"/>
          <w:iCs w:val="0"/>
          <w:u w:color="000000"/>
          <w:rtl w:val="0"/>
        </w:rPr>
      </w:pPr>
      <w:r>
        <w:rPr>
          <w:rFonts w:ascii="Arial" w:hAnsi="Arial"/>
          <w:i w:val="0"/>
          <w:iCs w:val="0"/>
          <w:u w:color="000000"/>
          <w:rtl w:val="0"/>
          <w:lang w:val="en-US"/>
        </w:rPr>
        <w:t>There was noticeably a few missing techniques and provisions this may be due to our small sample size or it may be an indication of services and provisions given by the local authorities. No respondents reported the use of visual supports that accompany verbal instructions within the classroom. The visual supports will ease the difficulty and anxiety that comes from following verbal instructions (</w:t>
      </w:r>
      <w:r>
        <w:rPr>
          <w:rFonts w:ascii="Arial" w:hAnsi="Arial"/>
          <w:i w:val="0"/>
          <w:iCs w:val="0"/>
          <w:u w:color="000000"/>
          <w:rtl w:val="0"/>
          <w:lang w:val="en-US"/>
        </w:rPr>
        <w:t>Foster-Cohen, S. and Mirfin-Veitch, B.</w:t>
      </w:r>
      <w:r>
        <w:rPr>
          <w:rFonts w:ascii="Arial" w:hAnsi="Arial"/>
          <w:i w:val="0"/>
          <w:iCs w:val="0"/>
          <w:u w:color="000000"/>
          <w:rtl w:val="0"/>
          <w:lang w:val="en-US"/>
        </w:rPr>
        <w:t xml:space="preserve">, </w:t>
      </w:r>
      <w:r>
        <w:rPr>
          <w:rFonts w:ascii="Arial" w:hAnsi="Arial"/>
          <w:i w:val="0"/>
          <w:iCs w:val="0"/>
          <w:u w:color="000000"/>
          <w:rtl w:val="0"/>
        </w:rPr>
        <w:t>2017)</w:t>
      </w:r>
      <w:r>
        <w:rPr>
          <w:rFonts w:ascii="Arial" w:hAnsi="Arial"/>
          <w:i w:val="0"/>
          <w:iCs w:val="0"/>
          <w:u w:color="000000"/>
          <w:rtl w:val="0"/>
          <w:lang w:val="en-US"/>
        </w:rPr>
        <w:t xml:space="preserve">. Our results oppose those conducted by Coffield et al (2008) where they found, from research conducted in schools around the Swansea area, that the most common ways that teachers supported dyslexic learners were by explaining tasks clearly, with repetitions if necessary and clearly formatted support sheets. These  auditory and visual techniques supported the learner in understanding but still left them unsupported with writing. The combination of these results implies that there is often areas where practitioners will focus their support of dyslexic pupils. Given that dyslexia exists on a spectrum and that each learner will have different needs this may be a non-issue as the practitioners may simply be addressing the needs of individuals. </w:t>
      </w:r>
    </w:p>
    <w:p>
      <w:pPr>
        <w:pStyle w:val="Body"/>
        <w:bidi w:val="0"/>
        <w:spacing w:line="480" w:lineRule="auto"/>
        <w:ind w:left="0" w:right="0" w:firstLine="0"/>
        <w:jc w:val="left"/>
        <w:rPr>
          <w:rFonts w:ascii="Arial" w:cs="Arial" w:hAnsi="Arial" w:eastAsia="Arial"/>
          <w:i w:val="0"/>
          <w:iCs w:val="0"/>
          <w:u w:color="000000"/>
          <w:rtl w:val="0"/>
        </w:rPr>
      </w:pPr>
      <w:r>
        <w:rPr>
          <w:rFonts w:ascii="Arial" w:hAnsi="Arial"/>
          <w:i w:val="0"/>
          <w:iCs w:val="0"/>
          <w:u w:color="000000"/>
          <w:rtl w:val="0"/>
          <w:lang w:val="en-US"/>
        </w:rPr>
        <w:t xml:space="preserve">An additional support system that was not reported was </w:t>
      </w:r>
      <w:r>
        <w:rPr>
          <w:rFonts w:ascii="Arial" w:hAnsi="Arial" w:hint="default"/>
          <w:i w:val="0"/>
          <w:iCs w:val="0"/>
          <w:u w:color="000000"/>
          <w:rtl w:val="0"/>
          <w:lang w:val="en-US"/>
        </w:rPr>
        <w:t>‘</w:t>
      </w:r>
      <w:r>
        <w:rPr>
          <w:rFonts w:ascii="Arial" w:hAnsi="Arial"/>
          <w:i w:val="0"/>
          <w:iCs w:val="0"/>
          <w:u w:color="000000"/>
          <w:rtl w:val="0"/>
          <w:lang w:val="en-US"/>
        </w:rPr>
        <w:t>KWL</w:t>
      </w:r>
      <w:r>
        <w:rPr>
          <w:rFonts w:ascii="Arial" w:hAnsi="Arial" w:hint="default"/>
          <w:i w:val="0"/>
          <w:iCs w:val="0"/>
          <w:u w:color="000000"/>
          <w:rtl w:val="0"/>
          <w:lang w:val="en-US"/>
        </w:rPr>
        <w:t xml:space="preserve">’ </w:t>
      </w:r>
      <w:r>
        <w:rPr>
          <w:rFonts w:ascii="Arial" w:hAnsi="Arial"/>
          <w:i w:val="0"/>
          <w:iCs w:val="0"/>
          <w:u w:color="000000"/>
          <w:rtl w:val="0"/>
          <w:lang w:val="en-US"/>
        </w:rPr>
        <w:t xml:space="preserve">grids these grids break down what a pupil </w:t>
      </w:r>
      <w:r>
        <w:rPr>
          <w:rFonts w:ascii="Arial" w:hAnsi="Arial" w:hint="default"/>
          <w:i w:val="0"/>
          <w:iCs w:val="0"/>
          <w:u w:color="000000"/>
          <w:rtl w:val="0"/>
          <w:lang w:val="en-US"/>
        </w:rPr>
        <w:t>‘</w:t>
      </w:r>
      <w:r>
        <w:rPr>
          <w:rFonts w:ascii="Arial" w:hAnsi="Arial"/>
          <w:i w:val="0"/>
          <w:iCs w:val="0"/>
          <w:u w:color="000000"/>
          <w:rtl w:val="0"/>
          <w:lang w:val="en-US"/>
        </w:rPr>
        <w:t>Knows, Wants to know, and Learned</w:t>
      </w:r>
      <w:r>
        <w:rPr>
          <w:rFonts w:ascii="Arial" w:hAnsi="Arial" w:hint="default"/>
          <w:i w:val="0"/>
          <w:iCs w:val="0"/>
          <w:u w:color="000000"/>
          <w:rtl w:val="0"/>
          <w:lang w:val="en-US"/>
        </w:rPr>
        <w:t>’</w:t>
      </w:r>
      <w:r>
        <w:rPr>
          <w:rFonts w:ascii="Arial" w:hAnsi="Arial"/>
          <w:i w:val="0"/>
          <w:iCs w:val="0"/>
          <w:u w:color="000000"/>
          <w:rtl w:val="0"/>
          <w:lang w:val="en-US"/>
        </w:rPr>
        <w:t xml:space="preserve">. The grids are a form of note talking support that aids in deeper thinking and processing as well as aiding in pupils recollection by giving them notes to rely on (Carr &amp; Ogle,1987). KWL grids are suggested as a tool to promote thinking and assessment for learning by the Welsh Assembly (2010) and also as a tool to aid learners with dyslexia by the Rose report (2009). Our results (Fig.6.)would suggest that this technique is not used at all, but from personal experience of various schools this technique is common across many schools. This may be due the practitioners being unaware that KWL grids are a supportive technique for learners with dyslexia and as such did not report it as one. KWL grids could be thought of as highly inclusive as it is a support system that can be carried out with the whole class that will benefit all including the learners with dyslexia. </w:t>
      </w:r>
    </w:p>
    <w:p>
      <w:pPr>
        <w:pStyle w:val="Body"/>
        <w:bidi w:val="0"/>
        <w:spacing w:line="480" w:lineRule="auto"/>
        <w:ind w:left="0" w:right="0" w:firstLine="0"/>
        <w:jc w:val="left"/>
        <w:rPr>
          <w:rFonts w:ascii="Arial" w:cs="Arial" w:hAnsi="Arial" w:eastAsia="Arial"/>
          <w:i w:val="0"/>
          <w:iCs w:val="0"/>
          <w:u w:color="000000"/>
          <w:rtl w:val="0"/>
        </w:rPr>
      </w:pPr>
      <w:r>
        <w:rPr>
          <w:rFonts w:ascii="Arial" w:hAnsi="Arial"/>
          <w:i w:val="0"/>
          <w:iCs w:val="0"/>
          <w:u w:color="000000"/>
          <w:rtl w:val="0"/>
          <w:lang w:val="en-US"/>
        </w:rPr>
        <w:t>This research would suggest that practitioners use a large and varied array of techniques and provisions to support pupils with dyslexia but this support is mostly on an individual only basis and not as a whole class practice. It would be interesting to investigate further the benefits of the  wider inclusion of techniques such as KWL grids that are supportive to pupils with and without dyslexia but have larger benefits to those with dyslexia. These techniques and systems may reduce the feeling of isolation by being given additional support separate to their peers. Using some dyslexia support in general teaching practice may support learners with the characteristics of dyslexia but</w:t>
      </w:r>
      <w:r>
        <w:rPr>
          <w:rFonts w:ascii="Arial" w:cs="Arial" w:hAnsi="Arial" w:eastAsia="Arial"/>
          <w:i w:val="0"/>
          <w:iCs w:val="0"/>
          <w:u w:color="000000"/>
          <w:rtl w:val="0"/>
        </w:rPr>
        <mc:AlternateContent>
          <mc:Choice Requires="wpg">
            <w:drawing>
              <wp:anchor distT="152400" distB="152400" distL="152400" distR="152400" simplePos="0" relativeHeight="251664384" behindDoc="0" locked="0" layoutInCell="1" allowOverlap="1">
                <wp:simplePos x="0" y="0"/>
                <wp:positionH relativeFrom="margin">
                  <wp:posOffset>-177077</wp:posOffset>
                </wp:positionH>
                <wp:positionV relativeFrom="line">
                  <wp:posOffset>392258</wp:posOffset>
                </wp:positionV>
                <wp:extent cx="6120057" cy="2175066"/>
                <wp:effectExtent l="0" t="0" r="0" b="0"/>
                <wp:wrapNone/>
                <wp:docPr id="1073741846" name="officeArt object"/>
                <wp:cNvGraphicFramePr/>
                <a:graphic xmlns:a="http://schemas.openxmlformats.org/drawingml/2006/main">
                  <a:graphicData uri="http://schemas.microsoft.com/office/word/2010/wordprocessingGroup">
                    <wpg:wgp>
                      <wpg:cNvGrpSpPr/>
                      <wpg:grpSpPr>
                        <a:xfrm>
                          <a:off x="0" y="0"/>
                          <a:ext cx="6120057" cy="2175066"/>
                          <a:chOff x="0" y="0"/>
                          <a:chExt cx="6120056" cy="2175065"/>
                        </a:xfrm>
                      </wpg:grpSpPr>
                      <pic:pic xmlns:pic="http://schemas.openxmlformats.org/drawingml/2006/picture">
                        <pic:nvPicPr>
                          <pic:cNvPr id="1073741844" name="Screenshot 2019-04-29 at 16.04.34.png"/>
                          <pic:cNvPicPr>
                            <a:picLocks noChangeAspect="1"/>
                          </pic:cNvPicPr>
                        </pic:nvPicPr>
                        <pic:blipFill>
                          <a:blip r:embed="rId10">
                            <a:extLst/>
                          </a:blip>
                          <a:srcRect l="0" t="0" r="0" b="14159"/>
                          <a:stretch>
                            <a:fillRect/>
                          </a:stretch>
                        </pic:blipFill>
                        <pic:spPr>
                          <a:xfrm>
                            <a:off x="0" y="637103"/>
                            <a:ext cx="6120057" cy="1537963"/>
                          </a:xfrm>
                          <a:prstGeom prst="rect">
                            <a:avLst/>
                          </a:prstGeom>
                          <a:ln w="12700" cap="flat">
                            <a:noFill/>
                            <a:miter lim="400000"/>
                          </a:ln>
                          <a:effectLst/>
                        </pic:spPr>
                      </pic:pic>
                      <wps:wsp>
                        <wps:cNvPr id="1073741845" name="Shape 1073741845"/>
                        <wps:cNvSpPr txBox="1"/>
                        <wps:spPr>
                          <a:xfrm>
                            <a:off x="166917" y="0"/>
                            <a:ext cx="3175001" cy="637104"/>
                          </a:xfrm>
                          <a:prstGeom prst="rect">
                            <a:avLst/>
                          </a:prstGeom>
                          <a:noFill/>
                          <a:ln w="12700" cap="flat">
                            <a:noFill/>
                            <a:miter lim="400000"/>
                          </a:ln>
                          <a:effectLst/>
                        </wps:spPr>
                        <wps:txbx>
                          <w:txbxContent>
                            <w:p>
                              <w:pPr>
                                <w:pStyle w:val="Body"/>
                              </w:pPr>
                              <w:r>
                                <w:rPr>
                                  <w:i w:val="1"/>
                                  <w:iCs w:val="1"/>
                                  <w:rtl w:val="0"/>
                                  <w:lang w:val="en-US"/>
                                </w:rPr>
                                <w:t>Fig.6. Image of the additional answers received noting the provisions used that were not mentioned in the previous question.</w:t>
                              </w:r>
                            </w:p>
                          </w:txbxContent>
                        </wps:txbx>
                        <wps:bodyPr wrap="square" lIns="50800" tIns="50800" rIns="50800" bIns="50800" numCol="1" anchor="t">
                          <a:noAutofit/>
                        </wps:bodyPr>
                      </wps:wsp>
                    </wpg:wgp>
                  </a:graphicData>
                </a:graphic>
              </wp:anchor>
            </w:drawing>
          </mc:Choice>
          <mc:Fallback>
            <w:pict>
              <v:group id="_x0000_s1044" style="visibility:visible;position:absolute;margin-left:-13.9pt;margin-top:30.9pt;width:481.9pt;height:171.3pt;z-index:251664384;mso-position-horizontal:absolute;mso-position-horizontal-relative:margin;mso-position-vertical:absolute;mso-position-vertical-relative:line;mso-wrap-distance-left:12.0pt;mso-wrap-distance-top:12.0pt;mso-wrap-distance-right:12.0pt;mso-wrap-distance-bottom:12.0pt;" coordorigin="0,0" coordsize="6120056,2175065">
                <w10:wrap type="none" side="bothSides" anchorx="margin"/>
                <v:shape id="_x0000_s1045" type="#_x0000_t75" style="position:absolute;left:0;top:637103;width:6120056;height:1537962;">
                  <v:imagedata r:id="rId10" o:title="Screenshot 2019-04-29 at 16.04.34.png" croptop="0.0%" cropbottom="14.2%"/>
                </v:shape>
                <v:shape id="_x0000_s1046" type="#_x0000_t202" style="position:absolute;left:166918;top:0;width:3175000;height:637103;">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i w:val="1"/>
                            <w:iCs w:val="1"/>
                            <w:rtl w:val="0"/>
                            <w:lang w:val="en-US"/>
                          </w:rPr>
                          <w:t>Fig.6. Image of the additional answers received noting the provisions used that were not mentioned in the previous question.</w:t>
                        </w:r>
                      </w:p>
                    </w:txbxContent>
                  </v:textbox>
                </v:shape>
              </v:group>
            </w:pict>
          </mc:Fallback>
        </mc:AlternateContent>
      </w:r>
      <w:r>
        <w:rPr>
          <w:rFonts w:ascii="Arial" w:hAnsi="Arial"/>
          <w:i w:val="0"/>
          <w:iCs w:val="0"/>
          <w:u w:color="000000"/>
          <w:rtl w:val="0"/>
          <w:lang w:val="en-US"/>
        </w:rPr>
        <w:t xml:space="preserve"> struggle to gain a diagnosis due to the complex nature of dyslexia(Elliot &amp; Grigorenko, 2014)</w:t>
      </w: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i w:val="1"/>
          <w:iCs w:val="1"/>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color="000000"/>
          <w:rtl w:val="0"/>
        </w:rPr>
      </w:pPr>
      <w:r>
        <w:rPr>
          <w:rFonts w:ascii="Arial" w:hAnsi="Arial"/>
          <w:u w:color="000000"/>
          <w:rtl w:val="0"/>
          <w:lang w:val="en-US"/>
        </w:rPr>
        <w:t>Within the inclusive approach to teaching learners with dyslexia there was three areas the writer wished to investigate. These areas have shown themselves to be complex and varied, experts and researchers have struggled to agree on exact methods to aid and diagnose learners with dyslexia. However there appears to be some common best practices across many reports and writings (Henderson, Taylor, Barrett and Griffiths, 2014; Rose,2009; Elliot &amp; Grigorenko, 2014). Taking into consideration the social and psychological issues that can be caused from having dyslexia, it would seem to be of great benefit to promote the use of class wide supports that assist both learners with and without dyslexia.Current research explored above and the responses from the questionnaire show that inclusive approaches have an overall positive effect on a classroom as well as a benefit to the learners with dyslexia without alienating them with individual supportive provisions. This will allow the pupil to feel wholly part of the class, learning using support systems that others without dyslexia are also using to their benefit.</w:t>
      </w:r>
    </w:p>
    <w:p>
      <w:pPr>
        <w:pStyle w:val="Body"/>
        <w:bidi w:val="0"/>
        <w:spacing w:line="480" w:lineRule="auto"/>
        <w:ind w:left="0" w:right="0" w:firstLine="0"/>
        <w:jc w:val="left"/>
        <w:rPr>
          <w:rFonts w:ascii="Arial" w:cs="Arial" w:hAnsi="Arial" w:eastAsia="Arial"/>
          <w:u w:color="000000"/>
          <w:rtl w:val="0"/>
        </w:rPr>
      </w:pPr>
      <w:r>
        <w:rPr>
          <w:rFonts w:ascii="Arial" w:hAnsi="Arial"/>
          <w:u w:color="000000"/>
          <w:rtl w:val="0"/>
          <w:lang w:val="en-US"/>
        </w:rPr>
        <w:t xml:space="preserve">The controversial book by Elliot &amp; Grigorenko (2014) </w:t>
      </w:r>
      <w:r>
        <w:rPr>
          <w:rFonts w:ascii="Arial" w:hAnsi="Arial" w:hint="default"/>
          <w:u w:color="000000"/>
          <w:rtl w:val="0"/>
          <w:lang w:val="en-US"/>
        </w:rPr>
        <w:t>‘</w:t>
      </w:r>
      <w:r>
        <w:rPr>
          <w:rFonts w:ascii="Arial" w:hAnsi="Arial"/>
          <w:u w:color="000000"/>
          <w:rtl w:val="0"/>
          <w:lang w:val="en-US"/>
        </w:rPr>
        <w:t>The Dyslexia Debate</w:t>
      </w:r>
      <w:r>
        <w:rPr>
          <w:rFonts w:ascii="Arial" w:hAnsi="Arial" w:hint="default"/>
          <w:u w:color="000000"/>
          <w:rtl w:val="0"/>
          <w:lang w:val="en-US"/>
        </w:rPr>
        <w:t xml:space="preserve">’ </w:t>
      </w:r>
      <w:r>
        <w:rPr>
          <w:rFonts w:ascii="Arial" w:hAnsi="Arial"/>
          <w:u w:color="000000"/>
          <w:rtl w:val="0"/>
          <w:lang w:val="en-US"/>
        </w:rPr>
        <w:t xml:space="preserve">corroborates much of the research in this piece. Firstly they highlight the difficulty in gaining a dyslexia diagnosis due to large variations in severity and complications with the many signs of dyslexia.They debate the need for an umbrella term in dyslexia and whether there is greater need for a more precise diagnosis of the issues a child faces.They note evidence that shows the greater benefit of early interventions regardless of diagnosis that correct issues before they become greater, citing the need for more response to intervention practices that will focus on aiding and correcting individual issues. They state that the </w:t>
      </w:r>
      <w:r>
        <w:rPr>
          <w:rFonts w:ascii="Arial" w:hAnsi="Arial" w:hint="default"/>
          <w:u w:color="000000"/>
          <w:rtl w:val="0"/>
          <w:lang w:val="en-US"/>
        </w:rPr>
        <w:t>‘</w:t>
      </w:r>
      <w:r>
        <w:rPr>
          <w:rFonts w:ascii="Arial" w:hAnsi="Arial"/>
          <w:u w:color="000000"/>
          <w:rtl w:val="0"/>
          <w:lang w:val="en-US"/>
        </w:rPr>
        <w:t>myth</w:t>
      </w:r>
      <w:r>
        <w:rPr>
          <w:rFonts w:ascii="Arial" w:hAnsi="Arial" w:hint="default"/>
          <w:u w:color="000000"/>
          <w:rtl w:val="0"/>
          <w:lang w:val="en-US"/>
        </w:rPr>
        <w:t xml:space="preserve">’ </w:t>
      </w:r>
      <w:r>
        <w:rPr>
          <w:rFonts w:ascii="Arial" w:hAnsi="Arial"/>
          <w:u w:color="000000"/>
          <w:rtl w:val="0"/>
          <w:lang w:val="en-US"/>
        </w:rPr>
        <w:t xml:space="preserve">that treatments for a learner with dyslexia will all be the same is false and that the term dyslexic does nothing for supporting a learner or giving an indication of their needs. It is here where issues may arise in their eyes, if learners are failing to receive a diagnosis they then may fail to receive appropriate support, but then treating a learner as you would all of those with dyslexia may not produce positive results either. </w:t>
      </w:r>
    </w:p>
    <w:p>
      <w:pPr>
        <w:pStyle w:val="Body"/>
        <w:bidi w:val="0"/>
        <w:spacing w:line="480" w:lineRule="auto"/>
        <w:ind w:left="0" w:right="0" w:firstLine="0"/>
        <w:jc w:val="left"/>
        <w:rPr>
          <w:rFonts w:ascii="Arial" w:cs="Arial" w:hAnsi="Arial" w:eastAsia="Arial"/>
          <w:u w:color="000000"/>
          <w:rtl w:val="0"/>
        </w:rPr>
      </w:pPr>
      <w:r>
        <w:rPr>
          <w:rFonts w:ascii="Arial" w:hAnsi="Arial"/>
          <w:u w:color="000000"/>
          <w:rtl w:val="0"/>
          <w:lang w:val="en-US"/>
        </w:rPr>
        <w:t>Rose</w:t>
      </w:r>
      <w:r>
        <w:rPr>
          <w:rFonts w:ascii="Arial" w:hAnsi="Arial" w:hint="default"/>
          <w:u w:color="000000"/>
          <w:rtl w:val="0"/>
          <w:lang w:val="en-US"/>
        </w:rPr>
        <w:t>’</w:t>
      </w:r>
      <w:r>
        <w:rPr>
          <w:rFonts w:ascii="Arial" w:hAnsi="Arial"/>
          <w:u w:color="000000"/>
          <w:rtl w:val="0"/>
          <w:lang w:val="en-US"/>
        </w:rPr>
        <w:t xml:space="preserve">s (2009) suggestions of greater teacher training standards will work alongside the suggestions of Elliot and Grigorenko where teachers will be sufficiently trained to aid and support learners in intervention practices within the classroom without the need for outside or specialist support, save for extreme cases (Rose,2009; Elliot &amp; Grigorenko,2014). The class practitioners will then be in a better position to address individual issues as they arise and support learners accordingly without the long gestation period of diagnosing dyslexia. This coupled with the inclusion of Supportive systems that will aid the most common signs of dyslexia across the whole class, may create an environment where pupils who show characteristics of dyslexia feel supported, included and less anxious. </w:t>
      </w:r>
    </w:p>
    <w:p>
      <w:pPr>
        <w:pStyle w:val="Body"/>
        <w:bidi w:val="0"/>
        <w:spacing w:line="480" w:lineRule="auto"/>
        <w:ind w:left="0" w:right="0" w:firstLine="0"/>
        <w:jc w:val="left"/>
        <w:rPr>
          <w:rFonts w:ascii="Arial" w:cs="Arial" w:hAnsi="Arial" w:eastAsia="Arial"/>
          <w:u w:color="000000"/>
          <w:rtl w:val="0"/>
        </w:rPr>
      </w:pPr>
    </w:p>
    <w:p>
      <w:pPr>
        <w:pStyle w:val="Body"/>
        <w:bidi w:val="0"/>
        <w:spacing w:line="480" w:lineRule="auto"/>
        <w:ind w:left="0" w:right="0" w:firstLine="0"/>
        <w:jc w:val="left"/>
        <w:rPr>
          <w:rFonts w:ascii="Arial" w:cs="Arial" w:hAnsi="Arial" w:eastAsia="Arial"/>
          <w:u w:val="single" w:color="000000"/>
          <w:rtl w:val="0"/>
        </w:rPr>
      </w:pPr>
      <w:r>
        <w:rPr>
          <w:rFonts w:ascii="Arial" w:hAnsi="Arial"/>
          <w:u w:val="single" w:color="000000"/>
          <w:rtl w:val="0"/>
          <w:lang w:val="en-US"/>
        </w:rPr>
        <w:t>Word count- 3735.</w:t>
      </w:r>
    </w:p>
    <w:p>
      <w:pPr>
        <w:pStyle w:val="Body"/>
        <w:bidi w:val="0"/>
        <w:ind w:left="0" w:right="0" w:firstLine="0"/>
        <w:jc w:val="left"/>
        <w:rPr>
          <w:rFonts w:ascii="Arial" w:cs="Arial" w:hAnsi="Arial" w:eastAsia="Arial"/>
          <w:u w:val="single" w:color="000000"/>
          <w:rtl w:val="0"/>
        </w:rPr>
      </w:pPr>
    </w:p>
    <w:p>
      <w:pPr>
        <w:pStyle w:val="Body"/>
        <w:bidi w:val="0"/>
        <w:ind w:left="0" w:right="0" w:firstLine="0"/>
        <w:jc w:val="left"/>
        <w:rPr>
          <w:rFonts w:ascii="Arial" w:cs="Arial" w:hAnsi="Arial" w:eastAsia="Arial"/>
          <w:u w:val="single" w:color="000000"/>
          <w:rtl w:val="0"/>
        </w:rPr>
      </w:pPr>
    </w:p>
    <w:p>
      <w:pPr>
        <w:pStyle w:val="Body"/>
        <w:bidi w:val="0"/>
        <w:ind w:left="0" w:right="0" w:firstLine="0"/>
        <w:jc w:val="left"/>
        <w:rPr>
          <w:rFonts w:ascii="Arial" w:cs="Arial" w:hAnsi="Arial" w:eastAsia="Arial"/>
          <w:u w:val="single" w:color="000000"/>
          <w:rtl w:val="0"/>
        </w:rPr>
      </w:pPr>
    </w:p>
    <w:p>
      <w:pPr>
        <w:pStyle w:val="Body"/>
        <w:bidi w:val="0"/>
        <w:ind w:left="0" w:right="0" w:firstLine="0"/>
        <w:jc w:val="left"/>
        <w:rPr>
          <w:rFonts w:ascii="Arial" w:cs="Arial" w:hAnsi="Arial" w:eastAsia="Arial"/>
          <w:u w:val="single" w:color="000000"/>
          <w:rtl w:val="0"/>
        </w:rPr>
      </w:pPr>
    </w:p>
    <w:p>
      <w:pPr>
        <w:pStyle w:val="Body"/>
        <w:bidi w:val="0"/>
        <w:ind w:left="0" w:right="0" w:firstLine="0"/>
        <w:jc w:val="left"/>
        <w:rPr>
          <w:rFonts w:ascii="Arial" w:cs="Arial" w:hAnsi="Arial" w:eastAsia="Arial"/>
          <w:u w:val="single" w:color="000000"/>
          <w:rtl w:val="0"/>
        </w:rPr>
      </w:pPr>
    </w:p>
    <w:p>
      <w:pPr>
        <w:pStyle w:val="Body"/>
        <w:bidi w:val="0"/>
        <w:ind w:left="0" w:right="0" w:firstLine="0"/>
        <w:jc w:val="left"/>
        <w:rPr>
          <w:rFonts w:ascii="Arial" w:cs="Arial" w:hAnsi="Arial" w:eastAsia="Arial"/>
          <w:u w:val="single" w:color="000000"/>
          <w:rtl w:val="0"/>
        </w:rPr>
      </w:pPr>
    </w:p>
    <w:p>
      <w:pPr>
        <w:pStyle w:val="Body"/>
        <w:bidi w:val="0"/>
        <w:ind w:left="0" w:right="0" w:firstLine="0"/>
        <w:jc w:val="left"/>
        <w:rPr>
          <w:rFonts w:ascii="Arial" w:cs="Arial" w:hAnsi="Arial" w:eastAsia="Arial"/>
          <w:u w:val="single" w:color="000000"/>
          <w:rtl w:val="0"/>
        </w:rPr>
      </w:pPr>
    </w:p>
    <w:p>
      <w:pPr>
        <w:pStyle w:val="Body"/>
        <w:bidi w:val="0"/>
        <w:ind w:left="0" w:right="0" w:firstLine="0"/>
        <w:jc w:val="left"/>
        <w:rPr>
          <w:rFonts w:ascii="Arial" w:cs="Arial" w:hAnsi="Arial" w:eastAsia="Arial"/>
          <w:u w:val="single" w:color="000000"/>
          <w:rtl w:val="0"/>
        </w:rPr>
      </w:pPr>
    </w:p>
    <w:p>
      <w:pPr>
        <w:pStyle w:val="Body"/>
        <w:bidi w:val="0"/>
        <w:ind w:left="0" w:right="0" w:firstLine="0"/>
        <w:jc w:val="left"/>
        <w:rPr>
          <w:rFonts w:ascii="Arial" w:cs="Arial" w:hAnsi="Arial" w:eastAsia="Arial"/>
          <w:u w:val="single" w:color="000000"/>
          <w:rtl w:val="0"/>
        </w:rPr>
      </w:pPr>
      <w:r>
        <w:rPr>
          <w:rFonts w:ascii="Arial" w:hAnsi="Arial"/>
          <w:u w:val="single" w:color="000000"/>
          <w:rtl w:val="0"/>
          <w:lang w:val="en-US"/>
        </w:rPr>
        <w:t>References-</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it-IT"/>
        </w:rPr>
        <w:t>Aram, D. M., Morris, R., &amp; Hall, N. E. (1992).</w:t>
      </w:r>
    </w:p>
    <w:p>
      <w:pPr>
        <w:pStyle w:val="Body"/>
        <w:bidi w:val="0"/>
        <w:ind w:left="0" w:right="0" w:firstLine="0"/>
        <w:jc w:val="left"/>
        <w:rPr>
          <w:rFonts w:ascii="Arial" w:cs="Arial" w:hAnsi="Arial" w:eastAsia="Arial"/>
          <w:u w:color="000000"/>
          <w:rtl w:val="0"/>
        </w:rPr>
      </w:pPr>
      <w:r>
        <w:rPr>
          <w:rFonts w:ascii="Arial" w:hAnsi="Arial"/>
          <w:u w:color="000000"/>
          <w:rtl w:val="0"/>
          <w:lang w:val="en-US"/>
        </w:rPr>
        <w:t>The validity of discrepancy criteria for identifying children with developmental language disorders</w:t>
      </w:r>
    </w:p>
    <w:p>
      <w:pPr>
        <w:pStyle w:val="Body"/>
        <w:bidi w:val="0"/>
        <w:ind w:left="0" w:right="0" w:firstLine="0"/>
        <w:jc w:val="left"/>
        <w:rPr>
          <w:rFonts w:ascii="Arial" w:cs="Arial" w:hAnsi="Arial" w:eastAsia="Arial"/>
          <w:u w:color="000000"/>
          <w:rtl w:val="0"/>
        </w:rPr>
      </w:pPr>
      <w:r>
        <w:rPr>
          <w:rFonts w:ascii="Arial" w:hAnsi="Arial"/>
          <w:u w:color="000000"/>
          <w:rtl w:val="0"/>
          <w:lang w:val="en-US"/>
        </w:rPr>
        <w:t>. Journal of Learning Disabilities, 25, 549</w:t>
      </w:r>
      <w:r>
        <w:rPr>
          <w:rFonts w:ascii="Arial" w:hAnsi="Arial" w:hint="default"/>
          <w:u w:color="000000"/>
          <w:rtl w:val="0"/>
        </w:rPr>
        <w:t>–</w:t>
      </w:r>
      <w:r>
        <w:rPr>
          <w:rFonts w:ascii="Arial" w:hAnsi="Arial"/>
          <w:u w:color="000000"/>
          <w:rtl w:val="0"/>
        </w:rPr>
        <w:t>554.</w:t>
      </w:r>
    </w:p>
    <w:p>
      <w:pPr>
        <w:pStyle w:val="Body"/>
        <w:bidi w:val="0"/>
        <w:ind w:left="0" w:right="0" w:firstLine="0"/>
        <w:jc w:val="left"/>
        <w:rPr>
          <w:rFonts w:ascii="Arial" w:cs="Arial" w:hAnsi="Arial" w:eastAsia="Arial"/>
          <w:color w:val="ff2600"/>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de-DE"/>
        </w:rPr>
        <w:t>NASET LD Report</w:t>
      </w:r>
      <w:r>
        <w:rPr>
          <w:rFonts w:ascii="Arial" w:hAnsi="Arial"/>
          <w:u w:color="000000"/>
          <w:rtl w:val="0"/>
          <w:lang w:val="en-US"/>
        </w:rPr>
        <w:t>.</w:t>
      </w:r>
      <w:r>
        <w:rPr>
          <w:rFonts w:ascii="Arial" w:hAnsi="Arial"/>
          <w:u w:color="000000"/>
          <w:rtl w:val="0"/>
        </w:rPr>
        <w:t xml:space="preserve"> </w:t>
      </w:r>
      <w:r>
        <w:rPr>
          <w:rFonts w:ascii="Arial" w:hAnsi="Arial"/>
          <w:u w:color="000000"/>
          <w:rtl w:val="0"/>
          <w:lang w:val="en-US"/>
        </w:rPr>
        <w:t xml:space="preserve">(2006)The Importance of Response to Intervention (RTI) in the Understanding, Assessment, Diagnosis, and Teaching of Students with Learning Disabilities </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rPr>
        <w:t>National Literacy Trust.</w:t>
      </w:r>
      <w:r>
        <w:rPr>
          <w:rFonts w:ascii="Arial" w:hAnsi="Arial"/>
          <w:u w:color="000000"/>
          <w:rtl w:val="0"/>
          <w:lang w:val="en-US"/>
        </w:rPr>
        <w:t xml:space="preserve"> </w:t>
      </w:r>
      <w:r>
        <w:rPr>
          <w:rFonts w:ascii="Arial" w:hAnsi="Arial"/>
          <w:u w:color="000000"/>
          <w:rtl w:val="0"/>
          <w:lang w:val="en-US"/>
        </w:rPr>
        <w:t>(2014) Literacy Changes Lives: A new perspective on health, employment and crime. London:</w:t>
      </w:r>
      <w:r>
        <w:rPr>
          <w:rFonts w:ascii="Arial" w:hAnsi="Arial"/>
          <w:u w:color="000000"/>
          <w:rtl w:val="0"/>
          <w:lang w:val="en-US"/>
        </w:rPr>
        <w:t xml:space="preserve"> </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color w:val="ff2600"/>
          <w:u w:color="000000"/>
          <w:rtl w:val="0"/>
        </w:rPr>
      </w:pPr>
    </w:p>
    <w:p>
      <w:pPr>
        <w:pStyle w:val="Body"/>
        <w:bidi w:val="0"/>
        <w:ind w:left="0" w:right="0" w:firstLine="0"/>
        <w:jc w:val="left"/>
        <w:rPr>
          <w:rFonts w:ascii="Arial" w:cs="Arial" w:hAnsi="Arial" w:eastAsia="Arial"/>
          <w:color w:val="ff2600"/>
          <w:u w:color="000000"/>
          <w:rtl w:val="0"/>
        </w:rPr>
      </w:pPr>
      <w:r>
        <w:rPr>
          <w:rFonts w:ascii="Arial" w:hAnsi="Arial"/>
          <w:u w:color="000000"/>
          <w:rtl w:val="0"/>
          <w:lang w:val="en-US"/>
        </w:rPr>
        <w:t xml:space="preserve">British Dyslexia Association (2019) What are specific learning difficulties. Available at: </w:t>
      </w:r>
      <w:r>
        <w:rPr>
          <w:rStyle w:val="Hyperlink.0"/>
          <w:rFonts w:ascii="Arial" w:cs="Arial" w:hAnsi="Arial" w:eastAsia="Arial"/>
          <w:u w:color="000000"/>
          <w:rtl w:val="0"/>
        </w:rPr>
        <w:fldChar w:fldCharType="begin" w:fldLock="0"/>
      </w:r>
      <w:r>
        <w:rPr>
          <w:rStyle w:val="Hyperlink.0"/>
          <w:rFonts w:ascii="Arial" w:cs="Arial" w:hAnsi="Arial" w:eastAsia="Arial"/>
          <w:u w:color="000000"/>
          <w:rtl w:val="0"/>
        </w:rPr>
        <w:instrText xml:space="preserve"> HYPERLINK "https://www.bdadyslexia.org.uk/educator/what-are-specific-learning-difficulties#Dyslexia"</w:instrText>
      </w:r>
      <w:r>
        <w:rPr>
          <w:rStyle w:val="Hyperlink.0"/>
          <w:rFonts w:ascii="Arial" w:cs="Arial" w:hAnsi="Arial" w:eastAsia="Arial"/>
          <w:u w:color="000000"/>
          <w:rtl w:val="0"/>
        </w:rPr>
        <w:fldChar w:fldCharType="separate" w:fldLock="0"/>
      </w:r>
      <w:r>
        <w:rPr>
          <w:rStyle w:val="Hyperlink.0"/>
          <w:rFonts w:ascii="Arial" w:hAnsi="Arial"/>
          <w:u w:color="000000"/>
          <w:rtl w:val="0"/>
          <w:lang w:val="en-US"/>
        </w:rPr>
        <w:t>https://www.bdadyslexia.org.uk/educator/what-are-specific-learning-difficulties#Dyslexia</w:t>
      </w:r>
      <w:r>
        <w:rPr>
          <w:rFonts w:ascii="Arial" w:cs="Arial" w:hAnsi="Arial" w:eastAsia="Arial"/>
          <w:u w:color="000000"/>
          <w:rtl w:val="0"/>
        </w:rPr>
        <w:fldChar w:fldCharType="end" w:fldLock="0"/>
      </w:r>
      <w:r>
        <w:rPr>
          <w:rFonts w:ascii="Arial" w:hAnsi="Arial"/>
          <w:u w:color="000000"/>
          <w:rtl w:val="0"/>
          <w:lang w:val="en-US"/>
        </w:rPr>
        <w:t xml:space="preserve"> [Accessed on 29/04/19] </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Carr, E. and Ogle, D. (1987) KWL Plus: A Strategy for Comprehension and </w:t>
      </w:r>
      <w:r>
        <w:rPr>
          <w:rFonts w:ascii="Arial" w:hAnsi="Arial"/>
          <w:u w:color="000000"/>
          <w:rtl w:val="0"/>
          <w:lang w:val="en-US"/>
        </w:rPr>
        <w:t>Summarisation</w:t>
      </w:r>
      <w:r>
        <w:rPr>
          <w:rFonts w:ascii="Arial" w:hAnsi="Arial"/>
          <w:u w:color="000000"/>
          <w:rtl w:val="0"/>
          <w:lang w:val="en-US"/>
        </w:rPr>
        <w:t>. Journal of Reading, 30, 636-631.</w:t>
      </w:r>
    </w:p>
    <w:p>
      <w:pPr>
        <w:pStyle w:val="Body"/>
        <w:bidi w:val="0"/>
        <w:ind w:left="0" w:right="0" w:firstLine="0"/>
        <w:jc w:val="left"/>
        <w:rPr>
          <w:rFonts w:ascii="Arial" w:cs="Arial" w:hAnsi="Arial" w:eastAsia="Arial"/>
          <w:color w:val="ff2600"/>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Crouse, S. (2017) </w:t>
      </w:r>
      <w:r>
        <w:rPr>
          <w:rFonts w:ascii="Arial" w:hAnsi="Arial"/>
          <w:u w:color="000000"/>
          <w:rtl w:val="0"/>
          <w:lang w:val="en-US"/>
        </w:rPr>
        <w:t>Response to Intervention (RTI) vs the Discrepancy Model</w:t>
      </w:r>
      <w:r>
        <w:rPr>
          <w:rFonts w:ascii="Arial" w:hAnsi="Arial"/>
          <w:u w:color="000000"/>
          <w:rtl w:val="0"/>
          <w:lang w:val="en-US"/>
        </w:rPr>
        <w:t xml:space="preserve"> Available at; </w:t>
      </w:r>
      <w:r>
        <w:rPr>
          <w:rStyle w:val="Hyperlink.0"/>
          <w:rFonts w:ascii="Arial" w:cs="Arial" w:hAnsi="Arial" w:eastAsia="Arial"/>
          <w:u w:color="000000"/>
          <w:rtl w:val="0"/>
        </w:rPr>
        <w:fldChar w:fldCharType="begin" w:fldLock="0"/>
      </w:r>
      <w:r>
        <w:rPr>
          <w:rStyle w:val="Hyperlink.0"/>
          <w:rFonts w:ascii="Arial" w:cs="Arial" w:hAnsi="Arial" w:eastAsia="Arial"/>
          <w:u w:color="000000"/>
          <w:rtl w:val="0"/>
        </w:rPr>
        <w:instrText xml:space="preserve"> HYPERLINK "https://www.ldinfo.com/rti.htm#compare"</w:instrText>
      </w:r>
      <w:r>
        <w:rPr>
          <w:rStyle w:val="Hyperlink.0"/>
          <w:rFonts w:ascii="Arial" w:cs="Arial" w:hAnsi="Arial" w:eastAsia="Arial"/>
          <w:u w:color="000000"/>
          <w:rtl w:val="0"/>
        </w:rPr>
        <w:fldChar w:fldCharType="separate" w:fldLock="0"/>
      </w:r>
      <w:r>
        <w:rPr>
          <w:rStyle w:val="Hyperlink.0"/>
          <w:rFonts w:ascii="Arial" w:hAnsi="Arial"/>
          <w:u w:color="000000"/>
          <w:rtl w:val="0"/>
          <w:lang w:val="en-US"/>
        </w:rPr>
        <w:t>https://www.ldinfo.com/rti.htm#compare</w:t>
      </w:r>
      <w:r>
        <w:rPr>
          <w:rFonts w:ascii="Arial" w:cs="Arial" w:hAnsi="Arial" w:eastAsia="Arial"/>
          <w:u w:color="000000"/>
          <w:rtl w:val="0"/>
        </w:rPr>
        <w:fldChar w:fldCharType="end" w:fldLock="0"/>
      </w:r>
      <w:r>
        <w:rPr>
          <w:rFonts w:ascii="Arial" w:hAnsi="Arial"/>
          <w:u w:color="000000"/>
          <w:rtl w:val="0"/>
          <w:lang w:val="en-US"/>
        </w:rPr>
        <w:t xml:space="preserve"> [Accessed on 29/04/19]</w:t>
      </w:r>
    </w:p>
    <w:p>
      <w:pPr>
        <w:pStyle w:val="Body"/>
        <w:bidi w:val="0"/>
        <w:ind w:left="0" w:right="0" w:firstLine="0"/>
        <w:jc w:val="left"/>
        <w:rPr>
          <w:rFonts w:ascii="Arial" w:cs="Arial" w:hAnsi="Arial" w:eastAsia="Arial"/>
          <w:color w:val="ff2600"/>
          <w:u w:color="000000"/>
          <w:rtl w:val="0"/>
        </w:rPr>
      </w:pPr>
    </w:p>
    <w:p>
      <w:pPr>
        <w:pStyle w:val="Body"/>
        <w:bidi w:val="0"/>
        <w:ind w:left="0" w:right="0" w:firstLine="0"/>
        <w:jc w:val="left"/>
        <w:rPr>
          <w:rFonts w:ascii="Arial" w:cs="Arial" w:hAnsi="Arial" w:eastAsia="Arial"/>
          <w:color w:val="ff2600"/>
          <w:u w:color="000000"/>
          <w:rtl w:val="0"/>
        </w:rPr>
      </w:pPr>
    </w:p>
    <w:p>
      <w:pPr>
        <w:pStyle w:val="Body"/>
        <w:bidi w:val="0"/>
        <w:ind w:left="0" w:right="0" w:firstLine="0"/>
        <w:jc w:val="left"/>
        <w:rPr>
          <w:rFonts w:ascii="Arial" w:cs="Arial" w:hAnsi="Arial" w:eastAsia="Arial"/>
          <w:color w:val="ff2600"/>
          <w:u w:color="000000"/>
          <w:rtl w:val="0"/>
        </w:rPr>
      </w:pPr>
      <w:r>
        <w:rPr>
          <w:rFonts w:ascii="Arial" w:hAnsi="Arial"/>
          <w:u w:color="000000"/>
          <w:rtl w:val="0"/>
          <w:lang w:val="en-US"/>
        </w:rPr>
        <w:t xml:space="preserve">Whaley, T. (2014) Why good teachers miss dyslexia. Available at:  </w:t>
      </w:r>
      <w:r>
        <w:rPr>
          <w:rStyle w:val="Hyperlink.0"/>
          <w:rFonts w:ascii="Arial" w:cs="Arial" w:hAnsi="Arial" w:eastAsia="Arial"/>
          <w:u w:color="000000"/>
          <w:rtl w:val="0"/>
        </w:rPr>
        <w:fldChar w:fldCharType="begin" w:fldLock="0"/>
      </w:r>
      <w:r>
        <w:rPr>
          <w:rStyle w:val="Hyperlink.0"/>
          <w:rFonts w:ascii="Arial" w:cs="Arial" w:hAnsi="Arial" w:eastAsia="Arial"/>
          <w:u w:color="000000"/>
          <w:rtl w:val="0"/>
        </w:rPr>
        <w:instrText xml:space="preserve"> HYPERLINK "https://www.lexercise.com/blog/teachers-diagnosing-dyslexia"</w:instrText>
      </w:r>
      <w:r>
        <w:rPr>
          <w:rStyle w:val="Hyperlink.0"/>
          <w:rFonts w:ascii="Arial" w:cs="Arial" w:hAnsi="Arial" w:eastAsia="Arial"/>
          <w:u w:color="000000"/>
          <w:rtl w:val="0"/>
        </w:rPr>
        <w:fldChar w:fldCharType="separate" w:fldLock="0"/>
      </w:r>
      <w:r>
        <w:rPr>
          <w:rStyle w:val="Hyperlink.0"/>
          <w:rFonts w:ascii="Arial" w:hAnsi="Arial"/>
          <w:u w:color="000000"/>
          <w:rtl w:val="0"/>
          <w:lang w:val="en-US"/>
        </w:rPr>
        <w:t>https://www.lexercise.com/blog/teachers-diagnosing-dyslexia</w:t>
      </w:r>
      <w:r>
        <w:rPr>
          <w:rFonts w:ascii="Arial" w:cs="Arial" w:hAnsi="Arial" w:eastAsia="Arial"/>
          <w:u w:color="000000"/>
          <w:rtl w:val="0"/>
        </w:rPr>
        <w:fldChar w:fldCharType="end" w:fldLock="0"/>
      </w:r>
      <w:r>
        <w:rPr>
          <w:rFonts w:ascii="Arial" w:hAnsi="Arial"/>
          <w:u w:color="000000"/>
          <w:rtl w:val="0"/>
          <w:lang w:val="en-US"/>
        </w:rPr>
        <w:t xml:space="preserve"> [Accessed on 27/04/19] </w:t>
      </w:r>
    </w:p>
    <w:p>
      <w:pPr>
        <w:pStyle w:val="Body"/>
        <w:bidi w:val="0"/>
        <w:ind w:left="0" w:right="0" w:firstLine="0"/>
        <w:jc w:val="left"/>
        <w:rPr>
          <w:rFonts w:ascii="Arial" w:cs="Arial" w:hAnsi="Arial" w:eastAsia="Arial"/>
          <w:color w:val="ff2600"/>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DCSF (2008) Personalised Learning </w:t>
      </w:r>
      <w:r>
        <w:rPr>
          <w:rFonts w:ascii="Arial" w:hAnsi="Arial" w:hint="default"/>
          <w:u w:color="000000"/>
          <w:rtl w:val="0"/>
        </w:rPr>
        <w:t xml:space="preserve">– </w:t>
      </w:r>
      <w:r>
        <w:rPr>
          <w:rFonts w:ascii="Arial" w:hAnsi="Arial"/>
          <w:u w:color="000000"/>
          <w:rtl w:val="0"/>
          <w:lang w:val="en-US"/>
        </w:rPr>
        <w:t>A Practical Guide</w:t>
      </w:r>
      <w:r>
        <w:rPr>
          <w:rFonts w:ascii="Arial" w:hAnsi="Arial"/>
          <w:u w:color="000000"/>
          <w:rtl w:val="0"/>
          <w:lang w:val="en-US"/>
        </w:rPr>
        <w:t>. Available at;</w:t>
      </w:r>
      <w:r>
        <w:rPr>
          <w:rFonts w:ascii="Arial" w:hAnsi="Arial"/>
          <w:u w:color="000000"/>
          <w:rtl w:val="0"/>
          <w:lang w:val="en-US"/>
        </w:rPr>
        <w:t xml:space="preserve"> http://publications.teachernet.gov.uk/default.aspx?PageF unction=productdetails&amp;PageMode=publications&amp;ProductId=DCS F-00844-2008&amp;</w:t>
      </w:r>
      <w:r>
        <w:rPr>
          <w:rFonts w:ascii="Arial" w:hAnsi="Arial"/>
          <w:u w:color="000000"/>
          <w:rtl w:val="0"/>
          <w:lang w:val="en-US"/>
        </w:rPr>
        <w:t xml:space="preserve"> [Accessed on 27/04/19]</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color w:val="ff2600"/>
          <w:u w:color="000000"/>
          <w:rtl w:val="0"/>
        </w:rPr>
      </w:pPr>
      <w:r>
        <w:rPr>
          <w:rFonts w:ascii="Arial" w:hAnsi="Arial"/>
          <w:u w:color="000000"/>
          <w:rtl w:val="0"/>
          <w:lang w:val="en-US"/>
        </w:rPr>
        <w:t xml:space="preserve">The Driver Youth Trust (2019) </w:t>
      </w:r>
      <w:r>
        <w:rPr>
          <w:rFonts w:ascii="Arial" w:hAnsi="Arial"/>
          <w:u w:color="000000"/>
          <w:rtl w:val="0"/>
          <w:lang w:val="en-US"/>
        </w:rPr>
        <w:t>Literacy difficulties</w:t>
      </w:r>
      <w:r>
        <w:rPr>
          <w:rFonts w:ascii="Arial" w:hAnsi="Arial"/>
          <w:u w:color="000000"/>
          <w:rtl w:val="0"/>
          <w:lang w:val="en-US"/>
        </w:rPr>
        <w:t xml:space="preserve">: </w:t>
      </w:r>
      <w:r>
        <w:rPr>
          <w:rFonts w:ascii="Arial" w:hAnsi="Arial"/>
          <w:u w:color="000000"/>
          <w:rtl w:val="0"/>
          <w:lang w:val="en-US"/>
        </w:rPr>
        <w:t>The DYT position</w:t>
      </w:r>
      <w:r>
        <w:rPr>
          <w:rFonts w:ascii="Arial" w:hAnsi="Arial"/>
          <w:u w:color="000000"/>
          <w:rtl w:val="0"/>
          <w:lang w:val="en-US"/>
        </w:rPr>
        <w:t xml:space="preserve">. Available at; </w:t>
      </w:r>
      <w:r>
        <w:rPr>
          <w:rStyle w:val="Hyperlink.0"/>
          <w:rFonts w:ascii="Arial" w:cs="Arial" w:hAnsi="Arial" w:eastAsia="Arial"/>
          <w:u w:color="000000"/>
          <w:rtl w:val="0"/>
        </w:rPr>
        <w:fldChar w:fldCharType="begin" w:fldLock="0"/>
      </w:r>
      <w:r>
        <w:rPr>
          <w:rStyle w:val="Hyperlink.0"/>
          <w:rFonts w:ascii="Arial" w:cs="Arial" w:hAnsi="Arial" w:eastAsia="Arial"/>
          <w:u w:color="000000"/>
          <w:rtl w:val="0"/>
        </w:rPr>
        <w:instrText xml:space="preserve"> HYPERLINK "https://www.driveryouthtrust.com/wp-content/uploads/2019/04/Literacy-Difficulties-The-DYT-Position.pdf"</w:instrText>
      </w:r>
      <w:r>
        <w:rPr>
          <w:rStyle w:val="Hyperlink.0"/>
          <w:rFonts w:ascii="Arial" w:cs="Arial" w:hAnsi="Arial" w:eastAsia="Arial"/>
          <w:u w:color="000000"/>
          <w:rtl w:val="0"/>
        </w:rPr>
        <w:fldChar w:fldCharType="separate" w:fldLock="0"/>
      </w:r>
      <w:r>
        <w:rPr>
          <w:rStyle w:val="Hyperlink.0"/>
          <w:rFonts w:ascii="Arial" w:hAnsi="Arial"/>
          <w:u w:color="000000"/>
          <w:rtl w:val="0"/>
          <w:lang w:val="en-US"/>
        </w:rPr>
        <w:t>https://www.driveryouthtrust.com/wp-content/uploads/2019/04/Literacy-Difficulties-The-DYT-Position.pdf</w:t>
      </w:r>
      <w:r>
        <w:rPr>
          <w:rFonts w:ascii="Arial" w:cs="Arial" w:hAnsi="Arial" w:eastAsia="Arial"/>
          <w:u w:color="000000"/>
          <w:rtl w:val="0"/>
        </w:rPr>
        <w:fldChar w:fldCharType="end" w:fldLock="0"/>
      </w:r>
      <w:r>
        <w:rPr>
          <w:rFonts w:ascii="Arial" w:hAnsi="Arial"/>
          <w:u w:color="000000"/>
          <w:rtl w:val="0"/>
          <w:lang w:val="en-US"/>
        </w:rPr>
        <w:t xml:space="preserve"> [Accessed on 28/04/19] </w:t>
      </w:r>
    </w:p>
    <w:p>
      <w:pPr>
        <w:pStyle w:val="Body"/>
        <w:bidi w:val="0"/>
        <w:ind w:left="0" w:right="0" w:firstLine="0"/>
        <w:jc w:val="left"/>
        <w:rPr>
          <w:rFonts w:ascii="Arial" w:cs="Arial" w:hAnsi="Arial" w:eastAsia="Arial"/>
          <w:color w:val="ff2600"/>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Elliott, J.G. &amp; Grigorenko, E.L. (2014). The dyslexia debate. New York: Cambridge University Press.</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The Equalities Act.(2010) Available at: </w:t>
      </w:r>
      <w:r>
        <w:rPr>
          <w:rStyle w:val="Hyperlink.0"/>
          <w:rFonts w:ascii="Arial" w:cs="Arial" w:hAnsi="Arial" w:eastAsia="Arial"/>
          <w:u w:color="000000"/>
          <w:rtl w:val="0"/>
        </w:rPr>
        <w:fldChar w:fldCharType="begin" w:fldLock="0"/>
      </w:r>
      <w:r>
        <w:rPr>
          <w:rStyle w:val="Hyperlink.0"/>
          <w:rFonts w:ascii="Arial" w:cs="Arial" w:hAnsi="Arial" w:eastAsia="Arial"/>
          <w:u w:color="000000"/>
          <w:rtl w:val="0"/>
        </w:rPr>
        <w:instrText xml:space="preserve"> HYPERLINK "https://www.legislation.gov.uk/ukpga/2010/15/contents"</w:instrText>
      </w:r>
      <w:r>
        <w:rPr>
          <w:rStyle w:val="Hyperlink.0"/>
          <w:rFonts w:ascii="Arial" w:cs="Arial" w:hAnsi="Arial" w:eastAsia="Arial"/>
          <w:u w:color="000000"/>
          <w:rtl w:val="0"/>
        </w:rPr>
        <w:fldChar w:fldCharType="separate" w:fldLock="0"/>
      </w:r>
      <w:r>
        <w:rPr>
          <w:rStyle w:val="Hyperlink.0"/>
          <w:rFonts w:ascii="Arial" w:hAnsi="Arial"/>
          <w:u w:color="000000"/>
          <w:rtl w:val="0"/>
          <w:lang w:val="en-US"/>
        </w:rPr>
        <w:t>https://www.legislation.gov.uk/ukpga/2010/15/contents</w:t>
      </w:r>
      <w:r>
        <w:rPr>
          <w:rFonts w:ascii="Arial" w:cs="Arial" w:hAnsi="Arial" w:eastAsia="Arial"/>
          <w:u w:color="000000"/>
          <w:rtl w:val="0"/>
        </w:rPr>
        <w:fldChar w:fldCharType="end" w:fldLock="0"/>
      </w:r>
      <w:r>
        <w:rPr>
          <w:rFonts w:ascii="Arial" w:hAnsi="Arial"/>
          <w:u w:color="000000"/>
          <w:rtl w:val="0"/>
          <w:lang w:val="en-US"/>
        </w:rPr>
        <w:t xml:space="preserve"> [Accessed 26/04/19] </w:t>
      </w:r>
    </w:p>
    <w:p>
      <w:pPr>
        <w:pStyle w:val="Body"/>
        <w:bidi w:val="0"/>
        <w:ind w:left="0" w:right="0" w:firstLine="0"/>
        <w:jc w:val="left"/>
        <w:rPr>
          <w:rFonts w:ascii="Arial" w:cs="Arial" w:hAnsi="Arial" w:eastAsia="Arial"/>
          <w:color w:val="ff2600"/>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The Dyslexia-SpLD Trust (2009) </w:t>
      </w:r>
      <w:r>
        <w:rPr>
          <w:rFonts w:ascii="Arial" w:hAnsi="Arial"/>
          <w:u w:color="000000"/>
          <w:rtl w:val="0"/>
          <w:lang w:val="en-US"/>
        </w:rPr>
        <w:t>No to Failure Final Report</w:t>
      </w:r>
      <w:r>
        <w:rPr>
          <w:rFonts w:ascii="Arial" w:hAnsi="Arial"/>
          <w:u w:color="000000"/>
          <w:rtl w:val="0"/>
          <w:lang w:val="en-US"/>
        </w:rPr>
        <w:t>.</w:t>
      </w:r>
      <w:r>
        <w:rPr>
          <w:rFonts w:ascii="Arial" w:hAnsi="Arial"/>
          <w:u w:color="000000"/>
          <w:rtl w:val="0"/>
        </w:rPr>
        <w:t xml:space="preserve"> </w:t>
      </w:r>
      <w:r>
        <w:rPr>
          <w:rFonts w:ascii="Arial" w:hAnsi="Arial"/>
          <w:u w:color="000000"/>
          <w:rtl w:val="0"/>
          <w:lang w:val="en-US"/>
        </w:rPr>
        <w:t>A</w:t>
      </w:r>
      <w:r>
        <w:rPr>
          <w:rFonts w:ascii="Arial" w:hAnsi="Arial"/>
          <w:u w:color="000000"/>
          <w:rtl w:val="0"/>
          <w:lang w:val="en-US"/>
        </w:rPr>
        <w:t xml:space="preserve">vailable </w:t>
      </w:r>
      <w:r>
        <w:rPr>
          <w:rFonts w:ascii="Arial" w:hAnsi="Arial"/>
          <w:u w:color="000000"/>
          <w:rtl w:val="0"/>
          <w:lang w:val="en-US"/>
        </w:rPr>
        <w:t>at;</w:t>
      </w:r>
      <w:r>
        <w:rPr>
          <w:rFonts w:ascii="Arial" w:hAnsi="Arial"/>
          <w:u w:color="000000"/>
          <w:rtl w:val="0"/>
          <w:lang w:val="en-US"/>
        </w:rPr>
        <w:t xml:space="preserve"> http://www.thedyslexia-</w:t>
      </w:r>
      <w:r>
        <w:rPr>
          <w:rStyle w:val="Hyperlink.0"/>
          <w:rFonts w:ascii="Arial" w:cs="Arial" w:hAnsi="Arial" w:eastAsia="Arial"/>
          <w:u w:color="000000"/>
          <w:rtl w:val="0"/>
        </w:rPr>
        <w:fldChar w:fldCharType="begin" w:fldLock="0"/>
      </w:r>
      <w:r>
        <w:rPr>
          <w:rStyle w:val="Hyperlink.0"/>
          <w:rFonts w:ascii="Arial" w:cs="Arial" w:hAnsi="Arial" w:eastAsia="Arial"/>
          <w:u w:color="000000"/>
          <w:rtl w:val="0"/>
        </w:rPr>
        <w:instrText xml:space="preserve"> HYPERLINK "http://spldtrust.org.uk/media/downloads/inline/no-to-failure-report-2009.1347979780.pdf"</w:instrText>
      </w:r>
      <w:r>
        <w:rPr>
          <w:rStyle w:val="Hyperlink.0"/>
          <w:rFonts w:ascii="Arial" w:cs="Arial" w:hAnsi="Arial" w:eastAsia="Arial"/>
          <w:u w:color="000000"/>
          <w:rtl w:val="0"/>
        </w:rPr>
        <w:fldChar w:fldCharType="separate" w:fldLock="0"/>
      </w:r>
      <w:r>
        <w:rPr>
          <w:rStyle w:val="Hyperlink.0"/>
          <w:rFonts w:ascii="Arial" w:hAnsi="Arial"/>
          <w:u w:color="000000"/>
          <w:rtl w:val="0"/>
          <w:lang w:val="en-US"/>
        </w:rPr>
        <w:t>spldtrust.org.uk/media/downloads/inline/no-to-failure-report-2009.1347979780.pdf</w:t>
      </w:r>
      <w:r>
        <w:rPr>
          <w:rFonts w:ascii="Arial" w:cs="Arial" w:hAnsi="Arial" w:eastAsia="Arial"/>
          <w:u w:color="000000"/>
          <w:rtl w:val="0"/>
        </w:rPr>
        <w:fldChar w:fldCharType="end" w:fldLock="0"/>
      </w:r>
      <w:r>
        <w:rPr>
          <w:rFonts w:ascii="Arial" w:hAnsi="Arial"/>
          <w:u w:color="000000"/>
          <w:rtl w:val="0"/>
          <w:lang w:val="en-US"/>
        </w:rPr>
        <w:t xml:space="preserve"> [Accessed on 27/04/19] </w:t>
      </w:r>
    </w:p>
    <w:p>
      <w:pPr>
        <w:pStyle w:val="Body"/>
        <w:bidi w:val="0"/>
        <w:ind w:left="0" w:right="0" w:firstLine="0"/>
        <w:jc w:val="left"/>
        <w:rPr>
          <w:rFonts w:ascii="Arial" w:cs="Arial" w:hAnsi="Arial" w:eastAsia="Arial"/>
          <w:color w:val="ff2600"/>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rPr>
        <w:t>O</w:t>
      </w:r>
      <w:r>
        <w:rPr>
          <w:rFonts w:ascii="Arial" w:hAnsi="Arial"/>
          <w:u w:color="000000"/>
          <w:rtl w:val="0"/>
          <w:lang w:val="en-US"/>
        </w:rPr>
        <w:t>FSTED</w:t>
      </w:r>
      <w:r>
        <w:rPr>
          <w:rFonts w:ascii="Arial" w:hAnsi="Arial"/>
          <w:u w:color="000000"/>
          <w:rtl w:val="0"/>
          <w:lang w:val="en-US"/>
        </w:rPr>
        <w:t xml:space="preserve"> (2008) How well new teachers are prepared to teach pupils with learning difficulties and/or disabilities</w:t>
      </w:r>
      <w:r>
        <w:rPr>
          <w:rFonts w:ascii="Arial" w:hAnsi="Arial"/>
          <w:u w:color="000000"/>
          <w:rtl w:val="0"/>
          <w:lang w:val="en-US"/>
        </w:rPr>
        <w:t>.</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da-DK"/>
        </w:rPr>
        <w:t>Henderson L</w:t>
      </w:r>
      <w:r>
        <w:rPr>
          <w:rFonts w:ascii="Arial" w:hAnsi="Arial"/>
          <w:u w:color="000000"/>
          <w:rtl w:val="0"/>
          <w:lang w:val="en-US"/>
        </w:rPr>
        <w:t>,</w:t>
      </w:r>
      <w:r>
        <w:rPr>
          <w:rFonts w:ascii="Arial" w:hAnsi="Arial"/>
          <w:u w:color="000000"/>
          <w:rtl w:val="0"/>
        </w:rPr>
        <w:t>M</w:t>
      </w:r>
      <w:r>
        <w:rPr>
          <w:rFonts w:ascii="Arial" w:hAnsi="Arial"/>
          <w:u w:color="000000"/>
          <w:rtl w:val="0"/>
          <w:lang w:val="en-US"/>
        </w:rPr>
        <w:t>.,</w:t>
      </w:r>
      <w:r>
        <w:rPr>
          <w:rFonts w:ascii="Arial" w:hAnsi="Arial"/>
          <w:u w:color="000000"/>
          <w:rtl w:val="0"/>
        </w:rPr>
        <w:t xml:space="preserve"> Taylor R</w:t>
      </w:r>
      <w:r>
        <w:rPr>
          <w:rFonts w:ascii="Arial" w:hAnsi="Arial"/>
          <w:u w:color="000000"/>
          <w:rtl w:val="0"/>
          <w:lang w:val="en-US"/>
        </w:rPr>
        <w:t>,</w:t>
      </w:r>
      <w:r>
        <w:rPr>
          <w:rFonts w:ascii="Arial" w:hAnsi="Arial"/>
          <w:u w:color="000000"/>
          <w:rtl w:val="0"/>
        </w:rPr>
        <w:t>H</w:t>
      </w:r>
      <w:r>
        <w:rPr>
          <w:rFonts w:ascii="Arial" w:hAnsi="Arial"/>
          <w:u w:color="000000"/>
          <w:rtl w:val="0"/>
          <w:lang w:val="en-US"/>
        </w:rPr>
        <w:t>.</w:t>
      </w:r>
      <w:r>
        <w:rPr>
          <w:rFonts w:ascii="Arial" w:hAnsi="Arial"/>
          <w:u w:color="000000"/>
          <w:rtl w:val="0"/>
          <w:lang w:val="da-DK"/>
        </w:rPr>
        <w:t>, Barrett B</w:t>
      </w:r>
      <w:r>
        <w:rPr>
          <w:rFonts w:ascii="Arial" w:hAnsi="Arial"/>
          <w:u w:color="000000"/>
          <w:rtl w:val="0"/>
          <w:lang w:val="en-US"/>
        </w:rPr>
        <w:t>,</w:t>
      </w:r>
      <w:r>
        <w:rPr>
          <w:rFonts w:ascii="Arial" w:hAnsi="Arial"/>
          <w:u w:color="000000"/>
          <w:rtl w:val="0"/>
        </w:rPr>
        <w:t>T</w:t>
      </w:r>
      <w:r>
        <w:rPr>
          <w:rFonts w:ascii="Arial" w:hAnsi="Arial"/>
          <w:u w:color="000000"/>
          <w:rtl w:val="0"/>
          <w:lang w:val="en-US"/>
        </w:rPr>
        <w:t>.,</w:t>
      </w:r>
      <w:r>
        <w:rPr>
          <w:rFonts w:ascii="Arial" w:hAnsi="Arial"/>
          <w:u w:color="000000"/>
          <w:rtl w:val="0"/>
          <w:lang w:val="en-US"/>
        </w:rPr>
        <w:t xml:space="preserve"> Griffiths P</w:t>
      </w:r>
      <w:r>
        <w:rPr>
          <w:rFonts w:ascii="Arial" w:hAnsi="Arial"/>
          <w:u w:color="000000"/>
          <w:rtl w:val="0"/>
          <w:lang w:val="en-US"/>
        </w:rPr>
        <w:t>,</w:t>
      </w:r>
      <w:r>
        <w:rPr>
          <w:rFonts w:ascii="Arial" w:hAnsi="Arial"/>
          <w:u w:color="000000"/>
          <w:rtl w:val="0"/>
        </w:rPr>
        <w:t xml:space="preserve"> </w:t>
      </w:r>
      <w:r>
        <w:rPr>
          <w:rFonts w:ascii="Arial" w:hAnsi="Arial"/>
          <w:u w:color="000000"/>
          <w:rtl w:val="0"/>
          <w:lang w:val="en-US"/>
        </w:rPr>
        <w:t>G.</w:t>
      </w:r>
      <w:r>
        <w:rPr>
          <w:rFonts w:ascii="Arial" w:hAnsi="Arial"/>
          <w:u w:color="000000"/>
          <w:rtl w:val="0"/>
          <w:lang w:val="en-US"/>
        </w:rPr>
        <w:t>(2014) Treating reading difficulties with colour [Editorial]</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rPr>
        <w:t>H</w:t>
      </w:r>
      <w:r>
        <w:rPr>
          <w:rFonts w:ascii="Arial" w:hAnsi="Arial"/>
          <w:u w:color="000000"/>
          <w:rtl w:val="0"/>
          <w:lang w:val="en-US"/>
        </w:rPr>
        <w:t>arris</w:t>
      </w:r>
      <w:r>
        <w:rPr>
          <w:rFonts w:ascii="Arial" w:hAnsi="Arial"/>
          <w:u w:color="000000"/>
          <w:rtl w:val="0"/>
        </w:rPr>
        <w:t>,</w:t>
      </w:r>
      <w:r>
        <w:rPr>
          <w:rFonts w:ascii="Arial" w:hAnsi="Arial"/>
          <w:u w:color="000000"/>
          <w:rtl w:val="0"/>
          <w:lang w:val="en-US"/>
        </w:rPr>
        <w:t xml:space="preserve"> </w:t>
      </w:r>
      <w:r>
        <w:rPr>
          <w:rFonts w:ascii="Arial" w:hAnsi="Arial"/>
          <w:u w:color="000000"/>
          <w:rtl w:val="0"/>
          <w:lang w:val="en-US"/>
        </w:rPr>
        <w:t>A.J. and S</w:t>
      </w:r>
      <w:r>
        <w:rPr>
          <w:rFonts w:ascii="Arial" w:hAnsi="Arial"/>
          <w:u w:color="000000"/>
          <w:rtl w:val="0"/>
          <w:lang w:val="en-US"/>
        </w:rPr>
        <w:t xml:space="preserve">ipay, </w:t>
      </w:r>
      <w:r>
        <w:rPr>
          <w:rFonts w:ascii="Arial" w:hAnsi="Arial"/>
          <w:u w:color="000000"/>
          <w:rtl w:val="0"/>
        </w:rPr>
        <w:t>E</w:t>
      </w:r>
      <w:r>
        <w:rPr>
          <w:rFonts w:ascii="Arial" w:hAnsi="Arial"/>
          <w:u w:color="000000"/>
          <w:rtl w:val="0"/>
          <w:lang w:val="en-US"/>
        </w:rPr>
        <w:t>,</w:t>
      </w:r>
      <w:r>
        <w:rPr>
          <w:rFonts w:ascii="Arial" w:hAnsi="Arial"/>
          <w:u w:color="000000"/>
          <w:rtl w:val="0"/>
          <w:lang w:val="en-US"/>
        </w:rPr>
        <w:t xml:space="preserve">R. How to Increase </w:t>
      </w:r>
      <w:r>
        <w:rPr>
          <w:rFonts w:ascii="Arial" w:hAnsi="Arial"/>
          <w:u w:color="000000"/>
          <w:rtl w:val="0"/>
          <w:lang w:val="en-US"/>
        </w:rPr>
        <w:t>R</w:t>
      </w:r>
      <w:r>
        <w:rPr>
          <w:rFonts w:ascii="Arial" w:hAnsi="Arial"/>
          <w:u w:color="000000"/>
          <w:rtl w:val="0"/>
          <w:lang w:val="en-US"/>
        </w:rPr>
        <w:t>eading Ability. New York: McKay, 1975</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House of Commons Education Committee</w:t>
      </w:r>
      <w:r>
        <w:rPr>
          <w:rFonts w:ascii="Arial" w:hAnsi="Arial"/>
          <w:u w:color="000000"/>
          <w:rtl w:val="0"/>
          <w:lang w:val="en-US"/>
        </w:rPr>
        <w:t xml:space="preserve"> (2018) </w:t>
      </w:r>
      <w:r>
        <w:rPr>
          <w:rFonts w:ascii="Arial" w:hAnsi="Arial"/>
          <w:u w:color="000000"/>
          <w:rtl w:val="0"/>
          <w:lang w:val="en-US"/>
        </w:rPr>
        <w:t>Forgotten children: alternative provision and the scandal of ever increasing exclusions</w:t>
      </w:r>
      <w:r>
        <w:rPr>
          <w:rFonts w:ascii="Arial" w:hAnsi="Arial"/>
          <w:u w:color="000000"/>
          <w:rtl w:val="0"/>
          <w:lang w:val="en-US"/>
        </w:rPr>
        <w:t xml:space="preserve">. Available at </w:t>
      </w:r>
      <w:r>
        <w:rPr>
          <w:rStyle w:val="Hyperlink.0"/>
          <w:rFonts w:ascii="Arial" w:cs="Arial" w:hAnsi="Arial" w:eastAsia="Arial"/>
          <w:u w:color="000000"/>
          <w:rtl w:val="0"/>
        </w:rPr>
        <w:fldChar w:fldCharType="begin" w:fldLock="0"/>
      </w:r>
      <w:r>
        <w:rPr>
          <w:rStyle w:val="Hyperlink.0"/>
          <w:rFonts w:ascii="Arial" w:cs="Arial" w:hAnsi="Arial" w:eastAsia="Arial"/>
          <w:u w:color="000000"/>
          <w:rtl w:val="0"/>
        </w:rPr>
        <w:instrText xml:space="preserve"> HYPERLINK "https://publications.parliament.uk/pa/cm201719/cmselect/cmeduc/342/342.pdf"</w:instrText>
      </w:r>
      <w:r>
        <w:rPr>
          <w:rStyle w:val="Hyperlink.0"/>
          <w:rFonts w:ascii="Arial" w:cs="Arial" w:hAnsi="Arial" w:eastAsia="Arial"/>
          <w:u w:color="000000"/>
          <w:rtl w:val="0"/>
        </w:rPr>
        <w:fldChar w:fldCharType="separate" w:fldLock="0"/>
      </w:r>
      <w:r>
        <w:rPr>
          <w:rStyle w:val="Hyperlink.0"/>
          <w:rFonts w:ascii="Arial" w:hAnsi="Arial"/>
          <w:u w:color="000000"/>
          <w:rtl w:val="0"/>
          <w:lang w:val="en-US"/>
        </w:rPr>
        <w:t>https://publications.parliament.uk/pa/cm201719/cmselect/cmeduc/342/342.pdf</w:t>
      </w:r>
      <w:r>
        <w:rPr>
          <w:rFonts w:ascii="Arial" w:cs="Arial" w:hAnsi="Arial" w:eastAsia="Arial"/>
          <w:u w:color="000000"/>
          <w:rtl w:val="0"/>
        </w:rPr>
        <w:fldChar w:fldCharType="end" w:fldLock="0"/>
      </w:r>
      <w:r>
        <w:rPr>
          <w:rFonts w:ascii="Arial" w:hAnsi="Arial"/>
          <w:u w:color="000000"/>
          <w:rtl w:val="0"/>
          <w:lang w:val="en-US"/>
        </w:rPr>
        <w:t xml:space="preserve"> [Accessed on 29/04/19] </w:t>
      </w:r>
    </w:p>
    <w:p>
      <w:pPr>
        <w:pStyle w:val="Body"/>
        <w:bidi w:val="0"/>
        <w:ind w:left="0" w:right="0" w:firstLine="0"/>
        <w:jc w:val="left"/>
        <w:rPr>
          <w:rFonts w:ascii="Arial" w:cs="Arial" w:hAnsi="Arial" w:eastAsia="Arial"/>
          <w:color w:val="ff2600"/>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Rose, J. (2009) Identifying and Teaching Children and Young People with Dyslexia and Literacy Difficulties. London</w:t>
      </w:r>
      <w:r>
        <w:rPr>
          <w:rFonts w:ascii="Arial" w:hAnsi="Arial"/>
          <w:u w:color="000000"/>
          <w:rtl w:val="0"/>
          <w:lang w:val="en-US"/>
        </w:rPr>
        <w:t>.</w:t>
      </w:r>
      <w:r>
        <w:rPr>
          <w:rFonts w:ascii="Arial" w:hAnsi="Arial"/>
          <w:u w:color="000000"/>
          <w:rtl w:val="0"/>
          <w:lang w:val="en-US"/>
        </w:rPr>
        <w:t xml:space="preserve"> HM Government</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National Literacy Trust. (2017) What is literacy? Available at: https://literacytrust.org.uk/information/what- is-literacy/ </w:t>
      </w:r>
      <w:r>
        <w:rPr>
          <w:rFonts w:ascii="Arial" w:hAnsi="Arial"/>
          <w:u w:color="000000"/>
          <w:rtl w:val="0"/>
          <w:lang w:val="en-US"/>
        </w:rPr>
        <w:t>[</w:t>
      </w:r>
      <w:r>
        <w:rPr>
          <w:rFonts w:ascii="Arial" w:hAnsi="Arial"/>
          <w:u w:color="000000"/>
          <w:rtl w:val="0"/>
          <w:lang w:val="en-US"/>
        </w:rPr>
        <w:t>Accessed</w:t>
      </w:r>
      <w:r>
        <w:rPr>
          <w:rFonts w:ascii="Arial" w:hAnsi="Arial"/>
          <w:u w:color="000000"/>
          <w:rtl w:val="0"/>
          <w:lang w:val="en-US"/>
        </w:rPr>
        <w:t xml:space="preserve"> 23/04/19]</w:t>
      </w:r>
      <w:r>
        <w:rPr>
          <w:rFonts w:ascii="Arial" w:hAnsi="Arial"/>
          <w:u w:color="000000"/>
          <w:rtl w:val="0"/>
        </w:rPr>
        <w:t>.</w:t>
      </w:r>
    </w:p>
    <w:p>
      <w:pPr>
        <w:pStyle w:val="Body"/>
        <w:bidi w:val="0"/>
        <w:ind w:left="0" w:right="0" w:firstLine="0"/>
        <w:jc w:val="left"/>
        <w:rPr>
          <w:rFonts w:ascii="Arial" w:cs="Arial" w:hAnsi="Arial" w:eastAsia="Arial"/>
          <w:color w:val="ff2600"/>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Department for Education (2017) </w:t>
      </w:r>
      <w:r>
        <w:rPr>
          <w:rFonts w:ascii="Arial" w:hAnsi="Arial"/>
          <w:u w:color="000000"/>
          <w:rtl w:val="0"/>
          <w:lang w:val="en-US"/>
        </w:rPr>
        <w:t xml:space="preserve">SEN support: research evidence on effective approaches and examples of current practice in good and outstanding schools and colleges </w:t>
      </w:r>
      <w:r>
        <w:rPr>
          <w:rFonts w:ascii="Arial" w:hAnsi="Arial"/>
          <w:u w:color="000000"/>
          <w:rtl w:val="0"/>
          <w:lang w:val="en-US"/>
        </w:rPr>
        <w:t xml:space="preserve"> Available at; </w:t>
      </w:r>
      <w:r>
        <w:rPr>
          <w:rStyle w:val="Hyperlink.0"/>
          <w:rFonts w:ascii="Arial" w:cs="Arial" w:hAnsi="Arial" w:eastAsia="Arial"/>
          <w:u w:color="000000"/>
          <w:rtl w:val="0"/>
        </w:rPr>
        <w:fldChar w:fldCharType="begin" w:fldLock="0"/>
      </w:r>
      <w:r>
        <w:rPr>
          <w:rStyle w:val="Hyperlink.0"/>
          <w:rFonts w:ascii="Arial" w:cs="Arial" w:hAnsi="Arial" w:eastAsia="Arial"/>
          <w:u w:color="000000"/>
          <w:rtl w:val="0"/>
        </w:rPr>
        <w:instrText xml:space="preserve"> HYPERLINK "https://www.sendgateway.org.uk/resources.sen-support-research-evidence-on-effective-approaches-and-examples-of-current-practice-in-good-and-outstanding-schools-and-colleges.html"</w:instrText>
      </w:r>
      <w:r>
        <w:rPr>
          <w:rStyle w:val="Hyperlink.0"/>
          <w:rFonts w:ascii="Arial" w:cs="Arial" w:hAnsi="Arial" w:eastAsia="Arial"/>
          <w:u w:color="000000"/>
          <w:rtl w:val="0"/>
        </w:rPr>
        <w:fldChar w:fldCharType="separate" w:fldLock="0"/>
      </w:r>
      <w:r>
        <w:rPr>
          <w:rStyle w:val="Hyperlink.0"/>
          <w:rFonts w:ascii="Arial" w:hAnsi="Arial"/>
          <w:u w:color="000000"/>
          <w:rtl w:val="0"/>
          <w:lang w:val="en-US"/>
        </w:rPr>
        <w:t>https://www.sendgateway.org.uk/resources.sen-support-research-evidence-on-effective-approaches-and-examples-of-current-practice-in-good-and-outstanding-schools-and-colleges.html</w:t>
      </w:r>
      <w:r>
        <w:rPr>
          <w:rFonts w:ascii="Arial" w:cs="Arial" w:hAnsi="Arial" w:eastAsia="Arial"/>
          <w:u w:color="000000"/>
          <w:rtl w:val="0"/>
        </w:rPr>
        <w:fldChar w:fldCharType="end" w:fldLock="0"/>
      </w:r>
      <w:r>
        <w:rPr>
          <w:rFonts w:ascii="Arial" w:hAnsi="Arial"/>
          <w:u w:color="000000"/>
          <w:rtl w:val="0"/>
          <w:lang w:val="en-US"/>
        </w:rPr>
        <w:t xml:space="preserve"> [Accessed on 23/04/19]  </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Ross, H. (2017) An exploration of teachers</w:t>
      </w:r>
      <w:r>
        <w:rPr>
          <w:rFonts w:ascii="Arial" w:hAnsi="Arial" w:hint="default"/>
          <w:u w:color="000000"/>
          <w:rtl w:val="0"/>
        </w:rPr>
        <w:t xml:space="preserve">’ </w:t>
      </w:r>
      <w:r>
        <w:rPr>
          <w:rFonts w:ascii="Arial" w:hAnsi="Arial"/>
          <w:u w:color="000000"/>
          <w:rtl w:val="0"/>
          <w:lang w:val="en-US"/>
        </w:rPr>
        <w:t>agency and social relationships within dyslexia-support provision in an English secondary school, British Journal of Special Education, Volume 44, No. 2.</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Foster-Cohen, S. and Mirfin-Veitch, B. (2017) Evidence for the effectiveness of visual supports in helping children with disabilities access the mainstream primary school curriculum, Journal of Research in Special Educational Needs</w:t>
      </w:r>
      <w:r>
        <w:rPr>
          <w:rFonts w:ascii="Arial" w:hAnsi="Arial"/>
          <w:u w:color="000000"/>
          <w:rtl w:val="0"/>
          <w:lang w:val="en-US"/>
        </w:rPr>
        <w:t>.</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Henderson, L.M., Taylor, R.H., Barrett, B. and Griffiths, P.G. (2014) Treating reading difficulties with colour UK dyslexia charities should present a more balanced view</w:t>
      </w:r>
      <w:r>
        <w:rPr>
          <w:rFonts w:ascii="Arial" w:hAnsi="Arial"/>
          <w:u w:color="000000"/>
          <w:rtl w:val="0"/>
          <w:lang w:val="en-US"/>
        </w:rPr>
        <w:t>.</w:t>
      </w:r>
    </w:p>
    <w:p>
      <w:pPr>
        <w:pStyle w:val="Body"/>
        <w:bidi w:val="0"/>
        <w:ind w:left="0" w:right="0" w:firstLine="0"/>
        <w:jc w:val="left"/>
        <w:rPr>
          <w:rFonts w:ascii="Arial" w:cs="Arial" w:hAnsi="Arial" w:eastAsia="Arial"/>
          <w:u w:color="000000"/>
          <w:rtl w:val="0"/>
        </w:rPr>
      </w:pPr>
    </w:p>
    <w:p>
      <w:pPr>
        <w:pStyle w:val="Body"/>
        <w:bidi w:val="0"/>
        <w:ind w:left="0" w:right="0" w:firstLine="0"/>
        <w:jc w:val="both"/>
        <w:rPr>
          <w:rFonts w:ascii="Arial" w:cs="Arial" w:hAnsi="Arial" w:eastAsia="Arial"/>
          <w:u w:color="000000"/>
          <w:rtl w:val="0"/>
        </w:rPr>
      </w:pPr>
      <w:r>
        <w:rPr>
          <w:rFonts w:ascii="Arial" w:hAnsi="Arial"/>
          <w:u w:color="000000"/>
          <w:rtl w:val="0"/>
          <w:lang w:val="en-US"/>
        </w:rPr>
        <w:t xml:space="preserve">International Dyslexic Association (2017) Dyslexia in the classroom; What every teacher needs to know. Available at; </w:t>
      </w:r>
      <w:r>
        <w:rPr>
          <w:rStyle w:val="Hyperlink.0"/>
          <w:rFonts w:ascii="Arial" w:cs="Arial" w:hAnsi="Arial" w:eastAsia="Arial"/>
          <w:u w:color="000000"/>
          <w:rtl w:val="0"/>
        </w:rPr>
        <w:fldChar w:fldCharType="begin" w:fldLock="0"/>
      </w:r>
      <w:r>
        <w:rPr>
          <w:rStyle w:val="Hyperlink.0"/>
          <w:rFonts w:ascii="Arial" w:cs="Arial" w:hAnsi="Arial" w:eastAsia="Arial"/>
          <w:u w:color="000000"/>
          <w:rtl w:val="0"/>
        </w:rPr>
        <w:instrText xml:space="preserve"> HYPERLINK "https://dyslexiaida.org/wp-content/uploads/2015/01/DITC-Handbook.pdf"</w:instrText>
      </w:r>
      <w:r>
        <w:rPr>
          <w:rStyle w:val="Hyperlink.0"/>
          <w:rFonts w:ascii="Arial" w:cs="Arial" w:hAnsi="Arial" w:eastAsia="Arial"/>
          <w:u w:color="000000"/>
          <w:rtl w:val="0"/>
        </w:rPr>
        <w:fldChar w:fldCharType="separate" w:fldLock="0"/>
      </w:r>
      <w:r>
        <w:rPr>
          <w:rStyle w:val="Hyperlink.0"/>
          <w:rFonts w:ascii="Arial" w:hAnsi="Arial"/>
          <w:u w:color="000000"/>
          <w:rtl w:val="0"/>
          <w:lang w:val="en-US"/>
        </w:rPr>
        <w:t>https://dyslexiaida.org/wp-content/uploads/2015/01/DITC-Handbook.pdf</w:t>
      </w:r>
      <w:r>
        <w:rPr>
          <w:rFonts w:ascii="Arial" w:cs="Arial" w:hAnsi="Arial" w:eastAsia="Arial"/>
          <w:u w:color="000000"/>
          <w:rtl w:val="0"/>
        </w:rPr>
        <w:fldChar w:fldCharType="end" w:fldLock="0"/>
      </w:r>
      <w:r>
        <w:rPr>
          <w:rFonts w:ascii="Arial" w:hAnsi="Arial"/>
          <w:u w:color="000000"/>
          <w:rtl w:val="0"/>
          <w:lang w:val="en-US"/>
        </w:rPr>
        <w:t xml:space="preserve"> [Accessed on 29/04/19] </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Coffield, M. et al (2008) Dyslexia Friendly Primary Schools: What can We Learn from Asking the Pupils? In The SAGE Handbook of Dyslexia, (2008) Gavin Reid, Angela J. Fawcett, Frank Manis &amp; Linda S. Siegel (Ed.) p356-368</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Thompson, J. (2010) </w:t>
      </w:r>
      <w:r>
        <w:rPr>
          <w:rFonts w:ascii="Arial" w:hAnsi="Arial"/>
          <w:u w:color="000000"/>
          <w:rtl w:val="0"/>
          <w:lang w:val="en-US"/>
        </w:rPr>
        <w:t>Good Practice in interventions for teaching dyslexic learners and in teacher training in English</w:t>
      </w:r>
      <w:r>
        <w:rPr>
          <w:rFonts w:ascii="Arial Unicode MS" w:cs="Arial Unicode MS" w:hAnsi="Arial Unicode MS" w:eastAsia="Arial Unicode MS" w:hint="default"/>
          <w:b w:val="0"/>
          <w:bCs w:val="0"/>
          <w:i w:val="0"/>
          <w:iCs w:val="0"/>
          <w:u w:color="000000"/>
          <w:rtl w:val="0"/>
        </w:rPr>
        <w:t>‐</w:t>
      </w:r>
      <w:r>
        <w:rPr>
          <w:rFonts w:ascii="Arial" w:hAnsi="Arial"/>
          <w:u w:color="000000"/>
          <w:rtl w:val="0"/>
          <w:lang w:val="en-US"/>
        </w:rPr>
        <w:t>speaking countries</w:t>
      </w:r>
      <w:r>
        <w:rPr>
          <w:rFonts w:ascii="Arial" w:hAnsi="Arial"/>
          <w:u w:color="000000"/>
          <w:rtl w:val="0"/>
          <w:lang w:val="en-US"/>
        </w:rPr>
        <w:t xml:space="preserve">. Available at: </w:t>
      </w:r>
      <w:r>
        <w:rPr>
          <w:rStyle w:val="Hyperlink.0"/>
          <w:rFonts w:ascii="Arial" w:cs="Arial" w:hAnsi="Arial" w:eastAsia="Arial"/>
          <w:u w:color="000000"/>
          <w:rtl w:val="0"/>
        </w:rPr>
        <w:fldChar w:fldCharType="begin" w:fldLock="0"/>
      </w:r>
      <w:r>
        <w:rPr>
          <w:rStyle w:val="Hyperlink.0"/>
          <w:rFonts w:ascii="Arial" w:cs="Arial" w:hAnsi="Arial" w:eastAsia="Arial"/>
          <w:u w:color="000000"/>
          <w:rtl w:val="0"/>
        </w:rPr>
        <w:instrText xml:space="preserve"> HYPERLINK "https://www.dyslexia-international.org/WDF/Files/WDF2010-Thomson-Report.pdf"</w:instrText>
      </w:r>
      <w:r>
        <w:rPr>
          <w:rStyle w:val="Hyperlink.0"/>
          <w:rFonts w:ascii="Arial" w:cs="Arial" w:hAnsi="Arial" w:eastAsia="Arial"/>
          <w:u w:color="000000"/>
          <w:rtl w:val="0"/>
        </w:rPr>
        <w:fldChar w:fldCharType="separate" w:fldLock="0"/>
      </w:r>
      <w:r>
        <w:rPr>
          <w:rStyle w:val="Hyperlink.0"/>
          <w:rFonts w:ascii="Arial" w:hAnsi="Arial"/>
          <w:u w:color="000000"/>
          <w:rtl w:val="0"/>
          <w:lang w:val="en-US"/>
        </w:rPr>
        <w:t>https://www.dyslexia-international.org/WDF/Files/WDF2010-Thomson-Report.pdf</w:t>
      </w:r>
      <w:r>
        <w:rPr>
          <w:rFonts w:ascii="Arial" w:cs="Arial" w:hAnsi="Arial" w:eastAsia="Arial"/>
          <w:u w:color="000000"/>
          <w:rtl w:val="0"/>
        </w:rPr>
        <w:fldChar w:fldCharType="end" w:fldLock="0"/>
      </w:r>
      <w:r>
        <w:rPr>
          <w:rFonts w:ascii="Arial" w:hAnsi="Arial"/>
          <w:u w:color="000000"/>
          <w:rtl w:val="0"/>
          <w:lang w:val="en-US"/>
        </w:rPr>
        <w:t xml:space="preserve"> [Accessed on 26/04/19]</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NHS.(2018) Overview; Dyslexia.  Available at: </w:t>
      </w:r>
      <w:r>
        <w:rPr>
          <w:rStyle w:val="Hyperlink.0"/>
          <w:rFonts w:ascii="Arial" w:cs="Arial" w:hAnsi="Arial" w:eastAsia="Arial"/>
          <w:u w:color="000000"/>
          <w:rtl w:val="0"/>
        </w:rPr>
        <w:fldChar w:fldCharType="begin" w:fldLock="0"/>
      </w:r>
      <w:r>
        <w:rPr>
          <w:rStyle w:val="Hyperlink.0"/>
          <w:rFonts w:ascii="Arial" w:cs="Arial" w:hAnsi="Arial" w:eastAsia="Arial"/>
          <w:u w:color="000000"/>
          <w:rtl w:val="0"/>
        </w:rPr>
        <w:instrText xml:space="preserve"> HYPERLINK "https://www.nhs.uk/conditions/dyslexia/"</w:instrText>
      </w:r>
      <w:r>
        <w:rPr>
          <w:rStyle w:val="Hyperlink.0"/>
          <w:rFonts w:ascii="Arial" w:cs="Arial" w:hAnsi="Arial" w:eastAsia="Arial"/>
          <w:u w:color="000000"/>
          <w:rtl w:val="0"/>
        </w:rPr>
        <w:fldChar w:fldCharType="separate" w:fldLock="0"/>
      </w:r>
      <w:r>
        <w:rPr>
          <w:rStyle w:val="Hyperlink.0"/>
          <w:rFonts w:ascii="Arial" w:hAnsi="Arial"/>
          <w:u w:color="000000"/>
          <w:rtl w:val="0"/>
          <w:lang w:val="en-US"/>
        </w:rPr>
        <w:t>https://www.nhs.uk/conditions/dyslexia/</w:t>
      </w:r>
      <w:r>
        <w:rPr>
          <w:rFonts w:ascii="Arial" w:cs="Arial" w:hAnsi="Arial" w:eastAsia="Arial"/>
          <w:u w:color="000000"/>
          <w:rtl w:val="0"/>
        </w:rPr>
        <w:fldChar w:fldCharType="end" w:fldLock="0"/>
      </w:r>
      <w:r>
        <w:rPr>
          <w:rFonts w:ascii="Arial" w:hAnsi="Arial"/>
          <w:u w:color="000000"/>
          <w:rtl w:val="0"/>
          <w:lang w:val="en-US"/>
        </w:rPr>
        <w:t xml:space="preserve"> [Accessed on 25/04/19] </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OFSTED. (2008) </w:t>
      </w:r>
      <w:r>
        <w:rPr>
          <w:rFonts w:ascii="Arial" w:hAnsi="Arial"/>
          <w:u w:color="000000"/>
          <w:rtl w:val="0"/>
          <w:lang w:val="en-US"/>
        </w:rPr>
        <w:t>How well new teachers are prepared to teach pupils with learning difficulties and/or disabilities</w:t>
      </w:r>
      <w:r>
        <w:rPr>
          <w:rFonts w:ascii="Arial" w:hAnsi="Arial"/>
          <w:u w:color="000000"/>
          <w:rtl w:val="0"/>
          <w:lang w:val="en-US"/>
        </w:rPr>
        <w:t xml:space="preserve">. Available at; </w:t>
      </w:r>
      <w:r>
        <w:rPr>
          <w:rStyle w:val="Hyperlink.0"/>
          <w:rFonts w:ascii="Arial" w:cs="Arial" w:hAnsi="Arial" w:eastAsia="Arial"/>
          <w:u w:color="000000"/>
          <w:rtl w:val="0"/>
        </w:rPr>
        <w:fldChar w:fldCharType="begin" w:fldLock="0"/>
      </w:r>
      <w:r>
        <w:rPr>
          <w:rStyle w:val="Hyperlink.0"/>
          <w:rFonts w:ascii="Arial" w:cs="Arial" w:hAnsi="Arial" w:eastAsia="Arial"/>
          <w:u w:color="000000"/>
          <w:rtl w:val="0"/>
        </w:rPr>
        <w:instrText xml:space="preserve"> HYPERLINK "https://dera.ioe.ac.uk/9257/1/How%20well%20new%20teachers%20are%20prepared%20to%20teach%20pupils%20with%20learning%20difficulties%20and%20or%20disabilities.pdf"</w:instrText>
      </w:r>
      <w:r>
        <w:rPr>
          <w:rStyle w:val="Hyperlink.0"/>
          <w:rFonts w:ascii="Arial" w:cs="Arial" w:hAnsi="Arial" w:eastAsia="Arial"/>
          <w:u w:color="000000"/>
          <w:rtl w:val="0"/>
        </w:rPr>
        <w:fldChar w:fldCharType="separate" w:fldLock="0"/>
      </w:r>
      <w:r>
        <w:rPr>
          <w:rStyle w:val="Hyperlink.0"/>
          <w:rFonts w:ascii="Arial" w:hAnsi="Arial"/>
          <w:u w:color="000000"/>
          <w:rtl w:val="0"/>
          <w:lang w:val="en-US"/>
        </w:rPr>
        <w:t>https://dera.ioe.ac.uk/9257/1/How%20well%20new%20teachers%20are%20prepared%20to%20teach%20pupils%20with%20learning%20difficulties%20and%20or%20disabilities.pdf</w:t>
      </w:r>
      <w:r>
        <w:rPr>
          <w:rFonts w:ascii="Arial" w:cs="Arial" w:hAnsi="Arial" w:eastAsia="Arial"/>
          <w:u w:color="000000"/>
          <w:rtl w:val="0"/>
        </w:rPr>
        <w:fldChar w:fldCharType="end" w:fldLock="0"/>
      </w:r>
      <w:r>
        <w:rPr>
          <w:rFonts w:ascii="Arial" w:hAnsi="Arial"/>
          <w:u w:color="000000"/>
          <w:rtl w:val="0"/>
          <w:lang w:val="en-US"/>
        </w:rPr>
        <w:t xml:space="preserve"> [Accessed on 27/04/19]</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de-DE"/>
        </w:rPr>
        <w:t>Warner M</w:t>
      </w:r>
      <w:r>
        <w:rPr>
          <w:rFonts w:ascii="Arial" w:hAnsi="Arial"/>
          <w:u w:color="000000"/>
          <w:rtl w:val="0"/>
          <w:lang w:val="en-US"/>
        </w:rPr>
        <w:t>,</w:t>
      </w:r>
      <w:r>
        <w:rPr>
          <w:rFonts w:ascii="Arial" w:hAnsi="Arial"/>
          <w:u w:color="000000"/>
          <w:rtl w:val="0"/>
          <w:lang w:val="en-US"/>
        </w:rPr>
        <w:t xml:space="preserve"> M. (1981) A Comparison of Five Discrepancy Criteria for Determining Learning Disabilities in Secondary School Populations [Research Report 50]. Institute for Research in Learning Disabilities, Lawrence, KS.</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Welsh Assembly. (2013) SEN Code of Practice. Available at; </w:t>
      </w:r>
      <w:r>
        <w:rPr>
          <w:rStyle w:val="Hyperlink.0"/>
          <w:rFonts w:ascii="Arial" w:cs="Arial" w:hAnsi="Arial" w:eastAsia="Arial"/>
          <w:u w:color="000000"/>
          <w:rtl w:val="0"/>
        </w:rPr>
        <w:fldChar w:fldCharType="begin" w:fldLock="0"/>
      </w:r>
      <w:r>
        <w:rPr>
          <w:rStyle w:val="Hyperlink.0"/>
          <w:rFonts w:ascii="Arial" w:cs="Arial" w:hAnsi="Arial" w:eastAsia="Arial"/>
          <w:u w:color="000000"/>
          <w:rtl w:val="0"/>
        </w:rPr>
        <w:instrText xml:space="preserve"> HYPERLINK "https://learning.gov.wales/docs/learningwales/publications/131016-sen-code-of-practice-for-wales-en.pdf"</w:instrText>
      </w:r>
      <w:r>
        <w:rPr>
          <w:rStyle w:val="Hyperlink.0"/>
          <w:rFonts w:ascii="Arial" w:cs="Arial" w:hAnsi="Arial" w:eastAsia="Arial"/>
          <w:u w:color="000000"/>
          <w:rtl w:val="0"/>
        </w:rPr>
        <w:fldChar w:fldCharType="separate" w:fldLock="0"/>
      </w:r>
      <w:r>
        <w:rPr>
          <w:rStyle w:val="Hyperlink.0"/>
          <w:rFonts w:ascii="Arial" w:hAnsi="Arial"/>
          <w:u w:color="000000"/>
          <w:rtl w:val="0"/>
          <w:lang w:val="en-US"/>
        </w:rPr>
        <w:t>https://learning.gov.wales/docs/learningwales/publications/131016-sen-code-of-practice-for-wales-en.pdf</w:t>
      </w:r>
      <w:r>
        <w:rPr>
          <w:rFonts w:ascii="Arial" w:cs="Arial" w:hAnsi="Arial" w:eastAsia="Arial"/>
          <w:u w:color="000000"/>
          <w:rtl w:val="0"/>
        </w:rPr>
        <w:fldChar w:fldCharType="end" w:fldLock="0"/>
      </w:r>
      <w:r>
        <w:rPr>
          <w:rFonts w:ascii="Arial" w:hAnsi="Arial"/>
          <w:u w:color="000000"/>
          <w:rtl w:val="0"/>
          <w:lang w:val="en-US"/>
        </w:rPr>
        <w:t xml:space="preserve"> [Accessed on 26/04/19] </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Welsh Assembly. (2012) </w:t>
      </w:r>
      <w:r>
        <w:rPr>
          <w:rFonts w:ascii="Arial" w:hAnsi="Arial"/>
          <w:u w:color="000000"/>
          <w:rtl w:val="0"/>
          <w:lang w:val="en-US"/>
        </w:rPr>
        <w:t>Research into dyslexia provision in Wales</w:t>
      </w:r>
      <w:r>
        <w:rPr>
          <w:rFonts w:ascii="Arial" w:hAnsi="Arial"/>
          <w:u w:color="000000"/>
          <w:rtl w:val="0"/>
          <w:lang w:val="en-US"/>
        </w:rPr>
        <w:t>. Crown Publishing. Cardiff.</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 xml:space="preserve">Welsh Assembly. (2010) </w:t>
      </w:r>
      <w:r>
        <w:rPr>
          <w:rFonts w:ascii="Arial" w:hAnsi="Arial"/>
          <w:u w:color="000000"/>
          <w:rtl w:val="0"/>
          <w:lang w:val="en-US"/>
        </w:rPr>
        <w:t>How to develop thinking and assessment for learning in the classroom</w:t>
      </w:r>
      <w:r>
        <w:rPr>
          <w:rFonts w:ascii="Arial" w:hAnsi="Arial"/>
          <w:u w:color="000000"/>
          <w:rtl w:val="0"/>
          <w:lang w:val="en-US"/>
        </w:rPr>
        <w:t>. Crown Publishing. Cardiff.</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r>
        <w:rPr>
          <w:rFonts w:ascii="Arial" w:hAnsi="Arial"/>
          <w:u w:color="000000"/>
          <w:rtl w:val="0"/>
          <w:lang w:val="en-US"/>
        </w:rPr>
        <w:t>United Nations (1989) Convention on the Rights of the Child</w:t>
      </w:r>
      <w:r>
        <w:rPr>
          <w:rFonts w:ascii="Arial" w:hAnsi="Arial"/>
          <w:u w:color="000000"/>
          <w:rtl w:val="0"/>
          <w:lang w:val="en-US"/>
        </w:rPr>
        <w:t xml:space="preserve">. Available at; </w:t>
      </w:r>
      <w:r>
        <w:rPr>
          <w:rStyle w:val="Hyperlink.0"/>
          <w:rFonts w:ascii="Arial" w:cs="Arial" w:hAnsi="Arial" w:eastAsia="Arial"/>
          <w:u w:color="000000"/>
          <w:rtl w:val="0"/>
        </w:rPr>
        <w:fldChar w:fldCharType="begin" w:fldLock="0"/>
      </w:r>
      <w:r>
        <w:rPr>
          <w:rStyle w:val="Hyperlink.0"/>
          <w:rFonts w:ascii="Arial" w:cs="Arial" w:hAnsi="Arial" w:eastAsia="Arial"/>
          <w:u w:color="000000"/>
          <w:rtl w:val="0"/>
        </w:rPr>
        <w:instrText xml:space="preserve"> HYPERLINK "https://www.unicef.org.uk/wp-content/uploads/2010/05/UNCRC_summary-1.pdf"</w:instrText>
      </w:r>
      <w:r>
        <w:rPr>
          <w:rStyle w:val="Hyperlink.0"/>
          <w:rFonts w:ascii="Arial" w:cs="Arial" w:hAnsi="Arial" w:eastAsia="Arial"/>
          <w:u w:color="000000"/>
          <w:rtl w:val="0"/>
        </w:rPr>
        <w:fldChar w:fldCharType="separate" w:fldLock="0"/>
      </w:r>
      <w:r>
        <w:rPr>
          <w:rStyle w:val="Hyperlink.0"/>
          <w:rFonts w:ascii="Arial" w:hAnsi="Arial"/>
          <w:u w:color="000000"/>
          <w:rtl w:val="0"/>
          <w:lang w:val="en-US"/>
        </w:rPr>
        <w:t>https://www.unicef.org.uk/wp-content/uploads/2010/05/UNCRC_summary-1.pdf</w:t>
      </w:r>
      <w:r>
        <w:rPr>
          <w:rFonts w:ascii="Arial" w:cs="Arial" w:hAnsi="Arial" w:eastAsia="Arial"/>
          <w:u w:color="000000"/>
          <w:rtl w:val="0"/>
        </w:rPr>
        <w:fldChar w:fldCharType="end" w:fldLock="0"/>
      </w:r>
      <w:r>
        <w:rPr>
          <w:rFonts w:ascii="Arial" w:hAnsi="Arial"/>
          <w:u w:color="000000"/>
          <w:rtl w:val="0"/>
          <w:lang w:val="en-US"/>
        </w:rPr>
        <w:t xml:space="preserve"> [Accessed on 27/04/19]</w:t>
      </w: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Fonts w:ascii="Arial" w:cs="Arial" w:hAnsi="Arial" w:eastAsia="Arial"/>
          <w:u w:color="000000"/>
          <w:rtl w:val="0"/>
        </w:rPr>
      </w:pPr>
    </w:p>
    <w:p>
      <w:pPr>
        <w:pStyle w:val="Body"/>
        <w:bidi w:val="0"/>
        <w:ind w:left="0" w:right="0" w:firstLine="0"/>
        <w:jc w:val="left"/>
        <w:rPr>
          <w:rtl w:val="0"/>
        </w:rPr>
      </w:pPr>
      <w:r>
        <w:rPr>
          <w:rFonts w:ascii="Arial" w:hAnsi="Arial"/>
          <w:sz w:val="34"/>
          <w:szCs w:val="34"/>
          <w:u w:color="000000"/>
          <w:rtl w:val="0"/>
          <w:lang w:val="en-US"/>
        </w:rPr>
        <w:t>Append</w:t>
      </w:r>
      <w:r>
        <mc:AlternateContent>
          <mc:Choice Requires="wpg">
            <w:drawing>
              <wp:anchor distT="152400" distB="152400" distL="152400" distR="152400" simplePos="0" relativeHeight="251665408" behindDoc="0" locked="0" layoutInCell="1" allowOverlap="1">
                <wp:simplePos x="0" y="0"/>
                <wp:positionH relativeFrom="page">
                  <wp:posOffset>365760</wp:posOffset>
                </wp:positionH>
                <wp:positionV relativeFrom="page">
                  <wp:posOffset>1611725</wp:posOffset>
                </wp:positionV>
                <wp:extent cx="6557112" cy="8469808"/>
                <wp:effectExtent l="0" t="0" r="0" b="0"/>
                <wp:wrapTopAndBottom distT="152400" distB="152400"/>
                <wp:docPr id="1073741856" name="officeArt object"/>
                <wp:cNvGraphicFramePr/>
                <a:graphic xmlns:a="http://schemas.openxmlformats.org/drawingml/2006/main">
                  <a:graphicData uri="http://schemas.microsoft.com/office/word/2010/wordprocessingGroup">
                    <wpg:wgp>
                      <wpg:cNvGrpSpPr/>
                      <wpg:grpSpPr>
                        <a:xfrm>
                          <a:off x="0" y="0"/>
                          <a:ext cx="6557112" cy="8469808"/>
                          <a:chOff x="0" y="0"/>
                          <a:chExt cx="6557111" cy="8469807"/>
                        </a:xfrm>
                      </wpg:grpSpPr>
                      <pic:pic xmlns:pic="http://schemas.openxmlformats.org/drawingml/2006/picture">
                        <pic:nvPicPr>
                          <pic:cNvPr id="1073741847" name="Screenshot 2019-04-29 at 11.57.28.png"/>
                          <pic:cNvPicPr>
                            <a:picLocks noChangeAspect="1"/>
                          </pic:cNvPicPr>
                        </pic:nvPicPr>
                        <pic:blipFill>
                          <a:blip r:embed="rId11">
                            <a:extLst/>
                          </a:blip>
                          <a:stretch>
                            <a:fillRect/>
                          </a:stretch>
                        </pic:blipFill>
                        <pic:spPr>
                          <a:xfrm>
                            <a:off x="0" y="4966776"/>
                            <a:ext cx="6471169" cy="3503032"/>
                          </a:xfrm>
                          <a:prstGeom prst="rect">
                            <a:avLst/>
                          </a:prstGeom>
                          <a:ln w="12700" cap="flat">
                            <a:noFill/>
                            <a:miter lim="400000"/>
                          </a:ln>
                          <a:effectLst/>
                        </pic:spPr>
                      </pic:pic>
                      <wpg:grpSp>
                        <wpg:cNvPr id="1073741852" name="Group 1073741852"/>
                        <wpg:cNvGrpSpPr/>
                        <wpg:grpSpPr>
                          <a:xfrm>
                            <a:off x="85943" y="0"/>
                            <a:ext cx="6471169" cy="3793146"/>
                            <a:chOff x="0" y="0"/>
                            <a:chExt cx="6471168" cy="3793145"/>
                          </a:xfrm>
                        </wpg:grpSpPr>
                        <pic:pic xmlns:pic="http://schemas.openxmlformats.org/drawingml/2006/picture">
                          <pic:nvPicPr>
                            <pic:cNvPr id="1073741848" name="Screenshot 2019-04-29 at 11.57.52.png"/>
                            <pic:cNvPicPr>
                              <a:picLocks noChangeAspect="1"/>
                            </pic:cNvPicPr>
                          </pic:nvPicPr>
                          <pic:blipFill>
                            <a:blip r:embed="rId12">
                              <a:extLst/>
                            </a:blip>
                            <a:stretch>
                              <a:fillRect/>
                            </a:stretch>
                          </pic:blipFill>
                          <pic:spPr>
                            <a:xfrm>
                              <a:off x="0" y="762744"/>
                              <a:ext cx="6471169" cy="3030402"/>
                            </a:xfrm>
                            <a:prstGeom prst="rect">
                              <a:avLst/>
                            </a:prstGeom>
                            <a:ln w="12700" cap="flat">
                              <a:noFill/>
                              <a:miter lim="400000"/>
                            </a:ln>
                            <a:effectLst/>
                          </pic:spPr>
                        </pic:pic>
                        <wps:wsp>
                          <wps:cNvPr id="1073741849" name="Shape 1073741849"/>
                          <wps:cNvSpPr txBox="1"/>
                          <wps:spPr>
                            <a:xfrm>
                              <a:off x="256391" y="333029"/>
                              <a:ext cx="3357153" cy="1718863"/>
                            </a:xfrm>
                            <a:prstGeom prst="rect">
                              <a:avLst/>
                            </a:prstGeom>
                            <a:noFill/>
                            <a:ln w="12700" cap="flat">
                              <a:noFill/>
                              <a:miter lim="400000"/>
                            </a:ln>
                            <a:effectLst/>
                          </wps:spPr>
                          <wps:txbx>
                            <w:txbxContent>
                              <w:p>
                                <w:pPr>
                                  <w:pStyle w:val="Body"/>
                                  <w:bidi w:val="0"/>
                                </w:pPr>
                                <w:r>
                                  <w:rPr>
                                    <w:rFonts w:cs="Arial Unicode MS" w:eastAsia="Arial Unicode MS"/>
                                    <w:rtl w:val="0"/>
                                    <w:lang w:val="en-US"/>
                                  </w:rPr>
                                  <w:t>Graph showing the number of learners each respondent has interacted with that have shown dyslexic tendencies.</w:t>
                                </w:r>
                              </w:p>
                            </w:txbxContent>
                          </wps:txbx>
                          <wps:bodyPr wrap="square" lIns="50800" tIns="50800" rIns="50800" bIns="50800" numCol="1" anchor="t">
                            <a:noAutofit/>
                          </wps:bodyPr>
                        </wps:wsp>
                        <wps:wsp>
                          <wps:cNvPr id="1073741850" name="Shape 1073741850"/>
                          <wps:cNvSpPr txBox="1"/>
                          <wps:spPr>
                            <a:xfrm rot="16200000">
                              <a:off x="-1422185" y="1546744"/>
                              <a:ext cx="3357153" cy="263664"/>
                            </a:xfrm>
                            <a:prstGeom prst="rect">
                              <a:avLst/>
                            </a:prstGeom>
                            <a:noFill/>
                            <a:ln w="12700" cap="flat">
                              <a:noFill/>
                              <a:miter lim="400000"/>
                            </a:ln>
                            <a:effectLst/>
                          </wps:spPr>
                          <wps:txbx>
                            <w:txbxContent>
                              <w:p>
                                <w:pPr>
                                  <w:pStyle w:val="Body"/>
                                  <w:bidi w:val="0"/>
                                </w:pPr>
                                <w:r>
                                  <w:rPr>
                                    <w:rFonts w:cs="Arial Unicode MS" w:eastAsia="Arial Unicode MS"/>
                                    <w:rtl w:val="0"/>
                                    <w:lang w:val="en-US"/>
                                  </w:rPr>
                                  <w:t>Number of children interacted with.</w:t>
                                </w:r>
                              </w:p>
                            </w:txbxContent>
                          </wps:txbx>
                          <wps:bodyPr wrap="square" lIns="50800" tIns="50800" rIns="50800" bIns="50800" numCol="1" anchor="t">
                            <a:noAutofit/>
                          </wps:bodyPr>
                        </wps:wsp>
                        <wps:wsp>
                          <wps:cNvPr id="1073741851" name="Shape 1073741851"/>
                          <wps:cNvSpPr txBox="1"/>
                          <wps:spPr>
                            <a:xfrm>
                              <a:off x="1052092" y="3528224"/>
                              <a:ext cx="3357153" cy="264922"/>
                            </a:xfrm>
                            <a:prstGeom prst="rect">
                              <a:avLst/>
                            </a:prstGeom>
                            <a:noFill/>
                            <a:ln w="12700" cap="flat">
                              <a:noFill/>
                              <a:miter lim="400000"/>
                            </a:ln>
                            <a:effectLst/>
                          </wps:spPr>
                          <wps:txbx>
                            <w:txbxContent>
                              <w:p>
                                <w:pPr>
                                  <w:pStyle w:val="Body"/>
                                  <w:bidi w:val="0"/>
                                </w:pPr>
                                <w:r>
                                  <w:rPr>
                                    <w:rFonts w:cs="Arial Unicode MS" w:eastAsia="Arial Unicode MS"/>
                                    <w:rtl w:val="0"/>
                                    <w:lang w:val="en-US"/>
                                  </w:rPr>
                                  <w:t xml:space="preserve">Number of respondents </w:t>
                                </w:r>
                              </w:p>
                            </w:txbxContent>
                          </wps:txbx>
                          <wps:bodyPr wrap="square" lIns="50800" tIns="50800" rIns="50800" bIns="50800" numCol="1" anchor="t">
                            <a:noAutofit/>
                          </wps:bodyPr>
                        </wps:wsp>
                      </wpg:grpSp>
                      <wps:wsp>
                        <wps:cNvPr id="1073741853" name="Shape 1073741853"/>
                        <wps:cNvSpPr txBox="1"/>
                        <wps:spPr>
                          <a:xfrm>
                            <a:off x="474165" y="4966776"/>
                            <a:ext cx="3357153" cy="1718863"/>
                          </a:xfrm>
                          <a:prstGeom prst="rect">
                            <a:avLst/>
                          </a:prstGeom>
                          <a:noFill/>
                          <a:ln w="12700" cap="flat">
                            <a:noFill/>
                            <a:miter lim="400000"/>
                          </a:ln>
                          <a:effectLst/>
                        </wps:spPr>
                        <wps:txbx>
                          <w:txbxContent>
                            <w:p>
                              <w:pPr>
                                <w:pStyle w:val="Body"/>
                                <w:bidi w:val="0"/>
                              </w:pPr>
                              <w:r>
                                <w:rPr>
                                  <w:rFonts w:cs="Arial Unicode MS" w:eastAsia="Arial Unicode MS"/>
                                  <w:rtl w:val="0"/>
                                  <w:lang w:val="en-US"/>
                                </w:rPr>
                                <w:t>Graph showing the number of the above learners that also have a diagnosis for dyslexia.</w:t>
                              </w:r>
                            </w:p>
                          </w:txbxContent>
                        </wps:txbx>
                        <wps:bodyPr wrap="square" lIns="50800" tIns="50800" rIns="50800" bIns="50800" numCol="1" anchor="t">
                          <a:noAutofit/>
                        </wps:bodyPr>
                      </wps:wsp>
                      <wps:wsp>
                        <wps:cNvPr id="1073741854" name="Shape 1073741854"/>
                        <wps:cNvSpPr txBox="1"/>
                        <wps:spPr>
                          <a:xfrm rot="16200000">
                            <a:off x="-1460802" y="6205088"/>
                            <a:ext cx="3357153" cy="263663"/>
                          </a:xfrm>
                          <a:prstGeom prst="rect">
                            <a:avLst/>
                          </a:prstGeom>
                          <a:noFill/>
                          <a:ln w="12700" cap="flat">
                            <a:noFill/>
                            <a:miter lim="400000"/>
                          </a:ln>
                          <a:effectLst/>
                        </wps:spPr>
                        <wps:txbx>
                          <w:txbxContent>
                            <w:p>
                              <w:pPr>
                                <w:pStyle w:val="Body"/>
                                <w:bidi w:val="0"/>
                              </w:pPr>
                              <w:r>
                                <w:rPr>
                                  <w:rFonts w:cs="Arial Unicode MS" w:eastAsia="Arial Unicode MS"/>
                                  <w:rtl w:val="0"/>
                                  <w:lang w:val="en-US"/>
                                </w:rPr>
                                <w:t>Number of children with a diagnosis.</w:t>
                              </w:r>
                            </w:p>
                          </w:txbxContent>
                        </wps:txbx>
                        <wps:bodyPr wrap="square" lIns="50800" tIns="50800" rIns="50800" bIns="50800" numCol="1" anchor="t">
                          <a:noAutofit/>
                        </wps:bodyPr>
                      </wps:wsp>
                      <wps:wsp>
                        <wps:cNvPr id="1073741855" name="Shape 1073741855"/>
                        <wps:cNvSpPr txBox="1"/>
                        <wps:spPr>
                          <a:xfrm>
                            <a:off x="1385121" y="8015495"/>
                            <a:ext cx="3357153" cy="264922"/>
                          </a:xfrm>
                          <a:prstGeom prst="rect">
                            <a:avLst/>
                          </a:prstGeom>
                          <a:noFill/>
                          <a:ln w="12700" cap="flat">
                            <a:noFill/>
                            <a:miter lim="400000"/>
                          </a:ln>
                          <a:effectLst/>
                        </wps:spPr>
                        <wps:txbx>
                          <w:txbxContent>
                            <w:p>
                              <w:pPr>
                                <w:pStyle w:val="Body"/>
                                <w:bidi w:val="0"/>
                              </w:pPr>
                              <w:r>
                                <w:rPr>
                                  <w:rFonts w:cs="Arial Unicode MS" w:eastAsia="Arial Unicode MS"/>
                                  <w:rtl w:val="0"/>
                                  <w:lang w:val="en-US"/>
                                </w:rPr>
                                <w:t xml:space="preserve">Number of respondents </w:t>
                              </w:r>
                            </w:p>
                          </w:txbxContent>
                        </wps:txbx>
                        <wps:bodyPr wrap="square" lIns="50800" tIns="50800" rIns="50800" bIns="50800" numCol="1" anchor="t">
                          <a:noAutofit/>
                        </wps:bodyPr>
                      </wps:wsp>
                    </wpg:wgp>
                  </a:graphicData>
                </a:graphic>
              </wp:anchor>
            </w:drawing>
          </mc:Choice>
          <mc:Fallback>
            <w:pict>
              <v:group id="_x0000_s1047" style="visibility:visible;position:absolute;margin-left:28.8pt;margin-top:126.9pt;width:516.3pt;height:666.9pt;z-index:251665408;mso-position-horizontal:absolute;mso-position-horizontal-relative:page;mso-position-vertical:absolute;mso-position-vertical-relative:page;mso-wrap-distance-left:12.0pt;mso-wrap-distance-top:12.0pt;mso-wrap-distance-right:12.0pt;mso-wrap-distance-bottom:12.0pt;" coordorigin="0,0" coordsize="6557111,8469808">
                <w10:wrap type="topAndBottom" side="bothSides" anchorx="page" anchory="page"/>
                <v:shape id="_x0000_s1048" type="#_x0000_t75" style="position:absolute;left:0;top:4966776;width:6471168;height:3503031;">
                  <v:imagedata r:id="rId11" o:title="Screenshot 2019-04-29 at 11.57.28.png"/>
                </v:shape>
                <v:group id="_x0000_s1049" style="position:absolute;left:85943;top:0;width:6471168;height:3793146;" coordorigin="0,0" coordsize="6471168,3793146">
                  <v:shape id="_x0000_s1050" type="#_x0000_t75" style="position:absolute;left:0;top:762745;width:6471168;height:3030401;">
                    <v:imagedata r:id="rId12" o:title="Screenshot 2019-04-29 at 11.57.52.png"/>
                  </v:shape>
                  <v:shape id="_x0000_s1051" type="#_x0000_t202" style="position:absolute;left:256391;top:333029;width:3357152;height:1718862;">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Fonts w:cs="Arial Unicode MS" w:eastAsia="Arial Unicode MS"/>
                              <w:rtl w:val="0"/>
                              <w:lang w:val="en-US"/>
                            </w:rPr>
                            <w:t>Graph showing the number of learners each respondent has interacted with that have shown dyslexic tendencies.</w:t>
                          </w:r>
                        </w:p>
                      </w:txbxContent>
                    </v:textbox>
                  </v:shape>
                  <v:shape id="_x0000_s1052" type="#_x0000_t202" style="position:absolute;left:-1422185;top:1546745;width:3357152;height:263662;rotation:17694720fd;">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Fonts w:cs="Arial Unicode MS" w:eastAsia="Arial Unicode MS"/>
                              <w:rtl w:val="0"/>
                              <w:lang w:val="en-US"/>
                            </w:rPr>
                            <w:t>Number of children interacted with.</w:t>
                          </w:r>
                        </w:p>
                      </w:txbxContent>
                    </v:textbox>
                  </v:shape>
                  <v:shape id="_x0000_s1053" type="#_x0000_t202" style="position:absolute;left:1052092;top:3528224;width:3357152;height:264921;">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Fonts w:cs="Arial Unicode MS" w:eastAsia="Arial Unicode MS"/>
                              <w:rtl w:val="0"/>
                              <w:lang w:val="en-US"/>
                            </w:rPr>
                            <w:t xml:space="preserve">Number of respondents </w:t>
                          </w:r>
                        </w:p>
                      </w:txbxContent>
                    </v:textbox>
                  </v:shape>
                </v:group>
                <v:shape id="_x0000_s1054" type="#_x0000_t202" style="position:absolute;left:474166;top:4966776;width:3357152;height:1718862;">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Fonts w:cs="Arial Unicode MS" w:eastAsia="Arial Unicode MS"/>
                            <w:rtl w:val="0"/>
                            <w:lang w:val="en-US"/>
                          </w:rPr>
                          <w:t>Graph showing the number of the above learners that also have a diagnosis for dyslexia.</w:t>
                        </w:r>
                      </w:p>
                    </w:txbxContent>
                  </v:textbox>
                </v:shape>
                <v:shape id="_x0000_s1055" type="#_x0000_t202" style="position:absolute;left:-1460802;top:6205088;width:3357152;height:263662;rotation:17694720fd;">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Fonts w:cs="Arial Unicode MS" w:eastAsia="Arial Unicode MS"/>
                            <w:rtl w:val="0"/>
                            <w:lang w:val="en-US"/>
                          </w:rPr>
                          <w:t>Number of children with a diagnosis.</w:t>
                        </w:r>
                      </w:p>
                    </w:txbxContent>
                  </v:textbox>
                </v:shape>
                <v:shape id="_x0000_s1056" type="#_x0000_t202" style="position:absolute;left:1385122;top:8015496;width:3357152;height:264921;">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Fonts w:cs="Arial Unicode MS" w:eastAsia="Arial Unicode MS"/>
                            <w:rtl w:val="0"/>
                            <w:lang w:val="en-US"/>
                          </w:rPr>
                          <w:t xml:space="preserve">Number of respondents </w:t>
                        </w:r>
                      </w:p>
                    </w:txbxContent>
                  </v:textbox>
                </v:shape>
              </v:group>
            </w:pict>
          </mc:Fallback>
        </mc:AlternateContent>
      </w:r>
      <w:r>
        <w:rPr>
          <w:rFonts w:ascii="Arial" w:hAnsi="Arial"/>
          <w:sz w:val="34"/>
          <w:szCs w:val="34"/>
          <w:u w:color="000000"/>
          <w:rtl w:val="0"/>
          <w:lang w:val="en-US"/>
        </w:rPr>
        <w:t>ix.1.1</w:t>
      </w:r>
    </w:p>
    <w:sectPr>
      <w:headerReference w:type="default" r:id="rId13"/>
      <w:footerReference w:type="default" r:id="rId14"/>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ECAD 5003</w:t>
    </w:r>
    <w:r>
      <w:tab/>
    </w:r>
    <w:r>
      <w:rPr/>
      <w:fldChar w:fldCharType="begin" w:fldLock="0"/>
    </w:r>
    <w:r>
      <w:instrText xml:space="preserve"> PAGE </w:instrText>
    </w:r>
    <w:r>
      <w:rPr/>
      <w:fldChar w:fldCharType="separate" w:fldLock="0"/>
    </w:r>
    <w:r>
      <w:t>17</w:t>
    </w:r>
    <w:r>
      <w:rPr/>
      <w:fldChar w:fldCharType="end" w:fldLock="0"/>
    </w:r>
    <w:r>
      <w:rPr>
        <w:rtl w:val="0"/>
        <w:lang w:val="en-US"/>
      </w:rPr>
      <w:t xml:space="preserve"> of </w:t>
    </w:r>
    <w:r>
      <w:rPr/>
      <w:fldChar w:fldCharType="begin" w:fldLock="0"/>
    </w:r>
    <w:r>
      <w:instrText xml:space="preserve"> NUMPAGES </w:instrText>
    </w:r>
    <w:r>
      <w:rPr/>
      <w:fldChar w:fldCharType="separate" w:fldLock="0"/>
    </w:r>
    <w:r>
      <w:t>17</w:t>
    </w:r>
    <w:r>
      <w:rPr/>
      <w:fldChar w:fldCharType="end" w:fldLock="0"/>
    </w:r>
    <w:r>
      <w:tab/>
    </w:r>
    <w:r>
      <w:rPr>
        <w:rtl w:val="0"/>
        <w:lang w:val="en-US"/>
      </w:rPr>
      <w:t>1702851</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1.tif"/><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image" Target="media/image6.png"/><Relationship Id="rId11" Type="http://schemas.openxmlformats.org/officeDocument/2006/relationships/image" Target="media/image7.png"/><Relationship Id="rId12" Type="http://schemas.openxmlformats.org/officeDocument/2006/relationships/image" Target="media/image8.png"/><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