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66034" w14:textId="77777777" w:rsidR="005376F3" w:rsidRPr="000B6A3E" w:rsidRDefault="005376F3" w:rsidP="000B6A3E">
      <w:pPr>
        <w:spacing w:after="0" w:line="360" w:lineRule="auto"/>
        <w:jc w:val="both"/>
        <w:rPr>
          <w:rFonts w:ascii="Arial" w:hAnsi="Arial" w:cs="Arial"/>
          <w:sz w:val="24"/>
          <w:szCs w:val="24"/>
        </w:rPr>
      </w:pPr>
    </w:p>
    <w:p w14:paraId="73859FA0" w14:textId="77777777" w:rsidR="005376F3" w:rsidRPr="000B6A3E" w:rsidRDefault="005376F3" w:rsidP="000B6A3E">
      <w:pPr>
        <w:spacing w:after="0" w:line="360" w:lineRule="auto"/>
        <w:jc w:val="both"/>
        <w:rPr>
          <w:rFonts w:ascii="Arial" w:hAnsi="Arial" w:cs="Arial"/>
          <w:sz w:val="24"/>
          <w:szCs w:val="24"/>
        </w:rPr>
      </w:pPr>
    </w:p>
    <w:p w14:paraId="6849BD53" w14:textId="77777777" w:rsidR="005376F3" w:rsidRPr="000B6A3E" w:rsidRDefault="005376F3" w:rsidP="000B6A3E">
      <w:pPr>
        <w:spacing w:after="0" w:line="360" w:lineRule="auto"/>
        <w:jc w:val="both"/>
        <w:rPr>
          <w:rFonts w:ascii="Arial" w:hAnsi="Arial" w:cs="Arial"/>
          <w:sz w:val="24"/>
          <w:szCs w:val="24"/>
        </w:rPr>
      </w:pPr>
    </w:p>
    <w:p w14:paraId="6FF11143" w14:textId="77777777" w:rsidR="005376F3" w:rsidRPr="000B6A3E" w:rsidRDefault="005376F3" w:rsidP="000B6A3E">
      <w:pPr>
        <w:spacing w:after="0" w:line="360" w:lineRule="auto"/>
        <w:jc w:val="both"/>
        <w:rPr>
          <w:rFonts w:ascii="Arial" w:hAnsi="Arial" w:cs="Arial"/>
          <w:sz w:val="24"/>
          <w:szCs w:val="24"/>
        </w:rPr>
      </w:pPr>
    </w:p>
    <w:p w14:paraId="0E3017B3" w14:textId="77777777" w:rsidR="005376F3" w:rsidRPr="000B6A3E" w:rsidRDefault="005376F3" w:rsidP="000B6A3E">
      <w:pPr>
        <w:spacing w:after="0" w:line="360" w:lineRule="auto"/>
        <w:jc w:val="both"/>
        <w:rPr>
          <w:rFonts w:ascii="Arial" w:hAnsi="Arial" w:cs="Arial"/>
          <w:sz w:val="24"/>
          <w:szCs w:val="24"/>
        </w:rPr>
      </w:pPr>
    </w:p>
    <w:p w14:paraId="6609F847" w14:textId="77777777" w:rsidR="00AC44CA" w:rsidRPr="000B6A3E" w:rsidRDefault="00AC44CA" w:rsidP="000B6A3E">
      <w:pPr>
        <w:spacing w:after="0" w:line="360" w:lineRule="auto"/>
        <w:jc w:val="both"/>
        <w:rPr>
          <w:rFonts w:ascii="Arial" w:hAnsi="Arial" w:cs="Arial"/>
          <w:sz w:val="24"/>
          <w:szCs w:val="24"/>
        </w:rPr>
      </w:pPr>
    </w:p>
    <w:p w14:paraId="2786BC39" w14:textId="77777777" w:rsidR="005376F3" w:rsidRPr="000B6A3E" w:rsidRDefault="005376F3" w:rsidP="000B6A3E">
      <w:pPr>
        <w:spacing w:after="0" w:line="360" w:lineRule="auto"/>
        <w:jc w:val="both"/>
        <w:rPr>
          <w:rFonts w:ascii="Arial" w:hAnsi="Arial" w:cs="Arial"/>
          <w:sz w:val="24"/>
          <w:szCs w:val="24"/>
        </w:rPr>
      </w:pPr>
    </w:p>
    <w:p w14:paraId="76EF96EB" w14:textId="77777777" w:rsidR="005376F3" w:rsidRPr="000B6A3E" w:rsidRDefault="00AC44CA" w:rsidP="000B6A3E">
      <w:pPr>
        <w:spacing w:after="0" w:line="360" w:lineRule="auto"/>
        <w:jc w:val="both"/>
        <w:rPr>
          <w:rFonts w:ascii="Arial" w:hAnsi="Arial" w:cs="Arial"/>
          <w:b/>
          <w:sz w:val="24"/>
          <w:szCs w:val="24"/>
        </w:rPr>
      </w:pPr>
      <w:r w:rsidRPr="000B6A3E">
        <w:rPr>
          <w:rFonts w:ascii="Arial" w:hAnsi="Arial" w:cs="Arial"/>
          <w:b/>
          <w:sz w:val="24"/>
          <w:szCs w:val="24"/>
        </w:rPr>
        <w:t xml:space="preserve">Programme: </w:t>
      </w:r>
      <w:r w:rsidR="005376F3" w:rsidRPr="000B6A3E">
        <w:rPr>
          <w:rFonts w:ascii="Arial" w:hAnsi="Arial" w:cs="Arial"/>
          <w:b/>
          <w:sz w:val="24"/>
          <w:szCs w:val="24"/>
        </w:rPr>
        <w:t>BSc Health and Social Care</w:t>
      </w:r>
    </w:p>
    <w:p w14:paraId="607DA8C2" w14:textId="77777777" w:rsidR="005376F3" w:rsidRPr="000B6A3E" w:rsidRDefault="00AC44CA" w:rsidP="000B6A3E">
      <w:pPr>
        <w:spacing w:after="0" w:line="360" w:lineRule="auto"/>
        <w:jc w:val="both"/>
        <w:rPr>
          <w:rFonts w:ascii="Arial" w:hAnsi="Arial" w:cs="Arial"/>
          <w:b/>
          <w:sz w:val="24"/>
          <w:szCs w:val="24"/>
        </w:rPr>
      </w:pPr>
      <w:r w:rsidRPr="000B6A3E">
        <w:rPr>
          <w:rFonts w:ascii="Arial" w:hAnsi="Arial" w:cs="Arial"/>
          <w:b/>
          <w:sz w:val="24"/>
          <w:szCs w:val="24"/>
        </w:rPr>
        <w:t xml:space="preserve">Module: </w:t>
      </w:r>
      <w:r w:rsidR="005376F3" w:rsidRPr="000B6A3E">
        <w:rPr>
          <w:rFonts w:ascii="Arial" w:hAnsi="Arial" w:cs="Arial"/>
          <w:b/>
          <w:sz w:val="24"/>
          <w:szCs w:val="24"/>
        </w:rPr>
        <w:t>Introduction to Physiology</w:t>
      </w:r>
    </w:p>
    <w:p w14:paraId="4FC01030" w14:textId="77777777" w:rsidR="00AC44CA" w:rsidRPr="000B6A3E" w:rsidRDefault="00AC44CA" w:rsidP="000B6A3E">
      <w:pPr>
        <w:spacing w:after="0" w:line="360" w:lineRule="auto"/>
        <w:jc w:val="both"/>
        <w:rPr>
          <w:rFonts w:ascii="Arial" w:hAnsi="Arial" w:cs="Arial"/>
          <w:b/>
          <w:sz w:val="24"/>
          <w:szCs w:val="24"/>
        </w:rPr>
      </w:pPr>
      <w:r w:rsidRPr="000B6A3E">
        <w:rPr>
          <w:rFonts w:ascii="Arial" w:hAnsi="Arial" w:cs="Arial"/>
          <w:b/>
          <w:sz w:val="24"/>
          <w:szCs w:val="24"/>
        </w:rPr>
        <w:t xml:space="preserve">Module code: </w:t>
      </w:r>
      <w:r w:rsidR="005376F3" w:rsidRPr="000B6A3E">
        <w:rPr>
          <w:rFonts w:ascii="Arial" w:hAnsi="Arial" w:cs="Arial"/>
          <w:b/>
          <w:sz w:val="24"/>
          <w:szCs w:val="24"/>
        </w:rPr>
        <w:t>BMHP5023</w:t>
      </w:r>
    </w:p>
    <w:p w14:paraId="3D3EAB06" w14:textId="77777777" w:rsidR="00AB637D" w:rsidRDefault="00AC44CA" w:rsidP="000B6A3E">
      <w:pPr>
        <w:spacing w:after="0" w:line="360" w:lineRule="auto"/>
        <w:jc w:val="both"/>
        <w:rPr>
          <w:rFonts w:ascii="Arial" w:hAnsi="Arial" w:cs="Arial"/>
          <w:b/>
          <w:sz w:val="24"/>
          <w:szCs w:val="24"/>
        </w:rPr>
      </w:pPr>
      <w:r w:rsidRPr="000B6A3E">
        <w:rPr>
          <w:rFonts w:ascii="Arial" w:hAnsi="Arial" w:cs="Arial"/>
          <w:b/>
          <w:sz w:val="24"/>
          <w:szCs w:val="24"/>
        </w:rPr>
        <w:t>Assignment Title: Component 1: Written Assignment (Case Study Report)</w:t>
      </w:r>
    </w:p>
    <w:p w14:paraId="264D73E5" w14:textId="77777777" w:rsidR="00AB637D" w:rsidRDefault="00AB637D" w:rsidP="000B6A3E">
      <w:pPr>
        <w:spacing w:after="0" w:line="360" w:lineRule="auto"/>
        <w:jc w:val="both"/>
        <w:rPr>
          <w:rFonts w:ascii="Arial" w:hAnsi="Arial" w:cs="Arial"/>
          <w:b/>
          <w:sz w:val="24"/>
          <w:szCs w:val="24"/>
        </w:rPr>
      </w:pPr>
      <w:r>
        <w:rPr>
          <w:rFonts w:ascii="Arial" w:hAnsi="Arial" w:cs="Arial"/>
          <w:b/>
          <w:sz w:val="24"/>
          <w:szCs w:val="24"/>
        </w:rPr>
        <w:t>Student Name: Zuzana Pacajova</w:t>
      </w:r>
    </w:p>
    <w:p w14:paraId="1639E8FE" w14:textId="69C224F1" w:rsidR="005376F3" w:rsidRPr="00AB637D" w:rsidRDefault="00AB637D" w:rsidP="000B6A3E">
      <w:pPr>
        <w:spacing w:after="0" w:line="360" w:lineRule="auto"/>
        <w:jc w:val="both"/>
        <w:rPr>
          <w:rFonts w:ascii="Arial" w:hAnsi="Arial" w:cs="Arial"/>
          <w:b/>
          <w:sz w:val="24"/>
          <w:szCs w:val="24"/>
        </w:rPr>
      </w:pPr>
      <w:r>
        <w:rPr>
          <w:rFonts w:ascii="Arial" w:hAnsi="Arial" w:cs="Arial"/>
          <w:b/>
          <w:sz w:val="24"/>
          <w:szCs w:val="24"/>
        </w:rPr>
        <w:t>Student Number: 2511506</w:t>
      </w:r>
      <w:r w:rsidR="005376F3" w:rsidRPr="000B6A3E">
        <w:rPr>
          <w:rFonts w:ascii="Arial" w:hAnsi="Arial" w:cs="Arial"/>
          <w:sz w:val="24"/>
          <w:szCs w:val="24"/>
        </w:rPr>
        <w:br w:type="page"/>
      </w:r>
    </w:p>
    <w:sdt>
      <w:sdtPr>
        <w:rPr>
          <w:rFonts w:ascii="Arial" w:eastAsiaTheme="minorHAnsi" w:hAnsi="Arial" w:cs="Arial"/>
          <w:color w:val="auto"/>
          <w:sz w:val="24"/>
          <w:szCs w:val="24"/>
        </w:rPr>
        <w:id w:val="675771912"/>
        <w:docPartObj>
          <w:docPartGallery w:val="Table of Contents"/>
          <w:docPartUnique/>
        </w:docPartObj>
      </w:sdtPr>
      <w:sdtEndPr>
        <w:rPr>
          <w:b/>
          <w:bCs/>
          <w:noProof/>
        </w:rPr>
      </w:sdtEndPr>
      <w:sdtContent>
        <w:p w14:paraId="46AC0CCC" w14:textId="77777777" w:rsidR="00AC44CA" w:rsidRPr="000B6A3E" w:rsidRDefault="00AC44CA" w:rsidP="000B6A3E">
          <w:pPr>
            <w:pStyle w:val="TOCHeading"/>
            <w:spacing w:before="0" w:line="360" w:lineRule="auto"/>
            <w:jc w:val="both"/>
            <w:rPr>
              <w:rFonts w:ascii="Arial" w:hAnsi="Arial" w:cs="Arial"/>
              <w:b/>
              <w:color w:val="000000" w:themeColor="text1"/>
              <w:sz w:val="24"/>
              <w:szCs w:val="24"/>
            </w:rPr>
          </w:pPr>
          <w:r w:rsidRPr="000B6A3E">
            <w:rPr>
              <w:rFonts w:ascii="Arial" w:hAnsi="Arial" w:cs="Arial"/>
              <w:b/>
              <w:color w:val="000000" w:themeColor="text1"/>
              <w:sz w:val="24"/>
              <w:szCs w:val="24"/>
            </w:rPr>
            <w:t>Table of Contents</w:t>
          </w:r>
        </w:p>
        <w:p w14:paraId="5173D49C" w14:textId="77777777" w:rsidR="00AC44CA" w:rsidRPr="000B6A3E" w:rsidRDefault="00AC44CA" w:rsidP="000B6A3E">
          <w:pPr>
            <w:spacing w:after="0" w:line="360" w:lineRule="auto"/>
            <w:jc w:val="both"/>
            <w:rPr>
              <w:rFonts w:ascii="Arial" w:hAnsi="Arial" w:cs="Arial"/>
              <w:sz w:val="24"/>
              <w:szCs w:val="24"/>
            </w:rPr>
          </w:pPr>
        </w:p>
        <w:p w14:paraId="63B05117"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r w:rsidRPr="000B6A3E">
            <w:rPr>
              <w:rFonts w:ascii="Arial" w:hAnsi="Arial" w:cs="Arial"/>
              <w:sz w:val="24"/>
              <w:szCs w:val="24"/>
            </w:rPr>
            <w:fldChar w:fldCharType="begin"/>
          </w:r>
          <w:r w:rsidRPr="000B6A3E">
            <w:rPr>
              <w:rFonts w:ascii="Arial" w:hAnsi="Arial" w:cs="Arial"/>
              <w:sz w:val="24"/>
              <w:szCs w:val="24"/>
            </w:rPr>
            <w:instrText xml:space="preserve"> TOC \o "1-3" \h \z \u </w:instrText>
          </w:r>
          <w:r w:rsidRPr="000B6A3E">
            <w:rPr>
              <w:rFonts w:ascii="Arial" w:hAnsi="Arial" w:cs="Arial"/>
              <w:sz w:val="24"/>
              <w:szCs w:val="24"/>
            </w:rPr>
            <w:fldChar w:fldCharType="separate"/>
          </w:r>
          <w:hyperlink w:anchor="_Toc241916556" w:history="1">
            <w:r w:rsidRPr="000B6A3E">
              <w:rPr>
                <w:rStyle w:val="Hyperlink"/>
                <w:rFonts w:ascii="Arial" w:hAnsi="Arial" w:cs="Arial"/>
                <w:noProof/>
                <w:sz w:val="24"/>
                <w:szCs w:val="24"/>
              </w:rPr>
              <w:t>Introduction</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_Toc241916556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3</w:t>
            </w:r>
            <w:r w:rsidRPr="000B6A3E">
              <w:rPr>
                <w:rFonts w:ascii="Arial" w:hAnsi="Arial" w:cs="Arial"/>
                <w:noProof/>
                <w:webHidden/>
                <w:sz w:val="24"/>
                <w:szCs w:val="24"/>
              </w:rPr>
              <w:fldChar w:fldCharType="end"/>
            </w:r>
          </w:hyperlink>
        </w:p>
        <w:p w14:paraId="7E23D92F"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hyperlink w:anchor="_Toc241916557" w:history="1">
            <w:r w:rsidRPr="000B6A3E">
              <w:rPr>
                <w:rStyle w:val="Hyperlink"/>
                <w:rFonts w:ascii="Arial" w:hAnsi="Arial" w:cs="Arial"/>
                <w:noProof/>
                <w:sz w:val="24"/>
                <w:szCs w:val="24"/>
              </w:rPr>
              <w:t>How Blood Sugar Levels Are Maintained at a Safe and Effective Level</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_Toc241916557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3</w:t>
            </w:r>
            <w:r w:rsidRPr="000B6A3E">
              <w:rPr>
                <w:rFonts w:ascii="Arial" w:hAnsi="Arial" w:cs="Arial"/>
                <w:noProof/>
                <w:webHidden/>
                <w:sz w:val="24"/>
                <w:szCs w:val="24"/>
              </w:rPr>
              <w:fldChar w:fldCharType="end"/>
            </w:r>
          </w:hyperlink>
        </w:p>
        <w:p w14:paraId="404FED9D"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hyperlink w:anchor="_Toc241916558" w:history="1">
            <w:r w:rsidRPr="000B6A3E">
              <w:rPr>
                <w:rStyle w:val="Hyperlink"/>
                <w:rFonts w:ascii="Arial" w:hAnsi="Arial" w:cs="Arial"/>
                <w:noProof/>
                <w:sz w:val="24"/>
                <w:szCs w:val="24"/>
              </w:rPr>
              <w:t>How Oxygen and Glucose Are Used to Produce Energy Through Cell Metabolism</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_Toc241916558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5</w:t>
            </w:r>
            <w:r w:rsidRPr="000B6A3E">
              <w:rPr>
                <w:rFonts w:ascii="Arial" w:hAnsi="Arial" w:cs="Arial"/>
                <w:noProof/>
                <w:webHidden/>
                <w:sz w:val="24"/>
                <w:szCs w:val="24"/>
              </w:rPr>
              <w:fldChar w:fldCharType="end"/>
            </w:r>
          </w:hyperlink>
        </w:p>
        <w:p w14:paraId="555B7E85"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hyperlink w:anchor="_Toc241916559" w:history="1">
            <w:r w:rsidRPr="000B6A3E">
              <w:rPr>
                <w:rStyle w:val="Hyperlink"/>
                <w:rFonts w:ascii="Arial" w:hAnsi="Arial" w:cs="Arial"/>
                <w:noProof/>
                <w:sz w:val="24"/>
                <w:szCs w:val="24"/>
              </w:rPr>
              <w:t>How Recording and Tracking Blood Sugar Levels Supports Safe Type 2 Diabetes Management</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_Toc241916559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6</w:t>
            </w:r>
            <w:r w:rsidRPr="000B6A3E">
              <w:rPr>
                <w:rFonts w:ascii="Arial" w:hAnsi="Arial" w:cs="Arial"/>
                <w:noProof/>
                <w:webHidden/>
                <w:sz w:val="24"/>
                <w:szCs w:val="24"/>
              </w:rPr>
              <w:fldChar w:fldCharType="end"/>
            </w:r>
          </w:hyperlink>
        </w:p>
        <w:p w14:paraId="32119008"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hyperlink w:anchor="_Toc241916560" w:history="1">
            <w:r w:rsidRPr="000B6A3E">
              <w:rPr>
                <w:rStyle w:val="Hyperlink"/>
                <w:rFonts w:ascii="Arial" w:hAnsi="Arial" w:cs="Arial"/>
                <w:noProof/>
                <w:sz w:val="24"/>
                <w:szCs w:val="24"/>
              </w:rPr>
              <w:t>Evidence-Based Lifestyle Recommendations</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_Toc241916560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7</w:t>
            </w:r>
            <w:r w:rsidRPr="000B6A3E">
              <w:rPr>
                <w:rFonts w:ascii="Arial" w:hAnsi="Arial" w:cs="Arial"/>
                <w:noProof/>
                <w:webHidden/>
                <w:sz w:val="24"/>
                <w:szCs w:val="24"/>
              </w:rPr>
              <w:fldChar w:fldCharType="end"/>
            </w:r>
          </w:hyperlink>
        </w:p>
        <w:p w14:paraId="66CF42F8"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hyperlink w:anchor="_Toc241916561" w:history="1">
            <w:r w:rsidRPr="000B6A3E">
              <w:rPr>
                <w:rStyle w:val="Hyperlink"/>
                <w:rFonts w:ascii="Arial" w:hAnsi="Arial" w:cs="Arial"/>
                <w:noProof/>
                <w:sz w:val="24"/>
                <w:szCs w:val="24"/>
              </w:rPr>
              <w:t>Conclusion</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_Toc241916561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8</w:t>
            </w:r>
            <w:r w:rsidRPr="000B6A3E">
              <w:rPr>
                <w:rFonts w:ascii="Arial" w:hAnsi="Arial" w:cs="Arial"/>
                <w:noProof/>
                <w:webHidden/>
                <w:sz w:val="24"/>
                <w:szCs w:val="24"/>
              </w:rPr>
              <w:fldChar w:fldCharType="end"/>
            </w:r>
          </w:hyperlink>
        </w:p>
        <w:p w14:paraId="3849098C" w14:textId="77777777" w:rsidR="00AC44CA" w:rsidRPr="000B6A3E" w:rsidRDefault="00AC44CA" w:rsidP="000B6A3E">
          <w:pPr>
            <w:pStyle w:val="TOC1"/>
            <w:tabs>
              <w:tab w:val="right" w:leader="dot" w:pos="9350"/>
            </w:tabs>
            <w:spacing w:after="0" w:line="360" w:lineRule="auto"/>
            <w:jc w:val="both"/>
            <w:rPr>
              <w:rFonts w:ascii="Arial" w:hAnsi="Arial" w:cs="Arial"/>
              <w:noProof/>
              <w:sz w:val="24"/>
              <w:szCs w:val="24"/>
            </w:rPr>
          </w:pPr>
          <w:hyperlink w:anchor="_Toc241916562" w:history="1">
            <w:r w:rsidRPr="000B6A3E">
              <w:rPr>
                <w:rStyle w:val="Hyperlink"/>
                <w:rFonts w:ascii="Arial" w:hAnsi="Arial" w:cs="Arial"/>
                <w:noProof/>
                <w:sz w:val="24"/>
                <w:szCs w:val="24"/>
              </w:rPr>
              <w:t>References</w:t>
            </w:r>
            <w:r w:rsidRPr="000B6A3E">
              <w:rPr>
                <w:rFonts w:ascii="Arial" w:hAnsi="Arial" w:cs="Arial"/>
                <w:noProof/>
                <w:webHidden/>
                <w:sz w:val="24"/>
                <w:szCs w:val="24"/>
              </w:rPr>
              <w:tab/>
            </w:r>
            <w:r w:rsidRPr="000B6A3E">
              <w:rPr>
                <w:rFonts w:ascii="Arial" w:hAnsi="Arial" w:cs="Arial"/>
                <w:noProof/>
                <w:webHidden/>
                <w:sz w:val="24"/>
                <w:szCs w:val="24"/>
              </w:rPr>
              <w:fldChar w:fldCharType="begin"/>
            </w:r>
            <w:r w:rsidRPr="000B6A3E">
              <w:rPr>
                <w:rFonts w:ascii="Arial" w:hAnsi="Arial" w:cs="Arial"/>
                <w:noProof/>
                <w:webHidden/>
                <w:sz w:val="24"/>
                <w:szCs w:val="24"/>
              </w:rPr>
              <w:instrText xml:space="preserve"> PAGEREF _Toc241916562 \h </w:instrText>
            </w:r>
            <w:r w:rsidRPr="000B6A3E">
              <w:rPr>
                <w:rFonts w:ascii="Arial" w:hAnsi="Arial" w:cs="Arial"/>
                <w:noProof/>
                <w:webHidden/>
                <w:sz w:val="24"/>
                <w:szCs w:val="24"/>
              </w:rPr>
            </w:r>
            <w:r w:rsidRPr="000B6A3E">
              <w:rPr>
                <w:rFonts w:ascii="Arial" w:hAnsi="Arial" w:cs="Arial"/>
                <w:noProof/>
                <w:webHidden/>
                <w:sz w:val="24"/>
                <w:szCs w:val="24"/>
              </w:rPr>
              <w:fldChar w:fldCharType="separate"/>
            </w:r>
            <w:r w:rsidRPr="000B6A3E">
              <w:rPr>
                <w:rFonts w:ascii="Arial" w:hAnsi="Arial" w:cs="Arial"/>
                <w:noProof/>
                <w:webHidden/>
                <w:sz w:val="24"/>
                <w:szCs w:val="24"/>
              </w:rPr>
              <w:t>10</w:t>
            </w:r>
            <w:r w:rsidRPr="000B6A3E">
              <w:rPr>
                <w:rFonts w:ascii="Arial" w:hAnsi="Arial" w:cs="Arial"/>
                <w:noProof/>
                <w:webHidden/>
                <w:sz w:val="24"/>
                <w:szCs w:val="24"/>
              </w:rPr>
              <w:fldChar w:fldCharType="end"/>
            </w:r>
          </w:hyperlink>
        </w:p>
        <w:p w14:paraId="65001773" w14:textId="77777777" w:rsidR="00AC44CA" w:rsidRPr="000B6A3E" w:rsidRDefault="00AC44CA" w:rsidP="000B6A3E">
          <w:pPr>
            <w:spacing w:after="0" w:line="360" w:lineRule="auto"/>
            <w:jc w:val="both"/>
            <w:rPr>
              <w:rFonts w:ascii="Arial" w:hAnsi="Arial" w:cs="Arial"/>
              <w:sz w:val="24"/>
              <w:szCs w:val="24"/>
            </w:rPr>
          </w:pPr>
          <w:r w:rsidRPr="000B6A3E">
            <w:rPr>
              <w:rFonts w:ascii="Arial" w:hAnsi="Arial" w:cs="Arial"/>
              <w:b/>
              <w:bCs/>
              <w:noProof/>
              <w:sz w:val="24"/>
              <w:szCs w:val="24"/>
            </w:rPr>
            <w:fldChar w:fldCharType="end"/>
          </w:r>
        </w:p>
      </w:sdtContent>
    </w:sdt>
    <w:p w14:paraId="4F907D94" w14:textId="77777777" w:rsidR="005376F3" w:rsidRPr="000B6A3E" w:rsidRDefault="005376F3" w:rsidP="000B6A3E">
      <w:pPr>
        <w:spacing w:after="0" w:line="360" w:lineRule="auto"/>
        <w:jc w:val="both"/>
        <w:rPr>
          <w:rFonts w:ascii="Arial" w:hAnsi="Arial" w:cs="Arial"/>
          <w:b/>
          <w:i/>
          <w:sz w:val="24"/>
          <w:szCs w:val="24"/>
        </w:rPr>
      </w:pPr>
      <w:r w:rsidRPr="000B6A3E">
        <w:rPr>
          <w:rFonts w:ascii="Arial" w:hAnsi="Arial" w:cs="Arial"/>
          <w:sz w:val="24"/>
          <w:szCs w:val="24"/>
        </w:rPr>
        <w:br w:type="page"/>
      </w:r>
    </w:p>
    <w:p w14:paraId="752E78B2" w14:textId="77777777" w:rsidR="00176A6E" w:rsidRPr="000B6A3E" w:rsidRDefault="00176A6E" w:rsidP="000B6A3E">
      <w:pPr>
        <w:pStyle w:val="Heading1"/>
        <w:jc w:val="both"/>
        <w:rPr>
          <w:sz w:val="24"/>
          <w:szCs w:val="24"/>
        </w:rPr>
      </w:pPr>
      <w:bookmarkStart w:id="0" w:name="_Toc241916556"/>
      <w:r w:rsidRPr="000B6A3E">
        <w:rPr>
          <w:sz w:val="24"/>
          <w:szCs w:val="24"/>
        </w:rPr>
        <w:lastRenderedPageBreak/>
        <w:t>Introduction</w:t>
      </w:r>
      <w:bookmarkEnd w:id="0"/>
    </w:p>
    <w:p w14:paraId="12D92E04" w14:textId="77777777" w:rsidR="00176A6E" w:rsidRPr="000B6A3E" w:rsidRDefault="00176A6E" w:rsidP="000B6A3E">
      <w:pPr>
        <w:spacing w:after="0" w:line="360" w:lineRule="auto"/>
        <w:ind w:firstLine="720"/>
        <w:jc w:val="both"/>
        <w:rPr>
          <w:rFonts w:ascii="Arial" w:hAnsi="Arial" w:cs="Arial"/>
          <w:sz w:val="24"/>
          <w:szCs w:val="24"/>
        </w:rPr>
      </w:pPr>
      <w:r w:rsidRPr="000B6A3E">
        <w:rPr>
          <w:rFonts w:ascii="Arial" w:hAnsi="Arial" w:cs="Arial"/>
          <w:sz w:val="24"/>
          <w:szCs w:val="24"/>
        </w:rPr>
        <w:t>Diabetes mellitus is a long-term metabolic disorder whereby blood sugar is continuously elevated due to lack of enough insulin production by the pancreas, inability of the body to utili</w:t>
      </w:r>
      <w:r w:rsidR="00F26483" w:rsidRPr="000B6A3E">
        <w:rPr>
          <w:rFonts w:ascii="Arial" w:hAnsi="Arial" w:cs="Arial"/>
          <w:sz w:val="24"/>
          <w:szCs w:val="24"/>
        </w:rPr>
        <w:t>s</w:t>
      </w:r>
      <w:r w:rsidRPr="000B6A3E">
        <w:rPr>
          <w:rFonts w:ascii="Arial" w:hAnsi="Arial" w:cs="Arial"/>
          <w:sz w:val="24"/>
          <w:szCs w:val="24"/>
        </w:rPr>
        <w:t>e insulin and or a combination of the two</w:t>
      </w:r>
      <w:r w:rsidR="00E26A35" w:rsidRPr="000B6A3E">
        <w:rPr>
          <w:rFonts w:ascii="Arial" w:hAnsi="Arial" w:cs="Arial"/>
          <w:sz w:val="24"/>
          <w:szCs w:val="24"/>
        </w:rPr>
        <w:t xml:space="preserve"> (World Health Organization, 2024)</w:t>
      </w:r>
      <w:r w:rsidRPr="000B6A3E">
        <w:rPr>
          <w:rFonts w:ascii="Arial" w:hAnsi="Arial" w:cs="Arial"/>
          <w:sz w:val="24"/>
          <w:szCs w:val="24"/>
        </w:rPr>
        <w:t xml:space="preserve">. Pancreatic beta cells produce insulin which assists in regulation of glucose uptake and use. Autoimmune destruction of beta cells in type 1 diabetes, resulting in insulin deficiency, and insulin resistance coupled with progressive beta-cell dysfunction in type 2 diabetes are the key differences in diabetes types. </w:t>
      </w:r>
    </w:p>
    <w:p w14:paraId="30C711EA"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Since type 2 diabetes is progressive, it is crucial in primary care to discover risk factors. Risks that cannot be avoided are: advanced age, a family history and a South Asian, Chinese, African-Caribbean or Black African family history. Modifiable variables are overweight or obesity that is most especially central adiposity, lack of exercise, bad eating habits and smoking</w:t>
      </w:r>
      <w:r w:rsidR="00E26A35" w:rsidRPr="000B6A3E">
        <w:rPr>
          <w:rFonts w:ascii="Arial" w:hAnsi="Arial" w:cs="Arial"/>
          <w:sz w:val="24"/>
          <w:szCs w:val="24"/>
        </w:rPr>
        <w:t xml:space="preserve"> (Ismail et al., 2021)</w:t>
      </w:r>
      <w:r w:rsidRPr="000B6A3E">
        <w:rPr>
          <w:rFonts w:ascii="Arial" w:hAnsi="Arial" w:cs="Arial"/>
          <w:sz w:val="24"/>
          <w:szCs w:val="24"/>
        </w:rPr>
        <w:t xml:space="preserve">. Past gestational diabetes and hypertension are risk factors. By being aware of these factors, practice nurses are able to select more </w:t>
      </w:r>
      <w:proofErr w:type="gramStart"/>
      <w:r w:rsidRPr="000B6A3E">
        <w:rPr>
          <w:rFonts w:ascii="Arial" w:hAnsi="Arial" w:cs="Arial"/>
          <w:sz w:val="24"/>
          <w:szCs w:val="24"/>
        </w:rPr>
        <w:t>at risk</w:t>
      </w:r>
      <w:proofErr w:type="gramEnd"/>
      <w:r w:rsidRPr="000B6A3E">
        <w:rPr>
          <w:rFonts w:ascii="Arial" w:hAnsi="Arial" w:cs="Arial"/>
          <w:sz w:val="24"/>
          <w:szCs w:val="24"/>
        </w:rPr>
        <w:t xml:space="preserve"> patients and offer specific prevention and lifestyle management.</w:t>
      </w:r>
    </w:p>
    <w:p w14:paraId="60071C44" w14:textId="77777777" w:rsidR="00176A6E" w:rsidRPr="000B6A3E" w:rsidRDefault="00176A6E" w:rsidP="000B6A3E">
      <w:pPr>
        <w:spacing w:after="0" w:line="360" w:lineRule="auto"/>
        <w:jc w:val="both"/>
        <w:rPr>
          <w:rFonts w:ascii="Arial" w:hAnsi="Arial" w:cs="Arial"/>
          <w:sz w:val="24"/>
          <w:szCs w:val="24"/>
        </w:rPr>
      </w:pPr>
    </w:p>
    <w:p w14:paraId="0BD449E1" w14:textId="77777777" w:rsidR="00176A6E" w:rsidRPr="000B6A3E" w:rsidRDefault="00176A6E" w:rsidP="000B6A3E">
      <w:pPr>
        <w:pStyle w:val="Heading1"/>
        <w:jc w:val="both"/>
        <w:rPr>
          <w:sz w:val="24"/>
          <w:szCs w:val="24"/>
        </w:rPr>
      </w:pPr>
      <w:bookmarkStart w:id="1" w:name="_Toc241916557"/>
      <w:r w:rsidRPr="000B6A3E">
        <w:rPr>
          <w:sz w:val="24"/>
          <w:szCs w:val="24"/>
        </w:rPr>
        <w:t>How Blood Sugar Levels Are Maintained at a Safe and Effective Level</w:t>
      </w:r>
      <w:bookmarkEnd w:id="1"/>
      <w:r w:rsidRPr="000B6A3E">
        <w:rPr>
          <w:sz w:val="24"/>
          <w:szCs w:val="24"/>
        </w:rPr>
        <w:t xml:space="preserve"> </w:t>
      </w:r>
    </w:p>
    <w:p w14:paraId="6A22E2CD" w14:textId="224BADAB" w:rsidR="00176A6E" w:rsidRPr="000B6A3E" w:rsidRDefault="00176A6E" w:rsidP="000B6A3E">
      <w:pPr>
        <w:spacing w:after="0" w:line="360" w:lineRule="auto"/>
        <w:ind w:firstLine="720"/>
        <w:jc w:val="both"/>
        <w:rPr>
          <w:rFonts w:ascii="Arial" w:hAnsi="Arial" w:cs="Arial"/>
          <w:sz w:val="24"/>
          <w:szCs w:val="24"/>
        </w:rPr>
      </w:pPr>
      <w:r w:rsidRPr="000B6A3E">
        <w:rPr>
          <w:rFonts w:ascii="Arial" w:hAnsi="Arial" w:cs="Arial"/>
          <w:sz w:val="24"/>
          <w:szCs w:val="24"/>
        </w:rPr>
        <w:t>The level of blood glucose should be closely monitored since glucose is the source of energy to the cells, especially, the brain and muscles at work</w:t>
      </w:r>
      <w:r w:rsidR="000B6A3E" w:rsidRPr="000B6A3E">
        <w:rPr>
          <w:rFonts w:ascii="Arial" w:hAnsi="Arial" w:cs="Arial"/>
          <w:sz w:val="24"/>
          <w:szCs w:val="24"/>
        </w:rPr>
        <w:t xml:space="preserve"> (Jia, 2021)</w:t>
      </w:r>
      <w:r w:rsidRPr="000B6A3E">
        <w:rPr>
          <w:rFonts w:ascii="Arial" w:hAnsi="Arial" w:cs="Arial"/>
          <w:sz w:val="24"/>
          <w:szCs w:val="24"/>
        </w:rPr>
        <w:t>. As a rule, in a healthy person, this balance is determined primarily by the antagonistic activities of insulin and glucagon, hormones secreted by the pancreas. The digestion of a carbohydrate rich meal elevates glucose in bloodstream. The pancreatic beta cells respond by releasing insulin. Insulin helps glucose transport into cells to provide energy and also stores extra glucose to avoid an overabundance of glucose after a meal</w:t>
      </w:r>
      <w:r w:rsidR="00E26A35" w:rsidRPr="000B6A3E">
        <w:rPr>
          <w:rFonts w:ascii="Arial" w:hAnsi="Arial" w:cs="Arial"/>
          <w:sz w:val="24"/>
          <w:szCs w:val="24"/>
        </w:rPr>
        <w:t xml:space="preserve"> (Rahman et al., 2021)</w:t>
      </w:r>
      <w:r w:rsidRPr="000B6A3E">
        <w:rPr>
          <w:rFonts w:ascii="Arial" w:hAnsi="Arial" w:cs="Arial"/>
          <w:sz w:val="24"/>
          <w:szCs w:val="24"/>
        </w:rPr>
        <w:t xml:space="preserve">. </w:t>
      </w:r>
    </w:p>
    <w:p w14:paraId="5763B6CD"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The glucagon comes into play when the blood glucose level drops, e.g. between meals or during exercise. It provokes the liver to decompose the stored glycogen and set free glucose into the bloodstream</w:t>
      </w:r>
      <w:r w:rsidR="00E26A35" w:rsidRPr="000B6A3E">
        <w:rPr>
          <w:rFonts w:ascii="Arial" w:hAnsi="Arial" w:cs="Arial"/>
          <w:sz w:val="24"/>
          <w:szCs w:val="24"/>
        </w:rPr>
        <w:t xml:space="preserve"> (Capozzi et al., 2022)</w:t>
      </w:r>
      <w:r w:rsidRPr="000B6A3E">
        <w:rPr>
          <w:rFonts w:ascii="Arial" w:hAnsi="Arial" w:cs="Arial"/>
          <w:sz w:val="24"/>
          <w:szCs w:val="24"/>
        </w:rPr>
        <w:t xml:space="preserve">. It also stimulates generation of glucose by gluconeogenesis. This feedback system supplies glucose in times of fasting and exercise and defends against perilously low concentrations. </w:t>
      </w:r>
    </w:p>
    <w:p w14:paraId="2768B8A1"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lastRenderedPageBreak/>
        <w:tab/>
        <w:t xml:space="preserve">In the case study, this normal control is disturbed among the patients in GP diabetes clinics. The replacement of insulin is necessary in type 1 diabetes as the body is not able to produce insulin enough. The production of insulin in type 2 diabetes can be insufficient or the tissues in the body can become less responsive to </w:t>
      </w:r>
      <w:proofErr w:type="gramStart"/>
      <w:r w:rsidRPr="000B6A3E">
        <w:rPr>
          <w:rFonts w:ascii="Arial" w:hAnsi="Arial" w:cs="Arial"/>
          <w:sz w:val="24"/>
          <w:szCs w:val="24"/>
        </w:rPr>
        <w:t>insulin by insulin</w:t>
      </w:r>
      <w:proofErr w:type="gramEnd"/>
      <w:r w:rsidRPr="000B6A3E">
        <w:rPr>
          <w:rFonts w:ascii="Arial" w:hAnsi="Arial" w:cs="Arial"/>
          <w:sz w:val="24"/>
          <w:szCs w:val="24"/>
        </w:rPr>
        <w:t xml:space="preserve"> resistance. As a </w:t>
      </w:r>
      <w:proofErr w:type="gramStart"/>
      <w:r w:rsidRPr="000B6A3E">
        <w:rPr>
          <w:rFonts w:ascii="Arial" w:hAnsi="Arial" w:cs="Arial"/>
          <w:sz w:val="24"/>
          <w:szCs w:val="24"/>
        </w:rPr>
        <w:t>result</w:t>
      </w:r>
      <w:proofErr w:type="gramEnd"/>
      <w:r w:rsidRPr="000B6A3E">
        <w:rPr>
          <w:rFonts w:ascii="Arial" w:hAnsi="Arial" w:cs="Arial"/>
          <w:sz w:val="24"/>
          <w:szCs w:val="24"/>
        </w:rPr>
        <w:t xml:space="preserve"> glucose does not get consumed by the cells but is left in the blood system. </w:t>
      </w:r>
    </w:p>
    <w:p w14:paraId="777FD060"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Safe levels are thus maintained by a combination of an individual care plan of treatment, glucose-lowering, lifestyle management, and relevant monitoring. According to NICE, an adult with type 2 diabetes that is controlled by healthy living and an initial medication regime that is not linked to hypoglycaemia should be expected to have an HbA1c 48 mmol/mol (6.5%); whereas in the case of medication that results in a risk of hypoglycaemia, the target is 53 mmol/mol (7.0%). Goals must however be negotiated on an individual basis</w:t>
      </w:r>
      <w:r w:rsidR="00E26A35" w:rsidRPr="000B6A3E">
        <w:rPr>
          <w:rFonts w:ascii="Arial" w:hAnsi="Arial" w:cs="Arial"/>
          <w:sz w:val="24"/>
          <w:szCs w:val="24"/>
        </w:rPr>
        <w:t xml:space="preserve"> (National Institute for Health and Care Excellence, 2025)</w:t>
      </w:r>
      <w:r w:rsidRPr="000B6A3E">
        <w:rPr>
          <w:rFonts w:ascii="Arial" w:hAnsi="Arial" w:cs="Arial"/>
          <w:sz w:val="24"/>
          <w:szCs w:val="24"/>
        </w:rPr>
        <w:t xml:space="preserve">. HbA1c is normally to be measured after every 3- 6 </w:t>
      </w:r>
      <w:proofErr w:type="gramStart"/>
      <w:r w:rsidRPr="000B6A3E">
        <w:rPr>
          <w:rFonts w:ascii="Arial" w:hAnsi="Arial" w:cs="Arial"/>
          <w:sz w:val="24"/>
          <w:szCs w:val="24"/>
        </w:rPr>
        <w:t>months</w:t>
      </w:r>
      <w:proofErr w:type="gramEnd"/>
      <w:r w:rsidRPr="000B6A3E">
        <w:rPr>
          <w:rFonts w:ascii="Arial" w:hAnsi="Arial" w:cs="Arial"/>
          <w:sz w:val="24"/>
          <w:szCs w:val="24"/>
        </w:rPr>
        <w:t xml:space="preserve"> until stable and every 6 months stable. </w:t>
      </w:r>
    </w:p>
    <w:p w14:paraId="7D69F58C" w14:textId="67CC1319"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In patients with insulin therapy or otherwise recommended to self-monitor glucose numbers, documentation of glucose levels provide information about a patient’s patterns in relation to meals, medication and exercise and enable adjustments in treatment safely</w:t>
      </w:r>
      <w:r w:rsidR="000B6A3E" w:rsidRPr="000B6A3E">
        <w:rPr>
          <w:rFonts w:ascii="Arial" w:hAnsi="Arial" w:cs="Arial"/>
          <w:sz w:val="24"/>
          <w:szCs w:val="24"/>
        </w:rPr>
        <w:t xml:space="preserve"> (National Institute for Health and Care Excellence, 2022)</w:t>
      </w:r>
      <w:r w:rsidRPr="000B6A3E">
        <w:rPr>
          <w:rFonts w:ascii="Arial" w:hAnsi="Arial" w:cs="Arial"/>
          <w:sz w:val="24"/>
          <w:szCs w:val="24"/>
        </w:rPr>
        <w:t>. NICE does not suggest routine self-monitoring of every individual with type 2 diabetes using finger prick, its application is based on issues like insulin treatment or the risk of hypoglycaemia. Exercise and proper diet are the additional measures of treatment since food influences the amount of glucose to be taken into the bloodstream and exercise influences the utili</w:t>
      </w:r>
      <w:r w:rsidR="00F26483" w:rsidRPr="000B6A3E">
        <w:rPr>
          <w:rFonts w:ascii="Arial" w:hAnsi="Arial" w:cs="Arial"/>
          <w:sz w:val="24"/>
          <w:szCs w:val="24"/>
        </w:rPr>
        <w:t>s</w:t>
      </w:r>
      <w:r w:rsidRPr="000B6A3E">
        <w:rPr>
          <w:rFonts w:ascii="Arial" w:hAnsi="Arial" w:cs="Arial"/>
          <w:sz w:val="24"/>
          <w:szCs w:val="24"/>
        </w:rPr>
        <w:t>ation of glucose as an energy source</w:t>
      </w:r>
      <w:r w:rsidR="00E26A35" w:rsidRPr="000B6A3E">
        <w:rPr>
          <w:rFonts w:ascii="Arial" w:hAnsi="Arial" w:cs="Arial"/>
          <w:sz w:val="24"/>
          <w:szCs w:val="24"/>
        </w:rPr>
        <w:t xml:space="preserve"> (Reusch, 2022)</w:t>
      </w:r>
      <w:r w:rsidRPr="000B6A3E">
        <w:rPr>
          <w:rFonts w:ascii="Arial" w:hAnsi="Arial" w:cs="Arial"/>
          <w:sz w:val="24"/>
          <w:szCs w:val="24"/>
        </w:rPr>
        <w:t>. In this way the practice nurse will be able to employ recorded trends together with HbA1c to make every patient reali</w:t>
      </w:r>
      <w:r w:rsidR="00F26483" w:rsidRPr="000B6A3E">
        <w:rPr>
          <w:rFonts w:ascii="Arial" w:hAnsi="Arial" w:cs="Arial"/>
          <w:sz w:val="24"/>
          <w:szCs w:val="24"/>
        </w:rPr>
        <w:t>s</w:t>
      </w:r>
      <w:r w:rsidRPr="000B6A3E">
        <w:rPr>
          <w:rFonts w:ascii="Arial" w:hAnsi="Arial" w:cs="Arial"/>
          <w:sz w:val="24"/>
          <w:szCs w:val="24"/>
        </w:rPr>
        <w:t xml:space="preserve">e the interplay of daily behaviour and treatment to ensure effective glucose management. </w:t>
      </w:r>
    </w:p>
    <w:p w14:paraId="64FDF3AB" w14:textId="77777777" w:rsidR="00176A6E" w:rsidRPr="000B6A3E" w:rsidRDefault="00176A6E" w:rsidP="000B6A3E">
      <w:pPr>
        <w:spacing w:after="0" w:line="360" w:lineRule="auto"/>
        <w:jc w:val="both"/>
        <w:rPr>
          <w:rFonts w:ascii="Arial" w:hAnsi="Arial" w:cs="Arial"/>
          <w:sz w:val="24"/>
          <w:szCs w:val="24"/>
        </w:rPr>
      </w:pPr>
    </w:p>
    <w:p w14:paraId="7D79D20A" w14:textId="77777777" w:rsidR="00176A6E" w:rsidRPr="000B6A3E" w:rsidRDefault="00176A6E" w:rsidP="000B6A3E">
      <w:pPr>
        <w:pStyle w:val="Heading1"/>
        <w:jc w:val="both"/>
        <w:rPr>
          <w:sz w:val="24"/>
          <w:szCs w:val="24"/>
        </w:rPr>
      </w:pPr>
      <w:bookmarkStart w:id="2" w:name="_Toc241916558"/>
      <w:r w:rsidRPr="000B6A3E">
        <w:rPr>
          <w:sz w:val="24"/>
          <w:szCs w:val="24"/>
        </w:rPr>
        <w:t>How Oxygen and Glucose Are Used to Produce Energy Through Cell Metabolism</w:t>
      </w:r>
      <w:bookmarkEnd w:id="2"/>
    </w:p>
    <w:p w14:paraId="457BD18E" w14:textId="77777777" w:rsidR="00176A6E" w:rsidRPr="000B6A3E" w:rsidRDefault="00176A6E" w:rsidP="000B6A3E">
      <w:pPr>
        <w:spacing w:after="0" w:line="360" w:lineRule="auto"/>
        <w:ind w:firstLine="720"/>
        <w:jc w:val="both"/>
        <w:rPr>
          <w:rFonts w:ascii="Arial" w:hAnsi="Arial" w:cs="Arial"/>
          <w:sz w:val="24"/>
          <w:szCs w:val="24"/>
        </w:rPr>
      </w:pPr>
      <w:r w:rsidRPr="000B6A3E">
        <w:rPr>
          <w:rFonts w:ascii="Arial" w:hAnsi="Arial" w:cs="Arial"/>
          <w:sz w:val="24"/>
          <w:szCs w:val="24"/>
        </w:rPr>
        <w:t xml:space="preserve">Being a practice nurse who helps people with diabetes, it is necessary to clarify that the level of blood glucose regulation is interrelated with the production of energy in the cell. Chemical energy is found in glucose, but has to be transformed into adenosine triphosphate (ATP), which is required to drive such processes as muscle contraction, </w:t>
      </w:r>
      <w:r w:rsidRPr="000B6A3E">
        <w:rPr>
          <w:rFonts w:ascii="Arial" w:hAnsi="Arial" w:cs="Arial"/>
          <w:sz w:val="24"/>
          <w:szCs w:val="24"/>
        </w:rPr>
        <w:lastRenderedPageBreak/>
        <w:t>active transport and biosynthesis of the membrane</w:t>
      </w:r>
      <w:r w:rsidR="00E26A35" w:rsidRPr="000B6A3E">
        <w:rPr>
          <w:rFonts w:ascii="Arial" w:hAnsi="Arial" w:cs="Arial"/>
          <w:sz w:val="24"/>
          <w:szCs w:val="24"/>
        </w:rPr>
        <w:t xml:space="preserve"> (Ramroop Singh, 2023)</w:t>
      </w:r>
      <w:r w:rsidR="005376F3" w:rsidRPr="000B6A3E">
        <w:rPr>
          <w:rFonts w:ascii="Arial" w:hAnsi="Arial" w:cs="Arial"/>
          <w:sz w:val="24"/>
          <w:szCs w:val="24"/>
        </w:rPr>
        <w:t>. Good example</w:t>
      </w:r>
      <w:r w:rsidRPr="000B6A3E">
        <w:rPr>
          <w:rFonts w:ascii="Arial" w:hAnsi="Arial" w:cs="Arial"/>
          <w:sz w:val="24"/>
          <w:szCs w:val="24"/>
        </w:rPr>
        <w:t xml:space="preserve"> will thus not only be a matter of the amount of glucose available in the blood, but also the uptake and metabolism of the same in tissues.</w:t>
      </w:r>
    </w:p>
    <w:p w14:paraId="3A22FB3E"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 xml:space="preserve">The initial step, glycolysis, takes place in the cytosol and does not necessarily need oxygen. Each </w:t>
      </w:r>
      <w:proofErr w:type="gramStart"/>
      <w:r w:rsidRPr="000B6A3E">
        <w:rPr>
          <w:rFonts w:ascii="Arial" w:hAnsi="Arial" w:cs="Arial"/>
          <w:sz w:val="24"/>
          <w:szCs w:val="24"/>
        </w:rPr>
        <w:t>six carbon</w:t>
      </w:r>
      <w:proofErr w:type="gramEnd"/>
      <w:r w:rsidRPr="000B6A3E">
        <w:rPr>
          <w:rFonts w:ascii="Arial" w:hAnsi="Arial" w:cs="Arial"/>
          <w:sz w:val="24"/>
          <w:szCs w:val="24"/>
        </w:rPr>
        <w:t xml:space="preserve"> molecule of glucose undergoes ten reactions that are regulated by enzymes, and this yields two molecules of three carbon pyruvate, two NADH and a net two ATP. Four were then formed and two were first depleted</w:t>
      </w:r>
      <w:r w:rsidR="00E26A35" w:rsidRPr="000B6A3E">
        <w:rPr>
          <w:rFonts w:ascii="Arial" w:hAnsi="Arial" w:cs="Arial"/>
          <w:sz w:val="24"/>
          <w:szCs w:val="24"/>
        </w:rPr>
        <w:t xml:space="preserve"> (Ramroop Singh, 2023)</w:t>
      </w:r>
      <w:r w:rsidRPr="000B6A3E">
        <w:rPr>
          <w:rFonts w:ascii="Arial" w:hAnsi="Arial" w:cs="Arial"/>
          <w:sz w:val="24"/>
          <w:szCs w:val="24"/>
        </w:rPr>
        <w:t xml:space="preserve">. </w:t>
      </w:r>
    </w:p>
    <w:p w14:paraId="6B0D5E60" w14:textId="747BDC8C"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Under normal conditions of oxygen availability and mitochondrial activity, pyruvate goes into mitochondria and is transformed to acetyl-CoA. The acetyl-CoA is fed into the citric acid cycle whereby its carbon is eventually oxidised to form carbon dioxide. Notably, the reduced electron carriers NADH and FADH 2 obtain much of the emitted energy, instead of it being released directly into heat</w:t>
      </w:r>
      <w:r w:rsidR="000B6A3E" w:rsidRPr="000B6A3E">
        <w:rPr>
          <w:rFonts w:ascii="Arial" w:hAnsi="Arial" w:cs="Arial"/>
          <w:sz w:val="24"/>
          <w:szCs w:val="24"/>
        </w:rPr>
        <w:t xml:space="preserve"> (eCampusOntario, 2021)</w:t>
      </w:r>
      <w:r w:rsidRPr="000B6A3E">
        <w:rPr>
          <w:rFonts w:ascii="Arial" w:hAnsi="Arial" w:cs="Arial"/>
          <w:sz w:val="24"/>
          <w:szCs w:val="24"/>
        </w:rPr>
        <w:t xml:space="preserve">. </w:t>
      </w:r>
    </w:p>
    <w:p w14:paraId="7AEA7571"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These transporters bring over high energy electrons to the electron transport chain in the inner mitochondrial membrane. The movement of hydrogen ions across the membrane by means of electron transfer via respiratory complexes forms an electrochemical proton gradient</w:t>
      </w:r>
      <w:r w:rsidR="00E26A35" w:rsidRPr="000B6A3E">
        <w:rPr>
          <w:rFonts w:ascii="Arial" w:hAnsi="Arial" w:cs="Arial"/>
          <w:sz w:val="24"/>
          <w:szCs w:val="24"/>
        </w:rPr>
        <w:t xml:space="preserve"> (Nolfi-Donegan et al., 2021)</w:t>
      </w:r>
      <w:r w:rsidRPr="000B6A3E">
        <w:rPr>
          <w:rFonts w:ascii="Arial" w:hAnsi="Arial" w:cs="Arial"/>
          <w:sz w:val="24"/>
          <w:szCs w:val="24"/>
        </w:rPr>
        <w:t>. This gradient is then used by ATP synthase to phosphorylate ADP to ATP. Here, oxygen plays a critically important metabolic role: oxygen serves as the ultimate electron acceptor, and accepts electrons and reacts with hydrogen ions to produce water. Oxidative phosphorylation is unable to persist in the absence of oxygen. Recent biochemical calculations suggest that full aerobic oxidation of a single molecule of glucose results in about 30 ATP as opposed to two ATP directly generated in the glycolysis process</w:t>
      </w:r>
      <w:r w:rsidR="005376F3" w:rsidRPr="000B6A3E">
        <w:rPr>
          <w:rFonts w:ascii="Arial" w:hAnsi="Arial" w:cs="Arial"/>
          <w:sz w:val="24"/>
          <w:szCs w:val="24"/>
        </w:rPr>
        <w:t xml:space="preserve"> (eCampusOntario, 2021)</w:t>
      </w:r>
      <w:r w:rsidRPr="000B6A3E">
        <w:rPr>
          <w:rFonts w:ascii="Arial" w:hAnsi="Arial" w:cs="Arial"/>
          <w:sz w:val="24"/>
          <w:szCs w:val="24"/>
        </w:rPr>
        <w:t xml:space="preserve">. </w:t>
      </w:r>
    </w:p>
    <w:p w14:paraId="0FA877E6"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This is of specific clinical interest when it comes to patient education of diabetics. Deficiency of insulin in type 1 diabetes or insulin resistance in type 2 diabetes disturbs the glucose uptake and consumption in insulin receptive tissues</w:t>
      </w:r>
      <w:r w:rsidR="005376F3" w:rsidRPr="000B6A3E">
        <w:rPr>
          <w:rFonts w:ascii="Arial" w:hAnsi="Arial" w:cs="Arial"/>
          <w:sz w:val="24"/>
          <w:szCs w:val="24"/>
        </w:rPr>
        <w:t xml:space="preserve"> (Merz and Thurmond, 2021)</w:t>
      </w:r>
      <w:r w:rsidRPr="000B6A3E">
        <w:rPr>
          <w:rFonts w:ascii="Arial" w:hAnsi="Arial" w:cs="Arial"/>
          <w:sz w:val="24"/>
          <w:szCs w:val="24"/>
        </w:rPr>
        <w:t xml:space="preserve">. </w:t>
      </w:r>
      <w:proofErr w:type="gramStart"/>
      <w:r w:rsidRPr="000B6A3E">
        <w:rPr>
          <w:rFonts w:ascii="Arial" w:hAnsi="Arial" w:cs="Arial"/>
          <w:sz w:val="24"/>
          <w:szCs w:val="24"/>
        </w:rPr>
        <w:t>So</w:t>
      </w:r>
      <w:proofErr w:type="gramEnd"/>
      <w:r w:rsidRPr="000B6A3E">
        <w:rPr>
          <w:rFonts w:ascii="Arial" w:hAnsi="Arial" w:cs="Arial"/>
          <w:sz w:val="24"/>
          <w:szCs w:val="24"/>
        </w:rPr>
        <w:t xml:space="preserve"> a high level of circulating glucose does not necessarily indicate that the glucose is being utili</w:t>
      </w:r>
      <w:r w:rsidR="00F26483" w:rsidRPr="000B6A3E">
        <w:rPr>
          <w:rFonts w:ascii="Arial" w:hAnsi="Arial" w:cs="Arial"/>
          <w:sz w:val="24"/>
          <w:szCs w:val="24"/>
        </w:rPr>
        <w:t>s</w:t>
      </w:r>
      <w:r w:rsidRPr="000B6A3E">
        <w:rPr>
          <w:rFonts w:ascii="Arial" w:hAnsi="Arial" w:cs="Arial"/>
          <w:sz w:val="24"/>
          <w:szCs w:val="24"/>
        </w:rPr>
        <w:t>ed effectively to metaboli</w:t>
      </w:r>
      <w:r w:rsidR="00F26483" w:rsidRPr="000B6A3E">
        <w:rPr>
          <w:rFonts w:ascii="Arial" w:hAnsi="Arial" w:cs="Arial"/>
          <w:sz w:val="24"/>
          <w:szCs w:val="24"/>
        </w:rPr>
        <w:t>s</w:t>
      </w:r>
      <w:r w:rsidRPr="000B6A3E">
        <w:rPr>
          <w:rFonts w:ascii="Arial" w:hAnsi="Arial" w:cs="Arial"/>
          <w:sz w:val="24"/>
          <w:szCs w:val="24"/>
        </w:rPr>
        <w:t>e the cells. Assisting patients with proper glucose homeostasis with their prescription, diet, exercise and monitoring helps more effectively use the substrate and decreases the prolonged hyperglycaemia and its complications.</w:t>
      </w:r>
    </w:p>
    <w:p w14:paraId="4D0C722B" w14:textId="77777777" w:rsidR="00176A6E" w:rsidRPr="000B6A3E" w:rsidRDefault="00176A6E" w:rsidP="000B6A3E">
      <w:pPr>
        <w:spacing w:after="0" w:line="360" w:lineRule="auto"/>
        <w:jc w:val="both"/>
        <w:rPr>
          <w:rFonts w:ascii="Arial" w:hAnsi="Arial" w:cs="Arial"/>
          <w:sz w:val="24"/>
          <w:szCs w:val="24"/>
        </w:rPr>
      </w:pPr>
    </w:p>
    <w:p w14:paraId="7184BDA0" w14:textId="77777777" w:rsidR="00176A6E" w:rsidRPr="000B6A3E" w:rsidRDefault="00176A6E" w:rsidP="000B6A3E">
      <w:pPr>
        <w:pStyle w:val="Heading1"/>
        <w:jc w:val="both"/>
        <w:rPr>
          <w:sz w:val="24"/>
          <w:szCs w:val="24"/>
        </w:rPr>
      </w:pPr>
      <w:bookmarkStart w:id="3" w:name="_Toc241916559"/>
      <w:r w:rsidRPr="000B6A3E">
        <w:rPr>
          <w:sz w:val="24"/>
          <w:szCs w:val="24"/>
        </w:rPr>
        <w:lastRenderedPageBreak/>
        <w:t>How Recording and Tracking Blood Sugar Levels Supports Safe Type 2 Diabetes Management</w:t>
      </w:r>
      <w:bookmarkEnd w:id="3"/>
      <w:r w:rsidRPr="000B6A3E">
        <w:rPr>
          <w:sz w:val="24"/>
          <w:szCs w:val="24"/>
        </w:rPr>
        <w:t xml:space="preserve"> </w:t>
      </w:r>
    </w:p>
    <w:p w14:paraId="0C6B9372" w14:textId="77777777" w:rsidR="00176A6E" w:rsidRPr="000B6A3E" w:rsidRDefault="00176A6E" w:rsidP="000B6A3E">
      <w:pPr>
        <w:spacing w:after="0" w:line="360" w:lineRule="auto"/>
        <w:ind w:firstLine="720"/>
        <w:jc w:val="both"/>
        <w:rPr>
          <w:rFonts w:ascii="Arial" w:hAnsi="Arial" w:cs="Arial"/>
          <w:sz w:val="24"/>
          <w:szCs w:val="24"/>
        </w:rPr>
      </w:pPr>
      <w:r w:rsidRPr="000B6A3E">
        <w:rPr>
          <w:rFonts w:ascii="Arial" w:hAnsi="Arial" w:cs="Arial"/>
          <w:sz w:val="24"/>
          <w:szCs w:val="24"/>
        </w:rPr>
        <w:t>Being a practice nurse, I am able to record and discuss such data with patients and this way, I can obtain information that is clinically valuable, which cannot be obtained with only a single reading. The levels of glucose vary depending on food, exercise, drugs, disease and other variables. A systematic record thus assists in detecting similar trends of hyperglycaemia or hypoglycaemia and hence assisting patients and the healthcare team to assess whether the management plan agreed upon is functioning or not. According to Diabetes UK, monitoring can aid individuals in reali</w:t>
      </w:r>
      <w:r w:rsidR="00F26483" w:rsidRPr="000B6A3E">
        <w:rPr>
          <w:rFonts w:ascii="Arial" w:hAnsi="Arial" w:cs="Arial"/>
          <w:sz w:val="24"/>
          <w:szCs w:val="24"/>
        </w:rPr>
        <w:t>s</w:t>
      </w:r>
      <w:r w:rsidRPr="000B6A3E">
        <w:rPr>
          <w:rFonts w:ascii="Arial" w:hAnsi="Arial" w:cs="Arial"/>
          <w:sz w:val="24"/>
          <w:szCs w:val="24"/>
        </w:rPr>
        <w:t>ing when glucose levels are rising or falling and when they might consider medication, food or activity</w:t>
      </w:r>
      <w:r w:rsidR="005376F3" w:rsidRPr="000B6A3E">
        <w:rPr>
          <w:rFonts w:ascii="Arial" w:hAnsi="Arial" w:cs="Arial"/>
          <w:sz w:val="24"/>
          <w:szCs w:val="24"/>
        </w:rPr>
        <w:t xml:space="preserve"> (knowdiabetes.org.uk, n.d</w:t>
      </w:r>
      <w:r w:rsidRPr="000B6A3E">
        <w:rPr>
          <w:rFonts w:ascii="Arial" w:hAnsi="Arial" w:cs="Arial"/>
          <w:sz w:val="24"/>
          <w:szCs w:val="24"/>
        </w:rPr>
        <w:t>.</w:t>
      </w:r>
      <w:r w:rsidR="005376F3" w:rsidRPr="000B6A3E">
        <w:rPr>
          <w:rFonts w:ascii="Arial" w:hAnsi="Arial" w:cs="Arial"/>
          <w:sz w:val="24"/>
          <w:szCs w:val="24"/>
        </w:rPr>
        <w:t>).</w:t>
      </w:r>
      <w:r w:rsidRPr="000B6A3E">
        <w:rPr>
          <w:rFonts w:ascii="Arial" w:hAnsi="Arial" w:cs="Arial"/>
          <w:sz w:val="24"/>
          <w:szCs w:val="24"/>
        </w:rPr>
        <w:t xml:space="preserve"> </w:t>
      </w:r>
    </w:p>
    <w:p w14:paraId="16043AAF"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Nonetheless, the idea of monitoring should be personalised as opposed to being prescribed to all individuals with type 2 diabetes. The updated NICE guidance (February 2026) recommends against routinely offering capillary self-monitoring, unless the person is insulin-dependent, is exposed to hypoglycaemia, or is taking an oral medication that may induce hypoglycaemia during driving or operating machinery, or pregnant or planning pregnancy</w:t>
      </w:r>
      <w:r w:rsidR="005376F3" w:rsidRPr="000B6A3E">
        <w:rPr>
          <w:rFonts w:ascii="Arial" w:hAnsi="Arial" w:cs="Arial"/>
          <w:sz w:val="24"/>
          <w:szCs w:val="24"/>
        </w:rPr>
        <w:t xml:space="preserve"> (National Institute for Health and Care Excellence, 2022)</w:t>
      </w:r>
      <w:r w:rsidRPr="000B6A3E">
        <w:rPr>
          <w:rFonts w:ascii="Arial" w:hAnsi="Arial" w:cs="Arial"/>
          <w:sz w:val="24"/>
          <w:szCs w:val="24"/>
        </w:rPr>
        <w:t xml:space="preserve">. Corticosteroid treatment initiation or possible hypoglycaemia confirmation may be considered as short-term monitoring. This differentiation is significant in primary care since unwarranted testing is inconveniencing and expensive without a proven positive impact on management. </w:t>
      </w:r>
    </w:p>
    <w:p w14:paraId="3B4BFCE1" w14:textId="37E70DD2"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In clinically required situations, patients may log the glucose level with timing of meals, amount of carbohydrates consumed, medication, exercise and symptoms</w:t>
      </w:r>
      <w:r w:rsidR="000B6A3E" w:rsidRPr="000B6A3E">
        <w:rPr>
          <w:rFonts w:ascii="Arial" w:hAnsi="Arial" w:cs="Arial"/>
          <w:sz w:val="24"/>
          <w:szCs w:val="24"/>
        </w:rPr>
        <w:t xml:space="preserve"> (Leeds Teaching Hospitals National Health Service Trust, 2025)</w:t>
      </w:r>
      <w:r w:rsidRPr="000B6A3E">
        <w:rPr>
          <w:rFonts w:ascii="Arial" w:hAnsi="Arial" w:cs="Arial"/>
          <w:sz w:val="24"/>
          <w:szCs w:val="24"/>
        </w:rPr>
        <w:t xml:space="preserve">. Patterns may be discussed during appointments. In practice, a consistent rise in readings following specific meals can be used to review the diet, whereas a drop in glucose following exercise might be used to review treatment in an individual on insulin or some other glucose-lowering medicine that is linked to hypoglycaemia. Record diabetes UK recommends recording the effects of glucose during physical activity and giving the records to the diabetes nurse or doctor specifically. </w:t>
      </w:r>
    </w:p>
    <w:p w14:paraId="6D310B24"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lastRenderedPageBreak/>
        <w:tab/>
        <w:t>Tracking of HbA1c should also be done over a longer period, in addition to taking daily readings. NICE suggests that HbA1c be measured at least 3-6 intervals until the levels are stable and at least every 6 months once HbA1c and glucose-lowering therapy is stable</w:t>
      </w:r>
      <w:r w:rsidR="005376F3" w:rsidRPr="000B6A3E">
        <w:rPr>
          <w:rFonts w:ascii="Arial" w:hAnsi="Arial" w:cs="Arial"/>
          <w:sz w:val="24"/>
          <w:szCs w:val="24"/>
        </w:rPr>
        <w:t xml:space="preserve"> (National Institute for Health and Care Excellence, 2022)</w:t>
      </w:r>
      <w:r w:rsidRPr="000B6A3E">
        <w:rPr>
          <w:rFonts w:ascii="Arial" w:hAnsi="Arial" w:cs="Arial"/>
          <w:sz w:val="24"/>
          <w:szCs w:val="24"/>
        </w:rPr>
        <w:t xml:space="preserve">. The patient should agree with individual targets as opposed to the rigidity of those targets. </w:t>
      </w:r>
    </w:p>
    <w:p w14:paraId="0D856841"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 xml:space="preserve">Thus, when conducting diabetes reviews, the nurses cannot just gather the data but should focus on making sure that the patients will be able to make interpretation and take appropriate and safe action based on the results. NICE suggests that people who monitor themselves need to have at least a yearly formal evaluation of self-monitoring, including testing method, frequency, interpretation, correct response, equipment and quality of life effects. </w:t>
      </w:r>
    </w:p>
    <w:p w14:paraId="51FD48F9" w14:textId="77777777" w:rsidR="00176A6E" w:rsidRPr="000B6A3E" w:rsidRDefault="00176A6E" w:rsidP="000B6A3E">
      <w:pPr>
        <w:spacing w:after="0" w:line="360" w:lineRule="auto"/>
        <w:jc w:val="both"/>
        <w:rPr>
          <w:rFonts w:ascii="Arial" w:hAnsi="Arial" w:cs="Arial"/>
          <w:sz w:val="24"/>
          <w:szCs w:val="24"/>
        </w:rPr>
      </w:pPr>
    </w:p>
    <w:p w14:paraId="7CE55D9B" w14:textId="77777777" w:rsidR="00176A6E" w:rsidRPr="000B6A3E" w:rsidRDefault="00176A6E" w:rsidP="000B6A3E">
      <w:pPr>
        <w:pStyle w:val="Heading1"/>
        <w:jc w:val="both"/>
        <w:rPr>
          <w:sz w:val="24"/>
          <w:szCs w:val="24"/>
        </w:rPr>
      </w:pPr>
      <w:bookmarkStart w:id="4" w:name="_Toc241916560"/>
      <w:r w:rsidRPr="000B6A3E">
        <w:rPr>
          <w:sz w:val="24"/>
          <w:szCs w:val="24"/>
        </w:rPr>
        <w:t>Evidence-Based Lifestyle Recommendations</w:t>
      </w:r>
      <w:bookmarkEnd w:id="4"/>
      <w:r w:rsidRPr="000B6A3E">
        <w:rPr>
          <w:sz w:val="24"/>
          <w:szCs w:val="24"/>
        </w:rPr>
        <w:t xml:space="preserve"> </w:t>
      </w:r>
    </w:p>
    <w:p w14:paraId="06450BC2" w14:textId="77777777" w:rsidR="00176A6E" w:rsidRPr="000B6A3E" w:rsidRDefault="00176A6E" w:rsidP="000B6A3E">
      <w:pPr>
        <w:spacing w:after="0" w:line="360" w:lineRule="auto"/>
        <w:ind w:firstLine="720"/>
        <w:jc w:val="both"/>
        <w:rPr>
          <w:rFonts w:ascii="Arial" w:hAnsi="Arial" w:cs="Arial"/>
          <w:sz w:val="24"/>
          <w:szCs w:val="24"/>
        </w:rPr>
      </w:pPr>
      <w:r w:rsidRPr="000B6A3E">
        <w:rPr>
          <w:rFonts w:ascii="Arial" w:hAnsi="Arial" w:cs="Arial"/>
          <w:sz w:val="24"/>
          <w:szCs w:val="24"/>
        </w:rPr>
        <w:t xml:space="preserve">Lifestyle advice, as a practice nurse, must be tailored and connected to the glucose outcome of each patient, drugs, weight and cardiovascular risk, and not just to tell a patient to eat better and exercise. In their 2026 guidance NICE explicitly covers healthy living, physical activity, weight loss and smoking cessation as part of onward management of type 2 diabetes. </w:t>
      </w:r>
    </w:p>
    <w:p w14:paraId="21E0BC1D"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 xml:space="preserve">In patients with overweight or obesity, deliberate weight loss is of priority since it will enhance glycaemic control and in certain individuals it will remit type 2 diabetes. According to Diabetes UK, the chances of remission increase when individuals who are overweight or obese become safe by losing approximately 15 kg of weight after a diagnosis but even </w:t>
      </w:r>
      <w:proofErr w:type="gramStart"/>
      <w:r w:rsidRPr="000B6A3E">
        <w:rPr>
          <w:rFonts w:ascii="Arial" w:hAnsi="Arial" w:cs="Arial"/>
          <w:sz w:val="24"/>
          <w:szCs w:val="24"/>
        </w:rPr>
        <w:t>then</w:t>
      </w:r>
      <w:proofErr w:type="gramEnd"/>
      <w:r w:rsidRPr="000B6A3E">
        <w:rPr>
          <w:rFonts w:ascii="Arial" w:hAnsi="Arial" w:cs="Arial"/>
          <w:sz w:val="24"/>
          <w:szCs w:val="24"/>
        </w:rPr>
        <w:t xml:space="preserve"> remission is not assured and weight gain may revert to hyperglycaemia</w:t>
      </w:r>
      <w:r w:rsidR="005376F3" w:rsidRPr="000B6A3E">
        <w:rPr>
          <w:rFonts w:ascii="Arial" w:hAnsi="Arial" w:cs="Arial"/>
          <w:sz w:val="24"/>
          <w:szCs w:val="24"/>
        </w:rPr>
        <w:t xml:space="preserve"> (Diabetes UK, 2023)</w:t>
      </w:r>
      <w:r w:rsidRPr="000B6A3E">
        <w:rPr>
          <w:rFonts w:ascii="Arial" w:hAnsi="Arial" w:cs="Arial"/>
          <w:sz w:val="24"/>
          <w:szCs w:val="24"/>
        </w:rPr>
        <w:t>. Hence, massive weight-loss programs must be professionally guided instead of being applied in the restrictive non-supervised diets.</w:t>
      </w:r>
    </w:p>
    <w:p w14:paraId="459D6593"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 xml:space="preserve">Eating habits should be altered in favor of sustainable eating habits, and not the removal of carbohydrates. Patients are advised to consume more wholegrains, vegetables, pulses and other foods rich in fibre and minimise on saturated fat and foods or beverages that contain a lot of added sugar. Notably, individual situations, likes and financial capability should be reflected in dietary regimens since it is compliance that keeps metabolic changes in check. </w:t>
      </w:r>
    </w:p>
    <w:p w14:paraId="424E855B"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lastRenderedPageBreak/>
        <w:tab/>
        <w:t>Exercise ought to be used in conjunction with diet. Exercise enhances the consumption of glucose and insulin sensitivity, assists in reducing HbA1c and preventing weight gain. Nevertheless, exercise has not been proven to result in remission. Patients under insulin or drugs that are related to hypoglycaemia need extra instruction since exercises may reduce glucose during and up to 24 hours following exercise</w:t>
      </w:r>
      <w:r w:rsidR="005376F3" w:rsidRPr="000B6A3E">
        <w:rPr>
          <w:rFonts w:ascii="Arial" w:hAnsi="Arial" w:cs="Arial"/>
          <w:sz w:val="24"/>
          <w:szCs w:val="24"/>
        </w:rPr>
        <w:t xml:space="preserve"> (Frimley Health NHS Foundation Trust, n.d.)</w:t>
      </w:r>
      <w:r w:rsidRPr="000B6A3E">
        <w:rPr>
          <w:rFonts w:ascii="Arial" w:hAnsi="Arial" w:cs="Arial"/>
          <w:sz w:val="24"/>
          <w:szCs w:val="24"/>
        </w:rPr>
        <w:t xml:space="preserve">. </w:t>
      </w:r>
    </w:p>
    <w:p w14:paraId="595EBC70" w14:textId="77777777"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Lastly, smoking cessation needs to be included in the agreed course of action since NICE explicitly states quitting smoking as an element of healthy living among adults with type 2 diabetes. The changes should be evaluated by a regular GP review to determine whether they are bringing about improvements in glucose control and are realistic and sustainable.</w:t>
      </w:r>
    </w:p>
    <w:p w14:paraId="2270005D" w14:textId="77777777" w:rsidR="00176A6E" w:rsidRPr="000B6A3E" w:rsidRDefault="00176A6E" w:rsidP="000B6A3E">
      <w:pPr>
        <w:spacing w:after="0" w:line="360" w:lineRule="auto"/>
        <w:jc w:val="both"/>
        <w:rPr>
          <w:rFonts w:ascii="Arial" w:hAnsi="Arial" w:cs="Arial"/>
          <w:sz w:val="24"/>
          <w:szCs w:val="24"/>
        </w:rPr>
      </w:pPr>
    </w:p>
    <w:p w14:paraId="3DCAA3F0" w14:textId="77777777" w:rsidR="00176A6E" w:rsidRPr="000B6A3E" w:rsidRDefault="00176A6E" w:rsidP="000B6A3E">
      <w:pPr>
        <w:pStyle w:val="Heading1"/>
        <w:jc w:val="both"/>
        <w:rPr>
          <w:sz w:val="24"/>
          <w:szCs w:val="24"/>
        </w:rPr>
      </w:pPr>
      <w:bookmarkStart w:id="5" w:name="_Toc241916561"/>
      <w:r w:rsidRPr="000B6A3E">
        <w:rPr>
          <w:sz w:val="24"/>
          <w:szCs w:val="24"/>
        </w:rPr>
        <w:t>Conclusion</w:t>
      </w:r>
      <w:bookmarkEnd w:id="5"/>
    </w:p>
    <w:p w14:paraId="21FFF1DA" w14:textId="72818ABF" w:rsidR="00176A6E" w:rsidRPr="000B6A3E" w:rsidRDefault="00176A6E" w:rsidP="000B6A3E">
      <w:pPr>
        <w:spacing w:after="0" w:line="360" w:lineRule="auto"/>
        <w:jc w:val="both"/>
        <w:rPr>
          <w:rFonts w:ascii="Arial" w:hAnsi="Arial" w:cs="Arial"/>
          <w:sz w:val="24"/>
          <w:szCs w:val="24"/>
        </w:rPr>
      </w:pPr>
      <w:r w:rsidRPr="000B6A3E">
        <w:rPr>
          <w:rFonts w:ascii="Arial" w:hAnsi="Arial" w:cs="Arial"/>
          <w:sz w:val="24"/>
          <w:szCs w:val="24"/>
        </w:rPr>
        <w:tab/>
        <w:t>Both the biological processes of blood glucose regulation and the behaviour that can change those processes are important to effective management of diabetes. Generally, insulin and glucagon are known to regulate the availability of glucose with cellular respiration mobili</w:t>
      </w:r>
      <w:r w:rsidR="00F26483" w:rsidRPr="000B6A3E">
        <w:rPr>
          <w:rFonts w:ascii="Arial" w:hAnsi="Arial" w:cs="Arial"/>
          <w:sz w:val="24"/>
          <w:szCs w:val="24"/>
        </w:rPr>
        <w:t>s</w:t>
      </w:r>
      <w:r w:rsidRPr="000B6A3E">
        <w:rPr>
          <w:rFonts w:ascii="Arial" w:hAnsi="Arial" w:cs="Arial"/>
          <w:sz w:val="24"/>
          <w:szCs w:val="24"/>
        </w:rPr>
        <w:t xml:space="preserve">ing glucose and oxygen to produce ATP needed to support normal body functions. Type 2 diabetes affects this balance because insulin resistance and progressive dysfunction of beta-cells </w:t>
      </w:r>
      <w:proofErr w:type="gramStart"/>
      <w:r w:rsidRPr="000B6A3E">
        <w:rPr>
          <w:rFonts w:ascii="Arial" w:hAnsi="Arial" w:cs="Arial"/>
          <w:sz w:val="24"/>
          <w:szCs w:val="24"/>
        </w:rPr>
        <w:t>impairs</w:t>
      </w:r>
      <w:proofErr w:type="gramEnd"/>
      <w:r w:rsidRPr="000B6A3E">
        <w:rPr>
          <w:rFonts w:ascii="Arial" w:hAnsi="Arial" w:cs="Arial"/>
          <w:sz w:val="24"/>
          <w:szCs w:val="24"/>
        </w:rPr>
        <w:t xml:space="preserve"> it, and thus proper management is crucial. Monitoring and measuring blood glucose, when clinically needed, can determine patterns of response in relation to eating, medication, physical activity and hypoglycaemia, whereas the HbA1c is a valuable longer-term measure of glycaemic control. But the monitoring should not be a standard approach but should be tailored to each patient. It is also important lifestyle management. There is evidence to uphold proper weight loss, healthier eating habits, </w:t>
      </w:r>
      <w:r w:rsidR="00942906" w:rsidRPr="000B6A3E">
        <w:rPr>
          <w:rFonts w:ascii="Arial" w:hAnsi="Arial" w:cs="Arial"/>
          <w:sz w:val="24"/>
          <w:szCs w:val="24"/>
        </w:rPr>
        <w:t>and routine</w:t>
      </w:r>
      <w:r w:rsidRPr="000B6A3E">
        <w:rPr>
          <w:rFonts w:ascii="Arial" w:hAnsi="Arial" w:cs="Arial"/>
          <w:sz w:val="24"/>
          <w:szCs w:val="24"/>
        </w:rPr>
        <w:t xml:space="preserve"> activity and quit smoking as type 2 diabetes care components. In GP practice, a combination of these measures along with prescribed treatment, frequently reviewing clinical and patient education may support informed self-management, enhance glucose control and decrease the risk of long-term complications of diabetes.</w:t>
      </w:r>
    </w:p>
    <w:p w14:paraId="72EDEC7E" w14:textId="77777777" w:rsidR="00000000" w:rsidRPr="000B6A3E" w:rsidRDefault="00176A6E" w:rsidP="000B6A3E">
      <w:pPr>
        <w:pStyle w:val="Heading1"/>
        <w:jc w:val="both"/>
        <w:rPr>
          <w:sz w:val="24"/>
          <w:szCs w:val="24"/>
        </w:rPr>
      </w:pPr>
      <w:r w:rsidRPr="000B6A3E">
        <w:rPr>
          <w:sz w:val="24"/>
          <w:szCs w:val="24"/>
        </w:rPr>
        <w:br w:type="page"/>
      </w:r>
      <w:bookmarkStart w:id="6" w:name="_Toc241916562"/>
      <w:r w:rsidRPr="000B6A3E">
        <w:rPr>
          <w:sz w:val="24"/>
          <w:szCs w:val="24"/>
        </w:rPr>
        <w:lastRenderedPageBreak/>
        <w:t>References</w:t>
      </w:r>
      <w:bookmarkEnd w:id="6"/>
    </w:p>
    <w:p w14:paraId="281BF274"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Capozzi, M.E., D'Alessio, D.A. and Campbell, J.E., 2022. 'The Past, Present, and Future Physiology and Pharmacology of Glucagon', </w:t>
      </w:r>
      <w:r w:rsidRPr="000B6A3E">
        <w:rPr>
          <w:rStyle w:val="Emphasis"/>
          <w:rFonts w:ascii="Arial" w:hAnsi="Arial" w:cs="Arial"/>
          <w:sz w:val="24"/>
          <w:szCs w:val="24"/>
        </w:rPr>
        <w:t>Cell Metabolism</w:t>
      </w:r>
      <w:r w:rsidRPr="000B6A3E">
        <w:rPr>
          <w:rFonts w:ascii="Arial" w:hAnsi="Arial" w:cs="Arial"/>
          <w:sz w:val="24"/>
          <w:szCs w:val="24"/>
        </w:rPr>
        <w:t xml:space="preserve">, 34(11), pp. 1654–1674. Available at: </w:t>
      </w:r>
      <w:hyperlink r:id="rId7" w:history="1">
        <w:r w:rsidRPr="000B6A3E">
          <w:rPr>
            <w:rStyle w:val="Hyperlink"/>
            <w:rFonts w:ascii="Arial" w:hAnsi="Arial" w:cs="Arial"/>
            <w:sz w:val="24"/>
            <w:szCs w:val="24"/>
          </w:rPr>
          <w:t>https://doi.org/10.1016/j.cmet.2022.10.001</w:t>
        </w:r>
      </w:hyperlink>
    </w:p>
    <w:p w14:paraId="53311BCA"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Diabetes UK, 2023. </w:t>
      </w:r>
      <w:r w:rsidRPr="000B6A3E">
        <w:rPr>
          <w:rStyle w:val="Emphasis"/>
          <w:rFonts w:ascii="Arial" w:hAnsi="Arial" w:cs="Arial"/>
          <w:sz w:val="24"/>
          <w:szCs w:val="24"/>
        </w:rPr>
        <w:t>Type 2 Diabetes Remission: Information Prescription</w:t>
      </w:r>
      <w:r w:rsidRPr="000B6A3E">
        <w:rPr>
          <w:rFonts w:ascii="Arial" w:hAnsi="Arial" w:cs="Arial"/>
          <w:sz w:val="24"/>
          <w:szCs w:val="24"/>
        </w:rPr>
        <w:t xml:space="preserve">. Available at: </w:t>
      </w:r>
      <w:hyperlink r:id="rId8" w:history="1">
        <w:r w:rsidRPr="000B6A3E">
          <w:rPr>
            <w:rStyle w:val="Hyperlink"/>
            <w:rFonts w:ascii="Arial" w:hAnsi="Arial" w:cs="Arial"/>
            <w:sz w:val="24"/>
            <w:szCs w:val="24"/>
          </w:rPr>
          <w:t>https://diabetes.org.uk/sites/default/files/2023-07/Diabetes%20UK%20Information%20Prescription%20-%20Type%202%20diabetes%20remission.docx</w:t>
        </w:r>
      </w:hyperlink>
    </w:p>
    <w:p w14:paraId="18526CD2"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eCampusOntario, 2021. </w:t>
      </w:r>
      <w:r w:rsidRPr="000B6A3E">
        <w:rPr>
          <w:rStyle w:val="Emphasis"/>
          <w:rFonts w:ascii="Arial" w:hAnsi="Arial" w:cs="Arial"/>
          <w:sz w:val="24"/>
          <w:szCs w:val="24"/>
        </w:rPr>
        <w:t>BIOC</w:t>
      </w:r>
      <w:r w:rsidRPr="000B6A3E">
        <w:rPr>
          <w:rFonts w:ascii="Arial" w:hAnsi="Arial" w:cs="Arial"/>
          <w:sz w:val="24"/>
          <w:szCs w:val="24"/>
        </w:rPr>
        <w:t xml:space="preserve">2580: Introductory Biochemistry*, Chapter 'The Overall Efficiency of Oxidative Phosphorylation'. Guelph: University of Guelph. Available at: </w:t>
      </w:r>
      <w:hyperlink r:id="rId9" w:history="1">
        <w:r w:rsidRPr="000B6A3E">
          <w:rPr>
            <w:rStyle w:val="Hyperlink"/>
            <w:rFonts w:ascii="Arial" w:hAnsi="Arial" w:cs="Arial"/>
            <w:sz w:val="24"/>
            <w:szCs w:val="24"/>
          </w:rPr>
          <w:t>https://ecampusontario.pressbooks.pub/bioc2580/chapter/the-overall-efficiency-of-oxidative-phosphorylation/</w:t>
        </w:r>
      </w:hyperlink>
    </w:p>
    <w:p w14:paraId="2D2575ED"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Frimley Health NHS Foundation Trust, n.d. </w:t>
      </w:r>
      <w:r w:rsidRPr="000B6A3E">
        <w:rPr>
          <w:rStyle w:val="Emphasis"/>
          <w:rFonts w:ascii="Arial" w:hAnsi="Arial" w:cs="Arial"/>
          <w:sz w:val="24"/>
          <w:szCs w:val="24"/>
        </w:rPr>
        <w:t>Diabetes and Exercise</w:t>
      </w:r>
      <w:r w:rsidRPr="000B6A3E">
        <w:rPr>
          <w:rFonts w:ascii="Arial" w:hAnsi="Arial" w:cs="Arial"/>
          <w:sz w:val="24"/>
          <w:szCs w:val="24"/>
        </w:rPr>
        <w:t xml:space="preserve">. Available at: </w:t>
      </w:r>
      <w:hyperlink r:id="rId10" w:history="1">
        <w:r w:rsidRPr="000B6A3E">
          <w:rPr>
            <w:rStyle w:val="Hyperlink"/>
            <w:rFonts w:ascii="Arial" w:hAnsi="Arial" w:cs="Arial"/>
            <w:sz w:val="24"/>
            <w:szCs w:val="24"/>
          </w:rPr>
          <w:t>https://www.fhft.nhs.uk/patients-and-visitors/patient-information-library/diabetes-and-exercise</w:t>
        </w:r>
      </w:hyperlink>
    </w:p>
    <w:p w14:paraId="1129E370"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Ismail, L., Materwala, H. and Al Kaabi, J., 2021. ‘Association of risk factors with type 2 diabetes: a systematic review’, </w:t>
      </w:r>
      <w:r w:rsidRPr="000B6A3E">
        <w:rPr>
          <w:rStyle w:val="Emphasis"/>
          <w:rFonts w:ascii="Arial" w:hAnsi="Arial" w:cs="Arial"/>
          <w:sz w:val="24"/>
          <w:szCs w:val="24"/>
        </w:rPr>
        <w:t>Computational and Structural Biotechnology Journal</w:t>
      </w:r>
      <w:r w:rsidRPr="000B6A3E">
        <w:rPr>
          <w:rFonts w:ascii="Arial" w:hAnsi="Arial" w:cs="Arial"/>
          <w:sz w:val="24"/>
          <w:szCs w:val="24"/>
        </w:rPr>
        <w:t xml:space="preserve">, 19, pp. 1759-1785. Available at: </w:t>
      </w:r>
      <w:hyperlink r:id="rId11" w:history="1">
        <w:r w:rsidRPr="000B6A3E">
          <w:rPr>
            <w:rStyle w:val="Hyperlink"/>
            <w:rFonts w:ascii="Arial" w:hAnsi="Arial" w:cs="Arial"/>
            <w:sz w:val="24"/>
            <w:szCs w:val="24"/>
          </w:rPr>
          <w:t>https://doi.org/10.1016/j.csbj.2021.03.003</w:t>
        </w:r>
      </w:hyperlink>
    </w:p>
    <w:p w14:paraId="0F06E71A" w14:textId="68875B09" w:rsidR="000B6A3E" w:rsidRPr="000B6A3E" w:rsidRDefault="000B6A3E" w:rsidP="000B6A3E">
      <w:pPr>
        <w:spacing w:after="0" w:line="360" w:lineRule="auto"/>
        <w:ind w:left="720" w:hanging="720"/>
        <w:jc w:val="both"/>
        <w:rPr>
          <w:rFonts w:ascii="Arial" w:hAnsi="Arial" w:cs="Arial"/>
          <w:sz w:val="24"/>
          <w:szCs w:val="24"/>
        </w:rPr>
      </w:pPr>
      <w:r>
        <w:rPr>
          <w:rFonts w:ascii="Arial" w:hAnsi="Arial" w:cs="Arial"/>
          <w:sz w:val="24"/>
          <w:szCs w:val="24"/>
        </w:rPr>
        <w:t>Jia, X., 2021.</w:t>
      </w:r>
      <w:r w:rsidRPr="000B6A3E">
        <w:rPr>
          <w:rFonts w:ascii="Arial" w:hAnsi="Arial" w:cs="Arial"/>
          <w:sz w:val="24"/>
          <w:szCs w:val="24"/>
        </w:rPr>
        <w:t xml:space="preserve"> ‘Glucose metabolic crosstalk and regulation in brain function and diseases’, </w:t>
      </w:r>
      <w:r w:rsidRPr="000B6A3E">
        <w:rPr>
          <w:rStyle w:val="Emphasis"/>
          <w:rFonts w:ascii="Arial" w:hAnsi="Arial" w:cs="Arial"/>
          <w:sz w:val="24"/>
          <w:szCs w:val="24"/>
        </w:rPr>
        <w:t>Progress in Neurobiology</w:t>
      </w:r>
      <w:r w:rsidRPr="000B6A3E">
        <w:rPr>
          <w:rFonts w:ascii="Arial" w:hAnsi="Arial" w:cs="Arial"/>
          <w:sz w:val="24"/>
          <w:szCs w:val="24"/>
        </w:rPr>
        <w:t xml:space="preserve">, 204. Available at: </w:t>
      </w:r>
      <w:hyperlink r:id="rId12" w:history="1">
        <w:r w:rsidRPr="000B6A3E">
          <w:rPr>
            <w:rStyle w:val="Hyperlink"/>
            <w:rFonts w:ascii="Arial" w:hAnsi="Arial" w:cs="Arial"/>
            <w:sz w:val="24"/>
            <w:szCs w:val="24"/>
          </w:rPr>
          <w:t>https://pmc.ncbi.nlm.nih.gov/articles/PMC8380002/</w:t>
        </w:r>
      </w:hyperlink>
    </w:p>
    <w:p w14:paraId="16DC98C1"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knowdiabetes.org.uk, n.d. </w:t>
      </w:r>
      <w:r w:rsidRPr="000B6A3E">
        <w:rPr>
          <w:rStyle w:val="Emphasis"/>
          <w:rFonts w:ascii="Arial" w:hAnsi="Arial" w:cs="Arial"/>
          <w:sz w:val="24"/>
          <w:szCs w:val="24"/>
        </w:rPr>
        <w:t>Blood Glucose Monitoring</w:t>
      </w:r>
      <w:r w:rsidRPr="000B6A3E">
        <w:rPr>
          <w:rFonts w:ascii="Arial" w:hAnsi="Arial" w:cs="Arial"/>
          <w:sz w:val="24"/>
          <w:szCs w:val="24"/>
        </w:rPr>
        <w:t xml:space="preserve">. Available at: </w:t>
      </w:r>
      <w:hyperlink r:id="rId13" w:history="1">
        <w:r w:rsidRPr="000B6A3E">
          <w:rPr>
            <w:rStyle w:val="Hyperlink"/>
            <w:rFonts w:ascii="Arial" w:hAnsi="Arial" w:cs="Arial"/>
            <w:sz w:val="24"/>
            <w:szCs w:val="24"/>
          </w:rPr>
          <w:t>https://knowdiabetes.org.uk/resources/internal/blood-glucose-monitoring</w:t>
        </w:r>
      </w:hyperlink>
    </w:p>
    <w:p w14:paraId="27DCE275"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Merz, K.E. and Thurmond, D.C., 2021. 'Role of Skeletal Muscle in Insulin Resistance and Glucose Uptake', </w:t>
      </w:r>
      <w:r w:rsidRPr="000B6A3E">
        <w:rPr>
          <w:rStyle w:val="Emphasis"/>
          <w:rFonts w:ascii="Arial" w:hAnsi="Arial" w:cs="Arial"/>
          <w:sz w:val="24"/>
          <w:szCs w:val="24"/>
        </w:rPr>
        <w:t>Comprehensive Physiology</w:t>
      </w:r>
      <w:r w:rsidRPr="000B6A3E">
        <w:rPr>
          <w:rFonts w:ascii="Arial" w:hAnsi="Arial" w:cs="Arial"/>
          <w:sz w:val="24"/>
          <w:szCs w:val="24"/>
        </w:rPr>
        <w:t xml:space="preserve">, 10(3), pp. 785–809. Available at: </w:t>
      </w:r>
      <w:hyperlink r:id="rId14" w:history="1">
        <w:r w:rsidRPr="000B6A3E">
          <w:rPr>
            <w:rStyle w:val="Hyperlink"/>
            <w:rFonts w:ascii="Arial" w:hAnsi="Arial" w:cs="Arial"/>
            <w:sz w:val="24"/>
            <w:szCs w:val="24"/>
          </w:rPr>
          <w:t>https://pmc.ncbi.nlm.nih.gov/articles/PMC8074531/</w:t>
        </w:r>
      </w:hyperlink>
    </w:p>
    <w:p w14:paraId="5FE85AC6" w14:textId="795C52E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National Institute </w:t>
      </w:r>
      <w:r>
        <w:rPr>
          <w:rFonts w:ascii="Arial" w:hAnsi="Arial" w:cs="Arial"/>
          <w:sz w:val="24"/>
          <w:szCs w:val="24"/>
        </w:rPr>
        <w:t>for Health and Care Excellence, 2022.</w:t>
      </w:r>
      <w:r w:rsidRPr="000B6A3E">
        <w:rPr>
          <w:rFonts w:ascii="Arial" w:hAnsi="Arial" w:cs="Arial"/>
          <w:sz w:val="24"/>
          <w:szCs w:val="24"/>
        </w:rPr>
        <w:t xml:space="preserve"> </w:t>
      </w:r>
      <w:r w:rsidRPr="000B6A3E">
        <w:rPr>
          <w:rStyle w:val="Emphasis"/>
          <w:rFonts w:ascii="Arial" w:hAnsi="Arial" w:cs="Arial"/>
          <w:sz w:val="24"/>
          <w:szCs w:val="24"/>
        </w:rPr>
        <w:t>Type 2 diabetes in adults: management</w:t>
      </w:r>
      <w:r w:rsidRPr="000B6A3E">
        <w:rPr>
          <w:rFonts w:ascii="Arial" w:hAnsi="Arial" w:cs="Arial"/>
          <w:sz w:val="24"/>
          <w:szCs w:val="24"/>
        </w:rPr>
        <w:t xml:space="preserve"> [NG28]. Available at: </w:t>
      </w:r>
      <w:hyperlink r:id="rId15" w:history="1">
        <w:r w:rsidRPr="000B6A3E">
          <w:rPr>
            <w:rStyle w:val="Hyperlink"/>
            <w:rFonts w:ascii="Arial" w:hAnsi="Arial" w:cs="Arial"/>
            <w:sz w:val="24"/>
            <w:szCs w:val="24"/>
          </w:rPr>
          <w:t>https://www.nice.org.uk/guidance/ng28</w:t>
        </w:r>
      </w:hyperlink>
    </w:p>
    <w:p w14:paraId="4999D6F3"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National Institute for Health and Care Excellence, 2025. </w:t>
      </w:r>
      <w:r w:rsidRPr="000B6A3E">
        <w:rPr>
          <w:rStyle w:val="Emphasis"/>
          <w:rFonts w:ascii="Arial" w:hAnsi="Arial" w:cs="Arial"/>
          <w:sz w:val="24"/>
          <w:szCs w:val="24"/>
        </w:rPr>
        <w:t>Type 2 Diabetes in Adults: Management</w:t>
      </w:r>
      <w:r w:rsidRPr="000B6A3E">
        <w:rPr>
          <w:rFonts w:ascii="Arial" w:hAnsi="Arial" w:cs="Arial"/>
          <w:sz w:val="24"/>
          <w:szCs w:val="24"/>
        </w:rPr>
        <w:t xml:space="preserve"> [NG28]. Available at: </w:t>
      </w:r>
      <w:hyperlink r:id="rId16" w:history="1">
        <w:r w:rsidRPr="000B6A3E">
          <w:rPr>
            <w:rStyle w:val="Hyperlink"/>
            <w:rFonts w:ascii="Arial" w:hAnsi="Arial" w:cs="Arial"/>
            <w:sz w:val="24"/>
            <w:szCs w:val="24"/>
          </w:rPr>
          <w:t>https://www.nice.org.uk/guidance/ng28</w:t>
        </w:r>
      </w:hyperlink>
    </w:p>
    <w:p w14:paraId="2DD80E8E"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lastRenderedPageBreak/>
        <w:t xml:space="preserve">Nolfi-Donegan, D., Braganza, A. and Shiva, S., 2021. 'Mitochondrial Electron Transport Chain: Oxidative Phosphorylation, Oxidant Production, and Methods of Measurement', </w:t>
      </w:r>
      <w:r w:rsidRPr="000B6A3E">
        <w:rPr>
          <w:rStyle w:val="Emphasis"/>
          <w:rFonts w:ascii="Arial" w:hAnsi="Arial" w:cs="Arial"/>
          <w:sz w:val="24"/>
          <w:szCs w:val="24"/>
        </w:rPr>
        <w:t>Redox Biology</w:t>
      </w:r>
      <w:r w:rsidRPr="000B6A3E">
        <w:rPr>
          <w:rFonts w:ascii="Arial" w:hAnsi="Arial" w:cs="Arial"/>
          <w:sz w:val="24"/>
          <w:szCs w:val="24"/>
        </w:rPr>
        <w:t xml:space="preserve">, 37, 101674. Available at: </w:t>
      </w:r>
      <w:hyperlink r:id="rId17" w:history="1">
        <w:r w:rsidRPr="000B6A3E">
          <w:rPr>
            <w:rStyle w:val="Hyperlink"/>
            <w:rFonts w:ascii="Arial" w:hAnsi="Arial" w:cs="Arial"/>
            <w:sz w:val="24"/>
            <w:szCs w:val="24"/>
          </w:rPr>
          <w:t>https://doi.org/10.1016/j.redox.2020.101674</w:t>
        </w:r>
      </w:hyperlink>
    </w:p>
    <w:p w14:paraId="54B3351A"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Rahman, M.S., Hossain, K.S., Das, S., Kundu, S., Adegoke, E.O., Rahman, M.A., Hannan, M.A., Uddin, M.J. and Pang, M.-G., 2021. 'Role of Insulin in Health and Disease: An Update', </w:t>
      </w:r>
      <w:r w:rsidRPr="000B6A3E">
        <w:rPr>
          <w:rStyle w:val="Emphasis"/>
          <w:rFonts w:ascii="Arial" w:hAnsi="Arial" w:cs="Arial"/>
          <w:sz w:val="24"/>
          <w:szCs w:val="24"/>
        </w:rPr>
        <w:t>International Journal of Molecular Sciences</w:t>
      </w:r>
      <w:r w:rsidRPr="000B6A3E">
        <w:rPr>
          <w:rFonts w:ascii="Arial" w:hAnsi="Arial" w:cs="Arial"/>
          <w:sz w:val="24"/>
          <w:szCs w:val="24"/>
        </w:rPr>
        <w:t xml:space="preserve">, 22(12), 6403. Available at: </w:t>
      </w:r>
      <w:hyperlink r:id="rId18" w:history="1">
        <w:r w:rsidRPr="000B6A3E">
          <w:rPr>
            <w:rStyle w:val="Hyperlink"/>
            <w:rFonts w:ascii="Arial" w:hAnsi="Arial" w:cs="Arial"/>
            <w:sz w:val="24"/>
            <w:szCs w:val="24"/>
          </w:rPr>
          <w:t>https://doi.org/10.3390/ijms22126403</w:t>
        </w:r>
      </w:hyperlink>
    </w:p>
    <w:p w14:paraId="7A090646"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Ramroop Singh, N., 2023. </w:t>
      </w:r>
      <w:r w:rsidRPr="000B6A3E">
        <w:rPr>
          <w:rStyle w:val="Emphasis"/>
          <w:rFonts w:ascii="Arial" w:hAnsi="Arial" w:cs="Arial"/>
          <w:sz w:val="24"/>
          <w:szCs w:val="24"/>
        </w:rPr>
        <w:t>Introduction to Biology</w:t>
      </w:r>
      <w:r w:rsidRPr="000B6A3E">
        <w:rPr>
          <w:rFonts w:ascii="Arial" w:hAnsi="Arial" w:cs="Arial"/>
          <w:sz w:val="24"/>
          <w:szCs w:val="24"/>
        </w:rPr>
        <w:t xml:space="preserve">, Chapter 5.3 'ATP and Glycolysis'. Kamloops: Thompson Rivers University Pressbooks. Available at: </w:t>
      </w:r>
      <w:hyperlink r:id="rId19" w:history="1">
        <w:r w:rsidRPr="000B6A3E">
          <w:rPr>
            <w:rStyle w:val="Hyperlink"/>
            <w:rFonts w:ascii="Arial" w:hAnsi="Arial" w:cs="Arial"/>
            <w:sz w:val="24"/>
            <w:szCs w:val="24"/>
          </w:rPr>
          <w:t>https://openintrobiology.pressbooks.tru.ca/chapter/unit3-1-3/</w:t>
        </w:r>
      </w:hyperlink>
    </w:p>
    <w:p w14:paraId="4742B7D8" w14:textId="77777777" w:rsidR="000B6A3E" w:rsidRPr="000B6A3E" w:rsidRDefault="000B6A3E" w:rsidP="000B6A3E">
      <w:pPr>
        <w:spacing w:after="0" w:line="360" w:lineRule="auto"/>
        <w:ind w:left="720" w:hanging="720"/>
        <w:jc w:val="both"/>
        <w:rPr>
          <w:rFonts w:ascii="Arial" w:hAnsi="Arial" w:cs="Arial"/>
          <w:sz w:val="24"/>
          <w:szCs w:val="24"/>
        </w:rPr>
      </w:pPr>
      <w:r w:rsidRPr="000B6A3E">
        <w:rPr>
          <w:rFonts w:ascii="Arial" w:hAnsi="Arial" w:cs="Arial"/>
          <w:sz w:val="24"/>
          <w:szCs w:val="24"/>
        </w:rPr>
        <w:t xml:space="preserve">Reusch, J.E.B., 2022. 'Glucose Uptake by Skeletal Muscle within the Contexts of Type 2 Diabetes and Exercise: An Integrated Approach', </w:t>
      </w:r>
      <w:r w:rsidRPr="000B6A3E">
        <w:rPr>
          <w:rStyle w:val="Emphasis"/>
          <w:rFonts w:ascii="Arial" w:hAnsi="Arial" w:cs="Arial"/>
          <w:sz w:val="24"/>
          <w:szCs w:val="24"/>
        </w:rPr>
        <w:t>Nutrients</w:t>
      </w:r>
      <w:r w:rsidRPr="000B6A3E">
        <w:rPr>
          <w:rFonts w:ascii="Arial" w:hAnsi="Arial" w:cs="Arial"/>
          <w:sz w:val="24"/>
          <w:szCs w:val="24"/>
        </w:rPr>
        <w:t xml:space="preserve">, 14(3), 647. Available at: </w:t>
      </w:r>
      <w:hyperlink r:id="rId20" w:history="1">
        <w:r w:rsidRPr="000B6A3E">
          <w:rPr>
            <w:rStyle w:val="Hyperlink"/>
            <w:rFonts w:ascii="Arial" w:hAnsi="Arial" w:cs="Arial"/>
            <w:sz w:val="24"/>
            <w:szCs w:val="24"/>
          </w:rPr>
          <w:t>https://doi.org/10.3390/nu14030647</w:t>
        </w:r>
      </w:hyperlink>
    </w:p>
    <w:p w14:paraId="6593C297" w14:textId="77777777" w:rsidR="000B6A3E" w:rsidRPr="000B6A3E" w:rsidRDefault="000B6A3E" w:rsidP="000B6A3E">
      <w:pPr>
        <w:spacing w:after="0" w:line="360" w:lineRule="auto"/>
        <w:ind w:left="720" w:hanging="720"/>
        <w:jc w:val="both"/>
        <w:rPr>
          <w:rStyle w:val="Hyperlink"/>
          <w:rFonts w:ascii="Arial" w:hAnsi="Arial" w:cs="Arial"/>
          <w:sz w:val="24"/>
          <w:szCs w:val="24"/>
        </w:rPr>
      </w:pPr>
      <w:r w:rsidRPr="000B6A3E">
        <w:rPr>
          <w:rFonts w:ascii="Arial" w:hAnsi="Arial" w:cs="Arial"/>
          <w:sz w:val="24"/>
          <w:szCs w:val="24"/>
        </w:rPr>
        <w:t xml:space="preserve">World Health Organization, 2024. </w:t>
      </w:r>
      <w:r w:rsidRPr="000B6A3E">
        <w:rPr>
          <w:rStyle w:val="Emphasis"/>
          <w:rFonts w:ascii="Arial" w:hAnsi="Arial" w:cs="Arial"/>
          <w:sz w:val="24"/>
          <w:szCs w:val="24"/>
        </w:rPr>
        <w:t>Diabetes</w:t>
      </w:r>
      <w:r w:rsidRPr="000B6A3E">
        <w:rPr>
          <w:rFonts w:ascii="Arial" w:hAnsi="Arial" w:cs="Arial"/>
          <w:sz w:val="24"/>
          <w:szCs w:val="24"/>
        </w:rPr>
        <w:t xml:space="preserve">. Available at: </w:t>
      </w:r>
      <w:hyperlink r:id="rId21" w:history="1">
        <w:r w:rsidRPr="000B6A3E">
          <w:rPr>
            <w:rStyle w:val="Hyperlink"/>
            <w:rFonts w:ascii="Arial" w:hAnsi="Arial" w:cs="Arial"/>
            <w:sz w:val="24"/>
            <w:szCs w:val="24"/>
          </w:rPr>
          <w:t>https://www.who.int/news-room/fact-sheets/detail/diabetes</w:t>
        </w:r>
      </w:hyperlink>
    </w:p>
    <w:p w14:paraId="360A0C07" w14:textId="33CDDDF3" w:rsidR="000B6A3E" w:rsidRPr="000B6A3E" w:rsidRDefault="000B6A3E" w:rsidP="000B6A3E">
      <w:pPr>
        <w:spacing w:after="0" w:line="360" w:lineRule="auto"/>
        <w:ind w:left="720" w:hanging="720"/>
        <w:jc w:val="both"/>
        <w:rPr>
          <w:rStyle w:val="Hyperlink"/>
          <w:rFonts w:ascii="Arial" w:hAnsi="Arial" w:cs="Arial"/>
          <w:sz w:val="24"/>
          <w:szCs w:val="24"/>
        </w:rPr>
      </w:pPr>
      <w:r w:rsidRPr="000B6A3E">
        <w:rPr>
          <w:rFonts w:ascii="Arial" w:hAnsi="Arial" w:cs="Arial"/>
          <w:sz w:val="24"/>
          <w:szCs w:val="24"/>
        </w:rPr>
        <w:t>Leeds Teaching Hospitals</w:t>
      </w:r>
      <w:r>
        <w:rPr>
          <w:rFonts w:ascii="Arial" w:hAnsi="Arial" w:cs="Arial"/>
          <w:sz w:val="24"/>
          <w:szCs w:val="24"/>
        </w:rPr>
        <w:t xml:space="preserve"> National Health Service Trust, 2025.</w:t>
      </w:r>
      <w:r w:rsidRPr="000B6A3E">
        <w:rPr>
          <w:rFonts w:ascii="Arial" w:hAnsi="Arial" w:cs="Arial"/>
          <w:sz w:val="24"/>
          <w:szCs w:val="24"/>
        </w:rPr>
        <w:t xml:space="preserve"> </w:t>
      </w:r>
      <w:r w:rsidRPr="000B6A3E">
        <w:rPr>
          <w:rStyle w:val="Emphasis"/>
          <w:rFonts w:ascii="Arial" w:hAnsi="Arial" w:cs="Arial"/>
          <w:sz w:val="24"/>
          <w:szCs w:val="24"/>
        </w:rPr>
        <w:t>Carbohydrate counting diary</w:t>
      </w:r>
      <w:r w:rsidRPr="000B6A3E">
        <w:rPr>
          <w:rFonts w:ascii="Arial" w:hAnsi="Arial" w:cs="Arial"/>
          <w:sz w:val="24"/>
          <w:szCs w:val="24"/>
        </w:rPr>
        <w:t xml:space="preserve">. Available at: </w:t>
      </w:r>
      <w:hyperlink r:id="rId22" w:history="1">
        <w:r w:rsidRPr="000B6A3E">
          <w:rPr>
            <w:rStyle w:val="Hyperlink"/>
            <w:rFonts w:ascii="Arial" w:hAnsi="Arial" w:cs="Arial"/>
            <w:sz w:val="24"/>
            <w:szCs w:val="24"/>
          </w:rPr>
          <w:t>https://www.leedsth.nhs.uk/patients/resources/carbohydrate-counting-diary/</w:t>
        </w:r>
      </w:hyperlink>
    </w:p>
    <w:sectPr w:rsidR="000B6A3E" w:rsidRPr="000B6A3E" w:rsidSect="00AC44CA">
      <w:head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125FE" w14:textId="77777777" w:rsidR="00393152" w:rsidRDefault="00393152" w:rsidP="00AC44CA">
      <w:pPr>
        <w:spacing w:after="0" w:line="240" w:lineRule="auto"/>
      </w:pPr>
      <w:r>
        <w:separator/>
      </w:r>
    </w:p>
  </w:endnote>
  <w:endnote w:type="continuationSeparator" w:id="0">
    <w:p w14:paraId="370665B2" w14:textId="77777777" w:rsidR="00393152" w:rsidRDefault="00393152" w:rsidP="00AC4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0DB2E" w14:textId="77777777" w:rsidR="00393152" w:rsidRDefault="00393152" w:rsidP="00AC44CA">
      <w:pPr>
        <w:spacing w:after="0" w:line="240" w:lineRule="auto"/>
      </w:pPr>
      <w:r>
        <w:separator/>
      </w:r>
    </w:p>
  </w:footnote>
  <w:footnote w:type="continuationSeparator" w:id="0">
    <w:p w14:paraId="272896E4" w14:textId="77777777" w:rsidR="00393152" w:rsidRDefault="00393152" w:rsidP="00AC44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D3C72A" w14:textId="77777777" w:rsidR="00AC44CA" w:rsidRPr="00AC44CA" w:rsidRDefault="00AC44CA">
    <w:pPr>
      <w:pStyle w:val="Header"/>
      <w:jc w:val="right"/>
      <w:rPr>
        <w:rFonts w:ascii="Arial" w:hAnsi="Arial" w:cs="Arial"/>
      </w:rPr>
    </w:pPr>
    <w:r w:rsidRPr="00AC44CA">
      <w:rPr>
        <w:rFonts w:ascii="Arial" w:hAnsi="Arial" w:cs="Arial"/>
      </w:rPr>
      <w:t xml:space="preserve">Case Study Report        </w:t>
    </w:r>
    <w:sdt>
      <w:sdtPr>
        <w:rPr>
          <w:rFonts w:ascii="Arial" w:hAnsi="Arial" w:cs="Arial"/>
        </w:rPr>
        <w:id w:val="1122030156"/>
        <w:docPartObj>
          <w:docPartGallery w:val="Page Numbers (Top of Page)"/>
          <w:docPartUnique/>
        </w:docPartObj>
      </w:sdtPr>
      <w:sdtEndPr>
        <w:rPr>
          <w:noProof/>
        </w:rPr>
      </w:sdtEndPr>
      <w:sdtContent>
        <w:r w:rsidRPr="00AC44CA">
          <w:rPr>
            <w:rFonts w:ascii="Arial" w:hAnsi="Arial" w:cs="Arial"/>
          </w:rPr>
          <w:fldChar w:fldCharType="begin"/>
        </w:r>
        <w:r w:rsidRPr="00AC44CA">
          <w:rPr>
            <w:rFonts w:ascii="Arial" w:hAnsi="Arial" w:cs="Arial"/>
          </w:rPr>
          <w:instrText xml:space="preserve"> PAGE   \* MERGEFORMAT </w:instrText>
        </w:r>
        <w:r w:rsidRPr="00AC44CA">
          <w:rPr>
            <w:rFonts w:ascii="Arial" w:hAnsi="Arial" w:cs="Arial"/>
          </w:rPr>
          <w:fldChar w:fldCharType="separate"/>
        </w:r>
        <w:r w:rsidR="0060230C">
          <w:rPr>
            <w:rFonts w:ascii="Arial" w:hAnsi="Arial" w:cs="Arial"/>
            <w:noProof/>
          </w:rPr>
          <w:t>10</w:t>
        </w:r>
        <w:r w:rsidRPr="00AC44CA">
          <w:rPr>
            <w:rFonts w:ascii="Arial" w:hAnsi="Arial" w:cs="Arial"/>
            <w:noProof/>
          </w:rPr>
          <w:fldChar w:fldCharType="end"/>
        </w:r>
      </w:sdtContent>
    </w:sdt>
  </w:p>
  <w:p w14:paraId="4C8C8467" w14:textId="77777777" w:rsidR="00AC44CA" w:rsidRDefault="00AC44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A6E"/>
    <w:rsid w:val="000B6A3E"/>
    <w:rsid w:val="00105AAE"/>
    <w:rsid w:val="00176A6E"/>
    <w:rsid w:val="001A33F3"/>
    <w:rsid w:val="00285034"/>
    <w:rsid w:val="00393152"/>
    <w:rsid w:val="005376F3"/>
    <w:rsid w:val="0060230C"/>
    <w:rsid w:val="006D7C31"/>
    <w:rsid w:val="0071741F"/>
    <w:rsid w:val="00942906"/>
    <w:rsid w:val="00AB637D"/>
    <w:rsid w:val="00AC44CA"/>
    <w:rsid w:val="00B62BE5"/>
    <w:rsid w:val="00E26A35"/>
    <w:rsid w:val="00E77718"/>
    <w:rsid w:val="00ED1498"/>
    <w:rsid w:val="00F0043B"/>
    <w:rsid w:val="00F26483"/>
    <w:rsid w:val="00F35242"/>
    <w:rsid w:val="00F42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18CAB"/>
  <w15:chartTrackingRefBased/>
  <w15:docId w15:val="{4D664FF2-2924-44FE-900C-C08A3D9D7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A6E"/>
    <w:pPr>
      <w:spacing w:after="0" w:line="360" w:lineRule="auto"/>
      <w:outlineLvl w:val="0"/>
    </w:pPr>
    <w:rPr>
      <w:rFonts w:ascii="Arial" w:hAnsi="Arial" w:cs="Arial"/>
      <w:b/>
      <w:i/>
    </w:rPr>
  </w:style>
  <w:style w:type="paragraph" w:styleId="Heading3">
    <w:name w:val="heading 3"/>
    <w:basedOn w:val="Normal"/>
    <w:link w:val="Heading3Char"/>
    <w:uiPriority w:val="9"/>
    <w:qFormat/>
    <w:rsid w:val="00176A6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76A6E"/>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176A6E"/>
    <w:rPr>
      <w:rFonts w:ascii="Arial" w:hAnsi="Arial" w:cs="Arial"/>
      <w:b/>
      <w:i/>
    </w:rPr>
  </w:style>
  <w:style w:type="character" w:styleId="Emphasis">
    <w:name w:val="Emphasis"/>
    <w:basedOn w:val="DefaultParagraphFont"/>
    <w:uiPriority w:val="20"/>
    <w:qFormat/>
    <w:rsid w:val="00E26A35"/>
    <w:rPr>
      <w:i/>
      <w:iCs/>
    </w:rPr>
  </w:style>
  <w:style w:type="character" w:styleId="Hyperlink">
    <w:name w:val="Hyperlink"/>
    <w:basedOn w:val="DefaultParagraphFont"/>
    <w:uiPriority w:val="99"/>
    <w:unhideWhenUsed/>
    <w:rsid w:val="00E26A35"/>
    <w:rPr>
      <w:color w:val="0000FF"/>
      <w:u w:val="single"/>
    </w:rPr>
  </w:style>
  <w:style w:type="paragraph" w:styleId="TOCHeading">
    <w:name w:val="TOC Heading"/>
    <w:basedOn w:val="Heading1"/>
    <w:next w:val="Normal"/>
    <w:uiPriority w:val="39"/>
    <w:unhideWhenUsed/>
    <w:qFormat/>
    <w:rsid w:val="00AC44CA"/>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AC44CA"/>
    <w:pPr>
      <w:spacing w:after="100"/>
    </w:pPr>
  </w:style>
  <w:style w:type="paragraph" w:styleId="Header">
    <w:name w:val="header"/>
    <w:basedOn w:val="Normal"/>
    <w:link w:val="HeaderChar"/>
    <w:uiPriority w:val="99"/>
    <w:unhideWhenUsed/>
    <w:rsid w:val="00AC44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44CA"/>
  </w:style>
  <w:style w:type="paragraph" w:styleId="Footer">
    <w:name w:val="footer"/>
    <w:basedOn w:val="Normal"/>
    <w:link w:val="FooterChar"/>
    <w:uiPriority w:val="99"/>
    <w:unhideWhenUsed/>
    <w:rsid w:val="00AC44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44CA"/>
  </w:style>
  <w:style w:type="character" w:styleId="CommentReference">
    <w:name w:val="annotation reference"/>
    <w:basedOn w:val="DefaultParagraphFont"/>
    <w:uiPriority w:val="99"/>
    <w:semiHidden/>
    <w:unhideWhenUsed/>
    <w:rsid w:val="00285034"/>
    <w:rPr>
      <w:sz w:val="16"/>
      <w:szCs w:val="16"/>
    </w:rPr>
  </w:style>
  <w:style w:type="paragraph" w:styleId="CommentText">
    <w:name w:val="annotation text"/>
    <w:basedOn w:val="Normal"/>
    <w:link w:val="CommentTextChar"/>
    <w:uiPriority w:val="99"/>
    <w:semiHidden/>
    <w:unhideWhenUsed/>
    <w:rsid w:val="00285034"/>
    <w:pPr>
      <w:spacing w:line="240" w:lineRule="auto"/>
    </w:pPr>
    <w:rPr>
      <w:sz w:val="20"/>
      <w:szCs w:val="20"/>
    </w:rPr>
  </w:style>
  <w:style w:type="character" w:customStyle="1" w:styleId="CommentTextChar">
    <w:name w:val="Comment Text Char"/>
    <w:basedOn w:val="DefaultParagraphFont"/>
    <w:link w:val="CommentText"/>
    <w:uiPriority w:val="99"/>
    <w:semiHidden/>
    <w:rsid w:val="00285034"/>
    <w:rPr>
      <w:sz w:val="20"/>
      <w:szCs w:val="20"/>
    </w:rPr>
  </w:style>
  <w:style w:type="paragraph" w:styleId="CommentSubject">
    <w:name w:val="annotation subject"/>
    <w:basedOn w:val="CommentText"/>
    <w:next w:val="CommentText"/>
    <w:link w:val="CommentSubjectChar"/>
    <w:uiPriority w:val="99"/>
    <w:semiHidden/>
    <w:unhideWhenUsed/>
    <w:rsid w:val="00285034"/>
    <w:rPr>
      <w:b/>
      <w:bCs/>
    </w:rPr>
  </w:style>
  <w:style w:type="character" w:customStyle="1" w:styleId="CommentSubjectChar">
    <w:name w:val="Comment Subject Char"/>
    <w:basedOn w:val="CommentTextChar"/>
    <w:link w:val="CommentSubject"/>
    <w:uiPriority w:val="99"/>
    <w:semiHidden/>
    <w:rsid w:val="00285034"/>
    <w:rPr>
      <w:b/>
      <w:bCs/>
      <w:sz w:val="20"/>
      <w:szCs w:val="20"/>
    </w:rPr>
  </w:style>
  <w:style w:type="paragraph" w:styleId="BalloonText">
    <w:name w:val="Balloon Text"/>
    <w:basedOn w:val="Normal"/>
    <w:link w:val="BalloonTextChar"/>
    <w:uiPriority w:val="99"/>
    <w:semiHidden/>
    <w:unhideWhenUsed/>
    <w:rsid w:val="002850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50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org.uk/sites/default/files/2023-07/Diabetes%20UK%20Information%20Prescription%20-%20Type%202%20diabetes%20remission.docx" TargetMode="External"/><Relationship Id="rId13" Type="http://schemas.openxmlformats.org/officeDocument/2006/relationships/hyperlink" Target="https://knowdiabetes.org.uk/resources/internal/blood-glucose-monitoring" TargetMode="External"/><Relationship Id="rId18" Type="http://schemas.openxmlformats.org/officeDocument/2006/relationships/hyperlink" Target="https://doi.org/10.3390/ijms22126403" TargetMode="Externa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hyperlink" Target="https://doi.org/10.1016/j.cmet.2022.10.001" TargetMode="External"/><Relationship Id="rId12" Type="http://schemas.openxmlformats.org/officeDocument/2006/relationships/hyperlink" Target="https://pmc.ncbi.nlm.nih.gov/articles/PMC8380002/" TargetMode="External"/><Relationship Id="rId17" Type="http://schemas.openxmlformats.org/officeDocument/2006/relationships/hyperlink" Target="https://doi.org/10.1016/j.redox.2020.10167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ice.org.uk/guidance/ng28" TargetMode="External"/><Relationship Id="rId20" Type="http://schemas.openxmlformats.org/officeDocument/2006/relationships/hyperlink" Target="https://doi.org/10.3390/nu1403064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csbj.2021.03.00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ice.org.uk/guidance/ng28" TargetMode="External"/><Relationship Id="rId23" Type="http://schemas.openxmlformats.org/officeDocument/2006/relationships/header" Target="header1.xml"/><Relationship Id="rId10" Type="http://schemas.openxmlformats.org/officeDocument/2006/relationships/hyperlink" Target="https://www.fhft.nhs.uk/patients-and-visitors/patient-information-library/diabetes-and-exercise" TargetMode="External"/><Relationship Id="rId19" Type="http://schemas.openxmlformats.org/officeDocument/2006/relationships/hyperlink" Target="https://openintrobiology.pressbooks.tru.ca/chapter/unit3-1-3/" TargetMode="External"/><Relationship Id="rId4" Type="http://schemas.openxmlformats.org/officeDocument/2006/relationships/webSettings" Target="webSettings.xml"/><Relationship Id="rId9" Type="http://schemas.openxmlformats.org/officeDocument/2006/relationships/hyperlink" Target="https://ecampusontario.pressbooks.pub/bioc2580/chapter/the-overall-efficiency-of-oxidative-phosphorylation/" TargetMode="External"/><Relationship Id="rId14" Type="http://schemas.openxmlformats.org/officeDocument/2006/relationships/hyperlink" Target="https://pmc.ncbi.nlm.nih.gov/articles/PMC8074531/" TargetMode="External"/><Relationship Id="rId22" Type="http://schemas.openxmlformats.org/officeDocument/2006/relationships/hyperlink" Target="https://www.leedsth.nhs.uk/patients/resources/carbohydrate-counting-diary/?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FE5CE0-C39A-43D4-9979-04356BAD7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dc:creator>
  <cp:keywords/>
  <dc:description/>
  <cp:lastModifiedBy>Zuzana Pacajova (2511506)</cp:lastModifiedBy>
  <cp:revision>4</cp:revision>
  <dcterms:created xsi:type="dcterms:W3CDTF">2026-10-08T07:02:00Z</dcterms:created>
  <dcterms:modified xsi:type="dcterms:W3CDTF">2026-10-22T08:46:00Z</dcterms:modified>
</cp:coreProperties>
</file>