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D662A" w:rsidRDefault="003D662A">
      <w:pPr>
        <w:spacing w:after="200" w:line="360" w:lineRule="auto"/>
        <w:jc w:val="center"/>
        <w:rPr>
          <w:rFonts w:ascii="Arial" w:eastAsia="Arial" w:hAnsi="Arial" w:cs="Arial"/>
          <w:b/>
          <w:caps/>
          <w:sz w:val="32"/>
        </w:rPr>
      </w:pPr>
    </w:p>
    <w:p w:rsidR="003D662A" w:rsidRDefault="003D662A">
      <w:pPr>
        <w:spacing w:after="200" w:line="360" w:lineRule="auto"/>
        <w:jc w:val="center"/>
        <w:rPr>
          <w:rFonts w:ascii="Arial" w:eastAsia="Arial" w:hAnsi="Arial" w:cs="Arial"/>
          <w:b/>
          <w:caps/>
          <w:sz w:val="32"/>
        </w:rPr>
      </w:pPr>
    </w:p>
    <w:p w:rsidR="003D662A" w:rsidRDefault="00EA6FCD">
      <w:pPr>
        <w:spacing w:after="200" w:line="360" w:lineRule="auto"/>
        <w:jc w:val="center"/>
        <w:rPr>
          <w:rFonts w:ascii="Arial" w:eastAsia="Arial" w:hAnsi="Arial" w:cs="Arial"/>
          <w:b/>
          <w:caps/>
          <w:sz w:val="32"/>
        </w:rPr>
      </w:pPr>
      <w:r>
        <w:rPr>
          <w:rFonts w:ascii="Arial" w:eastAsia="Arial" w:hAnsi="Arial" w:cs="Arial"/>
          <w:b/>
          <w:caps/>
          <w:sz w:val="32"/>
        </w:rPr>
        <w:t>name: Ayushi rajendrakumar patel</w:t>
      </w:r>
    </w:p>
    <w:p w:rsidR="003D662A" w:rsidRDefault="003D662A">
      <w:pPr>
        <w:spacing w:after="200" w:line="360" w:lineRule="auto"/>
        <w:jc w:val="center"/>
        <w:rPr>
          <w:rFonts w:ascii="Arial" w:eastAsia="Arial" w:hAnsi="Arial" w:cs="Arial"/>
          <w:b/>
          <w:caps/>
          <w:sz w:val="32"/>
        </w:rPr>
      </w:pPr>
    </w:p>
    <w:p w:rsidR="003D662A" w:rsidRDefault="00EA6FCD">
      <w:pPr>
        <w:spacing w:after="200" w:line="360" w:lineRule="auto"/>
        <w:jc w:val="center"/>
        <w:rPr>
          <w:rFonts w:ascii="Arial" w:eastAsia="Arial" w:hAnsi="Arial" w:cs="Arial"/>
          <w:b/>
          <w:caps/>
          <w:sz w:val="32"/>
        </w:rPr>
      </w:pPr>
      <w:r>
        <w:rPr>
          <w:rFonts w:ascii="Arial" w:eastAsia="Arial" w:hAnsi="Arial" w:cs="Arial"/>
          <w:b/>
          <w:caps/>
          <w:sz w:val="32"/>
        </w:rPr>
        <w:t>student number:2232773</w:t>
      </w:r>
    </w:p>
    <w:p w:rsidR="003D662A" w:rsidRDefault="003D662A">
      <w:pPr>
        <w:spacing w:after="200" w:line="360" w:lineRule="auto"/>
        <w:jc w:val="center"/>
        <w:rPr>
          <w:rFonts w:ascii="Arial" w:eastAsia="Arial" w:hAnsi="Arial" w:cs="Arial"/>
          <w:b/>
          <w:caps/>
          <w:sz w:val="32"/>
        </w:rPr>
      </w:pPr>
    </w:p>
    <w:p w:rsidR="003D662A" w:rsidRDefault="00EA6FCD">
      <w:pPr>
        <w:spacing w:after="200" w:line="360" w:lineRule="auto"/>
        <w:jc w:val="center"/>
        <w:rPr>
          <w:rFonts w:ascii="Arial" w:eastAsia="Arial" w:hAnsi="Arial" w:cs="Arial"/>
          <w:b/>
          <w:caps/>
          <w:sz w:val="32"/>
        </w:rPr>
      </w:pPr>
      <w:r>
        <w:rPr>
          <w:rFonts w:ascii="Arial" w:eastAsia="Arial" w:hAnsi="Arial" w:cs="Arial"/>
          <w:b/>
          <w:caps/>
          <w:sz w:val="32"/>
        </w:rPr>
        <w:t>module code and title: Population Health and Digital Health Promotion;</w:t>
      </w:r>
      <w:r>
        <w:rPr>
          <w:rFonts w:ascii="Calibri" w:eastAsia="Calibri" w:hAnsi="Calibri" w:cs="Calibri"/>
        </w:rPr>
        <w:t xml:space="preserve"> </w:t>
      </w:r>
      <w:r>
        <w:rPr>
          <w:rFonts w:ascii="Arial" w:eastAsia="Arial" w:hAnsi="Arial" w:cs="Arial"/>
          <w:b/>
          <w:sz w:val="32"/>
        </w:rPr>
        <w:t>L</w:t>
      </w:r>
      <w:r>
        <w:rPr>
          <w:rFonts w:ascii="Arial" w:eastAsia="Arial" w:hAnsi="Arial" w:cs="Arial"/>
          <w:b/>
          <w:caps/>
          <w:sz w:val="32"/>
        </w:rPr>
        <w:t>CHS7007</w:t>
      </w:r>
    </w:p>
    <w:p w:rsidR="003D662A" w:rsidRDefault="003D662A">
      <w:pPr>
        <w:spacing w:after="200" w:line="360" w:lineRule="auto"/>
        <w:jc w:val="center"/>
        <w:rPr>
          <w:rFonts w:ascii="Arial" w:eastAsia="Arial" w:hAnsi="Arial" w:cs="Arial"/>
          <w:b/>
          <w:caps/>
          <w:sz w:val="32"/>
        </w:rPr>
      </w:pPr>
    </w:p>
    <w:p w:rsidR="003D662A" w:rsidRDefault="00EA6FCD">
      <w:pPr>
        <w:spacing w:after="200" w:line="360" w:lineRule="auto"/>
        <w:jc w:val="center"/>
        <w:rPr>
          <w:rFonts w:ascii="Arial" w:eastAsia="Arial" w:hAnsi="Arial" w:cs="Arial"/>
          <w:b/>
          <w:caps/>
          <w:sz w:val="32"/>
        </w:rPr>
      </w:pPr>
      <w:r>
        <w:rPr>
          <w:rFonts w:ascii="Arial" w:eastAsia="Arial" w:hAnsi="Arial" w:cs="Arial"/>
          <w:b/>
          <w:caps/>
          <w:sz w:val="32"/>
        </w:rPr>
        <w:t>assignment title: Component 1 (Task 1- Blog; Task 2- Poster design)</w:t>
      </w:r>
    </w:p>
    <w:p w:rsidR="003D662A" w:rsidRDefault="00EA6FCD">
      <w:pPr>
        <w:spacing w:after="200" w:line="360" w:lineRule="auto"/>
        <w:rPr>
          <w:rFonts w:ascii="Arial" w:eastAsia="Arial" w:hAnsi="Arial" w:cs="Arial"/>
          <w:b/>
          <w:caps/>
          <w:sz w:val="32"/>
        </w:rPr>
      </w:pPr>
      <w:r>
        <w:rPr>
          <w:rFonts w:ascii="Arial" w:eastAsia="Arial" w:hAnsi="Arial" w:cs="Arial"/>
          <w:b/>
          <w:caps/>
          <w:sz w:val="32"/>
        </w:rPr>
        <w:t xml:space="preserve"> </w:t>
      </w:r>
    </w:p>
    <w:p w:rsidR="003D662A" w:rsidRDefault="003D662A">
      <w:pPr>
        <w:spacing w:after="200" w:line="360" w:lineRule="auto"/>
        <w:rPr>
          <w:rFonts w:ascii="Arial" w:eastAsia="Arial" w:hAnsi="Arial" w:cs="Arial"/>
          <w:b/>
          <w:caps/>
          <w:sz w:val="32"/>
        </w:rPr>
      </w:pPr>
    </w:p>
    <w:p w:rsidR="003D662A" w:rsidRDefault="003D662A">
      <w:pPr>
        <w:spacing w:after="200" w:line="360" w:lineRule="auto"/>
        <w:jc w:val="center"/>
        <w:rPr>
          <w:rFonts w:ascii="Arial" w:eastAsia="Arial" w:hAnsi="Arial" w:cs="Arial"/>
          <w:b/>
          <w:caps/>
          <w:sz w:val="32"/>
        </w:rPr>
      </w:pPr>
    </w:p>
    <w:p w:rsidR="003D662A" w:rsidRDefault="003D662A">
      <w:pPr>
        <w:spacing w:after="200" w:line="360" w:lineRule="auto"/>
        <w:jc w:val="center"/>
        <w:rPr>
          <w:rFonts w:ascii="Arial" w:eastAsia="Arial" w:hAnsi="Arial" w:cs="Arial"/>
          <w:b/>
          <w:caps/>
          <w:sz w:val="32"/>
        </w:rPr>
      </w:pPr>
    </w:p>
    <w:p w:rsidR="003D662A" w:rsidRDefault="003D662A">
      <w:pPr>
        <w:spacing w:after="200" w:line="360" w:lineRule="auto"/>
        <w:jc w:val="center"/>
        <w:rPr>
          <w:rFonts w:ascii="Arial" w:eastAsia="Arial" w:hAnsi="Arial" w:cs="Arial"/>
          <w:b/>
          <w:caps/>
          <w:sz w:val="32"/>
        </w:rPr>
      </w:pPr>
    </w:p>
    <w:p w:rsidR="003D662A" w:rsidRDefault="00EA6FCD">
      <w:pPr>
        <w:spacing w:after="200" w:line="360" w:lineRule="auto"/>
        <w:rPr>
          <w:rFonts w:ascii="Arial" w:eastAsia="Arial" w:hAnsi="Arial" w:cs="Arial"/>
          <w:sz w:val="24"/>
        </w:rPr>
      </w:pPr>
      <w:r>
        <w:rPr>
          <w:rFonts w:ascii="Arial" w:eastAsia="Arial" w:hAnsi="Arial" w:cs="Arial"/>
          <w:sz w:val="24"/>
        </w:rPr>
        <w:t xml:space="preserve"> </w:t>
      </w:r>
    </w:p>
    <w:p w:rsidR="003D662A" w:rsidRDefault="003D662A">
      <w:pPr>
        <w:spacing w:after="200" w:line="360" w:lineRule="auto"/>
        <w:rPr>
          <w:rFonts w:ascii="Arial" w:eastAsia="Arial" w:hAnsi="Arial" w:cs="Arial"/>
          <w:sz w:val="24"/>
        </w:rPr>
      </w:pPr>
    </w:p>
    <w:p w:rsidR="003D662A" w:rsidRDefault="00EA6FCD">
      <w:pPr>
        <w:spacing w:after="200" w:line="360" w:lineRule="auto"/>
        <w:jc w:val="both"/>
        <w:rPr>
          <w:rFonts w:ascii="Arial" w:eastAsia="Arial" w:hAnsi="Arial" w:cs="Arial"/>
          <w:b/>
          <w:sz w:val="28"/>
        </w:rPr>
      </w:pPr>
      <w:r>
        <w:rPr>
          <w:rFonts w:ascii="Arial" w:eastAsia="Arial" w:hAnsi="Arial" w:cs="Arial"/>
          <w:b/>
          <w:sz w:val="28"/>
        </w:rPr>
        <w:t>Task 1- Blogs</w:t>
      </w:r>
    </w:p>
    <w:p w:rsidR="003D662A" w:rsidRDefault="00EA6FCD">
      <w:pPr>
        <w:spacing w:after="200" w:line="360" w:lineRule="auto"/>
        <w:jc w:val="both"/>
        <w:rPr>
          <w:rFonts w:ascii="Arial" w:eastAsia="Arial" w:hAnsi="Arial" w:cs="Arial"/>
          <w:b/>
          <w:sz w:val="24"/>
        </w:rPr>
      </w:pPr>
      <w:r>
        <w:rPr>
          <w:rFonts w:ascii="Arial" w:eastAsia="Arial" w:hAnsi="Arial" w:cs="Arial"/>
          <w:b/>
          <w:sz w:val="24"/>
        </w:rPr>
        <w:lastRenderedPageBreak/>
        <w:t>Title of Blog 1: Impact of Continuous Glucose Monitors (CGM) for “digital health promotion intervention”</w:t>
      </w:r>
    </w:p>
    <w:p w:rsidR="003D662A" w:rsidRDefault="00EA6FCD">
      <w:pPr>
        <w:spacing w:after="200" w:line="360" w:lineRule="auto"/>
        <w:rPr>
          <w:rFonts w:ascii="Arial" w:eastAsia="Arial" w:hAnsi="Arial" w:cs="Arial"/>
          <w:b/>
          <w:i/>
          <w:sz w:val="24"/>
        </w:rPr>
      </w:pPr>
      <w:r>
        <w:rPr>
          <w:rFonts w:ascii="Arial" w:eastAsia="Arial" w:hAnsi="Arial" w:cs="Arial"/>
          <w:b/>
          <w:i/>
          <w:sz w:val="24"/>
        </w:rPr>
        <w:t xml:space="preserve">Diabetes as the “public health problem” (PHP) and why it poses concern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Diabetes is a chronic PHP affecting individuals in the UK. Type 2 diabetes is a more commonly occurring type with 90% of patients having Type 2 diabetes (Gregory, 2023). By 2025, diabetes prevalence is expected to increase to 4 million; </w:t>
      </w:r>
      <w:r>
        <w:rPr>
          <w:rFonts w:ascii="Arial" w:eastAsia="Arial" w:hAnsi="Arial" w:cs="Arial"/>
          <w:sz w:val="24"/>
          <w:shd w:val="clear" w:color="auto" w:fill="FFFFFF"/>
        </w:rPr>
        <w:t>£14 billion</w:t>
      </w:r>
      <w:r>
        <w:rPr>
          <w:rFonts w:ascii="Arial" w:eastAsia="Arial" w:hAnsi="Arial" w:cs="Arial"/>
          <w:sz w:val="24"/>
        </w:rPr>
        <w:t xml:space="preserve"> is being spent each year currently for treating diabetes and its related complications (Diabetes.co.uk, 2019). These statistics level up diabetes as a cause of concern in dealing with public health problem. </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t>Using CGM in health promotion and addressing the public health problem</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Continuous Glucose Monitors are referred as diabetes monitors also; it is a wearable technology that helps individuals to track their blood’s sugar levels periodically (ADCES staff, 2022). CGMs are “electronic blood sugar monitors” and these do not include pricking the fingers for testing sugar levels (Diabetes UK, 2023). CGMs help in supporting lifestyle of individuals as well as pharmacological interventions (Fleming </w:t>
      </w:r>
      <w:r>
        <w:rPr>
          <w:rFonts w:ascii="Arial" w:eastAsia="Arial" w:hAnsi="Arial" w:cs="Arial"/>
          <w:i/>
          <w:sz w:val="24"/>
        </w:rPr>
        <w:t>et al.</w:t>
      </w:r>
      <w:r>
        <w:rPr>
          <w:rFonts w:ascii="Arial" w:eastAsia="Arial" w:hAnsi="Arial" w:cs="Arial"/>
          <w:sz w:val="24"/>
        </w:rPr>
        <w:t xml:space="preserve"> 2019). All these information convey that the usage of CGMs helps in managing a diabetic individual’s lifestyle by enabling the blood sugar levels to stay in check. </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t xml:space="preserve">Impact of CGM in health promotion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CGMs can be deemed advantageous as it allows people with diabetes to manage their glucose levels by tending to the alerts of high or low blood glucose level. Thus, it is capable of alerting about “hypoglycaemia and/or hyperglycemias”. Additionally, the glucose data can be shared with the family members or with one’s healthcare team as well. CGMs provide the rate of glucose change as well (Cleveland Clinic, 2021).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Nevertheless, certain shortfalls exist for CGMs like its cost if insurance coverage is not available (ADCES staff, 2022). Thus, access and usage of the device could become limited for some individuals. The device requires the individual to develop a learning curve, which could make it feel a little complicated. Hence, middle or older adults would need assistance in dealing with the device. </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lastRenderedPageBreak/>
        <w:t>Addressing the shortfalls</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The affordability issue can be addressed by incorporating the cost (or at least a percentage of it) via insurance. Additionally, support and education for the users would enable independent usage of CGMs. This will help them with the difficulty felt with the learning curve of the device.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Thus, by these advantages and overcoming the shortfalls, CGMs could potentially become vital in transforming the management of Type 2 diabetes and in dealing with the larger PHP. </w:t>
      </w:r>
    </w:p>
    <w:p w:rsidR="003D662A" w:rsidRDefault="003D662A">
      <w:pPr>
        <w:spacing w:after="200" w:line="360" w:lineRule="auto"/>
        <w:jc w:val="both"/>
        <w:rPr>
          <w:rFonts w:ascii="Arial" w:eastAsia="Arial" w:hAnsi="Arial" w:cs="Arial"/>
          <w:sz w:val="24"/>
        </w:rPr>
      </w:pPr>
    </w:p>
    <w:p w:rsidR="003D662A" w:rsidRDefault="00EA6FCD">
      <w:pPr>
        <w:spacing w:after="200" w:line="360" w:lineRule="auto"/>
        <w:jc w:val="both"/>
        <w:rPr>
          <w:rFonts w:ascii="Arial" w:eastAsia="Arial" w:hAnsi="Arial" w:cs="Arial"/>
          <w:b/>
          <w:sz w:val="28"/>
        </w:rPr>
      </w:pPr>
      <w:r>
        <w:rPr>
          <w:rFonts w:ascii="Arial" w:eastAsia="Arial" w:hAnsi="Arial" w:cs="Arial"/>
          <w:b/>
          <w:sz w:val="28"/>
        </w:rPr>
        <w:t>Reference List</w:t>
      </w:r>
    </w:p>
    <w:p w:rsidR="003D662A" w:rsidRDefault="00EA6FCD">
      <w:pPr>
        <w:spacing w:after="200" w:line="360" w:lineRule="auto"/>
        <w:rPr>
          <w:rFonts w:ascii="Arial" w:eastAsia="Arial" w:hAnsi="Arial" w:cs="Arial"/>
          <w:b/>
          <w:sz w:val="24"/>
        </w:rPr>
      </w:pPr>
      <w:r>
        <w:rPr>
          <w:rFonts w:ascii="Arial" w:eastAsia="Arial" w:hAnsi="Arial" w:cs="Arial"/>
          <w:b/>
          <w:sz w:val="24"/>
        </w:rPr>
        <w:t>Blog 1</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ADCES staff (2022). </w:t>
      </w:r>
      <w:r>
        <w:rPr>
          <w:rFonts w:ascii="Arial" w:eastAsia="Arial" w:hAnsi="Arial" w:cs="Arial"/>
          <w:i/>
          <w:sz w:val="24"/>
        </w:rPr>
        <w:t>WEIGHING CGM PROS AND CONS</w:t>
      </w:r>
      <w:r>
        <w:rPr>
          <w:rFonts w:ascii="Arial" w:eastAsia="Arial" w:hAnsi="Arial" w:cs="Arial"/>
          <w:sz w:val="24"/>
        </w:rPr>
        <w:t xml:space="preserve">. [online] Danatech. Available at: </w:t>
      </w:r>
      <w:hyperlink r:id="rId4" w:anchor=":~:text=Potential%20DISADVANTAGES%3A&amp;text=Need%20to%20remember%20to%20scan">
        <w:r>
          <w:rPr>
            <w:rFonts w:ascii="Arial" w:eastAsia="Arial" w:hAnsi="Arial" w:cs="Arial"/>
            <w:color w:val="0000FF"/>
            <w:sz w:val="24"/>
            <w:u w:val="single"/>
          </w:rPr>
          <w:t>https://www.diabeteseducator.org/danatech/glucose-monitoring/continuous-glucose-monitors-(cgm)/cgm-101/pros-cons-of-cgm#:~:text=Potential%20DISADVANTAGES%3A&amp;text=Need%20to%20remember%20to%20scan</w:t>
        </w:r>
      </w:hyperlink>
      <w:r>
        <w:rPr>
          <w:rFonts w:ascii="Arial" w:eastAsia="Arial" w:hAnsi="Arial" w:cs="Arial"/>
          <w:sz w:val="24"/>
        </w:rPr>
        <w:t xml:space="preserve"> [Accessed 31 Oct. 2023].</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Cleveland Clinic (2021). </w:t>
      </w:r>
      <w:r>
        <w:rPr>
          <w:rFonts w:ascii="Arial" w:eastAsia="Arial" w:hAnsi="Arial" w:cs="Arial"/>
          <w:i/>
          <w:sz w:val="24"/>
        </w:rPr>
        <w:t>Continuous Glucose Monitoring</w:t>
      </w:r>
      <w:r>
        <w:rPr>
          <w:rFonts w:ascii="Arial" w:eastAsia="Arial" w:hAnsi="Arial" w:cs="Arial"/>
          <w:sz w:val="24"/>
        </w:rPr>
        <w:t xml:space="preserve">. [online] Cleveland Clinic. Available at: </w:t>
      </w:r>
      <w:hyperlink r:id="rId5">
        <w:r>
          <w:rPr>
            <w:rFonts w:ascii="Arial" w:eastAsia="Arial" w:hAnsi="Arial" w:cs="Arial"/>
            <w:color w:val="0000FF"/>
            <w:sz w:val="24"/>
            <w:u w:val="single"/>
          </w:rPr>
          <w:t>https://my.clevelandclinic.org/health/treatments/11444-glucose-continuous-glucose-monitoring</w:t>
        </w:r>
      </w:hyperlink>
      <w:r>
        <w:rPr>
          <w:rFonts w:ascii="Arial" w:eastAsia="Arial" w:hAnsi="Arial" w:cs="Arial"/>
          <w:sz w:val="24"/>
        </w:rPr>
        <w:t xml:space="preserve"> [Accessed 31 Oct. 2023].</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Diabetes UK (2023). </w:t>
      </w:r>
      <w:r>
        <w:rPr>
          <w:rFonts w:ascii="Arial" w:eastAsia="Arial" w:hAnsi="Arial" w:cs="Arial"/>
          <w:i/>
          <w:sz w:val="24"/>
        </w:rPr>
        <w:t>What is diabetes technology?</w:t>
      </w:r>
      <w:r>
        <w:rPr>
          <w:rFonts w:ascii="Arial" w:eastAsia="Arial" w:hAnsi="Arial" w:cs="Arial"/>
          <w:sz w:val="24"/>
        </w:rPr>
        <w:t xml:space="preserve"> [online] Diabetes UK. Available at: </w:t>
      </w:r>
      <w:hyperlink r:id="rId6">
        <w:r>
          <w:rPr>
            <w:rFonts w:ascii="Arial" w:eastAsia="Arial" w:hAnsi="Arial" w:cs="Arial"/>
            <w:color w:val="0000FF"/>
            <w:sz w:val="24"/>
            <w:u w:val="single"/>
          </w:rPr>
          <w:t>https://www.diabetes.org.uk/guide-to-diabetes/diabetes-technology/what-is-diabetes-technology</w:t>
        </w:r>
      </w:hyperlink>
      <w:r>
        <w:rPr>
          <w:rFonts w:ascii="Arial" w:eastAsia="Arial" w:hAnsi="Arial" w:cs="Arial"/>
          <w:sz w:val="24"/>
        </w:rPr>
        <w:t xml:space="preserve"> [Accessed 31 Oct. 2023].</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Diabetes.co.uk (2019). </w:t>
      </w:r>
      <w:r>
        <w:rPr>
          <w:rFonts w:ascii="Arial" w:eastAsia="Arial" w:hAnsi="Arial" w:cs="Arial"/>
          <w:i/>
          <w:sz w:val="24"/>
        </w:rPr>
        <w:t>Cost of Diabetes</w:t>
      </w:r>
      <w:r>
        <w:rPr>
          <w:rFonts w:ascii="Arial" w:eastAsia="Arial" w:hAnsi="Arial" w:cs="Arial"/>
          <w:sz w:val="24"/>
        </w:rPr>
        <w:t xml:space="preserve">. [online] Diabetes.co.uk. Available at: </w:t>
      </w:r>
      <w:hyperlink r:id="rId7" w:anchor=":~:text=In%20total%2C%20an%20estimated%20%C2%A3">
        <w:r>
          <w:rPr>
            <w:rFonts w:ascii="Arial" w:eastAsia="Arial" w:hAnsi="Arial" w:cs="Arial"/>
            <w:color w:val="0000FF"/>
            <w:sz w:val="24"/>
            <w:u w:val="single"/>
          </w:rPr>
          <w:t>https://www.diabetes.co.uk/cost-of-diabetes.html#:~:text=In%20total%2C%20an%20estimated%20%C2%A3</w:t>
        </w:r>
      </w:hyperlink>
      <w:r>
        <w:rPr>
          <w:rFonts w:ascii="Arial" w:eastAsia="Arial" w:hAnsi="Arial" w:cs="Arial"/>
          <w:sz w:val="24"/>
        </w:rPr>
        <w:t xml:space="preserve"> [Accessed 31 Oct. 2023].</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Fleming, G.A., Petrie, J.R., Bergenstal, R.M., Holl, R.W., Peters, A.L. and Heinemann, L., 2019. Diabetes Digital App Technology: Benefits, Challenges, and </w:t>
      </w:r>
      <w:r>
        <w:rPr>
          <w:rFonts w:ascii="Arial" w:eastAsia="Arial" w:hAnsi="Arial" w:cs="Arial"/>
          <w:sz w:val="24"/>
        </w:rPr>
        <w:lastRenderedPageBreak/>
        <w:t xml:space="preserve">Recommendations. A Consensus Report by the European Association for the Study of Diabetes (EASD) and the American Diabetes Association (ADA) Diabetes Technology Working Group. </w:t>
      </w:r>
      <w:r>
        <w:rPr>
          <w:rFonts w:ascii="Arial" w:eastAsia="Arial" w:hAnsi="Arial" w:cs="Arial"/>
          <w:i/>
          <w:sz w:val="24"/>
        </w:rPr>
        <w:t>Diabetes Care</w:t>
      </w:r>
      <w:r>
        <w:rPr>
          <w:rFonts w:ascii="Arial" w:eastAsia="Arial" w:hAnsi="Arial" w:cs="Arial"/>
          <w:sz w:val="24"/>
        </w:rPr>
        <w:t xml:space="preserve">, </w:t>
      </w:r>
      <w:r>
        <w:rPr>
          <w:rFonts w:ascii="Arial" w:eastAsia="Arial" w:hAnsi="Arial" w:cs="Arial"/>
          <w:i/>
          <w:sz w:val="24"/>
        </w:rPr>
        <w:t>43</w:t>
      </w:r>
      <w:r>
        <w:rPr>
          <w:rFonts w:ascii="Arial" w:eastAsia="Arial" w:hAnsi="Arial" w:cs="Arial"/>
          <w:sz w:val="24"/>
        </w:rPr>
        <w:t>(1), pp.250–260.</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Gregory, A. (2023). UK in ‘rapidly escalating’ diabetes crisis as cases top 5m, report says. </w:t>
      </w:r>
      <w:r>
        <w:rPr>
          <w:rFonts w:ascii="Arial" w:eastAsia="Arial" w:hAnsi="Arial" w:cs="Arial"/>
          <w:i/>
          <w:sz w:val="24"/>
        </w:rPr>
        <w:t>The Guardian</w:t>
      </w:r>
      <w:r>
        <w:rPr>
          <w:rFonts w:ascii="Arial" w:eastAsia="Arial" w:hAnsi="Arial" w:cs="Arial"/>
          <w:sz w:val="24"/>
        </w:rPr>
        <w:t xml:space="preserve">. [online] 12 Apr. Available at: </w:t>
      </w:r>
      <w:hyperlink r:id="rId8">
        <w:r>
          <w:rPr>
            <w:rFonts w:ascii="Arial" w:eastAsia="Arial" w:hAnsi="Arial" w:cs="Arial"/>
            <w:color w:val="0000FF"/>
            <w:sz w:val="24"/>
            <w:u w:val="single"/>
          </w:rPr>
          <w:t>https://www.theguardian.com/society/2023/apr/13/uk-in-rapidly-escalating-diabetes-crisis-as-cases-top-5m-report-says</w:t>
        </w:r>
      </w:hyperlink>
      <w:r>
        <w:rPr>
          <w:rFonts w:ascii="Arial" w:eastAsia="Arial" w:hAnsi="Arial" w:cs="Arial"/>
          <w:sz w:val="24"/>
        </w:rPr>
        <w:t xml:space="preserve"> [Accessed 31 Oct. 2023].</w:t>
      </w:r>
    </w:p>
    <w:p w:rsidR="003D662A" w:rsidRDefault="003D662A">
      <w:pPr>
        <w:spacing w:after="200" w:line="360" w:lineRule="auto"/>
        <w:jc w:val="both"/>
        <w:rPr>
          <w:rFonts w:ascii="Arial" w:eastAsia="Arial" w:hAnsi="Arial" w:cs="Arial"/>
          <w:sz w:val="24"/>
        </w:rPr>
      </w:pPr>
    </w:p>
    <w:p w:rsidR="003D662A" w:rsidRDefault="00EA6FCD">
      <w:pPr>
        <w:spacing w:after="200" w:line="360" w:lineRule="auto"/>
        <w:jc w:val="both"/>
        <w:rPr>
          <w:rFonts w:ascii="Arial" w:eastAsia="Arial" w:hAnsi="Arial" w:cs="Arial"/>
          <w:b/>
          <w:sz w:val="24"/>
        </w:rPr>
      </w:pPr>
      <w:r>
        <w:rPr>
          <w:rFonts w:ascii="Arial" w:eastAsia="Arial" w:hAnsi="Arial" w:cs="Arial"/>
          <w:b/>
          <w:sz w:val="24"/>
        </w:rPr>
        <w:t>Title of Blog 2: Redefining Health by ActivTrack+ for Addressing Sedentary Lifestyles</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t xml:space="preserve">Public health problem and reasons for concern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Sedentary lifestyle or lack of enough physical activity is a public health concern because of the related health issues it gives rise to for the people. A news report shows that as per the “Active Lives Adult Survey”, 27% of the tracked 175,000 respondents were inactive, which involved activity per week staying below 30 minutes (Thomas, 2022). However, leisure-walking levels have increased but levels of other activities have fallen somewhat (See Figure 1). </w:t>
      </w:r>
    </w:p>
    <w:p w:rsidR="003D662A" w:rsidRDefault="00EA6FCD">
      <w:pPr>
        <w:spacing w:after="200" w:line="360" w:lineRule="auto"/>
        <w:jc w:val="center"/>
        <w:rPr>
          <w:rFonts w:ascii="Arial" w:eastAsia="Arial" w:hAnsi="Arial" w:cs="Arial"/>
          <w:sz w:val="24"/>
        </w:rPr>
      </w:pPr>
      <w:r>
        <w:rPr>
          <w:noProof/>
        </w:rPr>
      </w:r>
      <w:r w:rsidR="00EA6FCD">
        <w:rPr>
          <w:noProof/>
        </w:rPr>
        <w:object w:dxaOrig="8001" w:dyaOrig="5727">
          <v:rect id="rectole0000000000" o:spid="_x0000_i1025" style="width:400pt;height:286.3pt" o:ole="" o:preferrelative="t" stroked="f">
            <v:imagedata r:id="rId9" o:title=""/>
          </v:rect>
          <o:OLEObject Type="Embed" ProgID="StaticMetafile" ShapeID="rectole0000000000" DrawAspect="Content" ObjectID="_1762796832" r:id="rId10"/>
        </w:object>
      </w:r>
    </w:p>
    <w:p w:rsidR="003D662A" w:rsidRDefault="00EA6FCD">
      <w:pPr>
        <w:spacing w:after="200" w:line="360" w:lineRule="auto"/>
        <w:jc w:val="center"/>
        <w:rPr>
          <w:rFonts w:ascii="Arial" w:eastAsia="Arial" w:hAnsi="Arial" w:cs="Arial"/>
          <w:b/>
          <w:sz w:val="24"/>
        </w:rPr>
      </w:pPr>
      <w:r>
        <w:rPr>
          <w:rFonts w:ascii="Arial" w:eastAsia="Arial" w:hAnsi="Arial" w:cs="Arial"/>
          <w:b/>
          <w:sz w:val="24"/>
        </w:rPr>
        <w:t xml:space="preserve">Figure 1: Categories of different activity in adults </w:t>
      </w:r>
    </w:p>
    <w:p w:rsidR="003D662A" w:rsidRDefault="00EA6FCD">
      <w:pPr>
        <w:spacing w:after="200" w:line="360" w:lineRule="auto"/>
        <w:jc w:val="center"/>
        <w:rPr>
          <w:rFonts w:ascii="Arial" w:eastAsia="Arial" w:hAnsi="Arial" w:cs="Arial"/>
          <w:sz w:val="24"/>
        </w:rPr>
      </w:pPr>
      <w:r>
        <w:rPr>
          <w:rFonts w:ascii="Arial" w:eastAsia="Arial" w:hAnsi="Arial" w:cs="Arial"/>
          <w:sz w:val="24"/>
        </w:rPr>
        <w:t>(Source: Thomas, 2022)</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Additionally, inactive lifestyles lead to health risks like obesity, diabetes, heart ailments and others (MedlinePlus, 2017) and poor health outcomes (López-Valenciano </w:t>
      </w:r>
      <w:r>
        <w:rPr>
          <w:rFonts w:ascii="Arial" w:eastAsia="Arial" w:hAnsi="Arial" w:cs="Arial"/>
          <w:i/>
          <w:sz w:val="24"/>
        </w:rPr>
        <w:t>et al</w:t>
      </w:r>
      <w:r>
        <w:rPr>
          <w:rFonts w:ascii="Arial" w:eastAsia="Arial" w:hAnsi="Arial" w:cs="Arial"/>
          <w:sz w:val="24"/>
        </w:rPr>
        <w:t>. 2020). Data reveal that 1 in 6 deaths occur due to physical inactivity in the UK (GOV.UK, 2022). These possibly reflect sedentary lifestyle as a cause of health concern for the public.</w:t>
      </w:r>
    </w:p>
    <w:p w:rsidR="003D662A" w:rsidRDefault="00EA6FCD">
      <w:pPr>
        <w:spacing w:after="200" w:line="360" w:lineRule="auto"/>
        <w:rPr>
          <w:rFonts w:ascii="Arial" w:eastAsia="Arial" w:hAnsi="Arial" w:cs="Arial"/>
          <w:b/>
          <w:i/>
          <w:sz w:val="24"/>
        </w:rPr>
      </w:pPr>
      <w:r>
        <w:rPr>
          <w:rFonts w:ascii="Arial" w:eastAsia="Arial" w:hAnsi="Arial" w:cs="Arial"/>
          <w:b/>
          <w:i/>
          <w:sz w:val="24"/>
        </w:rPr>
        <w:t>The designed digital technology</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The digital technology intended for this public health concern is ‘ActivTrack+’. This will enable the wearers to track their steps and monitor their activities. Besides that, it will provide interactive features that help easy communication and real-time suggestions to overcome their sedentary habits and behaviours. </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t>Use of ActivTrack+ in health promotion and addressing the public health problem</w:t>
      </w:r>
    </w:p>
    <w:p w:rsidR="003D662A" w:rsidRDefault="00EA6FCD">
      <w:pPr>
        <w:spacing w:after="200" w:line="360" w:lineRule="auto"/>
        <w:jc w:val="both"/>
        <w:rPr>
          <w:rFonts w:ascii="Arial" w:eastAsia="Arial" w:hAnsi="Arial" w:cs="Arial"/>
          <w:sz w:val="24"/>
        </w:rPr>
      </w:pPr>
      <w:r>
        <w:rPr>
          <w:rFonts w:ascii="Arial" w:eastAsia="Arial" w:hAnsi="Arial" w:cs="Arial"/>
          <w:sz w:val="24"/>
        </w:rPr>
        <w:t>The device will have algorithms that will analyse individual’s activity patterns and prompt them with likewise suggestions so that longer periods of inactivity is broken. Comprehensive workplace programs including the usage of health risk assessments (with feedback) and complying with the country’s safety and ergonomic standards of working are two best practice examples to break sedentary behaviour (Pronk, 2021). This will help and motivate them to move from time to time and take short breaks.</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t>Impact of ActivTrack+ in health promotion (highlight its advantages and disadvantages/shortfalls)</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ActivTrack+ lends user tailored prompts or suggestions for making small and regular lifestyle changes. It will allow them to break the cycle of inactivity and suggest simple actions for making body movements, for example, shaking the feet, walking 10-20 paces, stretching in the chair and others.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However, the downfalls of ActivTrack+ possibly include user’s concomitant resistance toward the regular prompts. In addition, intentional movement of the user might become cue dependent as well. </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t>Addressing the shortfall</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“The UK Chief Medical Officers’ Guidelines” suggests adults to engage in 150 minutes of activity each week (GOV.UK, 2022) and ActivTrack+ could help them achieve that gradually by making the cues less frequent so that internal drive for movement arises for the user.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Thus, ActivTrack+ could address this public health issue and intervene to mitigate the concerns accordingly. </w:t>
      </w:r>
    </w:p>
    <w:p w:rsidR="003D662A" w:rsidRDefault="00EA6FCD">
      <w:pPr>
        <w:spacing w:after="200" w:line="360" w:lineRule="auto"/>
        <w:jc w:val="both"/>
        <w:rPr>
          <w:rFonts w:ascii="Arial" w:eastAsia="Arial" w:hAnsi="Arial" w:cs="Arial"/>
          <w:b/>
          <w:sz w:val="28"/>
        </w:rPr>
      </w:pPr>
      <w:r>
        <w:rPr>
          <w:rFonts w:ascii="Arial" w:eastAsia="Arial" w:hAnsi="Arial" w:cs="Arial"/>
          <w:b/>
          <w:sz w:val="28"/>
        </w:rPr>
        <w:t>Reference List</w:t>
      </w:r>
    </w:p>
    <w:p w:rsidR="003D662A" w:rsidRDefault="00EA6FCD">
      <w:pPr>
        <w:spacing w:after="200" w:line="360" w:lineRule="auto"/>
        <w:rPr>
          <w:rFonts w:ascii="Arial" w:eastAsia="Arial" w:hAnsi="Arial" w:cs="Arial"/>
          <w:b/>
          <w:sz w:val="24"/>
        </w:rPr>
      </w:pPr>
      <w:r>
        <w:rPr>
          <w:rFonts w:ascii="Arial" w:eastAsia="Arial" w:hAnsi="Arial" w:cs="Arial"/>
          <w:b/>
          <w:sz w:val="24"/>
        </w:rPr>
        <w:t>Blog 2</w:t>
      </w:r>
    </w:p>
    <w:p w:rsidR="003D662A" w:rsidRDefault="003D662A">
      <w:pPr>
        <w:spacing w:after="200" w:line="360" w:lineRule="auto"/>
        <w:jc w:val="both"/>
        <w:rPr>
          <w:rFonts w:ascii="Arial" w:eastAsia="Arial" w:hAnsi="Arial" w:cs="Arial"/>
          <w:b/>
          <w:sz w:val="24"/>
        </w:rPr>
      </w:pP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GOV.UK (2022). </w:t>
      </w:r>
      <w:r>
        <w:rPr>
          <w:rFonts w:ascii="Arial" w:eastAsia="Arial" w:hAnsi="Arial" w:cs="Arial"/>
          <w:i/>
          <w:sz w:val="24"/>
        </w:rPr>
        <w:t>Physical activity: applying All Our Health</w:t>
      </w:r>
      <w:r>
        <w:rPr>
          <w:rFonts w:ascii="Arial" w:eastAsia="Arial" w:hAnsi="Arial" w:cs="Arial"/>
          <w:sz w:val="24"/>
        </w:rPr>
        <w:t xml:space="preserve">. [online] GOV.UK. Available at: </w:t>
      </w:r>
      <w:hyperlink r:id="rId11" w:anchor=":~:text=Physical%20inactivity%20is%20associated%20with">
        <w:r>
          <w:rPr>
            <w:rFonts w:ascii="Arial" w:eastAsia="Arial" w:hAnsi="Arial" w:cs="Arial"/>
            <w:color w:val="0000FF"/>
            <w:sz w:val="24"/>
            <w:u w:val="single"/>
          </w:rPr>
          <w:t>https://www.gov.uk/government/publications/physical-activity-applying-all-our-health/physical-activity-applying-all-our-health#:~:text=Physical%20inactivity%20is%20associated%20with</w:t>
        </w:r>
      </w:hyperlink>
      <w:r>
        <w:rPr>
          <w:rFonts w:ascii="Arial" w:eastAsia="Arial" w:hAnsi="Arial" w:cs="Arial"/>
          <w:sz w:val="24"/>
        </w:rPr>
        <w:t xml:space="preserve"> [Accessed 31 Oct. 2023].</w:t>
      </w:r>
    </w:p>
    <w:p w:rsidR="003D662A" w:rsidRDefault="00EA6FCD">
      <w:pPr>
        <w:spacing w:after="200" w:line="360" w:lineRule="auto"/>
        <w:jc w:val="both"/>
        <w:rPr>
          <w:rFonts w:ascii="Arial" w:eastAsia="Arial" w:hAnsi="Arial" w:cs="Arial"/>
          <w:sz w:val="24"/>
        </w:rPr>
      </w:pPr>
      <w:r>
        <w:rPr>
          <w:rFonts w:ascii="Arial" w:eastAsia="Arial" w:hAnsi="Arial" w:cs="Arial"/>
          <w:sz w:val="24"/>
        </w:rPr>
        <w:t>López-Valenciano, A., Mayo, X., Liguori, G., Copeland, R.J., Lamb, M. and Jimenez, A., 2020. Changes in sedentary behaviour in European Union adults between 2002 and 2017. </w:t>
      </w:r>
      <w:r>
        <w:rPr>
          <w:rFonts w:ascii="Arial" w:eastAsia="Arial" w:hAnsi="Arial" w:cs="Arial"/>
          <w:i/>
          <w:sz w:val="24"/>
        </w:rPr>
        <w:t>BMC Public Health</w:t>
      </w:r>
      <w:r>
        <w:rPr>
          <w:rFonts w:ascii="Arial" w:eastAsia="Arial" w:hAnsi="Arial" w:cs="Arial"/>
          <w:sz w:val="24"/>
        </w:rPr>
        <w:t>, </w:t>
      </w:r>
      <w:r>
        <w:rPr>
          <w:rFonts w:ascii="Arial" w:eastAsia="Arial" w:hAnsi="Arial" w:cs="Arial"/>
          <w:i/>
          <w:sz w:val="24"/>
        </w:rPr>
        <w:t>20</w:t>
      </w:r>
      <w:r>
        <w:rPr>
          <w:rFonts w:ascii="Arial" w:eastAsia="Arial" w:hAnsi="Arial" w:cs="Arial"/>
          <w:sz w:val="24"/>
        </w:rPr>
        <w:t>, pp.1-10.</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MedlinePlus (2017). </w:t>
      </w:r>
      <w:r>
        <w:rPr>
          <w:rFonts w:ascii="Arial" w:eastAsia="Arial" w:hAnsi="Arial" w:cs="Arial"/>
          <w:i/>
          <w:sz w:val="24"/>
        </w:rPr>
        <w:t>Health Risks of an Inactive Lifestyle</w:t>
      </w:r>
      <w:r>
        <w:rPr>
          <w:rFonts w:ascii="Arial" w:eastAsia="Arial" w:hAnsi="Arial" w:cs="Arial"/>
          <w:sz w:val="24"/>
        </w:rPr>
        <w:t xml:space="preserve">. [online] medlineplus.gov. Available at: </w:t>
      </w:r>
      <w:hyperlink r:id="rId12" w:anchor=":~:text=By%20not%20getting%20regular%20exercise">
        <w:r>
          <w:rPr>
            <w:rFonts w:ascii="Arial" w:eastAsia="Arial" w:hAnsi="Arial" w:cs="Arial"/>
            <w:color w:val="0000FF"/>
            <w:sz w:val="24"/>
            <w:u w:val="single"/>
          </w:rPr>
          <w:t>https://medlineplus.gov/healthrisksofaninactivelifestyle.html#:~:text=By%20not%20getting%20regular%20exercise</w:t>
        </w:r>
      </w:hyperlink>
      <w:r>
        <w:rPr>
          <w:rFonts w:ascii="Arial" w:eastAsia="Arial" w:hAnsi="Arial" w:cs="Arial"/>
          <w:sz w:val="24"/>
        </w:rPr>
        <w:t xml:space="preserve"> [Accessed 31 Oct. 2023].</w:t>
      </w:r>
    </w:p>
    <w:p w:rsidR="003D662A" w:rsidRDefault="00EA6FCD">
      <w:pPr>
        <w:spacing w:after="200" w:line="360" w:lineRule="auto"/>
        <w:jc w:val="both"/>
        <w:rPr>
          <w:rFonts w:ascii="Arial" w:eastAsia="Arial" w:hAnsi="Arial" w:cs="Arial"/>
          <w:sz w:val="24"/>
        </w:rPr>
      </w:pPr>
      <w:r>
        <w:rPr>
          <w:rFonts w:ascii="Arial" w:eastAsia="Arial" w:hAnsi="Arial" w:cs="Arial"/>
          <w:sz w:val="24"/>
        </w:rPr>
        <w:t>Pronk, N.P., 2021. Implementing movement at the workplace: Approaches to increase physical activity and reduce sedentary behavior in the context of work. </w:t>
      </w:r>
      <w:r>
        <w:rPr>
          <w:rFonts w:ascii="Arial" w:eastAsia="Arial" w:hAnsi="Arial" w:cs="Arial"/>
          <w:i/>
          <w:sz w:val="24"/>
        </w:rPr>
        <w:t>Progress in Cardiovascular Diseases</w:t>
      </w:r>
      <w:r>
        <w:rPr>
          <w:rFonts w:ascii="Arial" w:eastAsia="Arial" w:hAnsi="Arial" w:cs="Arial"/>
          <w:sz w:val="24"/>
        </w:rPr>
        <w:t>, </w:t>
      </w:r>
      <w:r>
        <w:rPr>
          <w:rFonts w:ascii="Arial" w:eastAsia="Arial" w:hAnsi="Arial" w:cs="Arial"/>
          <w:i/>
          <w:sz w:val="24"/>
        </w:rPr>
        <w:t>64</w:t>
      </w:r>
      <w:r>
        <w:rPr>
          <w:rFonts w:ascii="Arial" w:eastAsia="Arial" w:hAnsi="Arial" w:cs="Arial"/>
          <w:sz w:val="24"/>
        </w:rPr>
        <w:t>, pp.17-21.</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Thomas, T. (2022). </w:t>
      </w:r>
      <w:r>
        <w:rPr>
          <w:rFonts w:ascii="Arial" w:eastAsia="Arial" w:hAnsi="Arial" w:cs="Arial"/>
          <w:i/>
          <w:sz w:val="24"/>
        </w:rPr>
        <w:t>Number of inactive adults in England rises by 1.3m since Covid</w:t>
      </w:r>
      <w:r>
        <w:rPr>
          <w:rFonts w:ascii="Arial" w:eastAsia="Arial" w:hAnsi="Arial" w:cs="Arial"/>
          <w:sz w:val="24"/>
        </w:rPr>
        <w:t xml:space="preserve">. [online] The Guardian. Available at: </w:t>
      </w:r>
      <w:hyperlink r:id="rId13">
        <w:r>
          <w:rPr>
            <w:rFonts w:ascii="Arial" w:eastAsia="Arial" w:hAnsi="Arial" w:cs="Arial"/>
            <w:color w:val="0000FF"/>
            <w:sz w:val="24"/>
            <w:u w:val="single"/>
          </w:rPr>
          <w:t>https://www.theguardian.com/society/2022/apr/28/number-of-inactive-adults-in-england-rises-by-more-than-1m-since-covid-peak</w:t>
        </w:r>
      </w:hyperlink>
      <w:r>
        <w:rPr>
          <w:rFonts w:ascii="Arial" w:eastAsia="Arial" w:hAnsi="Arial" w:cs="Arial"/>
          <w:sz w:val="24"/>
        </w:rPr>
        <w:t xml:space="preserve"> [Accessed 31 Oct. 2023].</w:t>
      </w:r>
    </w:p>
    <w:p w:rsidR="003D662A" w:rsidRDefault="00EA6FCD">
      <w:pPr>
        <w:spacing w:after="200" w:line="360" w:lineRule="auto"/>
        <w:rPr>
          <w:rFonts w:ascii="Calibri" w:eastAsia="Calibri" w:hAnsi="Calibri" w:cs="Calibri"/>
        </w:rPr>
      </w:pPr>
      <w:r>
        <w:rPr>
          <w:rFonts w:ascii="Calibri" w:eastAsia="Calibri" w:hAnsi="Calibri" w:cs="Calibri"/>
        </w:rPr>
        <w:t xml:space="preserve"> </w:t>
      </w:r>
    </w:p>
    <w:p w:rsidR="003D662A" w:rsidRDefault="003D662A">
      <w:pPr>
        <w:spacing w:after="200" w:line="360" w:lineRule="auto"/>
        <w:rPr>
          <w:rFonts w:ascii="Arial" w:eastAsia="Arial" w:hAnsi="Arial" w:cs="Arial"/>
          <w:b/>
          <w:sz w:val="28"/>
        </w:rPr>
      </w:pPr>
    </w:p>
    <w:p w:rsidR="003D662A" w:rsidRDefault="00EA6FCD">
      <w:pPr>
        <w:spacing w:after="200" w:line="360" w:lineRule="auto"/>
        <w:jc w:val="both"/>
        <w:rPr>
          <w:rFonts w:ascii="Arial" w:eastAsia="Arial" w:hAnsi="Arial" w:cs="Arial"/>
          <w:b/>
          <w:sz w:val="28"/>
        </w:rPr>
      </w:pPr>
      <w:r>
        <w:rPr>
          <w:rFonts w:ascii="Arial" w:eastAsia="Arial" w:hAnsi="Arial" w:cs="Arial"/>
          <w:b/>
          <w:sz w:val="28"/>
        </w:rPr>
        <w:t>Task 2- Poster design</w:t>
      </w:r>
    </w:p>
    <w:p w:rsidR="003D662A" w:rsidRDefault="00EA6FCD">
      <w:pPr>
        <w:spacing w:after="200" w:line="360" w:lineRule="auto"/>
        <w:jc w:val="both"/>
        <w:rPr>
          <w:rFonts w:ascii="Arial" w:eastAsia="Arial" w:hAnsi="Arial" w:cs="Arial"/>
          <w:b/>
          <w:sz w:val="24"/>
        </w:rPr>
      </w:pPr>
      <w:r>
        <w:rPr>
          <w:rFonts w:ascii="Arial" w:eastAsia="Arial" w:hAnsi="Arial" w:cs="Arial"/>
          <w:b/>
          <w:sz w:val="24"/>
        </w:rPr>
        <w:t>Background</w:t>
      </w:r>
    </w:p>
    <w:p w:rsidR="003D662A" w:rsidRDefault="00EA6FCD">
      <w:pPr>
        <w:spacing w:after="0" w:line="360" w:lineRule="auto"/>
        <w:rPr>
          <w:rFonts w:ascii="Arial" w:eastAsia="Arial" w:hAnsi="Arial" w:cs="Arial"/>
          <w:b/>
          <w:i/>
          <w:sz w:val="23"/>
        </w:rPr>
      </w:pPr>
      <w:r>
        <w:rPr>
          <w:rFonts w:ascii="Arial" w:eastAsia="Arial" w:hAnsi="Arial" w:cs="Arial"/>
          <w:b/>
          <w:i/>
          <w:sz w:val="23"/>
        </w:rPr>
        <w:t xml:space="preserve">Scale of the public health problem and necessity of intervention </w:t>
      </w:r>
    </w:p>
    <w:p w:rsidR="003D662A" w:rsidRDefault="00EA6FCD">
      <w:pPr>
        <w:spacing w:after="0" w:line="360" w:lineRule="auto"/>
        <w:jc w:val="both"/>
        <w:rPr>
          <w:rFonts w:ascii="Arial" w:eastAsia="Arial" w:hAnsi="Arial" w:cs="Arial"/>
          <w:sz w:val="24"/>
        </w:rPr>
      </w:pPr>
      <w:r>
        <w:rPr>
          <w:rFonts w:ascii="Arial" w:eastAsia="Arial" w:hAnsi="Arial" w:cs="Arial"/>
          <w:sz w:val="24"/>
        </w:rPr>
        <w:t xml:space="preserve">Improper management of Diabetes (the public health problem) affects overall health including different health complications like renal issues, cardiovascular concerns, and eyesight problems (Shan </w:t>
      </w:r>
      <w:r>
        <w:rPr>
          <w:rFonts w:ascii="Arial" w:eastAsia="Arial" w:hAnsi="Arial" w:cs="Arial"/>
          <w:i/>
          <w:sz w:val="24"/>
        </w:rPr>
        <w:t>et al</w:t>
      </w:r>
      <w:r>
        <w:rPr>
          <w:rFonts w:ascii="Arial" w:eastAsia="Arial" w:hAnsi="Arial" w:cs="Arial"/>
          <w:sz w:val="24"/>
        </w:rPr>
        <w:t xml:space="preserve">. 2019). Risk factors involved in diabetes are multiple and complex including age, obesity, family history, overweight issues (Diabetes UK, 2023). Thus, intervention becomes necessary because the related health complications of diabetes are common in people who are diagnosed with diabetes early in their lives (NHS Digital, 2021). In addition, Klonoff </w:t>
      </w:r>
      <w:r>
        <w:rPr>
          <w:rFonts w:ascii="Arial" w:eastAsia="Arial" w:hAnsi="Arial" w:cs="Arial"/>
          <w:i/>
          <w:sz w:val="24"/>
        </w:rPr>
        <w:t>et al</w:t>
      </w:r>
      <w:r>
        <w:rPr>
          <w:rFonts w:ascii="Arial" w:eastAsia="Arial" w:hAnsi="Arial" w:cs="Arial"/>
          <w:sz w:val="24"/>
        </w:rPr>
        <w:t>. (2020) commented that with the help of digital health, diabetes management could be revolutionized. Hence, it is understandable that intervention b</w:t>
      </w:r>
      <w:r>
        <w:rPr>
          <w:rFonts w:ascii="Arial" w:eastAsia="Arial" w:hAnsi="Arial" w:cs="Arial"/>
          <w:sz w:val="24"/>
        </w:rPr>
        <w:t xml:space="preserve">ecomes necessary to uplift the people’s overall health improvement. </w:t>
      </w:r>
    </w:p>
    <w:p w:rsidR="003D662A" w:rsidRDefault="00EA6FCD">
      <w:pPr>
        <w:spacing w:after="0" w:line="360" w:lineRule="auto"/>
        <w:jc w:val="both"/>
        <w:rPr>
          <w:rFonts w:ascii="Arial" w:eastAsia="Arial" w:hAnsi="Arial" w:cs="Arial"/>
          <w:b/>
          <w:i/>
          <w:sz w:val="24"/>
        </w:rPr>
      </w:pPr>
      <w:r>
        <w:rPr>
          <w:rFonts w:ascii="Arial" w:eastAsia="Arial" w:hAnsi="Arial" w:cs="Arial"/>
          <w:b/>
          <w:i/>
          <w:sz w:val="24"/>
        </w:rPr>
        <w:t xml:space="preserve">Examples of previously used public health interventions </w:t>
      </w:r>
    </w:p>
    <w:p w:rsidR="003D662A" w:rsidRDefault="00EA6FCD">
      <w:pPr>
        <w:spacing w:after="0" w:line="360" w:lineRule="auto"/>
        <w:jc w:val="both"/>
        <w:rPr>
          <w:rFonts w:ascii="Arial" w:eastAsia="Arial" w:hAnsi="Arial" w:cs="Arial"/>
          <w:sz w:val="24"/>
        </w:rPr>
      </w:pPr>
      <w:r>
        <w:rPr>
          <w:rFonts w:ascii="Arial" w:eastAsia="Arial" w:hAnsi="Arial" w:cs="Arial"/>
          <w:sz w:val="24"/>
        </w:rPr>
        <w:t xml:space="preserve">Both digital and non-digital tech-based interventions are in place for dealing with this public health concern. In digital tech, FDA approved wearable technology for diabetes exist that help to manage the complexities associated with diabetes management (Christiansen, 2022). </w:t>
      </w:r>
    </w:p>
    <w:p w:rsidR="003D662A" w:rsidRDefault="00EA6FCD">
      <w:pPr>
        <w:spacing w:after="0" w:line="360" w:lineRule="auto"/>
        <w:jc w:val="center"/>
        <w:rPr>
          <w:rFonts w:ascii="Arial" w:eastAsia="Arial" w:hAnsi="Arial" w:cs="Arial"/>
          <w:sz w:val="24"/>
        </w:rPr>
      </w:pPr>
      <w:r>
        <w:rPr>
          <w:noProof/>
        </w:rPr>
      </w:r>
      <w:r w:rsidR="00EA6FCD">
        <w:rPr>
          <w:noProof/>
        </w:rPr>
        <w:object w:dxaOrig="2670" w:dyaOrig="7084">
          <v:rect id="rectole0000000001" o:spid="_x0000_i1026" style="width:133.45pt;height:354.3pt" o:ole="" o:preferrelative="t" stroked="f">
            <v:imagedata r:id="rId14" o:title=""/>
          </v:rect>
          <o:OLEObject Type="Embed" ProgID="StaticMetafile" ShapeID="rectole0000000001" DrawAspect="Content" ObjectID="_1762796833" r:id="rId15"/>
        </w:object>
      </w:r>
    </w:p>
    <w:p w:rsidR="003D662A" w:rsidRDefault="00EA6FCD">
      <w:pPr>
        <w:spacing w:after="0" w:line="360" w:lineRule="auto"/>
        <w:jc w:val="center"/>
        <w:rPr>
          <w:rFonts w:ascii="Arial" w:eastAsia="Arial" w:hAnsi="Arial" w:cs="Arial"/>
          <w:b/>
          <w:sz w:val="24"/>
        </w:rPr>
      </w:pPr>
      <w:r>
        <w:rPr>
          <w:rFonts w:ascii="Arial" w:eastAsia="Arial" w:hAnsi="Arial" w:cs="Arial"/>
          <w:b/>
          <w:sz w:val="24"/>
        </w:rPr>
        <w:t>Figure 2: Devices used in treatment of diabetes</w:t>
      </w:r>
    </w:p>
    <w:p w:rsidR="003D662A" w:rsidRDefault="00EA6FCD">
      <w:pPr>
        <w:spacing w:after="0" w:line="360" w:lineRule="auto"/>
        <w:jc w:val="center"/>
        <w:rPr>
          <w:rFonts w:ascii="Arial" w:eastAsia="Arial" w:hAnsi="Arial" w:cs="Arial"/>
          <w:sz w:val="24"/>
        </w:rPr>
      </w:pPr>
      <w:r>
        <w:rPr>
          <w:rFonts w:ascii="Arial" w:eastAsia="Arial" w:hAnsi="Arial" w:cs="Arial"/>
          <w:sz w:val="24"/>
        </w:rPr>
        <w:t xml:space="preserve">(Source: Domingo-Lopez </w:t>
      </w:r>
      <w:r>
        <w:rPr>
          <w:rFonts w:ascii="Arial" w:eastAsia="Arial" w:hAnsi="Arial" w:cs="Arial"/>
          <w:i/>
          <w:sz w:val="24"/>
        </w:rPr>
        <w:t>et al</w:t>
      </w:r>
      <w:r>
        <w:rPr>
          <w:rFonts w:ascii="Arial" w:eastAsia="Arial" w:hAnsi="Arial" w:cs="Arial"/>
          <w:sz w:val="24"/>
        </w:rPr>
        <w:t>. 2022)</w:t>
      </w:r>
    </w:p>
    <w:p w:rsidR="003D662A" w:rsidRDefault="00EA6FCD">
      <w:pPr>
        <w:spacing w:after="0" w:line="360" w:lineRule="auto"/>
        <w:jc w:val="both"/>
        <w:rPr>
          <w:rFonts w:ascii="Arial" w:eastAsia="Arial" w:hAnsi="Arial" w:cs="Arial"/>
          <w:sz w:val="24"/>
        </w:rPr>
      </w:pPr>
      <w:r>
        <w:rPr>
          <w:rFonts w:ascii="Arial" w:eastAsia="Arial" w:hAnsi="Arial" w:cs="Arial"/>
          <w:sz w:val="24"/>
        </w:rPr>
        <w:t xml:space="preserve">For example, insulin pumps, Continuous Glucose Monitors (CGMs) (Christiansen, 2022), insulin pen, insulin injection (See Figure 2) (Domingo-Lopez </w:t>
      </w:r>
      <w:r>
        <w:rPr>
          <w:rFonts w:ascii="Arial" w:eastAsia="Arial" w:hAnsi="Arial" w:cs="Arial"/>
          <w:i/>
          <w:sz w:val="24"/>
        </w:rPr>
        <w:t>et al</w:t>
      </w:r>
      <w:r>
        <w:rPr>
          <w:rFonts w:ascii="Arial" w:eastAsia="Arial" w:hAnsi="Arial" w:cs="Arial"/>
          <w:sz w:val="24"/>
        </w:rPr>
        <w:t xml:space="preserve">. 2022), smart watch, smart socks (Makroum </w:t>
      </w:r>
      <w:r>
        <w:rPr>
          <w:rFonts w:ascii="Arial" w:eastAsia="Arial" w:hAnsi="Arial" w:cs="Arial"/>
          <w:i/>
          <w:sz w:val="24"/>
        </w:rPr>
        <w:t>et al</w:t>
      </w:r>
      <w:r>
        <w:rPr>
          <w:rFonts w:ascii="Arial" w:eastAsia="Arial" w:hAnsi="Arial" w:cs="Arial"/>
          <w:sz w:val="24"/>
        </w:rPr>
        <w:t>. 2022; Fagherazzi and Ravaud, 2019) are some digital interventions involved in addressing the public health concern.</w:t>
      </w:r>
    </w:p>
    <w:p w:rsidR="003D662A" w:rsidRDefault="00EA6FCD">
      <w:pPr>
        <w:spacing w:after="0" w:line="360" w:lineRule="auto"/>
        <w:jc w:val="both"/>
        <w:rPr>
          <w:rFonts w:ascii="Arial" w:eastAsia="Arial" w:hAnsi="Arial" w:cs="Arial"/>
          <w:sz w:val="24"/>
        </w:rPr>
      </w:pPr>
      <w:r>
        <w:rPr>
          <w:rFonts w:ascii="Arial" w:eastAsia="Arial" w:hAnsi="Arial" w:cs="Arial"/>
          <w:sz w:val="24"/>
        </w:rPr>
        <w:t xml:space="preserve">The non-digital interventions for diabetes includes dietary adjustment, lifestyle modifications, increasing physical activity (MedlinePlus, 2017), self-management (Diabetes UK 2022), education (Shan </w:t>
      </w:r>
      <w:r>
        <w:rPr>
          <w:rFonts w:ascii="Arial" w:eastAsia="Arial" w:hAnsi="Arial" w:cs="Arial"/>
          <w:i/>
          <w:sz w:val="24"/>
        </w:rPr>
        <w:t>et al</w:t>
      </w:r>
      <w:r>
        <w:rPr>
          <w:rFonts w:ascii="Arial" w:eastAsia="Arial" w:hAnsi="Arial" w:cs="Arial"/>
          <w:sz w:val="24"/>
        </w:rPr>
        <w:t>. 2019), attending support groups, and counselling sessions.</w:t>
      </w:r>
    </w:p>
    <w:p w:rsidR="003D662A" w:rsidRDefault="00EA6FCD">
      <w:pPr>
        <w:spacing w:after="0" w:line="360" w:lineRule="auto"/>
        <w:jc w:val="both"/>
        <w:rPr>
          <w:rFonts w:ascii="Arial" w:eastAsia="Arial" w:hAnsi="Arial" w:cs="Arial"/>
          <w:b/>
          <w:i/>
          <w:sz w:val="24"/>
        </w:rPr>
      </w:pPr>
      <w:r>
        <w:rPr>
          <w:rFonts w:ascii="Arial" w:eastAsia="Arial" w:hAnsi="Arial" w:cs="Arial"/>
          <w:b/>
          <w:i/>
          <w:sz w:val="24"/>
        </w:rPr>
        <w:t xml:space="preserve">Chosen digital health intervention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CGMs are the selected “digital health intervention” as they provide real-time information about glucose levels of the user (Shan </w:t>
      </w:r>
      <w:r>
        <w:rPr>
          <w:rFonts w:ascii="Arial" w:eastAsia="Arial" w:hAnsi="Arial" w:cs="Arial"/>
          <w:i/>
          <w:sz w:val="24"/>
        </w:rPr>
        <w:t>et al</w:t>
      </w:r>
      <w:r>
        <w:rPr>
          <w:rFonts w:ascii="Arial" w:eastAsia="Arial" w:hAnsi="Arial" w:cs="Arial"/>
          <w:sz w:val="24"/>
        </w:rPr>
        <w:t xml:space="preserve">. 2019). It helps to track the level throughout the day and lets the user if the level is becoming high or low. The data is shareable too (Cleveland Clinic, 2021). </w:t>
      </w:r>
    </w:p>
    <w:p w:rsidR="003D662A" w:rsidRDefault="00EA6FCD">
      <w:pPr>
        <w:spacing w:after="200" w:line="360" w:lineRule="auto"/>
        <w:jc w:val="both"/>
        <w:rPr>
          <w:rFonts w:ascii="Arial" w:eastAsia="Arial" w:hAnsi="Arial" w:cs="Arial"/>
          <w:b/>
          <w:sz w:val="24"/>
        </w:rPr>
      </w:pPr>
      <w:r>
        <w:rPr>
          <w:rFonts w:ascii="Arial" w:eastAsia="Arial" w:hAnsi="Arial" w:cs="Arial"/>
          <w:b/>
          <w:sz w:val="24"/>
        </w:rPr>
        <w:t>Health promotion values and principles</w:t>
      </w:r>
    </w:p>
    <w:p w:rsidR="003D662A" w:rsidRDefault="00EA6FCD">
      <w:pPr>
        <w:spacing w:after="0" w:line="360" w:lineRule="auto"/>
        <w:rPr>
          <w:rFonts w:ascii="Arial" w:eastAsia="Arial" w:hAnsi="Arial" w:cs="Arial"/>
          <w:b/>
          <w:i/>
          <w:sz w:val="24"/>
        </w:rPr>
      </w:pPr>
      <w:r>
        <w:rPr>
          <w:rFonts w:ascii="Arial" w:eastAsia="Arial" w:hAnsi="Arial" w:cs="Arial"/>
          <w:b/>
          <w:i/>
          <w:sz w:val="24"/>
        </w:rPr>
        <w:t xml:space="preserve">The health promotion values and principles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Following are some values and principles associated promotion of health: </w:t>
      </w:r>
    </w:p>
    <w:p w:rsidR="003D662A" w:rsidRDefault="00EA6FCD">
      <w:pPr>
        <w:spacing w:after="200" w:line="360" w:lineRule="auto"/>
        <w:jc w:val="both"/>
        <w:rPr>
          <w:rFonts w:ascii="Arial" w:eastAsia="Arial" w:hAnsi="Arial" w:cs="Arial"/>
          <w:b/>
          <w:sz w:val="24"/>
        </w:rPr>
      </w:pPr>
      <w:r>
        <w:rPr>
          <w:rFonts w:ascii="Arial" w:eastAsia="Arial" w:hAnsi="Arial" w:cs="Arial"/>
          <w:b/>
          <w:sz w:val="24"/>
        </w:rPr>
        <w:t>Values</w:t>
      </w:r>
    </w:p>
    <w:p w:rsidR="003D662A" w:rsidRDefault="00EA6FCD">
      <w:pPr>
        <w:spacing w:after="200" w:line="360" w:lineRule="auto"/>
        <w:jc w:val="both"/>
        <w:rPr>
          <w:rFonts w:ascii="Arial" w:eastAsia="Arial" w:hAnsi="Arial" w:cs="Arial"/>
          <w:sz w:val="24"/>
        </w:rPr>
      </w:pPr>
      <w:r>
        <w:rPr>
          <w:rFonts w:ascii="Arial" w:eastAsia="Arial" w:hAnsi="Arial" w:cs="Arial"/>
          <w:i/>
          <w:sz w:val="24"/>
        </w:rPr>
        <w:t>Empowerment</w:t>
      </w:r>
      <w:r>
        <w:rPr>
          <w:rFonts w:ascii="Arial" w:eastAsia="Arial" w:hAnsi="Arial" w:cs="Arial"/>
          <w:sz w:val="24"/>
        </w:rPr>
        <w:t xml:space="preserve">: Gaining control over decision-making of factors impacting one’s health </w:t>
      </w:r>
    </w:p>
    <w:p w:rsidR="003D662A" w:rsidRDefault="00EA6FCD">
      <w:pPr>
        <w:spacing w:after="200" w:line="360" w:lineRule="auto"/>
        <w:jc w:val="both"/>
        <w:rPr>
          <w:rFonts w:ascii="Arial" w:eastAsia="Arial" w:hAnsi="Arial" w:cs="Arial"/>
          <w:sz w:val="24"/>
        </w:rPr>
      </w:pPr>
      <w:r>
        <w:rPr>
          <w:rFonts w:ascii="Arial" w:eastAsia="Arial" w:hAnsi="Arial" w:cs="Arial"/>
          <w:i/>
          <w:sz w:val="24"/>
        </w:rPr>
        <w:t>Equity</w:t>
      </w:r>
      <w:r>
        <w:rPr>
          <w:rFonts w:ascii="Arial" w:eastAsia="Arial" w:hAnsi="Arial" w:cs="Arial"/>
          <w:sz w:val="24"/>
        </w:rPr>
        <w:t>: Fair and equal access of the resources and services of healthcare</w:t>
      </w:r>
    </w:p>
    <w:p w:rsidR="003D662A" w:rsidRDefault="00EA6FCD">
      <w:pPr>
        <w:spacing w:after="200" w:line="360" w:lineRule="auto"/>
        <w:jc w:val="both"/>
        <w:rPr>
          <w:rFonts w:ascii="Arial" w:eastAsia="Arial" w:hAnsi="Arial" w:cs="Arial"/>
          <w:sz w:val="24"/>
        </w:rPr>
      </w:pPr>
      <w:r>
        <w:rPr>
          <w:rFonts w:ascii="Arial" w:eastAsia="Arial" w:hAnsi="Arial" w:cs="Arial"/>
          <w:i/>
          <w:sz w:val="24"/>
        </w:rPr>
        <w:t>Participation</w:t>
      </w:r>
      <w:r>
        <w:rPr>
          <w:rFonts w:ascii="Arial" w:eastAsia="Arial" w:hAnsi="Arial" w:cs="Arial"/>
          <w:sz w:val="24"/>
        </w:rPr>
        <w:t>: Involving communities, stakeholders, and individuals themselves in active participation in decision-making (National Youth Council of Ireland [NYCI], 2022)</w:t>
      </w:r>
    </w:p>
    <w:p w:rsidR="003D662A" w:rsidRDefault="00EA6FCD">
      <w:pPr>
        <w:spacing w:after="200" w:line="360" w:lineRule="auto"/>
        <w:jc w:val="both"/>
        <w:rPr>
          <w:rFonts w:ascii="Arial" w:eastAsia="Arial" w:hAnsi="Arial" w:cs="Arial"/>
          <w:b/>
          <w:sz w:val="24"/>
        </w:rPr>
      </w:pPr>
      <w:r>
        <w:rPr>
          <w:rFonts w:ascii="Arial" w:eastAsia="Arial" w:hAnsi="Arial" w:cs="Arial"/>
          <w:b/>
          <w:sz w:val="24"/>
        </w:rPr>
        <w:t>Principles</w:t>
      </w:r>
    </w:p>
    <w:p w:rsidR="003D662A" w:rsidRDefault="00EA6FCD">
      <w:pPr>
        <w:spacing w:after="200" w:line="360" w:lineRule="auto"/>
        <w:jc w:val="both"/>
        <w:rPr>
          <w:rFonts w:ascii="Arial" w:eastAsia="Arial" w:hAnsi="Arial" w:cs="Arial"/>
          <w:sz w:val="24"/>
        </w:rPr>
      </w:pPr>
      <w:r>
        <w:rPr>
          <w:rFonts w:ascii="Arial" w:eastAsia="Arial" w:hAnsi="Arial" w:cs="Arial"/>
          <w:i/>
          <w:sz w:val="24"/>
        </w:rPr>
        <w:t>Sustainability</w:t>
      </w:r>
      <w:r>
        <w:rPr>
          <w:rFonts w:ascii="Arial" w:eastAsia="Arial" w:hAnsi="Arial" w:cs="Arial"/>
          <w:sz w:val="24"/>
        </w:rPr>
        <w:t xml:space="preserve">: Undertaking long-term sustainable interventions and programs </w:t>
      </w:r>
    </w:p>
    <w:p w:rsidR="003D662A" w:rsidRDefault="00EA6FCD">
      <w:pPr>
        <w:spacing w:after="200" w:line="360" w:lineRule="auto"/>
        <w:jc w:val="both"/>
        <w:rPr>
          <w:rFonts w:ascii="Arial" w:eastAsia="Arial" w:hAnsi="Arial" w:cs="Arial"/>
          <w:sz w:val="24"/>
        </w:rPr>
      </w:pPr>
      <w:r>
        <w:rPr>
          <w:rFonts w:ascii="Arial" w:eastAsia="Arial" w:hAnsi="Arial" w:cs="Arial"/>
          <w:i/>
          <w:sz w:val="24"/>
        </w:rPr>
        <w:t>Evidence-based practice</w:t>
      </w:r>
      <w:r>
        <w:rPr>
          <w:rFonts w:ascii="Arial" w:eastAsia="Arial" w:hAnsi="Arial" w:cs="Arial"/>
          <w:sz w:val="24"/>
        </w:rPr>
        <w:t>: using existing evidence to inform decision-making and using approach for healthcare treatments</w:t>
      </w:r>
    </w:p>
    <w:p w:rsidR="003D662A" w:rsidRDefault="00EA6FCD">
      <w:pPr>
        <w:spacing w:after="200" w:line="360" w:lineRule="auto"/>
        <w:jc w:val="both"/>
        <w:rPr>
          <w:rFonts w:ascii="Arial" w:eastAsia="Arial" w:hAnsi="Arial" w:cs="Arial"/>
          <w:sz w:val="24"/>
        </w:rPr>
      </w:pPr>
      <w:r>
        <w:rPr>
          <w:rFonts w:ascii="Arial" w:eastAsia="Arial" w:hAnsi="Arial" w:cs="Arial"/>
          <w:i/>
          <w:sz w:val="24"/>
        </w:rPr>
        <w:t>Inter-sectoral Collaboration</w:t>
      </w:r>
      <w:r>
        <w:rPr>
          <w:rFonts w:ascii="Arial" w:eastAsia="Arial" w:hAnsi="Arial" w:cs="Arial"/>
          <w:sz w:val="24"/>
        </w:rPr>
        <w:t>: Involving different sectors of healthcare to cover multiple strategic areas like public policy, supporting development of personal skills, fostering community-driven actions (NYCI, 2022)</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t>Aligning the “digital health technology intervention” to “health promotion values and principles”</w:t>
      </w:r>
    </w:p>
    <w:p w:rsidR="003D662A" w:rsidRDefault="00EA6FCD">
      <w:pPr>
        <w:spacing w:after="200" w:line="360" w:lineRule="auto"/>
        <w:jc w:val="both"/>
        <w:rPr>
          <w:rFonts w:ascii="Arial" w:eastAsia="Arial" w:hAnsi="Arial" w:cs="Arial"/>
          <w:sz w:val="24"/>
        </w:rPr>
      </w:pPr>
      <w:r>
        <w:rPr>
          <w:rFonts w:ascii="Arial" w:eastAsia="Arial" w:hAnsi="Arial" w:cs="Arial"/>
          <w:sz w:val="24"/>
        </w:rPr>
        <w:t>The health intervention identified earlier, CGMs, are aligned with the principles and values linked with health promotion. CGMs enable the user to be alert and aware about their health status, specifically the glucose level. Thus, empowerment and active participation here comes into play so that the user is able to make decisions regarding their health. However, in the future, equity can be achieved by device so that it becomes affordable for all. As per a proceeding from NHS, it is reported that younger in</w:t>
      </w:r>
      <w:r>
        <w:rPr>
          <w:rFonts w:ascii="Arial" w:eastAsia="Arial" w:hAnsi="Arial" w:cs="Arial"/>
          <w:sz w:val="24"/>
        </w:rPr>
        <w:t>dividuals are coming in the grasp of diabetes. The data shows 122,780 individuals under 40 years (children and young adults) are currently living with diabetes (Type 2) and 1560 of them are even younger, under 19 years (NHS Digital, 2021). Hence, it is vital that the policymakers and other stakeholders are aware about this impending crisis. Therefore, for this to be managed, “inter-sectoral collaboration”, considering evidence-based information and planning sustainable strategies are necessary. This would h</w:t>
      </w:r>
      <w:r>
        <w:rPr>
          <w:rFonts w:ascii="Arial" w:eastAsia="Arial" w:hAnsi="Arial" w:cs="Arial"/>
          <w:sz w:val="24"/>
        </w:rPr>
        <w:t xml:space="preserve">elp to cope with diabetes management and intervene with possible solutions early in the lives of people. </w:t>
      </w:r>
    </w:p>
    <w:p w:rsidR="003D662A" w:rsidRDefault="00EA6FCD">
      <w:pPr>
        <w:spacing w:after="200" w:line="360" w:lineRule="auto"/>
        <w:jc w:val="both"/>
        <w:rPr>
          <w:rFonts w:ascii="Arial" w:eastAsia="Arial" w:hAnsi="Arial" w:cs="Arial"/>
          <w:b/>
          <w:sz w:val="24"/>
        </w:rPr>
      </w:pPr>
      <w:r>
        <w:rPr>
          <w:rFonts w:ascii="Arial" w:eastAsia="Arial" w:hAnsi="Arial" w:cs="Arial"/>
          <w:b/>
          <w:sz w:val="24"/>
        </w:rPr>
        <w:t>Behaviour change theory</w:t>
      </w:r>
    </w:p>
    <w:p w:rsidR="003D662A" w:rsidRDefault="00EA6FCD">
      <w:pPr>
        <w:spacing w:after="200" w:line="360" w:lineRule="auto"/>
        <w:jc w:val="both"/>
        <w:rPr>
          <w:rFonts w:ascii="Arial" w:eastAsia="Arial" w:hAnsi="Arial" w:cs="Arial"/>
          <w:b/>
          <w:sz w:val="24"/>
        </w:rPr>
      </w:pPr>
      <w:r>
        <w:rPr>
          <w:rFonts w:ascii="Arial" w:eastAsia="Arial" w:hAnsi="Arial" w:cs="Arial"/>
          <w:b/>
          <w:sz w:val="24"/>
        </w:rPr>
        <w:t>Theory of Planned Behaviour (TPB)</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The theory, TPB, explains that normative, control, and behavioural beliefs influences and guides human behaviours (Bosnjak </w:t>
      </w:r>
      <w:r>
        <w:rPr>
          <w:rFonts w:ascii="Arial" w:eastAsia="Arial" w:hAnsi="Arial" w:cs="Arial"/>
          <w:i/>
          <w:sz w:val="24"/>
        </w:rPr>
        <w:t>et al</w:t>
      </w:r>
      <w:r>
        <w:rPr>
          <w:rFonts w:ascii="Arial" w:eastAsia="Arial" w:hAnsi="Arial" w:cs="Arial"/>
          <w:sz w:val="24"/>
        </w:rPr>
        <w:t xml:space="preserve">. 2020). Additionally, intention has been regarded as the antecedent of human behaviour. </w:t>
      </w:r>
    </w:p>
    <w:p w:rsidR="003D662A" w:rsidRDefault="00EA6FCD">
      <w:pPr>
        <w:spacing w:after="200" w:line="360" w:lineRule="auto"/>
        <w:jc w:val="center"/>
        <w:rPr>
          <w:rFonts w:ascii="Arial" w:eastAsia="Arial" w:hAnsi="Arial" w:cs="Arial"/>
          <w:sz w:val="24"/>
        </w:rPr>
      </w:pPr>
      <w:r>
        <w:rPr>
          <w:noProof/>
        </w:rPr>
      </w:r>
      <w:r w:rsidR="00EA6FCD">
        <w:rPr>
          <w:noProof/>
        </w:rPr>
        <w:object w:dxaOrig="6842" w:dyaOrig="3354">
          <v:rect id="rectole0000000002" o:spid="_x0000_i1027" style="width:342pt;height:167.7pt" o:ole="" o:preferrelative="t" stroked="f">
            <v:imagedata r:id="rId16" o:title=""/>
          </v:rect>
          <o:OLEObject Type="Embed" ProgID="StaticMetafile" ShapeID="rectole0000000002" DrawAspect="Content" ObjectID="_1762796834" r:id="rId17"/>
        </w:object>
      </w:r>
    </w:p>
    <w:p w:rsidR="003D662A" w:rsidRDefault="00EA6FCD">
      <w:pPr>
        <w:spacing w:after="200" w:line="360" w:lineRule="auto"/>
        <w:jc w:val="center"/>
        <w:rPr>
          <w:rFonts w:ascii="Arial" w:eastAsia="Arial" w:hAnsi="Arial" w:cs="Arial"/>
          <w:b/>
          <w:sz w:val="24"/>
        </w:rPr>
      </w:pPr>
      <w:r>
        <w:rPr>
          <w:rFonts w:ascii="Arial" w:eastAsia="Arial" w:hAnsi="Arial" w:cs="Arial"/>
          <w:b/>
          <w:sz w:val="24"/>
        </w:rPr>
        <w:t xml:space="preserve">Figure 3: Illustration of Theory of Planned Behaviour </w:t>
      </w:r>
    </w:p>
    <w:p w:rsidR="003D662A" w:rsidRDefault="00EA6FCD">
      <w:pPr>
        <w:spacing w:after="200" w:line="360" w:lineRule="auto"/>
        <w:jc w:val="center"/>
        <w:rPr>
          <w:rFonts w:ascii="Arial" w:eastAsia="Arial" w:hAnsi="Arial" w:cs="Arial"/>
          <w:sz w:val="24"/>
        </w:rPr>
      </w:pPr>
      <w:r>
        <w:rPr>
          <w:rFonts w:ascii="Arial" w:eastAsia="Arial" w:hAnsi="Arial" w:cs="Arial"/>
          <w:sz w:val="24"/>
        </w:rPr>
        <w:t>(Source: Ajzen, 2019)</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Figure 3 presents the components involved in guiding behaviours. In the perception of the favourability of behaviours, behavioural beliefs are developed. Likewise, the subjective norms or the societal pressures give rise to the normative beliefs (Bosnjak </w:t>
      </w:r>
      <w:r>
        <w:rPr>
          <w:rFonts w:ascii="Arial" w:eastAsia="Arial" w:hAnsi="Arial" w:cs="Arial"/>
          <w:i/>
          <w:sz w:val="24"/>
        </w:rPr>
        <w:t>et al</w:t>
      </w:r>
      <w:r>
        <w:rPr>
          <w:rFonts w:ascii="Arial" w:eastAsia="Arial" w:hAnsi="Arial" w:cs="Arial"/>
          <w:sz w:val="24"/>
        </w:rPr>
        <w:t xml:space="preserve">. 2020). Lastly, the self-efficacy or behaviour control perceived by an individual gives rise to their control beliefs. </w:t>
      </w:r>
    </w:p>
    <w:p w:rsidR="003D662A" w:rsidRDefault="00EA6FCD">
      <w:pPr>
        <w:spacing w:after="200" w:line="360" w:lineRule="auto"/>
        <w:jc w:val="both"/>
        <w:rPr>
          <w:rFonts w:ascii="Arial" w:eastAsia="Arial" w:hAnsi="Arial" w:cs="Arial"/>
          <w:b/>
          <w:i/>
          <w:sz w:val="24"/>
        </w:rPr>
      </w:pPr>
      <w:r>
        <w:rPr>
          <w:rFonts w:ascii="Arial" w:eastAsia="Arial" w:hAnsi="Arial" w:cs="Arial"/>
          <w:b/>
          <w:i/>
          <w:sz w:val="24"/>
        </w:rPr>
        <w:t>Using the TPB to deliver the intervention for promoting health</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As the global prevalence of diabetes (Type 2) is estimated to rise by “7079 individuals per 100,000 by 2030”, it becomes vital that health behaviours are changed and modified for reducing the projected disease prevalence (Khan </w:t>
      </w:r>
      <w:r>
        <w:rPr>
          <w:rFonts w:ascii="Arial" w:eastAsia="Arial" w:hAnsi="Arial" w:cs="Arial"/>
          <w:i/>
          <w:sz w:val="24"/>
        </w:rPr>
        <w:t>et al</w:t>
      </w:r>
      <w:r>
        <w:rPr>
          <w:rFonts w:ascii="Arial" w:eastAsia="Arial" w:hAnsi="Arial" w:cs="Arial"/>
          <w:sz w:val="24"/>
        </w:rPr>
        <w:t>. 2020). Thus, the usage of TPB for promoting health in people with diabetes via the CGM is presented below:</w:t>
      </w:r>
    </w:p>
    <w:p w:rsidR="003D662A" w:rsidRDefault="00EA6FCD">
      <w:pPr>
        <w:spacing w:after="200" w:line="360" w:lineRule="auto"/>
        <w:jc w:val="both"/>
        <w:rPr>
          <w:rFonts w:ascii="Arial" w:eastAsia="Arial" w:hAnsi="Arial" w:cs="Arial"/>
          <w:b/>
          <w:sz w:val="24"/>
        </w:rPr>
      </w:pPr>
      <w:r>
        <w:rPr>
          <w:rFonts w:ascii="Arial" w:eastAsia="Arial" w:hAnsi="Arial" w:cs="Arial"/>
          <w:b/>
          <w:sz w:val="24"/>
        </w:rPr>
        <w:t>Behavioural (Attitude) beliefs</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Attitude about this device can be improved by educating the patients about the benefits it brings in their diabetes management. Knowledge and skills based health education can be useful in promotion of health (Sharma, 2021). By discussing the advantages of CGM with the patients, the healthcare practitioners can shed light on the instant data for receiving sugar level updates, making changes in diets throughout the day, exercising, and fostering lifestyle modifications. </w:t>
      </w:r>
    </w:p>
    <w:p w:rsidR="003D662A" w:rsidRDefault="00EA6FCD">
      <w:pPr>
        <w:spacing w:after="200" w:line="360" w:lineRule="auto"/>
        <w:jc w:val="both"/>
        <w:rPr>
          <w:rFonts w:ascii="Arial" w:eastAsia="Arial" w:hAnsi="Arial" w:cs="Arial"/>
          <w:b/>
          <w:sz w:val="24"/>
        </w:rPr>
      </w:pPr>
      <w:r>
        <w:rPr>
          <w:rFonts w:ascii="Arial" w:eastAsia="Arial" w:hAnsi="Arial" w:cs="Arial"/>
          <w:b/>
          <w:sz w:val="24"/>
        </w:rPr>
        <w:t>Normative (Subjective Norms) beliefs</w:t>
      </w:r>
    </w:p>
    <w:p w:rsidR="003D662A" w:rsidRDefault="00EA6FCD">
      <w:pPr>
        <w:spacing w:after="200" w:line="360" w:lineRule="auto"/>
        <w:jc w:val="both"/>
        <w:rPr>
          <w:rFonts w:ascii="Arial" w:eastAsia="Arial" w:hAnsi="Arial" w:cs="Arial"/>
          <w:sz w:val="24"/>
        </w:rPr>
      </w:pPr>
      <w:r>
        <w:rPr>
          <w:rFonts w:ascii="Arial" w:eastAsia="Arial" w:hAnsi="Arial" w:cs="Arial"/>
          <w:sz w:val="24"/>
        </w:rPr>
        <w:t>In managing or controlling diabetes, social influence could help the newly diagnosed individuals to commence using CGM. Therefore, for this to happen, positive testimony from different users can be shown to the users. For example, the patient can take part in support groups for learning from others’ experiences. Additionally, CGM’s performance has been better in comparison to its counterpart, flash glucose monitor, in preventing hypoglycaemia (Fagherazzi and Ravaud, 2019). This is because the aim here is to</w:t>
      </w:r>
      <w:r>
        <w:rPr>
          <w:rFonts w:ascii="Arial" w:eastAsia="Arial" w:hAnsi="Arial" w:cs="Arial"/>
          <w:sz w:val="24"/>
        </w:rPr>
        <w:t xml:space="preserve"> encourage the diabetic individual from using this device so that complexities of Type 2 diabetes can be handled. </w:t>
      </w:r>
    </w:p>
    <w:p w:rsidR="003D662A" w:rsidRDefault="00EA6FCD">
      <w:pPr>
        <w:spacing w:after="200" w:line="360" w:lineRule="auto"/>
        <w:jc w:val="both"/>
        <w:rPr>
          <w:rFonts w:ascii="Arial" w:eastAsia="Arial" w:hAnsi="Arial" w:cs="Arial"/>
          <w:b/>
          <w:sz w:val="24"/>
        </w:rPr>
      </w:pPr>
      <w:r>
        <w:rPr>
          <w:rFonts w:ascii="Arial" w:eastAsia="Arial" w:hAnsi="Arial" w:cs="Arial"/>
          <w:b/>
          <w:sz w:val="24"/>
        </w:rPr>
        <w:t>Control (Perceived Behavioural Control (PBC)) beliefs</w:t>
      </w:r>
    </w:p>
    <w:p w:rsidR="003D662A" w:rsidRDefault="00EA6FCD">
      <w:pPr>
        <w:spacing w:after="200" w:line="360" w:lineRule="auto"/>
        <w:jc w:val="both"/>
        <w:rPr>
          <w:rFonts w:ascii="Arial" w:eastAsia="Arial" w:hAnsi="Arial" w:cs="Arial"/>
          <w:sz w:val="24"/>
        </w:rPr>
      </w:pPr>
      <w:r>
        <w:rPr>
          <w:rFonts w:ascii="Arial" w:eastAsia="Arial" w:hAnsi="Arial" w:cs="Arial"/>
          <w:sz w:val="24"/>
        </w:rPr>
        <w:t>A strong PBC enables the execution of the intended behaviour. Here, barriers to this PBC need to be countered by the healthcare professionals regarding the usage of CGMs. For example, training for the use of CGM can provide the patients with basic information of using it and interpreting its data. Likewise, the patient and professional can strategise ways to integrate that information into the individual’s everyday routine. This would boost their confidence in using CGM and improve their perceived control i</w:t>
      </w:r>
      <w:r>
        <w:rPr>
          <w:rFonts w:ascii="Arial" w:eastAsia="Arial" w:hAnsi="Arial" w:cs="Arial"/>
          <w:sz w:val="24"/>
        </w:rPr>
        <w:t xml:space="preserve">n changing the attitude for the intended use of a CGM.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Thus, TPB can be used in this way for promoting health via the CGM digital health intervention. </w:t>
      </w:r>
    </w:p>
    <w:p w:rsidR="003D662A" w:rsidRDefault="00EA6FCD">
      <w:pPr>
        <w:spacing w:after="200" w:line="360" w:lineRule="auto"/>
        <w:jc w:val="both"/>
        <w:rPr>
          <w:rFonts w:ascii="Arial" w:eastAsia="Arial" w:hAnsi="Arial" w:cs="Arial"/>
          <w:b/>
          <w:sz w:val="24"/>
        </w:rPr>
      </w:pPr>
      <w:r>
        <w:rPr>
          <w:rFonts w:ascii="Arial" w:eastAsia="Arial" w:hAnsi="Arial" w:cs="Arial"/>
          <w:b/>
          <w:sz w:val="24"/>
        </w:rPr>
        <w:t>Expected outcome</w:t>
      </w:r>
    </w:p>
    <w:p w:rsidR="003D662A" w:rsidRDefault="00EA6FCD">
      <w:pPr>
        <w:spacing w:after="0" w:line="360" w:lineRule="auto"/>
        <w:jc w:val="both"/>
        <w:rPr>
          <w:rFonts w:ascii="Arial" w:eastAsia="Arial" w:hAnsi="Arial" w:cs="Arial"/>
          <w:sz w:val="24"/>
        </w:rPr>
      </w:pPr>
      <w:r>
        <w:rPr>
          <w:rFonts w:ascii="Arial" w:eastAsia="Arial" w:hAnsi="Arial" w:cs="Arial"/>
          <w:sz w:val="24"/>
        </w:rPr>
        <w:t>By using TPB for delivering the health intervention of CGM, the expected outcome is an increase in the adoption of CGMs among the “people living with diabetes”. This is because if the behaviour, attitude, and control change is positive, then, patients might be willing to initiate using the device. Issues in the cost and affordability of the CGM might arise for health promotion and management of diabetes. Baltaxe</w:t>
      </w:r>
      <w:r>
        <w:rPr>
          <w:rFonts w:ascii="Arial" w:eastAsia="Arial" w:hAnsi="Arial" w:cs="Arial"/>
          <w:i/>
          <w:sz w:val="24"/>
        </w:rPr>
        <w:t xml:space="preserve"> et al</w:t>
      </w:r>
      <w:r>
        <w:rPr>
          <w:rFonts w:ascii="Arial" w:eastAsia="Arial" w:hAnsi="Arial" w:cs="Arial"/>
          <w:sz w:val="24"/>
        </w:rPr>
        <w:t xml:space="preserve">. (2019) concluded in their study that digital health tools can evolve with the help of policy-based interventions, improvement of healthcare services providing the interventions, and the regional upscale of such tech-based tools. Thus, it is plausible to expect that if insurance policies are improved to cover digital health tools like the CGM, then patients might readily adopt such tools. </w:t>
      </w:r>
    </w:p>
    <w:p w:rsidR="003D662A" w:rsidRDefault="00EA6FCD">
      <w:pPr>
        <w:spacing w:after="0" w:line="360" w:lineRule="auto"/>
        <w:jc w:val="both"/>
        <w:rPr>
          <w:rFonts w:ascii="Arial" w:eastAsia="Arial" w:hAnsi="Arial" w:cs="Arial"/>
          <w:sz w:val="24"/>
        </w:rPr>
      </w:pPr>
      <w:r>
        <w:rPr>
          <w:rFonts w:ascii="Arial" w:eastAsia="Arial" w:hAnsi="Arial" w:cs="Arial"/>
          <w:sz w:val="24"/>
        </w:rPr>
        <w:t xml:space="preserve">Patient empowerment from this intervention can enhance when they feel more in control with managing their health condition. Patients might take proactive health decisions for self-management and understand the factors affecting their lives in a better way (Brew-Sam, 2020). Extensive planning and multi-level considerations are necessary in validating the state-of-the-art digital health tools so that inequality in digital health can be reduced (Mathews </w:t>
      </w:r>
      <w:r>
        <w:rPr>
          <w:rFonts w:ascii="Arial" w:eastAsia="Arial" w:hAnsi="Arial" w:cs="Arial"/>
          <w:i/>
          <w:sz w:val="24"/>
        </w:rPr>
        <w:t>et al</w:t>
      </w:r>
      <w:r>
        <w:rPr>
          <w:rFonts w:ascii="Arial" w:eastAsia="Arial" w:hAnsi="Arial" w:cs="Arial"/>
          <w:sz w:val="24"/>
        </w:rPr>
        <w:t xml:space="preserve">. 2019). These expected outcomes have the capability to pave the way for organised diabetes management and its better controlling. </w:t>
      </w:r>
    </w:p>
    <w:p w:rsidR="003D662A" w:rsidRDefault="00EA6FCD">
      <w:pPr>
        <w:spacing w:after="200" w:line="360" w:lineRule="auto"/>
        <w:jc w:val="both"/>
        <w:rPr>
          <w:rFonts w:ascii="Arial" w:eastAsia="Arial" w:hAnsi="Arial" w:cs="Arial"/>
          <w:b/>
          <w:sz w:val="24"/>
        </w:rPr>
      </w:pPr>
      <w:r>
        <w:rPr>
          <w:rFonts w:ascii="Arial" w:eastAsia="Arial" w:hAnsi="Arial" w:cs="Arial"/>
          <w:b/>
          <w:sz w:val="24"/>
        </w:rPr>
        <w:t>Conclusion and recommendations for future works</w:t>
      </w:r>
    </w:p>
    <w:p w:rsidR="003D662A" w:rsidRDefault="00EA6FCD">
      <w:pPr>
        <w:spacing w:after="200" w:line="360" w:lineRule="auto"/>
        <w:jc w:val="both"/>
        <w:rPr>
          <w:rFonts w:ascii="Arial" w:eastAsia="Arial" w:hAnsi="Arial" w:cs="Arial"/>
          <w:sz w:val="24"/>
        </w:rPr>
      </w:pPr>
      <w:r>
        <w:rPr>
          <w:rFonts w:ascii="Arial" w:eastAsia="Arial" w:hAnsi="Arial" w:cs="Arial"/>
          <w:sz w:val="24"/>
        </w:rPr>
        <w:t>The values and principles involved in health promotion act as a guide for policymakers, healthcare experts, community practices so that diabetes can be prevented, dealt with effectively, and health can be promoted. By successful incorporation of CGMs for the patients, better healthcare coverage and enhanced accessibility might be achieved. Advocacy for making CGMs covered in insurance could assist in benefiting larger population of patients. Besides, the use of CGM needs to be consistent with the regulatory</w:t>
      </w:r>
      <w:r>
        <w:rPr>
          <w:rFonts w:ascii="Arial" w:eastAsia="Arial" w:hAnsi="Arial" w:cs="Arial"/>
          <w:sz w:val="24"/>
        </w:rPr>
        <w:t xml:space="preserve"> standards so that it is safe and reliable as a digital health tool. </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Patient training and education for staff and patients would enable them to be adept at handling the data from CGM. Thus, making informed decisions would be under the control of patients. </w:t>
      </w:r>
    </w:p>
    <w:p w:rsidR="003D662A" w:rsidRDefault="00EA6FCD">
      <w:pPr>
        <w:spacing w:after="200" w:line="360" w:lineRule="auto"/>
        <w:jc w:val="both"/>
        <w:rPr>
          <w:rFonts w:ascii="Arial" w:eastAsia="Arial" w:hAnsi="Arial" w:cs="Arial"/>
          <w:sz w:val="24"/>
        </w:rPr>
      </w:pPr>
      <w:r>
        <w:rPr>
          <w:rFonts w:ascii="Arial" w:eastAsia="Arial" w:hAnsi="Arial" w:cs="Arial"/>
          <w:sz w:val="24"/>
        </w:rPr>
        <w:t>Psychosocial influences of the intervention and the long-term health outcome of using CGM can be studied by the researchers. Long-terms studies can be of help in assessing the societal influences along with any other economic factor. Additionally, the cost-effective nature of CGM in diabetes care can be exploited to know more about integrated programs for diabetes treatment. In terms of future work, patient experiences, adherence to the digital health technology, and ease of diabetes management can be explo</w:t>
      </w:r>
      <w:r>
        <w:rPr>
          <w:rFonts w:ascii="Arial" w:eastAsia="Arial" w:hAnsi="Arial" w:cs="Arial"/>
          <w:sz w:val="24"/>
        </w:rPr>
        <w:t>red further via studies.</w:t>
      </w:r>
    </w:p>
    <w:p w:rsidR="003D662A" w:rsidRDefault="00EA6FCD">
      <w:pPr>
        <w:spacing w:after="200" w:line="360" w:lineRule="auto"/>
        <w:jc w:val="both"/>
        <w:rPr>
          <w:rFonts w:ascii="Arial" w:eastAsia="Arial" w:hAnsi="Arial" w:cs="Arial"/>
          <w:sz w:val="24"/>
        </w:rPr>
      </w:pPr>
      <w:r>
        <w:rPr>
          <w:rFonts w:ascii="Arial" w:eastAsia="Arial" w:hAnsi="Arial" w:cs="Arial"/>
          <w:sz w:val="24"/>
        </w:rPr>
        <w:t>The poster is provided below:</w:t>
      </w:r>
    </w:p>
    <w:p w:rsidR="003D662A" w:rsidRDefault="00EA6FCD">
      <w:pPr>
        <w:spacing w:after="200" w:line="360" w:lineRule="auto"/>
        <w:jc w:val="both"/>
        <w:rPr>
          <w:rFonts w:ascii="Arial" w:eastAsia="Arial" w:hAnsi="Arial" w:cs="Arial"/>
          <w:sz w:val="24"/>
        </w:rPr>
      </w:pPr>
      <w:r>
        <w:rPr>
          <w:noProof/>
        </w:rPr>
      </w:r>
      <w:r w:rsidR="00EA6FCD">
        <w:rPr>
          <w:noProof/>
        </w:rPr>
        <w:object w:dxaOrig="8796" w:dyaOrig="12441">
          <v:rect id="rectole0000000003" o:spid="_x0000_i1028" style="width:439.7pt;height:622pt" o:ole="" o:preferrelative="t" stroked="f">
            <v:imagedata r:id="rId18" o:title=""/>
          </v:rect>
          <o:OLEObject Type="Embed" ProgID="StaticMetafile" ShapeID="rectole0000000003" DrawAspect="Content" ObjectID="_1762796835" r:id="rId19"/>
        </w:object>
      </w:r>
    </w:p>
    <w:p w:rsidR="003D662A" w:rsidRDefault="00EA6FCD">
      <w:pPr>
        <w:spacing w:after="200" w:line="360" w:lineRule="auto"/>
        <w:jc w:val="both"/>
        <w:rPr>
          <w:rFonts w:ascii="Arial" w:eastAsia="Arial" w:hAnsi="Arial" w:cs="Arial"/>
          <w:b/>
          <w:sz w:val="24"/>
        </w:rPr>
      </w:pPr>
      <w:r>
        <w:rPr>
          <w:rFonts w:ascii="Arial" w:eastAsia="Arial" w:hAnsi="Arial" w:cs="Arial"/>
          <w:b/>
          <w:sz w:val="28"/>
        </w:rPr>
        <w:t>Reference List</w:t>
      </w:r>
    </w:p>
    <w:p w:rsidR="003D662A" w:rsidRDefault="00EA6FCD">
      <w:pPr>
        <w:spacing w:after="200" w:line="360" w:lineRule="auto"/>
        <w:jc w:val="both"/>
        <w:rPr>
          <w:rFonts w:ascii="Arial" w:eastAsia="Arial" w:hAnsi="Arial" w:cs="Arial"/>
          <w:b/>
          <w:sz w:val="24"/>
        </w:rPr>
      </w:pPr>
      <w:r>
        <w:rPr>
          <w:rFonts w:ascii="Arial" w:eastAsia="Arial" w:hAnsi="Arial" w:cs="Arial"/>
          <w:b/>
          <w:sz w:val="24"/>
        </w:rPr>
        <w:t>Poster design</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Ajzen, I. 2019. </w:t>
      </w:r>
      <w:r>
        <w:rPr>
          <w:rFonts w:ascii="Arial" w:eastAsia="Arial" w:hAnsi="Arial" w:cs="Arial"/>
          <w:i/>
          <w:sz w:val="24"/>
        </w:rPr>
        <w:t>Theory of planned behavior diagram</w:t>
      </w:r>
      <w:r>
        <w:rPr>
          <w:rFonts w:ascii="Arial" w:eastAsia="Arial" w:hAnsi="Arial" w:cs="Arial"/>
          <w:sz w:val="24"/>
        </w:rPr>
        <w:t xml:space="preserve">. </w:t>
      </w:r>
      <w:r>
        <w:rPr>
          <w:rFonts w:ascii="Arial" w:eastAsia="Arial" w:hAnsi="Arial" w:cs="Arial"/>
        </w:rPr>
        <w:t xml:space="preserve">Available at: </w:t>
      </w:r>
      <w:hyperlink r:id="rId20">
        <w:r>
          <w:rPr>
            <w:rFonts w:ascii="Arial" w:eastAsia="Arial" w:hAnsi="Arial" w:cs="Arial"/>
            <w:color w:val="0000FF"/>
            <w:sz w:val="24"/>
            <w:u w:val="single"/>
          </w:rPr>
          <w:t>https://people.umass.edu/aizen/tpb.diag.html</w:t>
        </w:r>
      </w:hyperlink>
      <w:r>
        <w:rPr>
          <w:rFonts w:ascii="Arial" w:eastAsia="Arial" w:hAnsi="Arial" w:cs="Arial"/>
          <w:sz w:val="24"/>
        </w:rPr>
        <w:t xml:space="preserve"> </w:t>
      </w:r>
      <w:r>
        <w:rPr>
          <w:rFonts w:ascii="Arial" w:eastAsia="Arial" w:hAnsi="Arial" w:cs="Arial"/>
        </w:rPr>
        <w:t>[Accessed 31 Oct. 2023].</w:t>
      </w:r>
    </w:p>
    <w:p w:rsidR="003D662A" w:rsidRDefault="00EA6FCD">
      <w:pPr>
        <w:spacing w:after="200" w:line="360" w:lineRule="auto"/>
        <w:jc w:val="both"/>
        <w:rPr>
          <w:rFonts w:ascii="Arial" w:eastAsia="Arial" w:hAnsi="Arial" w:cs="Arial"/>
          <w:sz w:val="24"/>
        </w:rPr>
      </w:pPr>
      <w:r>
        <w:rPr>
          <w:rFonts w:ascii="Arial" w:eastAsia="Arial" w:hAnsi="Arial" w:cs="Arial"/>
          <w:sz w:val="24"/>
        </w:rPr>
        <w:t>Baltaxe, E., Czypionka, T., Kraus, M., Reiss, M., Askildsen, J.E., Grenkovic, R., Lindén, T.S., Pitter, J.G., Rutten-van Molken, M., Solans, O. and Stokes, J., 2019. Digital health transformation of integrated care in Europe: overarching analysis of 17 integrated care programs. </w:t>
      </w:r>
      <w:r>
        <w:rPr>
          <w:rFonts w:ascii="Arial" w:eastAsia="Arial" w:hAnsi="Arial" w:cs="Arial"/>
          <w:i/>
          <w:sz w:val="24"/>
        </w:rPr>
        <w:t>Journal of medical Internet research</w:t>
      </w:r>
      <w:r>
        <w:rPr>
          <w:rFonts w:ascii="Arial" w:eastAsia="Arial" w:hAnsi="Arial" w:cs="Arial"/>
          <w:sz w:val="24"/>
        </w:rPr>
        <w:t>, </w:t>
      </w:r>
      <w:r>
        <w:rPr>
          <w:rFonts w:ascii="Arial" w:eastAsia="Arial" w:hAnsi="Arial" w:cs="Arial"/>
          <w:i/>
          <w:sz w:val="24"/>
        </w:rPr>
        <w:t>21</w:t>
      </w:r>
      <w:r>
        <w:rPr>
          <w:rFonts w:ascii="Arial" w:eastAsia="Arial" w:hAnsi="Arial" w:cs="Arial"/>
          <w:sz w:val="24"/>
        </w:rPr>
        <w:t>(9), p.e14956.</w:t>
      </w:r>
    </w:p>
    <w:p w:rsidR="003D662A" w:rsidRDefault="00EA6FCD">
      <w:pPr>
        <w:spacing w:after="200" w:line="360" w:lineRule="auto"/>
        <w:jc w:val="both"/>
        <w:rPr>
          <w:rFonts w:ascii="Arial" w:eastAsia="Arial" w:hAnsi="Arial" w:cs="Arial"/>
          <w:sz w:val="24"/>
        </w:rPr>
      </w:pPr>
      <w:r>
        <w:rPr>
          <w:rFonts w:ascii="Arial" w:eastAsia="Arial" w:hAnsi="Arial" w:cs="Arial"/>
          <w:sz w:val="24"/>
        </w:rPr>
        <w:t>Bosnjak, M., Ajzen, I. and Schmidt, P., 2020. The theory of planned behavior: Selected recent advances and applications. </w:t>
      </w:r>
      <w:r>
        <w:rPr>
          <w:rFonts w:ascii="Arial" w:eastAsia="Arial" w:hAnsi="Arial" w:cs="Arial"/>
          <w:i/>
          <w:sz w:val="24"/>
        </w:rPr>
        <w:t>Europe's Journal of Psychology</w:t>
      </w:r>
      <w:r>
        <w:rPr>
          <w:rFonts w:ascii="Arial" w:eastAsia="Arial" w:hAnsi="Arial" w:cs="Arial"/>
          <w:sz w:val="24"/>
        </w:rPr>
        <w:t>, </w:t>
      </w:r>
      <w:r>
        <w:rPr>
          <w:rFonts w:ascii="Arial" w:eastAsia="Arial" w:hAnsi="Arial" w:cs="Arial"/>
          <w:i/>
          <w:sz w:val="24"/>
        </w:rPr>
        <w:t>16</w:t>
      </w:r>
      <w:r>
        <w:rPr>
          <w:rFonts w:ascii="Arial" w:eastAsia="Arial" w:hAnsi="Arial" w:cs="Arial"/>
          <w:sz w:val="24"/>
        </w:rPr>
        <w:t xml:space="preserve">(3), p.352. </w:t>
      </w:r>
    </w:p>
    <w:p w:rsidR="003D662A" w:rsidRDefault="00EA6FCD">
      <w:pPr>
        <w:spacing w:after="200" w:line="360" w:lineRule="auto"/>
        <w:jc w:val="both"/>
        <w:rPr>
          <w:rFonts w:ascii="Arial" w:eastAsia="Arial" w:hAnsi="Arial" w:cs="Arial"/>
          <w:sz w:val="24"/>
        </w:rPr>
      </w:pPr>
      <w:r>
        <w:rPr>
          <w:rFonts w:ascii="Arial" w:eastAsia="Arial" w:hAnsi="Arial" w:cs="Arial"/>
          <w:sz w:val="24"/>
        </w:rPr>
        <w:t>Brew-Sam, N., 2020. </w:t>
      </w:r>
      <w:r>
        <w:rPr>
          <w:rFonts w:ascii="Arial" w:eastAsia="Arial" w:hAnsi="Arial" w:cs="Arial"/>
          <w:i/>
          <w:sz w:val="24"/>
        </w:rPr>
        <w:t>App use and patient empowerment in diabetes self-management: Advancing theory-guided mHealth research</w:t>
      </w:r>
      <w:r>
        <w:rPr>
          <w:rFonts w:ascii="Arial" w:eastAsia="Arial" w:hAnsi="Arial" w:cs="Arial"/>
          <w:sz w:val="24"/>
        </w:rPr>
        <w:t>. Springer Nature.</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Christiansen, S. 2022. </w:t>
      </w:r>
      <w:r>
        <w:rPr>
          <w:rFonts w:ascii="Arial" w:eastAsia="Arial" w:hAnsi="Arial" w:cs="Arial"/>
          <w:i/>
          <w:sz w:val="24"/>
        </w:rPr>
        <w:t>Wearable Tech to Manage Your Diabetes</w:t>
      </w:r>
      <w:r>
        <w:rPr>
          <w:rFonts w:ascii="Arial" w:eastAsia="Arial" w:hAnsi="Arial" w:cs="Arial"/>
          <w:sz w:val="24"/>
        </w:rPr>
        <w:t xml:space="preserve">. [online] Verywell Health. Available at: </w:t>
      </w:r>
      <w:hyperlink r:id="rId21">
        <w:r>
          <w:rPr>
            <w:rFonts w:ascii="Arial" w:eastAsia="Arial" w:hAnsi="Arial" w:cs="Arial"/>
            <w:color w:val="0000FF"/>
            <w:sz w:val="24"/>
            <w:u w:val="single"/>
          </w:rPr>
          <w:t>https://www.verywellhealth.com/wearable-tech-for-diabetes-4846257</w:t>
        </w:r>
      </w:hyperlink>
      <w:r>
        <w:rPr>
          <w:rFonts w:ascii="Arial" w:eastAsia="Arial" w:hAnsi="Arial" w:cs="Arial"/>
          <w:sz w:val="24"/>
        </w:rPr>
        <w:t xml:space="preserve"> [Accessed 31 Oct. 2023].</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Cleveland Clinic 2021. </w:t>
      </w:r>
      <w:r>
        <w:rPr>
          <w:rFonts w:ascii="Arial" w:eastAsia="Arial" w:hAnsi="Arial" w:cs="Arial"/>
          <w:i/>
          <w:sz w:val="24"/>
        </w:rPr>
        <w:t>Continuous Glucose Monitoring</w:t>
      </w:r>
      <w:r>
        <w:rPr>
          <w:rFonts w:ascii="Arial" w:eastAsia="Arial" w:hAnsi="Arial" w:cs="Arial"/>
          <w:sz w:val="24"/>
        </w:rPr>
        <w:t xml:space="preserve">. [online] Cleveland Clinic. Available at: </w:t>
      </w:r>
      <w:hyperlink r:id="rId22">
        <w:r>
          <w:rPr>
            <w:rFonts w:ascii="Arial" w:eastAsia="Arial" w:hAnsi="Arial" w:cs="Arial"/>
            <w:color w:val="0000FF"/>
            <w:sz w:val="24"/>
            <w:u w:val="single"/>
          </w:rPr>
          <w:t>https://my.clevelandclinic.org/health/treatments/11444-glucose-continuous-glucose-monitoring</w:t>
        </w:r>
      </w:hyperlink>
      <w:r>
        <w:rPr>
          <w:rFonts w:ascii="Arial" w:eastAsia="Arial" w:hAnsi="Arial" w:cs="Arial"/>
          <w:sz w:val="24"/>
        </w:rPr>
        <w:t xml:space="preserve"> [Accessed 31 Oct. 2023].</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Diabetes UK 2023. </w:t>
      </w:r>
      <w:r>
        <w:rPr>
          <w:rFonts w:ascii="Arial" w:eastAsia="Arial" w:hAnsi="Arial" w:cs="Arial"/>
          <w:i/>
          <w:sz w:val="24"/>
        </w:rPr>
        <w:t>How Many People in the UK Have diabetes?</w:t>
      </w:r>
      <w:r>
        <w:rPr>
          <w:rFonts w:ascii="Arial" w:eastAsia="Arial" w:hAnsi="Arial" w:cs="Arial"/>
          <w:sz w:val="24"/>
        </w:rPr>
        <w:t xml:space="preserve"> [online] Diabetes UK. Available at: </w:t>
      </w:r>
      <w:hyperlink r:id="rId23">
        <w:r>
          <w:rPr>
            <w:rFonts w:ascii="Arial" w:eastAsia="Arial" w:hAnsi="Arial" w:cs="Arial"/>
            <w:color w:val="0000FF"/>
            <w:sz w:val="24"/>
            <w:u w:val="single"/>
          </w:rPr>
          <w:t>https://www.diabetes.org.uk/professionals/position-statements-reports/statistics</w:t>
        </w:r>
      </w:hyperlink>
      <w:r>
        <w:rPr>
          <w:rFonts w:ascii="Arial" w:eastAsia="Arial" w:hAnsi="Arial" w:cs="Arial"/>
          <w:sz w:val="24"/>
        </w:rPr>
        <w:t xml:space="preserve"> [Accessed 31 Oct. 2023].</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Diabetes UK 2022. </w:t>
      </w:r>
      <w:r>
        <w:rPr>
          <w:rFonts w:ascii="Arial" w:eastAsia="Arial" w:hAnsi="Arial" w:cs="Arial"/>
          <w:i/>
          <w:sz w:val="24"/>
        </w:rPr>
        <w:t>Diabetes is Serious</w:t>
      </w:r>
      <w:r>
        <w:rPr>
          <w:rFonts w:ascii="Arial" w:eastAsia="Arial" w:hAnsi="Arial" w:cs="Arial"/>
          <w:sz w:val="24"/>
        </w:rPr>
        <w:t xml:space="preserve">. Available at: </w:t>
      </w:r>
      <w:hyperlink r:id="rId24">
        <w:r>
          <w:rPr>
            <w:rFonts w:ascii="Arial" w:eastAsia="Arial" w:hAnsi="Arial" w:cs="Arial"/>
            <w:color w:val="0000FF"/>
            <w:sz w:val="24"/>
            <w:u w:val="single"/>
          </w:rPr>
          <w:t>https://diabetes-resources-production.s3.eu-west-1.amazonaws.com/resources-s3/public/2022-04/Diabetes%20is%20Serious%20Report%20Digital_0.pdf</w:t>
        </w:r>
      </w:hyperlink>
      <w:r>
        <w:rPr>
          <w:rFonts w:ascii="Arial" w:eastAsia="Arial" w:hAnsi="Arial" w:cs="Arial"/>
          <w:sz w:val="24"/>
        </w:rPr>
        <w:t xml:space="preserve"> [Accessed 31 Oct. 2023].</w:t>
      </w:r>
    </w:p>
    <w:p w:rsidR="003D662A" w:rsidRDefault="00EA6FCD">
      <w:pPr>
        <w:spacing w:after="200" w:line="360" w:lineRule="auto"/>
        <w:jc w:val="both"/>
        <w:rPr>
          <w:rFonts w:ascii="Arial" w:eastAsia="Arial" w:hAnsi="Arial" w:cs="Arial"/>
          <w:sz w:val="24"/>
        </w:rPr>
      </w:pPr>
      <w:r>
        <w:rPr>
          <w:rFonts w:ascii="Arial" w:eastAsia="Arial" w:hAnsi="Arial" w:cs="Arial"/>
          <w:sz w:val="24"/>
        </w:rPr>
        <w:t>Domingo-Lopez, D.A., Lattanzi, G., Schreiber, L.H., Wallace, E.J., Wylie, R., O'Sullivan, J., Dolan, E.B. and Duffy, G.P., 2022. Medical devices, smart drug delivery, wearables and technology for the treatment of Diabetes Mellitus. </w:t>
      </w:r>
      <w:r>
        <w:rPr>
          <w:rFonts w:ascii="Arial" w:eastAsia="Arial" w:hAnsi="Arial" w:cs="Arial"/>
          <w:i/>
          <w:sz w:val="24"/>
        </w:rPr>
        <w:t>Advanced Drug Delivery Reviews</w:t>
      </w:r>
      <w:r>
        <w:rPr>
          <w:rFonts w:ascii="Arial" w:eastAsia="Arial" w:hAnsi="Arial" w:cs="Arial"/>
          <w:sz w:val="24"/>
        </w:rPr>
        <w:t>, </w:t>
      </w:r>
      <w:r>
        <w:rPr>
          <w:rFonts w:ascii="Arial" w:eastAsia="Arial" w:hAnsi="Arial" w:cs="Arial"/>
          <w:i/>
          <w:sz w:val="24"/>
        </w:rPr>
        <w:t>185</w:t>
      </w:r>
      <w:r>
        <w:rPr>
          <w:rFonts w:ascii="Arial" w:eastAsia="Arial" w:hAnsi="Arial" w:cs="Arial"/>
          <w:sz w:val="24"/>
        </w:rPr>
        <w:t>, p.114280.</w:t>
      </w:r>
    </w:p>
    <w:p w:rsidR="003D662A" w:rsidRDefault="00EA6FCD">
      <w:pPr>
        <w:spacing w:after="200" w:line="360" w:lineRule="auto"/>
        <w:jc w:val="both"/>
        <w:rPr>
          <w:rFonts w:ascii="Arial" w:eastAsia="Arial" w:hAnsi="Arial" w:cs="Arial"/>
          <w:sz w:val="24"/>
        </w:rPr>
      </w:pPr>
      <w:r>
        <w:rPr>
          <w:rFonts w:ascii="Arial" w:eastAsia="Arial" w:hAnsi="Arial" w:cs="Arial"/>
          <w:sz w:val="24"/>
        </w:rPr>
        <w:t>Fagherazzi, G. and Ravaud, P., 2019. Digital diabetes: Perspectives for diabetes prevention, management and research. </w:t>
      </w:r>
      <w:r>
        <w:rPr>
          <w:rFonts w:ascii="Arial" w:eastAsia="Arial" w:hAnsi="Arial" w:cs="Arial"/>
          <w:i/>
          <w:sz w:val="24"/>
        </w:rPr>
        <w:t>Diabetes &amp; metabolism</w:t>
      </w:r>
      <w:r>
        <w:rPr>
          <w:rFonts w:ascii="Arial" w:eastAsia="Arial" w:hAnsi="Arial" w:cs="Arial"/>
          <w:sz w:val="24"/>
        </w:rPr>
        <w:t>, </w:t>
      </w:r>
      <w:r>
        <w:rPr>
          <w:rFonts w:ascii="Arial" w:eastAsia="Arial" w:hAnsi="Arial" w:cs="Arial"/>
          <w:i/>
          <w:sz w:val="24"/>
        </w:rPr>
        <w:t>45</w:t>
      </w:r>
      <w:r>
        <w:rPr>
          <w:rFonts w:ascii="Arial" w:eastAsia="Arial" w:hAnsi="Arial" w:cs="Arial"/>
          <w:sz w:val="24"/>
        </w:rPr>
        <w:t>(4), pp.322-329.</w:t>
      </w:r>
    </w:p>
    <w:p w:rsidR="003D662A" w:rsidRDefault="00EA6FCD">
      <w:pPr>
        <w:spacing w:after="200" w:line="360" w:lineRule="auto"/>
        <w:jc w:val="both"/>
        <w:rPr>
          <w:rFonts w:ascii="Arial" w:eastAsia="Arial" w:hAnsi="Arial" w:cs="Arial"/>
          <w:sz w:val="24"/>
        </w:rPr>
      </w:pPr>
      <w:r>
        <w:rPr>
          <w:rFonts w:ascii="Arial" w:eastAsia="Arial" w:hAnsi="Arial" w:cs="Arial"/>
          <w:sz w:val="24"/>
        </w:rPr>
        <w:t>Khan, M.A.B., Hashim, M.J., King, J.K., Govender, R.D., Mustafa, H. and Al Kaabi, J., 2020. Epidemiology of type 2 diabetes–global burden of disease and forecasted trends. </w:t>
      </w:r>
      <w:r>
        <w:rPr>
          <w:rFonts w:ascii="Arial" w:eastAsia="Arial" w:hAnsi="Arial" w:cs="Arial"/>
          <w:i/>
          <w:sz w:val="24"/>
        </w:rPr>
        <w:t>Journal of epidemiology and global health</w:t>
      </w:r>
      <w:r>
        <w:rPr>
          <w:rFonts w:ascii="Arial" w:eastAsia="Arial" w:hAnsi="Arial" w:cs="Arial"/>
          <w:sz w:val="24"/>
        </w:rPr>
        <w:t>, </w:t>
      </w:r>
      <w:r>
        <w:rPr>
          <w:rFonts w:ascii="Arial" w:eastAsia="Arial" w:hAnsi="Arial" w:cs="Arial"/>
          <w:i/>
          <w:sz w:val="24"/>
        </w:rPr>
        <w:t>10</w:t>
      </w:r>
      <w:r>
        <w:rPr>
          <w:rFonts w:ascii="Arial" w:eastAsia="Arial" w:hAnsi="Arial" w:cs="Arial"/>
          <w:sz w:val="24"/>
        </w:rPr>
        <w:t>(1), p.107.</w:t>
      </w:r>
    </w:p>
    <w:p w:rsidR="003D662A" w:rsidRDefault="00EA6FCD">
      <w:pPr>
        <w:spacing w:after="200" w:line="360" w:lineRule="auto"/>
        <w:jc w:val="both"/>
        <w:rPr>
          <w:rFonts w:ascii="Arial" w:eastAsia="Arial" w:hAnsi="Arial" w:cs="Arial"/>
          <w:sz w:val="24"/>
        </w:rPr>
      </w:pPr>
      <w:r>
        <w:rPr>
          <w:rFonts w:ascii="Arial" w:eastAsia="Arial" w:hAnsi="Arial" w:cs="Arial"/>
          <w:sz w:val="24"/>
        </w:rPr>
        <w:t>Klonoff, A.N., Lee, W.A., Xu, N.Y., Nguyen, K.T., DuBord, A. and Kerr, D., 2023. Six digital health technologies that will transform diabetes. </w:t>
      </w:r>
      <w:r>
        <w:rPr>
          <w:rFonts w:ascii="Arial" w:eastAsia="Arial" w:hAnsi="Arial" w:cs="Arial"/>
          <w:i/>
          <w:sz w:val="24"/>
        </w:rPr>
        <w:t>Journal of diabetes science and technology</w:t>
      </w:r>
      <w:r>
        <w:rPr>
          <w:rFonts w:ascii="Arial" w:eastAsia="Arial" w:hAnsi="Arial" w:cs="Arial"/>
          <w:sz w:val="24"/>
        </w:rPr>
        <w:t>, </w:t>
      </w:r>
      <w:r>
        <w:rPr>
          <w:rFonts w:ascii="Arial" w:eastAsia="Arial" w:hAnsi="Arial" w:cs="Arial"/>
          <w:i/>
          <w:sz w:val="24"/>
        </w:rPr>
        <w:t>17</w:t>
      </w:r>
      <w:r>
        <w:rPr>
          <w:rFonts w:ascii="Arial" w:eastAsia="Arial" w:hAnsi="Arial" w:cs="Arial"/>
          <w:sz w:val="24"/>
        </w:rPr>
        <w:t xml:space="preserve">(1), pp.239-249. </w:t>
      </w:r>
    </w:p>
    <w:p w:rsidR="003D662A" w:rsidRDefault="00EA6FCD">
      <w:pPr>
        <w:spacing w:after="200" w:line="360" w:lineRule="auto"/>
        <w:jc w:val="both"/>
        <w:rPr>
          <w:rFonts w:ascii="Arial" w:eastAsia="Arial" w:hAnsi="Arial" w:cs="Arial"/>
          <w:sz w:val="24"/>
        </w:rPr>
      </w:pPr>
      <w:r>
        <w:rPr>
          <w:rFonts w:ascii="Arial" w:eastAsia="Arial" w:hAnsi="Arial" w:cs="Arial"/>
          <w:sz w:val="24"/>
        </w:rPr>
        <w:t>Makroum, M.A., Adda, M., Bouzouane, A. and Ibrahim, H., 2022. Machine learning and smart devices for diabetes management: Systematic review. </w:t>
      </w:r>
      <w:r>
        <w:rPr>
          <w:rFonts w:ascii="Arial" w:eastAsia="Arial" w:hAnsi="Arial" w:cs="Arial"/>
          <w:i/>
          <w:sz w:val="24"/>
        </w:rPr>
        <w:t>Sensors</w:t>
      </w:r>
      <w:r>
        <w:rPr>
          <w:rFonts w:ascii="Arial" w:eastAsia="Arial" w:hAnsi="Arial" w:cs="Arial"/>
          <w:sz w:val="24"/>
        </w:rPr>
        <w:t>, </w:t>
      </w:r>
      <w:r>
        <w:rPr>
          <w:rFonts w:ascii="Arial" w:eastAsia="Arial" w:hAnsi="Arial" w:cs="Arial"/>
          <w:i/>
          <w:sz w:val="24"/>
        </w:rPr>
        <w:t>22</w:t>
      </w:r>
      <w:r>
        <w:rPr>
          <w:rFonts w:ascii="Arial" w:eastAsia="Arial" w:hAnsi="Arial" w:cs="Arial"/>
          <w:sz w:val="24"/>
        </w:rPr>
        <w:t>(5), p.1843.</w:t>
      </w:r>
    </w:p>
    <w:p w:rsidR="003D662A" w:rsidRDefault="00EA6FCD">
      <w:pPr>
        <w:spacing w:after="200" w:line="360" w:lineRule="auto"/>
        <w:jc w:val="both"/>
        <w:rPr>
          <w:rFonts w:ascii="Arial" w:eastAsia="Arial" w:hAnsi="Arial" w:cs="Arial"/>
          <w:sz w:val="24"/>
        </w:rPr>
      </w:pPr>
      <w:r>
        <w:rPr>
          <w:rFonts w:ascii="Arial" w:eastAsia="Arial" w:hAnsi="Arial" w:cs="Arial"/>
          <w:sz w:val="24"/>
        </w:rPr>
        <w:t>Mathews, S.C., McShea, M.J., Hanley, C.L., Ravitz, A., Labrique, A.B. and Cohen, A.B., 2019. Digital health: a path to validation. </w:t>
      </w:r>
      <w:r>
        <w:rPr>
          <w:rFonts w:ascii="Arial" w:eastAsia="Arial" w:hAnsi="Arial" w:cs="Arial"/>
          <w:i/>
          <w:sz w:val="24"/>
        </w:rPr>
        <w:t>NPJ digital medicine</w:t>
      </w:r>
      <w:r>
        <w:rPr>
          <w:rFonts w:ascii="Arial" w:eastAsia="Arial" w:hAnsi="Arial" w:cs="Arial"/>
          <w:sz w:val="24"/>
        </w:rPr>
        <w:t>, </w:t>
      </w:r>
      <w:r>
        <w:rPr>
          <w:rFonts w:ascii="Arial" w:eastAsia="Arial" w:hAnsi="Arial" w:cs="Arial"/>
          <w:i/>
          <w:sz w:val="24"/>
        </w:rPr>
        <w:t>2</w:t>
      </w:r>
      <w:r>
        <w:rPr>
          <w:rFonts w:ascii="Arial" w:eastAsia="Arial" w:hAnsi="Arial" w:cs="Arial"/>
          <w:sz w:val="24"/>
        </w:rPr>
        <w:t>(1), p.38.</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MedlinePlus 2017. </w:t>
      </w:r>
      <w:r>
        <w:rPr>
          <w:rFonts w:ascii="Arial" w:eastAsia="Arial" w:hAnsi="Arial" w:cs="Arial"/>
          <w:i/>
          <w:sz w:val="24"/>
        </w:rPr>
        <w:t>Health Risks of an Inactive Lifestyle</w:t>
      </w:r>
      <w:r>
        <w:rPr>
          <w:rFonts w:ascii="Arial" w:eastAsia="Arial" w:hAnsi="Arial" w:cs="Arial"/>
          <w:sz w:val="24"/>
        </w:rPr>
        <w:t xml:space="preserve">. [online] medlineplus.gov. Available at: </w:t>
      </w:r>
      <w:hyperlink r:id="rId25" w:anchor=":~:text=By%20not%20getting%20regular%20exercise">
        <w:r>
          <w:rPr>
            <w:rFonts w:ascii="Arial" w:eastAsia="Arial" w:hAnsi="Arial" w:cs="Arial"/>
            <w:color w:val="0000FF"/>
            <w:sz w:val="24"/>
            <w:u w:val="single"/>
          </w:rPr>
          <w:t>https://medlineplus.gov/healthrisksofaninactivelifestyle.html#:~:text=By%20not%20getting%20regular%20exercise</w:t>
        </w:r>
      </w:hyperlink>
      <w:r>
        <w:rPr>
          <w:rFonts w:ascii="Arial" w:eastAsia="Arial" w:hAnsi="Arial" w:cs="Arial"/>
          <w:sz w:val="24"/>
        </w:rPr>
        <w:t xml:space="preserve"> [Accessed 31 Oct. 2023].</w:t>
      </w:r>
    </w:p>
    <w:p w:rsidR="003D662A" w:rsidRDefault="00EA6FCD">
      <w:pPr>
        <w:spacing w:after="240" w:line="360" w:lineRule="auto"/>
        <w:jc w:val="both"/>
        <w:rPr>
          <w:rFonts w:ascii="Arial" w:eastAsia="Arial" w:hAnsi="Arial" w:cs="Arial"/>
          <w:sz w:val="24"/>
        </w:rPr>
      </w:pPr>
      <w:r>
        <w:rPr>
          <w:rFonts w:ascii="Arial" w:eastAsia="Arial" w:hAnsi="Arial" w:cs="Arial"/>
          <w:sz w:val="24"/>
        </w:rPr>
        <w:t xml:space="preserve">National Youth Council of Ireland [NYCI] 2022. </w:t>
      </w:r>
      <w:r>
        <w:rPr>
          <w:rFonts w:ascii="Arial" w:eastAsia="Arial" w:hAnsi="Arial" w:cs="Arial"/>
          <w:i/>
          <w:sz w:val="24"/>
        </w:rPr>
        <w:t>Principles of Health Promotion</w:t>
      </w:r>
      <w:r>
        <w:rPr>
          <w:rFonts w:ascii="Arial" w:eastAsia="Arial" w:hAnsi="Arial" w:cs="Arial"/>
          <w:sz w:val="24"/>
        </w:rPr>
        <w:t xml:space="preserve">. [online] National Youth Council of Ireland. Available at: </w:t>
      </w:r>
      <w:hyperlink r:id="rId26">
        <w:r>
          <w:rPr>
            <w:rFonts w:ascii="Arial" w:eastAsia="Arial" w:hAnsi="Arial" w:cs="Arial"/>
            <w:color w:val="0000FF"/>
            <w:sz w:val="24"/>
            <w:u w:val="single"/>
          </w:rPr>
          <w:t>https://www.youth.ie/articles/principles-of-health-promotion/</w:t>
        </w:r>
      </w:hyperlink>
      <w:r>
        <w:rPr>
          <w:rFonts w:ascii="Arial" w:eastAsia="Arial" w:hAnsi="Arial" w:cs="Arial"/>
          <w:sz w:val="24"/>
        </w:rPr>
        <w:t xml:space="preserve"> [Accessed 31 Oct. 2023].</w:t>
      </w:r>
    </w:p>
    <w:p w:rsidR="003D662A" w:rsidRDefault="00EA6FCD">
      <w:pPr>
        <w:spacing w:after="200" w:line="360" w:lineRule="auto"/>
        <w:jc w:val="both"/>
        <w:rPr>
          <w:rFonts w:ascii="Arial" w:eastAsia="Arial" w:hAnsi="Arial" w:cs="Arial"/>
          <w:sz w:val="24"/>
        </w:rPr>
      </w:pPr>
      <w:r>
        <w:rPr>
          <w:rFonts w:ascii="Arial" w:eastAsia="Arial" w:hAnsi="Arial" w:cs="Arial"/>
          <w:sz w:val="24"/>
        </w:rPr>
        <w:t xml:space="preserve">NHS Digital 2021, </w:t>
      </w:r>
      <w:r>
        <w:rPr>
          <w:rFonts w:ascii="Arial" w:eastAsia="Arial" w:hAnsi="Arial" w:cs="Arial"/>
          <w:i/>
          <w:sz w:val="24"/>
        </w:rPr>
        <w:t xml:space="preserve">National Diabetes Audit - Young People with Type 2 Diabetes, 2019-20. </w:t>
      </w:r>
      <w:r>
        <w:rPr>
          <w:rFonts w:ascii="Arial" w:eastAsia="Arial" w:hAnsi="Arial" w:cs="Arial"/>
          <w:sz w:val="24"/>
        </w:rPr>
        <w:t xml:space="preserve">Available at: </w:t>
      </w:r>
      <w:hyperlink r:id="rId27">
        <w:r>
          <w:rPr>
            <w:rFonts w:ascii="Arial" w:eastAsia="Arial" w:hAnsi="Arial" w:cs="Arial"/>
            <w:color w:val="0000FF"/>
            <w:sz w:val="24"/>
            <w:u w:val="single"/>
          </w:rPr>
          <w:t>https://digital.nhs.uk/data-and-information/publications/statistical/national-diabetes-audit/young-people-with-type-2-diabetes-2019--20</w:t>
        </w:r>
      </w:hyperlink>
      <w:r>
        <w:rPr>
          <w:rFonts w:ascii="Arial" w:eastAsia="Arial" w:hAnsi="Arial" w:cs="Arial"/>
          <w:sz w:val="24"/>
        </w:rPr>
        <w:t xml:space="preserve"> [Accessed 31 Oct. 2023].</w:t>
      </w:r>
    </w:p>
    <w:p w:rsidR="003D662A" w:rsidRDefault="00EA6FCD">
      <w:pPr>
        <w:spacing w:after="200" w:line="360" w:lineRule="auto"/>
        <w:jc w:val="both"/>
        <w:rPr>
          <w:rFonts w:ascii="Arial" w:eastAsia="Arial" w:hAnsi="Arial" w:cs="Arial"/>
          <w:sz w:val="24"/>
        </w:rPr>
      </w:pPr>
      <w:r>
        <w:rPr>
          <w:rFonts w:ascii="Arial" w:eastAsia="Arial" w:hAnsi="Arial" w:cs="Arial"/>
          <w:sz w:val="24"/>
        </w:rPr>
        <w:t>Shan, R., Sarkar, S. and Martin, S.S., 2019. Digital health technology and mobile devices for the management of diabetes mellitus: state of the art. </w:t>
      </w:r>
      <w:r>
        <w:rPr>
          <w:rFonts w:ascii="Arial" w:eastAsia="Arial" w:hAnsi="Arial" w:cs="Arial"/>
          <w:i/>
          <w:sz w:val="24"/>
        </w:rPr>
        <w:t>Diabetologia</w:t>
      </w:r>
      <w:r>
        <w:rPr>
          <w:rFonts w:ascii="Arial" w:eastAsia="Arial" w:hAnsi="Arial" w:cs="Arial"/>
          <w:sz w:val="24"/>
        </w:rPr>
        <w:t>, </w:t>
      </w:r>
      <w:r>
        <w:rPr>
          <w:rFonts w:ascii="Arial" w:eastAsia="Arial" w:hAnsi="Arial" w:cs="Arial"/>
          <w:i/>
          <w:sz w:val="24"/>
        </w:rPr>
        <w:t>62</w:t>
      </w:r>
      <w:r>
        <w:rPr>
          <w:rFonts w:ascii="Arial" w:eastAsia="Arial" w:hAnsi="Arial" w:cs="Arial"/>
          <w:sz w:val="24"/>
        </w:rPr>
        <w:t>, pp.877-887.</w:t>
      </w:r>
    </w:p>
    <w:p w:rsidR="003D662A" w:rsidRDefault="00EA6FCD">
      <w:pPr>
        <w:spacing w:after="200" w:line="360" w:lineRule="auto"/>
        <w:jc w:val="both"/>
        <w:rPr>
          <w:rFonts w:ascii="Arial" w:eastAsia="Arial" w:hAnsi="Arial" w:cs="Arial"/>
          <w:sz w:val="24"/>
        </w:rPr>
      </w:pPr>
      <w:r>
        <w:rPr>
          <w:rFonts w:ascii="Arial" w:eastAsia="Arial" w:hAnsi="Arial" w:cs="Arial"/>
          <w:sz w:val="24"/>
        </w:rPr>
        <w:t>Sharma, M., 2021. </w:t>
      </w:r>
      <w:r>
        <w:rPr>
          <w:rFonts w:ascii="Arial" w:eastAsia="Arial" w:hAnsi="Arial" w:cs="Arial"/>
          <w:i/>
          <w:sz w:val="24"/>
        </w:rPr>
        <w:t>Theoretical foundations of health education and health promotion</w:t>
      </w:r>
      <w:r>
        <w:rPr>
          <w:rFonts w:ascii="Arial" w:eastAsia="Arial" w:hAnsi="Arial" w:cs="Arial"/>
          <w:sz w:val="24"/>
        </w:rPr>
        <w:t>. Jones &amp; Bartlett Learning.</w:t>
      </w:r>
    </w:p>
    <w:p w:rsidR="003D662A" w:rsidRDefault="003D662A">
      <w:pPr>
        <w:spacing w:after="200" w:line="360" w:lineRule="auto"/>
        <w:jc w:val="both"/>
        <w:rPr>
          <w:rFonts w:ascii="Arial" w:eastAsia="Arial" w:hAnsi="Arial" w:cs="Arial"/>
          <w:sz w:val="24"/>
        </w:rPr>
      </w:pPr>
    </w:p>
    <w:sectPr w:rsidR="003D66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62A"/>
    <w:rsid w:val="003D662A"/>
    <w:rsid w:val="00EA6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91027C6E-8846-6346-8AAA-5562C5F35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23/apr/13/uk-in-rapidly-escalating-diabetes-crisis-as-cases-top-5m-report-says" TargetMode="External" /><Relationship Id="rId13" Type="http://schemas.openxmlformats.org/officeDocument/2006/relationships/hyperlink" Target="https://www.theguardian.com/society/2022/apr/28/number-of-inactive-adults-in-england-rises-by-more-than-1m-since-covid-peak" TargetMode="External" /><Relationship Id="rId18" Type="http://schemas.openxmlformats.org/officeDocument/2006/relationships/image" Target="media/image4.wmf" /><Relationship Id="rId26" Type="http://schemas.openxmlformats.org/officeDocument/2006/relationships/hyperlink" Target="https://www.youth.ie/articles/principles-of-health-promotion/" TargetMode="External" /><Relationship Id="rId3" Type="http://schemas.openxmlformats.org/officeDocument/2006/relationships/webSettings" Target="webSettings.xml" /><Relationship Id="rId21" Type="http://schemas.openxmlformats.org/officeDocument/2006/relationships/hyperlink" Target="https://www.verywellhealth.com/wearable-tech-for-diabetes-4846257" TargetMode="External" /><Relationship Id="rId7" Type="http://schemas.openxmlformats.org/officeDocument/2006/relationships/hyperlink" Target="https://www.diabetes.co.uk/cost-of-diabetes.html" TargetMode="External" /><Relationship Id="rId12" Type="http://schemas.openxmlformats.org/officeDocument/2006/relationships/hyperlink" Target="https://medlineplus.gov/healthrisksofaninactivelifestyle.html" TargetMode="External" /><Relationship Id="rId17" Type="http://schemas.openxmlformats.org/officeDocument/2006/relationships/oleObject" Target="embeddings/oleObject3.bin" /><Relationship Id="rId25" Type="http://schemas.openxmlformats.org/officeDocument/2006/relationships/hyperlink" Target="https://medlineplus.gov/healthrisksofaninactivelifestyle.html" TargetMode="External" /><Relationship Id="rId2" Type="http://schemas.openxmlformats.org/officeDocument/2006/relationships/settings" Target="settings.xml" /><Relationship Id="rId16" Type="http://schemas.openxmlformats.org/officeDocument/2006/relationships/image" Target="media/image3.wmf" /><Relationship Id="rId20" Type="http://schemas.openxmlformats.org/officeDocument/2006/relationships/hyperlink" Target="https://people.umass.edu/aizen/tpb.diag.html" TargetMode="External" /><Relationship Id="rId29"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s://www.diabetes.org.uk/guide-to-diabetes/diabetes-technology/what-is-diabetes-technology" TargetMode="External" /><Relationship Id="rId11" Type="http://schemas.openxmlformats.org/officeDocument/2006/relationships/hyperlink" Target="https://www.gov.uk/government/publications/physical-activity-applying-all-our-health/physical-activity-applying-all-our-health" TargetMode="External" /><Relationship Id="rId24" Type="http://schemas.openxmlformats.org/officeDocument/2006/relationships/hyperlink" Target="https://diabetes-resources-production.s3.eu-west-1.amazonaws.com/resources-s3/public/2022-04/Diabetes%20is%20Serious%20Report%20Digital_0.pdf" TargetMode="External" /><Relationship Id="rId5" Type="http://schemas.openxmlformats.org/officeDocument/2006/relationships/hyperlink" Target="https://my.clevelandclinic.org/health/treatments/11444-glucose-continuous-glucose-monitoring" TargetMode="External" /><Relationship Id="rId15" Type="http://schemas.openxmlformats.org/officeDocument/2006/relationships/oleObject" Target="embeddings/oleObject2.bin" /><Relationship Id="rId23" Type="http://schemas.openxmlformats.org/officeDocument/2006/relationships/hyperlink" Target="https://www.diabetes.org.uk/professionals/position-statements-reports/statistics" TargetMode="External" /><Relationship Id="rId28" Type="http://schemas.openxmlformats.org/officeDocument/2006/relationships/fontTable" Target="fontTable.xml" /><Relationship Id="rId10" Type="http://schemas.openxmlformats.org/officeDocument/2006/relationships/oleObject" Target="embeddings/oleObject1.bin" /><Relationship Id="rId19" Type="http://schemas.openxmlformats.org/officeDocument/2006/relationships/oleObject" Target="embeddings/oleObject4.bin" /><Relationship Id="rId4" Type="http://schemas.openxmlformats.org/officeDocument/2006/relationships/hyperlink" Target="https://www.diabeteseducator.org/danatech/glucose-monitoring/continuous-glucose-monitors-(cgm)/cgm-101/pros-cons-of-cgm" TargetMode="External" /><Relationship Id="rId9" Type="http://schemas.openxmlformats.org/officeDocument/2006/relationships/image" Target="media/image1.wmf" /><Relationship Id="rId14" Type="http://schemas.openxmlformats.org/officeDocument/2006/relationships/image" Target="media/image2.wmf" /><Relationship Id="rId22" Type="http://schemas.openxmlformats.org/officeDocument/2006/relationships/hyperlink" Target="https://my.clevelandclinic.org/health/treatments/11444-glucose-continuous-glucose-monitoring" TargetMode="External" /><Relationship Id="rId27" Type="http://schemas.openxmlformats.org/officeDocument/2006/relationships/hyperlink" Target="https://digital.nhs.uk/data-and-information/publications/statistical/national-diabetes-audit/young-people-with-type-2-diabetes-2019--2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3712</Words>
  <Characters>21159</Characters>
  <Application>Microsoft Office Word</Application>
  <DocSecurity>0</DocSecurity>
  <Lines>176</Lines>
  <Paragraphs>49</Paragraphs>
  <ScaleCrop>false</ScaleCrop>
  <Company/>
  <LinksUpToDate>false</LinksUpToDate>
  <CharactersWithSpaces>24822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Ayushi Patel</cp:lastModifiedBy>
  <cp:revision>2</cp:revision>
  <dcterms:created xsi:type="dcterms:W3CDTF">2023-11-29T21:01:00Z</dcterms:created>
  <dcterms:modified xsi:type="dcterms:W3CDTF">2023-11-29T21:01:00Z</dcterms:modified>
</cp:coreProperties>
</file>