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7D221" w14:textId="77777777" w:rsidR="00BF4B9D" w:rsidRPr="00212291" w:rsidRDefault="00BF4B9D" w:rsidP="00212291">
      <w:pPr>
        <w:spacing w:line="360" w:lineRule="auto"/>
        <w:jc w:val="both"/>
        <w:rPr>
          <w:rFonts w:ascii="Arial" w:hAnsi="Arial" w:cs="Arial"/>
        </w:rPr>
      </w:pPr>
    </w:p>
    <w:p w14:paraId="6D2E011D" w14:textId="051FA99C" w:rsidR="00F26D7B" w:rsidRPr="00212291" w:rsidRDefault="00F26D7B" w:rsidP="00212291">
      <w:pPr>
        <w:spacing w:line="360" w:lineRule="auto"/>
        <w:jc w:val="both"/>
        <w:rPr>
          <w:rFonts w:ascii="Arial" w:hAnsi="Arial" w:cs="Arial"/>
        </w:rPr>
      </w:pPr>
    </w:p>
    <w:p w14:paraId="6E76B29D" w14:textId="77777777" w:rsidR="00F26D7B" w:rsidRPr="00212291" w:rsidRDefault="00F26D7B" w:rsidP="00212291">
      <w:pPr>
        <w:spacing w:line="360" w:lineRule="auto"/>
        <w:jc w:val="both"/>
        <w:rPr>
          <w:rFonts w:ascii="Arial" w:hAnsi="Arial" w:cs="Arial"/>
        </w:rPr>
      </w:pPr>
    </w:p>
    <w:p w14:paraId="0D17ED76" w14:textId="77777777" w:rsidR="00F26D7B" w:rsidRPr="00212291" w:rsidRDefault="00F26D7B" w:rsidP="00212291">
      <w:pPr>
        <w:spacing w:line="360" w:lineRule="auto"/>
        <w:jc w:val="both"/>
        <w:rPr>
          <w:rFonts w:ascii="Arial" w:hAnsi="Arial" w:cs="Arial"/>
        </w:rPr>
      </w:pPr>
    </w:p>
    <w:p w14:paraId="3A0D2850" w14:textId="77777777" w:rsidR="00DB715D" w:rsidRPr="00212291" w:rsidRDefault="00DB715D" w:rsidP="00212291">
      <w:pPr>
        <w:spacing w:line="360" w:lineRule="auto"/>
        <w:jc w:val="both"/>
        <w:rPr>
          <w:rFonts w:ascii="Arial" w:hAnsi="Arial" w:cs="Arial"/>
        </w:rPr>
      </w:pPr>
    </w:p>
    <w:p w14:paraId="478D61CE" w14:textId="77777777" w:rsidR="00DB715D" w:rsidRPr="00212291" w:rsidRDefault="00DB715D" w:rsidP="00212291">
      <w:pPr>
        <w:spacing w:line="360" w:lineRule="auto"/>
        <w:jc w:val="both"/>
        <w:rPr>
          <w:rFonts w:ascii="Arial" w:hAnsi="Arial" w:cs="Arial"/>
        </w:rPr>
      </w:pPr>
    </w:p>
    <w:p w14:paraId="62647D22" w14:textId="77777777" w:rsidR="00DB715D" w:rsidRPr="00212291" w:rsidRDefault="00DB715D" w:rsidP="00212291">
      <w:pPr>
        <w:spacing w:line="360" w:lineRule="auto"/>
        <w:jc w:val="both"/>
        <w:rPr>
          <w:rFonts w:ascii="Arial" w:hAnsi="Arial" w:cs="Arial"/>
        </w:rPr>
      </w:pPr>
    </w:p>
    <w:p w14:paraId="1F165FA2" w14:textId="77777777" w:rsidR="00F26D7B" w:rsidRPr="00212291" w:rsidRDefault="00F26D7B" w:rsidP="00212291">
      <w:pPr>
        <w:spacing w:line="360" w:lineRule="auto"/>
        <w:jc w:val="both"/>
        <w:rPr>
          <w:rFonts w:ascii="Arial" w:hAnsi="Arial" w:cs="Arial"/>
        </w:rPr>
      </w:pPr>
    </w:p>
    <w:p w14:paraId="44AAD66B" w14:textId="77777777" w:rsidR="00F26D7B" w:rsidRPr="00212291" w:rsidRDefault="00F26D7B" w:rsidP="000A37EA">
      <w:pPr>
        <w:spacing w:line="360" w:lineRule="auto"/>
        <w:jc w:val="center"/>
        <w:rPr>
          <w:rFonts w:ascii="Arial" w:hAnsi="Arial" w:cs="Arial"/>
        </w:rPr>
      </w:pPr>
    </w:p>
    <w:p w14:paraId="70E52836" w14:textId="54E6A992" w:rsidR="00F26D7B" w:rsidRPr="00212291" w:rsidRDefault="00BF5ADC" w:rsidP="000A37EA">
      <w:pPr>
        <w:spacing w:line="360" w:lineRule="auto"/>
        <w:jc w:val="center"/>
        <w:rPr>
          <w:rFonts w:ascii="Arial" w:hAnsi="Arial" w:cs="Arial"/>
          <w:b/>
        </w:rPr>
      </w:pPr>
      <w:r>
        <w:rPr>
          <w:rFonts w:ascii="Arial" w:hAnsi="Arial" w:cs="Arial"/>
          <w:b/>
        </w:rPr>
        <w:t xml:space="preserve">Programme: </w:t>
      </w:r>
      <w:r w:rsidR="00F26D7B" w:rsidRPr="00212291">
        <w:rPr>
          <w:rFonts w:ascii="Arial" w:hAnsi="Arial" w:cs="Arial"/>
          <w:b/>
        </w:rPr>
        <w:t xml:space="preserve"> Health and Social Care</w:t>
      </w:r>
    </w:p>
    <w:p w14:paraId="58F5EC73" w14:textId="5C6FBF1C" w:rsidR="00F26D7B" w:rsidRPr="00212291" w:rsidRDefault="00794F99" w:rsidP="000A37EA">
      <w:pPr>
        <w:spacing w:line="360" w:lineRule="auto"/>
        <w:jc w:val="center"/>
        <w:rPr>
          <w:rFonts w:ascii="Arial" w:hAnsi="Arial" w:cs="Arial"/>
          <w:b/>
        </w:rPr>
      </w:pPr>
      <w:r w:rsidRPr="00212291">
        <w:rPr>
          <w:rFonts w:ascii="Arial" w:hAnsi="Arial" w:cs="Arial"/>
          <w:b/>
        </w:rPr>
        <w:t>Digital Transformation in the Health and Care Professions</w:t>
      </w:r>
    </w:p>
    <w:p w14:paraId="3C8C2836" w14:textId="6BC1A2B2" w:rsidR="00794F99" w:rsidRPr="00212291" w:rsidRDefault="00D5535D" w:rsidP="000A37EA">
      <w:pPr>
        <w:spacing w:line="360" w:lineRule="auto"/>
        <w:jc w:val="center"/>
        <w:rPr>
          <w:rFonts w:ascii="Arial" w:hAnsi="Arial" w:cs="Arial"/>
          <w:b/>
        </w:rPr>
      </w:pPr>
      <w:r w:rsidRPr="00212291">
        <w:rPr>
          <w:rFonts w:ascii="Arial" w:hAnsi="Arial" w:cs="Arial"/>
          <w:b/>
        </w:rPr>
        <w:t>BMHP6026</w:t>
      </w:r>
    </w:p>
    <w:p w14:paraId="5055C993" w14:textId="5FB97DE0" w:rsidR="00D5535D" w:rsidRPr="00212291" w:rsidRDefault="00435AD1" w:rsidP="000A37EA">
      <w:pPr>
        <w:spacing w:line="360" w:lineRule="auto"/>
        <w:jc w:val="center"/>
        <w:rPr>
          <w:rFonts w:ascii="Arial" w:hAnsi="Arial" w:cs="Arial"/>
          <w:b/>
          <w:bCs/>
        </w:rPr>
      </w:pPr>
      <w:r w:rsidRPr="00212291">
        <w:rPr>
          <w:rFonts w:ascii="Arial" w:hAnsi="Arial" w:cs="Arial"/>
          <w:b/>
          <w:bCs/>
        </w:rPr>
        <w:t>Component 1: Written Report</w:t>
      </w:r>
    </w:p>
    <w:p w14:paraId="4B1275DB" w14:textId="72339B6B" w:rsidR="00E74C26" w:rsidRDefault="00E74C26" w:rsidP="00212291">
      <w:pPr>
        <w:spacing w:line="360" w:lineRule="auto"/>
        <w:jc w:val="both"/>
        <w:rPr>
          <w:rFonts w:ascii="Arial" w:hAnsi="Arial" w:cs="Arial"/>
          <w:b/>
          <w:bCs/>
          <w:color w:val="000000" w:themeColor="text1"/>
        </w:rPr>
      </w:pPr>
      <w:r>
        <w:rPr>
          <w:rFonts w:ascii="Arial" w:hAnsi="Arial" w:cs="Arial"/>
        </w:rPr>
        <w:t xml:space="preserve">                                     </w:t>
      </w:r>
      <w:r w:rsidR="00120743" w:rsidRPr="00120743">
        <w:rPr>
          <w:rFonts w:ascii="Arial" w:hAnsi="Arial" w:cs="Arial"/>
          <w:b/>
          <w:bCs/>
          <w:color w:val="000000" w:themeColor="text1"/>
        </w:rPr>
        <w:t>Student name:</w:t>
      </w:r>
      <w:r w:rsidR="003E7035">
        <w:rPr>
          <w:rFonts w:ascii="Arial" w:hAnsi="Arial" w:cs="Arial"/>
          <w:b/>
          <w:bCs/>
          <w:color w:val="000000" w:themeColor="text1"/>
        </w:rPr>
        <w:t xml:space="preserve"> Elena </w:t>
      </w:r>
      <w:r w:rsidR="005168FA">
        <w:rPr>
          <w:rFonts w:ascii="Arial" w:hAnsi="Arial" w:cs="Arial"/>
          <w:b/>
          <w:bCs/>
          <w:color w:val="000000" w:themeColor="text1"/>
        </w:rPr>
        <w:t xml:space="preserve"> Bianca </w:t>
      </w:r>
      <w:r w:rsidR="003E7035">
        <w:rPr>
          <w:rFonts w:ascii="Arial" w:hAnsi="Arial" w:cs="Arial"/>
          <w:b/>
          <w:bCs/>
          <w:color w:val="000000" w:themeColor="text1"/>
        </w:rPr>
        <w:t>Coroeanu</w:t>
      </w:r>
    </w:p>
    <w:p w14:paraId="48033E0D" w14:textId="3009D627" w:rsidR="003E7035" w:rsidRPr="00120743" w:rsidRDefault="003E7035" w:rsidP="00212291">
      <w:pPr>
        <w:spacing w:line="360" w:lineRule="auto"/>
        <w:jc w:val="both"/>
        <w:rPr>
          <w:rFonts w:ascii="Arial" w:hAnsi="Arial" w:cs="Arial"/>
          <w:b/>
          <w:bCs/>
          <w:color w:val="000000" w:themeColor="text1"/>
        </w:rPr>
      </w:pPr>
      <w:r>
        <w:rPr>
          <w:rFonts w:ascii="Arial" w:hAnsi="Arial" w:cs="Arial"/>
          <w:b/>
          <w:bCs/>
          <w:color w:val="000000" w:themeColor="text1"/>
        </w:rPr>
        <w:t xml:space="preserve">                                                 Student </w:t>
      </w:r>
      <w:r w:rsidR="004D7B1D">
        <w:rPr>
          <w:rFonts w:ascii="Arial" w:hAnsi="Arial" w:cs="Arial"/>
          <w:b/>
          <w:bCs/>
          <w:color w:val="000000" w:themeColor="text1"/>
        </w:rPr>
        <w:t>n</w:t>
      </w:r>
      <w:r w:rsidR="004A4688">
        <w:rPr>
          <w:rFonts w:ascii="Arial" w:hAnsi="Arial" w:cs="Arial"/>
          <w:b/>
          <w:bCs/>
          <w:color w:val="000000" w:themeColor="text1"/>
        </w:rPr>
        <w:t>umber: 2325653</w:t>
      </w:r>
    </w:p>
    <w:p w14:paraId="7FA3C906" w14:textId="77777777" w:rsidR="0047643F" w:rsidRPr="00212291" w:rsidRDefault="0047643F" w:rsidP="00212291">
      <w:pPr>
        <w:spacing w:line="360" w:lineRule="auto"/>
        <w:jc w:val="both"/>
        <w:rPr>
          <w:rFonts w:ascii="Arial" w:hAnsi="Arial" w:cs="Arial"/>
        </w:rPr>
      </w:pPr>
    </w:p>
    <w:p w14:paraId="18610AE7" w14:textId="77777777" w:rsidR="0047643F" w:rsidRPr="00212291" w:rsidRDefault="0047643F" w:rsidP="00212291">
      <w:pPr>
        <w:spacing w:line="360" w:lineRule="auto"/>
        <w:jc w:val="both"/>
        <w:rPr>
          <w:rFonts w:ascii="Arial" w:hAnsi="Arial" w:cs="Arial"/>
        </w:rPr>
      </w:pPr>
    </w:p>
    <w:p w14:paraId="4032D7DF" w14:textId="77777777" w:rsidR="0047643F" w:rsidRPr="00212291" w:rsidRDefault="0047643F" w:rsidP="00212291">
      <w:pPr>
        <w:spacing w:line="360" w:lineRule="auto"/>
        <w:jc w:val="both"/>
        <w:rPr>
          <w:rFonts w:ascii="Arial" w:hAnsi="Arial" w:cs="Arial"/>
        </w:rPr>
      </w:pPr>
    </w:p>
    <w:p w14:paraId="333B5A0C" w14:textId="77777777" w:rsidR="0047643F" w:rsidRPr="00212291" w:rsidRDefault="0047643F" w:rsidP="00212291">
      <w:pPr>
        <w:spacing w:line="360" w:lineRule="auto"/>
        <w:jc w:val="both"/>
        <w:rPr>
          <w:rFonts w:ascii="Arial" w:hAnsi="Arial" w:cs="Arial"/>
        </w:rPr>
      </w:pPr>
    </w:p>
    <w:p w14:paraId="4DFC63DA" w14:textId="77777777" w:rsidR="0047643F" w:rsidRPr="00212291" w:rsidRDefault="0047643F" w:rsidP="00212291">
      <w:pPr>
        <w:spacing w:line="360" w:lineRule="auto"/>
        <w:jc w:val="both"/>
        <w:rPr>
          <w:rFonts w:ascii="Arial" w:hAnsi="Arial" w:cs="Arial"/>
        </w:rPr>
      </w:pPr>
    </w:p>
    <w:p w14:paraId="2BDADCD2" w14:textId="77777777" w:rsidR="0047643F" w:rsidRPr="00212291" w:rsidRDefault="0047643F" w:rsidP="00212291">
      <w:pPr>
        <w:spacing w:line="360" w:lineRule="auto"/>
        <w:jc w:val="both"/>
        <w:rPr>
          <w:rFonts w:ascii="Arial" w:hAnsi="Arial" w:cs="Arial"/>
        </w:rPr>
      </w:pPr>
    </w:p>
    <w:p w14:paraId="3183F8BC" w14:textId="77777777" w:rsidR="0047643F" w:rsidRPr="00212291" w:rsidRDefault="0047643F" w:rsidP="00212291">
      <w:pPr>
        <w:spacing w:line="360" w:lineRule="auto"/>
        <w:jc w:val="both"/>
        <w:rPr>
          <w:rFonts w:ascii="Arial" w:hAnsi="Arial" w:cs="Arial"/>
        </w:rPr>
      </w:pPr>
    </w:p>
    <w:p w14:paraId="67173070" w14:textId="77777777" w:rsidR="0047643F" w:rsidRPr="00212291" w:rsidRDefault="0047643F" w:rsidP="00212291">
      <w:pPr>
        <w:spacing w:line="360" w:lineRule="auto"/>
        <w:jc w:val="both"/>
        <w:rPr>
          <w:rFonts w:ascii="Arial" w:hAnsi="Arial" w:cs="Arial"/>
        </w:rPr>
      </w:pPr>
    </w:p>
    <w:p w14:paraId="3ADA939D" w14:textId="77777777" w:rsidR="0047643F" w:rsidRPr="00212291" w:rsidRDefault="0047643F" w:rsidP="00212291">
      <w:pPr>
        <w:spacing w:line="360" w:lineRule="auto"/>
        <w:jc w:val="both"/>
        <w:rPr>
          <w:rFonts w:ascii="Arial" w:hAnsi="Arial" w:cs="Arial"/>
        </w:rPr>
      </w:pPr>
    </w:p>
    <w:p w14:paraId="1B6B54D9" w14:textId="77777777" w:rsidR="0047643F" w:rsidRPr="00212291" w:rsidRDefault="0047643F" w:rsidP="00212291">
      <w:pPr>
        <w:spacing w:line="360" w:lineRule="auto"/>
        <w:jc w:val="both"/>
        <w:rPr>
          <w:rFonts w:ascii="Arial" w:hAnsi="Arial" w:cs="Arial"/>
        </w:rPr>
      </w:pPr>
    </w:p>
    <w:p w14:paraId="2260E5E4" w14:textId="77777777" w:rsidR="0047643F" w:rsidRPr="00212291" w:rsidRDefault="0047643F" w:rsidP="00212291">
      <w:pPr>
        <w:spacing w:line="360" w:lineRule="auto"/>
        <w:jc w:val="both"/>
        <w:rPr>
          <w:rFonts w:ascii="Arial" w:hAnsi="Arial" w:cs="Arial"/>
        </w:rPr>
      </w:pPr>
    </w:p>
    <w:p w14:paraId="51FE7798" w14:textId="77777777" w:rsidR="0047643F" w:rsidRPr="00212291" w:rsidRDefault="0047643F" w:rsidP="00212291">
      <w:pPr>
        <w:spacing w:line="360" w:lineRule="auto"/>
        <w:jc w:val="both"/>
        <w:rPr>
          <w:rFonts w:ascii="Arial" w:hAnsi="Arial" w:cs="Arial"/>
        </w:rPr>
      </w:pPr>
    </w:p>
    <w:p w14:paraId="495BF3CF" w14:textId="77777777" w:rsidR="0047643F" w:rsidRPr="00212291" w:rsidRDefault="0047643F" w:rsidP="00212291">
      <w:pPr>
        <w:spacing w:line="360" w:lineRule="auto"/>
        <w:jc w:val="both"/>
        <w:rPr>
          <w:rFonts w:ascii="Arial" w:hAnsi="Arial" w:cs="Arial"/>
        </w:rPr>
      </w:pPr>
    </w:p>
    <w:p w14:paraId="4726CE7E" w14:textId="77777777" w:rsidR="0047643F" w:rsidRPr="00212291" w:rsidRDefault="0047643F" w:rsidP="00212291">
      <w:pPr>
        <w:spacing w:line="360" w:lineRule="auto"/>
        <w:jc w:val="both"/>
        <w:rPr>
          <w:rFonts w:ascii="Arial" w:hAnsi="Arial" w:cs="Arial"/>
        </w:rPr>
      </w:pPr>
    </w:p>
    <w:p w14:paraId="611D8427" w14:textId="77777777" w:rsidR="0047643F" w:rsidRPr="00212291" w:rsidRDefault="0047643F" w:rsidP="00212291">
      <w:pPr>
        <w:spacing w:line="360" w:lineRule="auto"/>
        <w:jc w:val="both"/>
        <w:rPr>
          <w:rFonts w:ascii="Arial" w:hAnsi="Arial" w:cs="Arial"/>
        </w:rPr>
      </w:pPr>
    </w:p>
    <w:p w14:paraId="41E97E1A" w14:textId="77777777" w:rsidR="0047643F" w:rsidRPr="00212291" w:rsidRDefault="0047643F" w:rsidP="00212291">
      <w:pPr>
        <w:spacing w:line="360" w:lineRule="auto"/>
        <w:jc w:val="both"/>
        <w:rPr>
          <w:rFonts w:ascii="Arial" w:hAnsi="Arial" w:cs="Arial"/>
        </w:rPr>
      </w:pPr>
    </w:p>
    <w:p w14:paraId="0E2F323C" w14:textId="77777777" w:rsidR="0047643F" w:rsidRDefault="0047643F" w:rsidP="00212291">
      <w:pPr>
        <w:spacing w:line="360" w:lineRule="auto"/>
        <w:jc w:val="both"/>
        <w:rPr>
          <w:rFonts w:ascii="Arial" w:hAnsi="Arial" w:cs="Arial"/>
        </w:rPr>
      </w:pPr>
    </w:p>
    <w:p w14:paraId="0B12A12C" w14:textId="77777777" w:rsidR="00390AAA" w:rsidRDefault="00390AAA" w:rsidP="00212291">
      <w:pPr>
        <w:spacing w:line="360" w:lineRule="auto"/>
        <w:jc w:val="both"/>
        <w:rPr>
          <w:rFonts w:ascii="Arial" w:hAnsi="Arial" w:cs="Arial"/>
        </w:rPr>
      </w:pPr>
    </w:p>
    <w:p w14:paraId="5DCEDEE9" w14:textId="77777777" w:rsidR="00390AAA" w:rsidRDefault="00390AAA" w:rsidP="00212291">
      <w:pPr>
        <w:spacing w:line="360" w:lineRule="auto"/>
        <w:jc w:val="both"/>
        <w:rPr>
          <w:rFonts w:ascii="Arial" w:hAnsi="Arial" w:cs="Arial"/>
        </w:rPr>
      </w:pPr>
    </w:p>
    <w:p w14:paraId="192E22D4" w14:textId="77777777" w:rsidR="00390AAA" w:rsidRPr="00212291" w:rsidRDefault="00390AAA" w:rsidP="00212291">
      <w:pPr>
        <w:spacing w:line="360" w:lineRule="auto"/>
        <w:jc w:val="both"/>
        <w:rPr>
          <w:rFonts w:ascii="Arial" w:hAnsi="Arial" w:cs="Arial"/>
        </w:rPr>
      </w:pPr>
    </w:p>
    <w:p w14:paraId="557DC4C4" w14:textId="77777777" w:rsidR="00516B6D" w:rsidRPr="00212291" w:rsidRDefault="00516B6D" w:rsidP="00212291">
      <w:pPr>
        <w:spacing w:line="360" w:lineRule="auto"/>
        <w:jc w:val="both"/>
        <w:rPr>
          <w:rFonts w:ascii="Arial" w:hAnsi="Arial" w:cs="Arial"/>
        </w:rPr>
      </w:pPr>
    </w:p>
    <w:p w14:paraId="7675CC53" w14:textId="77777777" w:rsidR="00516B6D" w:rsidRPr="00212291" w:rsidRDefault="00516B6D" w:rsidP="00212291">
      <w:pPr>
        <w:spacing w:line="360" w:lineRule="auto"/>
        <w:jc w:val="both"/>
        <w:rPr>
          <w:rFonts w:ascii="Arial" w:hAnsi="Arial" w:cs="Arial"/>
        </w:rPr>
      </w:pPr>
    </w:p>
    <w:p w14:paraId="66EEFDF1" w14:textId="22137793" w:rsidR="00516B6D" w:rsidRPr="00212291" w:rsidRDefault="00DB715D" w:rsidP="00212291">
      <w:pPr>
        <w:spacing w:line="360" w:lineRule="auto"/>
        <w:jc w:val="center"/>
        <w:rPr>
          <w:rFonts w:ascii="Arial" w:hAnsi="Arial" w:cs="Arial"/>
          <w:b/>
          <w:bCs/>
        </w:rPr>
      </w:pPr>
      <w:r w:rsidRPr="00212291">
        <w:rPr>
          <w:rFonts w:ascii="Arial" w:hAnsi="Arial" w:cs="Arial"/>
          <w:b/>
          <w:bCs/>
        </w:rPr>
        <w:t>“A Critical Evaluation of the NHS COVID-19 Application as a Digital Innovation in the United Kingdom: Epidemiological Impact of Health and Social Care on Service Delivery, Patients, and Communities”</w:t>
      </w:r>
    </w:p>
    <w:p w14:paraId="472540AE" w14:textId="77777777" w:rsidR="00516B6D" w:rsidRPr="00212291" w:rsidRDefault="00516B6D" w:rsidP="00212291">
      <w:pPr>
        <w:spacing w:line="360" w:lineRule="auto"/>
        <w:jc w:val="both"/>
        <w:rPr>
          <w:rFonts w:ascii="Arial" w:hAnsi="Arial" w:cs="Arial"/>
        </w:rPr>
      </w:pPr>
    </w:p>
    <w:p w14:paraId="5B72E24F" w14:textId="77777777" w:rsidR="00516B6D" w:rsidRPr="00212291" w:rsidRDefault="00516B6D" w:rsidP="00212291">
      <w:pPr>
        <w:spacing w:line="360" w:lineRule="auto"/>
        <w:jc w:val="both"/>
        <w:rPr>
          <w:rFonts w:ascii="Arial" w:hAnsi="Arial" w:cs="Arial"/>
        </w:rPr>
      </w:pPr>
    </w:p>
    <w:p w14:paraId="59AE5D26" w14:textId="77777777" w:rsidR="00516B6D" w:rsidRPr="00212291" w:rsidRDefault="00516B6D" w:rsidP="00212291">
      <w:pPr>
        <w:spacing w:line="360" w:lineRule="auto"/>
        <w:jc w:val="both"/>
        <w:rPr>
          <w:rFonts w:ascii="Arial" w:hAnsi="Arial" w:cs="Arial"/>
        </w:rPr>
      </w:pPr>
    </w:p>
    <w:p w14:paraId="39C64799" w14:textId="77777777" w:rsidR="00516B6D" w:rsidRPr="00212291" w:rsidRDefault="00516B6D" w:rsidP="00212291">
      <w:pPr>
        <w:spacing w:line="360" w:lineRule="auto"/>
        <w:jc w:val="both"/>
        <w:rPr>
          <w:rFonts w:ascii="Arial" w:hAnsi="Arial" w:cs="Arial"/>
        </w:rPr>
      </w:pPr>
    </w:p>
    <w:p w14:paraId="7AE23764" w14:textId="77777777" w:rsidR="00516B6D" w:rsidRPr="00212291" w:rsidRDefault="00516B6D" w:rsidP="00212291">
      <w:pPr>
        <w:spacing w:line="360" w:lineRule="auto"/>
        <w:jc w:val="both"/>
        <w:rPr>
          <w:rFonts w:ascii="Arial" w:hAnsi="Arial" w:cs="Arial"/>
        </w:rPr>
      </w:pPr>
    </w:p>
    <w:p w14:paraId="2295B209" w14:textId="77777777" w:rsidR="00516B6D" w:rsidRPr="00212291" w:rsidRDefault="00516B6D" w:rsidP="00212291">
      <w:pPr>
        <w:spacing w:line="360" w:lineRule="auto"/>
        <w:jc w:val="both"/>
        <w:rPr>
          <w:rFonts w:ascii="Arial" w:hAnsi="Arial" w:cs="Arial"/>
        </w:rPr>
      </w:pPr>
    </w:p>
    <w:p w14:paraId="01405511" w14:textId="77777777" w:rsidR="00516B6D" w:rsidRPr="00212291" w:rsidRDefault="00516B6D" w:rsidP="00212291">
      <w:pPr>
        <w:spacing w:line="360" w:lineRule="auto"/>
        <w:jc w:val="both"/>
        <w:rPr>
          <w:rFonts w:ascii="Arial" w:hAnsi="Arial" w:cs="Arial"/>
        </w:rPr>
      </w:pPr>
    </w:p>
    <w:p w14:paraId="1A94FE17" w14:textId="77777777" w:rsidR="00516B6D" w:rsidRPr="00212291" w:rsidRDefault="00516B6D" w:rsidP="00212291">
      <w:pPr>
        <w:spacing w:line="360" w:lineRule="auto"/>
        <w:jc w:val="both"/>
        <w:rPr>
          <w:rFonts w:ascii="Arial" w:hAnsi="Arial" w:cs="Arial"/>
        </w:rPr>
      </w:pPr>
    </w:p>
    <w:p w14:paraId="38CE2C2C" w14:textId="77777777" w:rsidR="00516B6D" w:rsidRDefault="00516B6D" w:rsidP="00212291">
      <w:pPr>
        <w:spacing w:line="360" w:lineRule="auto"/>
        <w:jc w:val="both"/>
        <w:rPr>
          <w:rFonts w:ascii="Arial" w:hAnsi="Arial" w:cs="Arial"/>
        </w:rPr>
      </w:pPr>
    </w:p>
    <w:p w14:paraId="1C974D83" w14:textId="77777777" w:rsidR="00390AAA" w:rsidRPr="00212291" w:rsidRDefault="00390AAA" w:rsidP="00212291">
      <w:pPr>
        <w:spacing w:line="360" w:lineRule="auto"/>
        <w:jc w:val="both"/>
        <w:rPr>
          <w:rFonts w:ascii="Arial" w:hAnsi="Arial" w:cs="Arial"/>
        </w:rPr>
      </w:pPr>
    </w:p>
    <w:p w14:paraId="786D68AD" w14:textId="77777777" w:rsidR="00516B6D" w:rsidRPr="00212291" w:rsidRDefault="00516B6D" w:rsidP="00212291">
      <w:pPr>
        <w:spacing w:line="360" w:lineRule="auto"/>
        <w:jc w:val="both"/>
        <w:rPr>
          <w:rFonts w:ascii="Arial" w:hAnsi="Arial" w:cs="Arial"/>
        </w:rPr>
      </w:pPr>
    </w:p>
    <w:p w14:paraId="27E7C9E3" w14:textId="77777777" w:rsidR="00516B6D" w:rsidRPr="00212291" w:rsidRDefault="00516B6D" w:rsidP="00212291">
      <w:pPr>
        <w:spacing w:line="360" w:lineRule="auto"/>
        <w:jc w:val="both"/>
        <w:rPr>
          <w:rFonts w:ascii="Arial" w:hAnsi="Arial" w:cs="Arial"/>
        </w:rPr>
      </w:pPr>
    </w:p>
    <w:p w14:paraId="16AE4A32" w14:textId="77777777" w:rsidR="00516B6D" w:rsidRPr="00212291" w:rsidRDefault="00516B6D" w:rsidP="00212291">
      <w:pPr>
        <w:spacing w:line="360" w:lineRule="auto"/>
        <w:jc w:val="both"/>
        <w:rPr>
          <w:rFonts w:ascii="Arial" w:hAnsi="Arial" w:cs="Arial"/>
        </w:rPr>
      </w:pPr>
    </w:p>
    <w:sdt>
      <w:sdtPr>
        <w:rPr>
          <w:rFonts w:ascii="Arial" w:eastAsiaTheme="minorHAnsi" w:hAnsi="Arial" w:cs="Arial"/>
          <w:color w:val="auto"/>
          <w:kern w:val="2"/>
          <w:sz w:val="22"/>
          <w:szCs w:val="22"/>
          <w:lang w:val="en-GB"/>
          <w14:ligatures w14:val="standardContextual"/>
        </w:rPr>
        <w:id w:val="381299865"/>
        <w:docPartObj>
          <w:docPartGallery w:val="Table of Contents"/>
          <w:docPartUnique/>
        </w:docPartObj>
      </w:sdtPr>
      <w:sdtEndPr>
        <w:rPr>
          <w:b/>
          <w:bCs/>
          <w:noProof/>
        </w:rPr>
      </w:sdtEndPr>
      <w:sdtContent>
        <w:p w14:paraId="3B253EBE" w14:textId="11808AE6" w:rsidR="00516B6D" w:rsidRPr="00212291" w:rsidRDefault="00516B6D" w:rsidP="00212291">
          <w:pPr>
            <w:pStyle w:val="TOCHeading"/>
            <w:spacing w:line="360" w:lineRule="auto"/>
            <w:jc w:val="both"/>
            <w:rPr>
              <w:rFonts w:ascii="Arial" w:hAnsi="Arial" w:cs="Arial"/>
              <w:sz w:val="22"/>
              <w:szCs w:val="22"/>
            </w:rPr>
          </w:pPr>
          <w:r w:rsidRPr="00212291">
            <w:rPr>
              <w:rFonts w:ascii="Arial" w:hAnsi="Arial" w:cs="Arial"/>
              <w:sz w:val="22"/>
              <w:szCs w:val="22"/>
            </w:rPr>
            <w:t>Table of Contents</w:t>
          </w:r>
        </w:p>
        <w:p w14:paraId="669862D2" w14:textId="1E7036F2" w:rsidR="00390AAA" w:rsidRDefault="00516B6D">
          <w:pPr>
            <w:pStyle w:val="TOC1"/>
            <w:tabs>
              <w:tab w:val="right" w:leader="dot" w:pos="9016"/>
            </w:tabs>
            <w:rPr>
              <w:rFonts w:eastAsiaTheme="minorEastAsia"/>
              <w:noProof/>
              <w:sz w:val="24"/>
              <w:szCs w:val="24"/>
              <w:lang w:eastAsia="en-GB"/>
            </w:rPr>
          </w:pPr>
          <w:r w:rsidRPr="00212291">
            <w:rPr>
              <w:rFonts w:ascii="Arial" w:hAnsi="Arial" w:cs="Arial"/>
            </w:rPr>
            <w:fldChar w:fldCharType="begin"/>
          </w:r>
          <w:r w:rsidRPr="00212291">
            <w:rPr>
              <w:rFonts w:ascii="Arial" w:hAnsi="Arial" w:cs="Arial"/>
            </w:rPr>
            <w:instrText xml:space="preserve"> TOC \o "1-3" \h \z \u </w:instrText>
          </w:r>
          <w:r w:rsidRPr="00212291">
            <w:rPr>
              <w:rFonts w:ascii="Arial" w:hAnsi="Arial" w:cs="Arial"/>
            </w:rPr>
            <w:fldChar w:fldCharType="separate"/>
          </w:r>
          <w:hyperlink w:anchor="_Toc233476377" w:history="1">
            <w:r w:rsidR="00390AAA" w:rsidRPr="00B5296F">
              <w:rPr>
                <w:rStyle w:val="Hyperlink"/>
                <w:rFonts w:ascii="Arial" w:hAnsi="Arial" w:cs="Arial"/>
                <w:noProof/>
              </w:rPr>
              <w:t>Introduction</w:t>
            </w:r>
            <w:r w:rsidR="00390AAA">
              <w:rPr>
                <w:noProof/>
                <w:webHidden/>
              </w:rPr>
              <w:tab/>
            </w:r>
            <w:r w:rsidR="00390AAA">
              <w:rPr>
                <w:noProof/>
                <w:webHidden/>
              </w:rPr>
              <w:fldChar w:fldCharType="begin"/>
            </w:r>
            <w:r w:rsidR="00390AAA">
              <w:rPr>
                <w:noProof/>
                <w:webHidden/>
              </w:rPr>
              <w:instrText xml:space="preserve"> PAGEREF _Toc233476377 \h </w:instrText>
            </w:r>
            <w:r w:rsidR="00390AAA">
              <w:rPr>
                <w:noProof/>
                <w:webHidden/>
              </w:rPr>
            </w:r>
            <w:r w:rsidR="00390AAA">
              <w:rPr>
                <w:noProof/>
                <w:webHidden/>
              </w:rPr>
              <w:fldChar w:fldCharType="separate"/>
            </w:r>
            <w:r w:rsidR="00390AAA">
              <w:rPr>
                <w:noProof/>
                <w:webHidden/>
              </w:rPr>
              <w:t>4</w:t>
            </w:r>
            <w:r w:rsidR="00390AAA">
              <w:rPr>
                <w:noProof/>
                <w:webHidden/>
              </w:rPr>
              <w:fldChar w:fldCharType="end"/>
            </w:r>
          </w:hyperlink>
        </w:p>
        <w:p w14:paraId="7F13F03F" w14:textId="4A177D06" w:rsidR="00390AAA" w:rsidRDefault="00390AAA">
          <w:pPr>
            <w:pStyle w:val="TOC1"/>
            <w:tabs>
              <w:tab w:val="right" w:leader="dot" w:pos="9016"/>
            </w:tabs>
            <w:rPr>
              <w:rFonts w:eastAsiaTheme="minorEastAsia"/>
              <w:noProof/>
              <w:sz w:val="24"/>
              <w:szCs w:val="24"/>
              <w:lang w:eastAsia="en-GB"/>
            </w:rPr>
          </w:pPr>
          <w:hyperlink w:anchor="_Toc233476378" w:history="1">
            <w:r w:rsidRPr="00B5296F">
              <w:rPr>
                <w:rStyle w:val="Hyperlink"/>
                <w:rFonts w:ascii="Arial" w:hAnsi="Arial" w:cs="Arial"/>
                <w:noProof/>
              </w:rPr>
              <w:t>Background of the NHS COVID-19 App</w:t>
            </w:r>
            <w:r>
              <w:rPr>
                <w:noProof/>
                <w:webHidden/>
              </w:rPr>
              <w:tab/>
            </w:r>
            <w:r>
              <w:rPr>
                <w:noProof/>
                <w:webHidden/>
              </w:rPr>
              <w:fldChar w:fldCharType="begin"/>
            </w:r>
            <w:r>
              <w:rPr>
                <w:noProof/>
                <w:webHidden/>
              </w:rPr>
              <w:instrText xml:space="preserve"> PAGEREF _Toc233476378 \h </w:instrText>
            </w:r>
            <w:r>
              <w:rPr>
                <w:noProof/>
                <w:webHidden/>
              </w:rPr>
            </w:r>
            <w:r>
              <w:rPr>
                <w:noProof/>
                <w:webHidden/>
              </w:rPr>
              <w:fldChar w:fldCharType="separate"/>
            </w:r>
            <w:r>
              <w:rPr>
                <w:noProof/>
                <w:webHidden/>
              </w:rPr>
              <w:t>4</w:t>
            </w:r>
            <w:r>
              <w:rPr>
                <w:noProof/>
                <w:webHidden/>
              </w:rPr>
              <w:fldChar w:fldCharType="end"/>
            </w:r>
          </w:hyperlink>
        </w:p>
        <w:p w14:paraId="3AF4988C" w14:textId="4099D2BD" w:rsidR="00390AAA" w:rsidRDefault="00390AAA">
          <w:pPr>
            <w:pStyle w:val="TOC1"/>
            <w:tabs>
              <w:tab w:val="right" w:leader="dot" w:pos="9016"/>
            </w:tabs>
            <w:rPr>
              <w:rFonts w:eastAsiaTheme="minorEastAsia"/>
              <w:noProof/>
              <w:sz w:val="24"/>
              <w:szCs w:val="24"/>
              <w:lang w:eastAsia="en-GB"/>
            </w:rPr>
          </w:pPr>
          <w:hyperlink w:anchor="_Toc233476379" w:history="1">
            <w:r w:rsidRPr="00B5296F">
              <w:rPr>
                <w:rStyle w:val="Hyperlink"/>
                <w:rFonts w:ascii="Arial" w:hAnsi="Arial" w:cs="Arial"/>
                <w:noProof/>
              </w:rPr>
              <w:t>Impact on Service Delivery</w:t>
            </w:r>
            <w:r>
              <w:rPr>
                <w:noProof/>
                <w:webHidden/>
              </w:rPr>
              <w:tab/>
            </w:r>
            <w:r>
              <w:rPr>
                <w:noProof/>
                <w:webHidden/>
              </w:rPr>
              <w:fldChar w:fldCharType="begin"/>
            </w:r>
            <w:r>
              <w:rPr>
                <w:noProof/>
                <w:webHidden/>
              </w:rPr>
              <w:instrText xml:space="preserve"> PAGEREF _Toc233476379 \h </w:instrText>
            </w:r>
            <w:r>
              <w:rPr>
                <w:noProof/>
                <w:webHidden/>
              </w:rPr>
            </w:r>
            <w:r>
              <w:rPr>
                <w:noProof/>
                <w:webHidden/>
              </w:rPr>
              <w:fldChar w:fldCharType="separate"/>
            </w:r>
            <w:r>
              <w:rPr>
                <w:noProof/>
                <w:webHidden/>
              </w:rPr>
              <w:t>5</w:t>
            </w:r>
            <w:r>
              <w:rPr>
                <w:noProof/>
                <w:webHidden/>
              </w:rPr>
              <w:fldChar w:fldCharType="end"/>
            </w:r>
          </w:hyperlink>
        </w:p>
        <w:p w14:paraId="548D0FD8" w14:textId="0BB21D96" w:rsidR="00390AAA" w:rsidRDefault="00390AAA">
          <w:pPr>
            <w:pStyle w:val="TOC1"/>
            <w:tabs>
              <w:tab w:val="right" w:leader="dot" w:pos="9016"/>
            </w:tabs>
            <w:rPr>
              <w:rFonts w:eastAsiaTheme="minorEastAsia"/>
              <w:noProof/>
              <w:sz w:val="24"/>
              <w:szCs w:val="24"/>
              <w:lang w:eastAsia="en-GB"/>
            </w:rPr>
          </w:pPr>
          <w:hyperlink w:anchor="_Toc233476380" w:history="1">
            <w:r w:rsidRPr="00B5296F">
              <w:rPr>
                <w:rStyle w:val="Hyperlink"/>
                <w:rFonts w:ascii="Arial" w:hAnsi="Arial" w:cs="Arial"/>
                <w:noProof/>
              </w:rPr>
              <w:t>Impact on Patients / Service Users</w:t>
            </w:r>
            <w:r>
              <w:rPr>
                <w:noProof/>
                <w:webHidden/>
              </w:rPr>
              <w:tab/>
            </w:r>
            <w:r>
              <w:rPr>
                <w:noProof/>
                <w:webHidden/>
              </w:rPr>
              <w:fldChar w:fldCharType="begin"/>
            </w:r>
            <w:r>
              <w:rPr>
                <w:noProof/>
                <w:webHidden/>
              </w:rPr>
              <w:instrText xml:space="preserve"> PAGEREF _Toc233476380 \h </w:instrText>
            </w:r>
            <w:r>
              <w:rPr>
                <w:noProof/>
                <w:webHidden/>
              </w:rPr>
            </w:r>
            <w:r>
              <w:rPr>
                <w:noProof/>
                <w:webHidden/>
              </w:rPr>
              <w:fldChar w:fldCharType="separate"/>
            </w:r>
            <w:r>
              <w:rPr>
                <w:noProof/>
                <w:webHidden/>
              </w:rPr>
              <w:t>6</w:t>
            </w:r>
            <w:r>
              <w:rPr>
                <w:noProof/>
                <w:webHidden/>
              </w:rPr>
              <w:fldChar w:fldCharType="end"/>
            </w:r>
          </w:hyperlink>
        </w:p>
        <w:p w14:paraId="42A5BB45" w14:textId="7F622B5A" w:rsidR="00390AAA" w:rsidRDefault="00390AAA">
          <w:pPr>
            <w:pStyle w:val="TOC1"/>
            <w:tabs>
              <w:tab w:val="right" w:leader="dot" w:pos="9016"/>
            </w:tabs>
            <w:rPr>
              <w:rFonts w:eastAsiaTheme="minorEastAsia"/>
              <w:noProof/>
              <w:sz w:val="24"/>
              <w:szCs w:val="24"/>
              <w:lang w:eastAsia="en-GB"/>
            </w:rPr>
          </w:pPr>
          <w:hyperlink w:anchor="_Toc233476381" w:history="1">
            <w:r w:rsidRPr="00B5296F">
              <w:rPr>
                <w:rStyle w:val="Hyperlink"/>
                <w:rFonts w:ascii="Arial" w:hAnsi="Arial" w:cs="Arial"/>
                <w:noProof/>
              </w:rPr>
              <w:t>Impact on Communities</w:t>
            </w:r>
            <w:r>
              <w:rPr>
                <w:noProof/>
                <w:webHidden/>
              </w:rPr>
              <w:tab/>
            </w:r>
            <w:r>
              <w:rPr>
                <w:noProof/>
                <w:webHidden/>
              </w:rPr>
              <w:fldChar w:fldCharType="begin"/>
            </w:r>
            <w:r>
              <w:rPr>
                <w:noProof/>
                <w:webHidden/>
              </w:rPr>
              <w:instrText xml:space="preserve"> PAGEREF _Toc233476381 \h </w:instrText>
            </w:r>
            <w:r>
              <w:rPr>
                <w:noProof/>
                <w:webHidden/>
              </w:rPr>
            </w:r>
            <w:r>
              <w:rPr>
                <w:noProof/>
                <w:webHidden/>
              </w:rPr>
              <w:fldChar w:fldCharType="separate"/>
            </w:r>
            <w:r>
              <w:rPr>
                <w:noProof/>
                <w:webHidden/>
              </w:rPr>
              <w:t>8</w:t>
            </w:r>
            <w:r>
              <w:rPr>
                <w:noProof/>
                <w:webHidden/>
              </w:rPr>
              <w:fldChar w:fldCharType="end"/>
            </w:r>
          </w:hyperlink>
        </w:p>
        <w:p w14:paraId="6B0E0BD3" w14:textId="72B8F2F1" w:rsidR="00390AAA" w:rsidRDefault="00390AAA">
          <w:pPr>
            <w:pStyle w:val="TOC1"/>
            <w:tabs>
              <w:tab w:val="right" w:leader="dot" w:pos="9016"/>
            </w:tabs>
            <w:rPr>
              <w:rFonts w:eastAsiaTheme="minorEastAsia"/>
              <w:noProof/>
              <w:sz w:val="24"/>
              <w:szCs w:val="24"/>
              <w:lang w:eastAsia="en-GB"/>
            </w:rPr>
          </w:pPr>
          <w:hyperlink w:anchor="_Toc233476382" w:history="1">
            <w:r w:rsidRPr="00B5296F">
              <w:rPr>
                <w:rStyle w:val="Hyperlink"/>
                <w:rFonts w:ascii="Arial" w:hAnsi="Arial" w:cs="Arial"/>
                <w:noProof/>
              </w:rPr>
              <w:t>Recommendations and Conclusion</w:t>
            </w:r>
            <w:r>
              <w:rPr>
                <w:noProof/>
                <w:webHidden/>
              </w:rPr>
              <w:tab/>
            </w:r>
            <w:r>
              <w:rPr>
                <w:noProof/>
                <w:webHidden/>
              </w:rPr>
              <w:fldChar w:fldCharType="begin"/>
            </w:r>
            <w:r>
              <w:rPr>
                <w:noProof/>
                <w:webHidden/>
              </w:rPr>
              <w:instrText xml:space="preserve"> PAGEREF _Toc233476382 \h </w:instrText>
            </w:r>
            <w:r>
              <w:rPr>
                <w:noProof/>
                <w:webHidden/>
              </w:rPr>
            </w:r>
            <w:r>
              <w:rPr>
                <w:noProof/>
                <w:webHidden/>
              </w:rPr>
              <w:fldChar w:fldCharType="separate"/>
            </w:r>
            <w:r>
              <w:rPr>
                <w:noProof/>
                <w:webHidden/>
              </w:rPr>
              <w:t>9</w:t>
            </w:r>
            <w:r>
              <w:rPr>
                <w:noProof/>
                <w:webHidden/>
              </w:rPr>
              <w:fldChar w:fldCharType="end"/>
            </w:r>
          </w:hyperlink>
        </w:p>
        <w:p w14:paraId="14E87B9E" w14:textId="6E2A3728" w:rsidR="00390AAA" w:rsidRDefault="00390AAA">
          <w:pPr>
            <w:pStyle w:val="TOC2"/>
            <w:tabs>
              <w:tab w:val="right" w:leader="dot" w:pos="9016"/>
            </w:tabs>
            <w:rPr>
              <w:rFonts w:eastAsiaTheme="minorEastAsia"/>
              <w:noProof/>
              <w:sz w:val="24"/>
              <w:szCs w:val="24"/>
              <w:lang w:eastAsia="en-GB"/>
            </w:rPr>
          </w:pPr>
          <w:hyperlink w:anchor="_Toc233476383" w:history="1">
            <w:r w:rsidRPr="00B5296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_Toc233476383 \h </w:instrText>
            </w:r>
            <w:r>
              <w:rPr>
                <w:noProof/>
                <w:webHidden/>
              </w:rPr>
            </w:r>
            <w:r>
              <w:rPr>
                <w:noProof/>
                <w:webHidden/>
              </w:rPr>
              <w:fldChar w:fldCharType="separate"/>
            </w:r>
            <w:r>
              <w:rPr>
                <w:noProof/>
                <w:webHidden/>
              </w:rPr>
              <w:t>9</w:t>
            </w:r>
            <w:r>
              <w:rPr>
                <w:noProof/>
                <w:webHidden/>
              </w:rPr>
              <w:fldChar w:fldCharType="end"/>
            </w:r>
          </w:hyperlink>
        </w:p>
        <w:p w14:paraId="35DB077C" w14:textId="735E6BAB" w:rsidR="00390AAA" w:rsidRDefault="00390AAA">
          <w:pPr>
            <w:pStyle w:val="TOC2"/>
            <w:tabs>
              <w:tab w:val="right" w:leader="dot" w:pos="9016"/>
            </w:tabs>
            <w:rPr>
              <w:rFonts w:eastAsiaTheme="minorEastAsia"/>
              <w:noProof/>
              <w:sz w:val="24"/>
              <w:szCs w:val="24"/>
              <w:lang w:eastAsia="en-GB"/>
            </w:rPr>
          </w:pPr>
          <w:hyperlink w:anchor="_Toc233476384" w:history="1">
            <w:r w:rsidRPr="00B5296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_Toc233476384 \h </w:instrText>
            </w:r>
            <w:r>
              <w:rPr>
                <w:noProof/>
                <w:webHidden/>
              </w:rPr>
            </w:r>
            <w:r>
              <w:rPr>
                <w:noProof/>
                <w:webHidden/>
              </w:rPr>
              <w:fldChar w:fldCharType="separate"/>
            </w:r>
            <w:r>
              <w:rPr>
                <w:noProof/>
                <w:webHidden/>
              </w:rPr>
              <w:t>9</w:t>
            </w:r>
            <w:r>
              <w:rPr>
                <w:noProof/>
                <w:webHidden/>
              </w:rPr>
              <w:fldChar w:fldCharType="end"/>
            </w:r>
          </w:hyperlink>
        </w:p>
        <w:p w14:paraId="2EBAE488" w14:textId="502B25B1" w:rsidR="00390AAA" w:rsidRDefault="00390AAA">
          <w:pPr>
            <w:pStyle w:val="TOC1"/>
            <w:tabs>
              <w:tab w:val="right" w:leader="dot" w:pos="9016"/>
            </w:tabs>
            <w:rPr>
              <w:rFonts w:eastAsiaTheme="minorEastAsia"/>
              <w:noProof/>
              <w:sz w:val="24"/>
              <w:szCs w:val="24"/>
              <w:lang w:eastAsia="en-GB"/>
            </w:rPr>
          </w:pPr>
          <w:hyperlink w:anchor="_Toc233476385" w:history="1">
            <w:r w:rsidRPr="00B5296F">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_Toc233476385 \h </w:instrText>
            </w:r>
            <w:r>
              <w:rPr>
                <w:noProof/>
                <w:webHidden/>
              </w:rPr>
            </w:r>
            <w:r>
              <w:rPr>
                <w:noProof/>
                <w:webHidden/>
              </w:rPr>
              <w:fldChar w:fldCharType="separate"/>
            </w:r>
            <w:r>
              <w:rPr>
                <w:noProof/>
                <w:webHidden/>
              </w:rPr>
              <w:t>10</w:t>
            </w:r>
            <w:r>
              <w:rPr>
                <w:noProof/>
                <w:webHidden/>
              </w:rPr>
              <w:fldChar w:fldCharType="end"/>
            </w:r>
          </w:hyperlink>
        </w:p>
        <w:p w14:paraId="1EE4E454" w14:textId="52DE0FFE" w:rsidR="00516B6D" w:rsidRPr="00212291" w:rsidRDefault="00516B6D" w:rsidP="00212291">
          <w:pPr>
            <w:spacing w:line="360" w:lineRule="auto"/>
            <w:jc w:val="both"/>
            <w:rPr>
              <w:rFonts w:ascii="Arial" w:hAnsi="Arial" w:cs="Arial"/>
            </w:rPr>
          </w:pPr>
          <w:r w:rsidRPr="00212291">
            <w:rPr>
              <w:rFonts w:ascii="Arial" w:hAnsi="Arial" w:cs="Arial"/>
              <w:b/>
              <w:bCs/>
              <w:noProof/>
            </w:rPr>
            <w:fldChar w:fldCharType="end"/>
          </w:r>
        </w:p>
      </w:sdtContent>
    </w:sdt>
    <w:p w14:paraId="71E3AD5C" w14:textId="77777777" w:rsidR="0047643F" w:rsidRPr="00212291" w:rsidRDefault="0047643F" w:rsidP="00212291">
      <w:pPr>
        <w:spacing w:line="360" w:lineRule="auto"/>
        <w:jc w:val="both"/>
        <w:rPr>
          <w:rFonts w:ascii="Arial" w:hAnsi="Arial" w:cs="Arial"/>
        </w:rPr>
      </w:pPr>
    </w:p>
    <w:p w14:paraId="01433C1F" w14:textId="77777777" w:rsidR="0047643F" w:rsidRPr="00212291" w:rsidRDefault="0047643F" w:rsidP="00212291">
      <w:pPr>
        <w:spacing w:line="360" w:lineRule="auto"/>
        <w:jc w:val="both"/>
        <w:rPr>
          <w:rFonts w:ascii="Arial" w:hAnsi="Arial" w:cs="Arial"/>
        </w:rPr>
      </w:pPr>
    </w:p>
    <w:p w14:paraId="6693EFBD" w14:textId="77777777" w:rsidR="0047643F" w:rsidRPr="00212291" w:rsidRDefault="0047643F" w:rsidP="00212291">
      <w:pPr>
        <w:spacing w:line="360" w:lineRule="auto"/>
        <w:jc w:val="both"/>
        <w:rPr>
          <w:rFonts w:ascii="Arial" w:hAnsi="Arial" w:cs="Arial"/>
        </w:rPr>
      </w:pPr>
    </w:p>
    <w:p w14:paraId="2C6B22B4" w14:textId="77777777" w:rsidR="0047643F" w:rsidRPr="00212291" w:rsidRDefault="0047643F" w:rsidP="00212291">
      <w:pPr>
        <w:spacing w:line="360" w:lineRule="auto"/>
        <w:jc w:val="both"/>
        <w:rPr>
          <w:rFonts w:ascii="Arial" w:hAnsi="Arial" w:cs="Arial"/>
        </w:rPr>
      </w:pPr>
    </w:p>
    <w:p w14:paraId="362E5817" w14:textId="77777777" w:rsidR="0047643F" w:rsidRPr="00212291" w:rsidRDefault="0047643F" w:rsidP="00212291">
      <w:pPr>
        <w:spacing w:line="360" w:lineRule="auto"/>
        <w:jc w:val="both"/>
        <w:rPr>
          <w:rFonts w:ascii="Arial" w:hAnsi="Arial" w:cs="Arial"/>
        </w:rPr>
      </w:pPr>
    </w:p>
    <w:p w14:paraId="4612F348" w14:textId="77777777" w:rsidR="0047643F" w:rsidRPr="00212291" w:rsidRDefault="0047643F" w:rsidP="00212291">
      <w:pPr>
        <w:spacing w:line="360" w:lineRule="auto"/>
        <w:jc w:val="both"/>
        <w:rPr>
          <w:rFonts w:ascii="Arial" w:hAnsi="Arial" w:cs="Arial"/>
        </w:rPr>
      </w:pPr>
    </w:p>
    <w:p w14:paraId="45A1BA88" w14:textId="77777777" w:rsidR="0047643F" w:rsidRPr="00212291" w:rsidRDefault="0047643F" w:rsidP="00212291">
      <w:pPr>
        <w:spacing w:line="360" w:lineRule="auto"/>
        <w:jc w:val="both"/>
        <w:rPr>
          <w:rFonts w:ascii="Arial" w:hAnsi="Arial" w:cs="Arial"/>
        </w:rPr>
      </w:pPr>
    </w:p>
    <w:p w14:paraId="3C8B4352" w14:textId="77777777" w:rsidR="0047643F" w:rsidRPr="00212291" w:rsidRDefault="0047643F" w:rsidP="00212291">
      <w:pPr>
        <w:spacing w:line="360" w:lineRule="auto"/>
        <w:jc w:val="both"/>
        <w:rPr>
          <w:rFonts w:ascii="Arial" w:hAnsi="Arial" w:cs="Arial"/>
        </w:rPr>
      </w:pPr>
    </w:p>
    <w:p w14:paraId="0205A9AB" w14:textId="77777777" w:rsidR="0047643F" w:rsidRPr="00212291" w:rsidRDefault="0047643F" w:rsidP="00212291">
      <w:pPr>
        <w:spacing w:line="360" w:lineRule="auto"/>
        <w:jc w:val="both"/>
        <w:rPr>
          <w:rFonts w:ascii="Arial" w:hAnsi="Arial" w:cs="Arial"/>
        </w:rPr>
      </w:pPr>
    </w:p>
    <w:p w14:paraId="04678DF3" w14:textId="77777777" w:rsidR="0047643F" w:rsidRPr="00212291" w:rsidRDefault="0047643F" w:rsidP="00212291">
      <w:pPr>
        <w:spacing w:line="360" w:lineRule="auto"/>
        <w:jc w:val="both"/>
        <w:rPr>
          <w:rFonts w:ascii="Arial" w:hAnsi="Arial" w:cs="Arial"/>
        </w:rPr>
      </w:pPr>
    </w:p>
    <w:p w14:paraId="60DE657C" w14:textId="77777777" w:rsidR="0047643F" w:rsidRPr="00212291" w:rsidRDefault="0047643F" w:rsidP="00212291">
      <w:pPr>
        <w:spacing w:line="360" w:lineRule="auto"/>
        <w:jc w:val="both"/>
        <w:rPr>
          <w:rFonts w:ascii="Arial" w:hAnsi="Arial" w:cs="Arial"/>
        </w:rPr>
      </w:pPr>
    </w:p>
    <w:p w14:paraId="3A5E362A" w14:textId="77777777" w:rsidR="0047643F" w:rsidRPr="00212291" w:rsidRDefault="0047643F" w:rsidP="00212291">
      <w:pPr>
        <w:spacing w:line="360" w:lineRule="auto"/>
        <w:jc w:val="both"/>
        <w:rPr>
          <w:rFonts w:ascii="Arial" w:hAnsi="Arial" w:cs="Arial"/>
        </w:rPr>
      </w:pPr>
    </w:p>
    <w:p w14:paraId="719367B2" w14:textId="77777777" w:rsidR="0047643F" w:rsidRDefault="0047643F" w:rsidP="00212291">
      <w:pPr>
        <w:spacing w:line="360" w:lineRule="auto"/>
        <w:jc w:val="both"/>
        <w:rPr>
          <w:rFonts w:ascii="Arial" w:hAnsi="Arial" w:cs="Arial"/>
        </w:rPr>
      </w:pPr>
    </w:p>
    <w:p w14:paraId="7DB45AA2" w14:textId="77777777" w:rsidR="00390AAA" w:rsidRDefault="00390AAA" w:rsidP="00212291">
      <w:pPr>
        <w:spacing w:line="360" w:lineRule="auto"/>
        <w:jc w:val="both"/>
        <w:rPr>
          <w:rFonts w:ascii="Arial" w:hAnsi="Arial" w:cs="Arial"/>
        </w:rPr>
      </w:pPr>
    </w:p>
    <w:p w14:paraId="7EDDEF0F" w14:textId="77777777" w:rsidR="00390AAA" w:rsidRPr="00212291" w:rsidRDefault="00390AAA" w:rsidP="00212291">
      <w:pPr>
        <w:spacing w:line="360" w:lineRule="auto"/>
        <w:jc w:val="both"/>
        <w:rPr>
          <w:rFonts w:ascii="Arial" w:hAnsi="Arial" w:cs="Arial"/>
        </w:rPr>
      </w:pPr>
    </w:p>
    <w:p w14:paraId="32425F67" w14:textId="77777777" w:rsidR="001B6681" w:rsidRPr="00212291" w:rsidRDefault="001B6681" w:rsidP="00FB7AAD">
      <w:pPr>
        <w:spacing w:line="360" w:lineRule="auto"/>
        <w:jc w:val="center"/>
        <w:rPr>
          <w:rFonts w:ascii="Arial" w:hAnsi="Arial" w:cs="Arial"/>
        </w:rPr>
      </w:pPr>
    </w:p>
    <w:p w14:paraId="616300FA" w14:textId="77777777" w:rsidR="0047643F" w:rsidRPr="00212291" w:rsidRDefault="0047643F" w:rsidP="00212291">
      <w:pPr>
        <w:spacing w:line="360" w:lineRule="auto"/>
        <w:jc w:val="both"/>
        <w:rPr>
          <w:rFonts w:ascii="Arial" w:hAnsi="Arial" w:cs="Arial"/>
        </w:rPr>
      </w:pPr>
    </w:p>
    <w:p w14:paraId="02AEED92" w14:textId="31DBCAF6" w:rsidR="0047643F" w:rsidRPr="00212291" w:rsidRDefault="00516B6D" w:rsidP="00212291">
      <w:pPr>
        <w:pStyle w:val="Heading1"/>
        <w:spacing w:line="360" w:lineRule="auto"/>
        <w:jc w:val="both"/>
        <w:rPr>
          <w:rFonts w:ascii="Arial" w:hAnsi="Arial" w:cs="Arial"/>
          <w:sz w:val="22"/>
          <w:szCs w:val="22"/>
        </w:rPr>
      </w:pPr>
      <w:bookmarkStart w:id="0" w:name="_Toc233476377"/>
      <w:r w:rsidRPr="00212291">
        <w:rPr>
          <w:rFonts w:ascii="Arial" w:hAnsi="Arial" w:cs="Arial"/>
          <w:sz w:val="22"/>
          <w:szCs w:val="22"/>
        </w:rPr>
        <w:lastRenderedPageBreak/>
        <w:t>Introduction</w:t>
      </w:r>
      <w:bookmarkEnd w:id="0"/>
    </w:p>
    <w:p w14:paraId="7E2E7700" w14:textId="3F53C70F" w:rsidR="00BB162B" w:rsidRPr="00212291" w:rsidRDefault="006F5AD4" w:rsidP="00212291">
      <w:pPr>
        <w:spacing w:line="360" w:lineRule="auto"/>
        <w:jc w:val="both"/>
        <w:rPr>
          <w:rFonts w:ascii="Arial" w:hAnsi="Arial" w:cs="Arial"/>
        </w:rPr>
      </w:pPr>
      <w:r w:rsidRPr="00212291">
        <w:rPr>
          <w:rFonts w:ascii="Arial" w:hAnsi="Arial" w:cs="Arial"/>
        </w:rPr>
        <w:t xml:space="preserve">Digital transformation has emerged as a pivotal priority in UK health and social care, seeking to enhance the quality, accessibility, and efficiency of healthcare services </w:t>
      </w:r>
      <w:r w:rsidR="000B7C7E" w:rsidRPr="00212291">
        <w:rPr>
          <w:rFonts w:ascii="Arial" w:hAnsi="Arial" w:cs="Arial"/>
        </w:rPr>
        <w:t>using</w:t>
      </w:r>
      <w:r w:rsidRPr="00212291">
        <w:rPr>
          <w:rFonts w:ascii="Arial" w:hAnsi="Arial" w:cs="Arial"/>
        </w:rPr>
        <w:t xml:space="preserve"> innovative technology (Department of Health and Social Care, 2022). </w:t>
      </w:r>
      <w:r w:rsidR="00185459" w:rsidRPr="00212291">
        <w:rPr>
          <w:rFonts w:ascii="Arial" w:hAnsi="Arial" w:cs="Arial"/>
        </w:rPr>
        <w:t xml:space="preserve">The NHS COVID-19 App was launched in England and Wales during the COVID-19 pandemic as a digital contact-tracing instrument aimed at mitigating virus transmission by swiftly identifying and informing those exposed to confirmed cases (Ferretti et al., 2020). </w:t>
      </w:r>
      <w:r w:rsidR="000B7C7E" w:rsidRPr="00212291">
        <w:rPr>
          <w:rFonts w:ascii="Arial" w:hAnsi="Arial" w:cs="Arial"/>
        </w:rPr>
        <w:t>The application constituted a significant public health intervention, augmenting conventional contact-tracing techniques while facilitating a swifter and more organised response to the pandemic.</w:t>
      </w:r>
    </w:p>
    <w:p w14:paraId="575388A5" w14:textId="0291EDF2" w:rsidR="00FA4AEC" w:rsidRPr="00212291" w:rsidRDefault="001822A5" w:rsidP="00212291">
      <w:pPr>
        <w:spacing w:line="360" w:lineRule="auto"/>
        <w:jc w:val="both"/>
        <w:rPr>
          <w:rFonts w:ascii="Arial" w:hAnsi="Arial" w:cs="Arial"/>
        </w:rPr>
      </w:pPr>
      <w:r w:rsidRPr="00212291">
        <w:rPr>
          <w:rFonts w:ascii="Arial" w:hAnsi="Arial" w:cs="Arial"/>
        </w:rPr>
        <w:t>Evidence indicates that the extensive use of the app aided in diminishing COVID-19 transmission and averting illnesses (</w:t>
      </w:r>
      <w:proofErr w:type="spellStart"/>
      <w:r w:rsidRPr="00212291">
        <w:rPr>
          <w:rFonts w:ascii="Arial" w:hAnsi="Arial" w:cs="Arial"/>
        </w:rPr>
        <w:t>Wymant</w:t>
      </w:r>
      <w:proofErr w:type="spellEnd"/>
      <w:r w:rsidRPr="00212291">
        <w:rPr>
          <w:rFonts w:ascii="Arial" w:hAnsi="Arial" w:cs="Arial"/>
        </w:rPr>
        <w:t xml:space="preserve"> et al., 2021). This research critically assesses the deployment of the NHS COVID-19 App in UK health and social care, emphasising its effects on service delivery, patients/service users, and communities, while analysing both the advantages and drawbacks of this digital innovation.</w:t>
      </w:r>
    </w:p>
    <w:p w14:paraId="38F336EF" w14:textId="4841EFDA" w:rsidR="0030683E" w:rsidRPr="00212291" w:rsidRDefault="00E41EC0" w:rsidP="00212291">
      <w:pPr>
        <w:pStyle w:val="Heading1"/>
        <w:spacing w:line="360" w:lineRule="auto"/>
        <w:jc w:val="both"/>
        <w:rPr>
          <w:rFonts w:ascii="Arial" w:hAnsi="Arial" w:cs="Arial"/>
          <w:sz w:val="22"/>
          <w:szCs w:val="22"/>
        </w:rPr>
      </w:pPr>
      <w:bookmarkStart w:id="1" w:name="_Toc233476378"/>
      <w:r w:rsidRPr="00212291">
        <w:rPr>
          <w:rFonts w:ascii="Arial" w:hAnsi="Arial" w:cs="Arial"/>
          <w:sz w:val="22"/>
          <w:szCs w:val="22"/>
        </w:rPr>
        <w:t>Background of the NHS COVID-19 App</w:t>
      </w:r>
      <w:bookmarkEnd w:id="1"/>
    </w:p>
    <w:p w14:paraId="465256AF" w14:textId="1C93FD85" w:rsidR="00E41EC0" w:rsidRPr="00212291" w:rsidRDefault="00320273" w:rsidP="00212291">
      <w:pPr>
        <w:spacing w:line="360" w:lineRule="auto"/>
        <w:jc w:val="both"/>
        <w:rPr>
          <w:rFonts w:ascii="Arial" w:hAnsi="Arial" w:cs="Arial"/>
        </w:rPr>
      </w:pPr>
      <w:r w:rsidRPr="00212291">
        <w:rPr>
          <w:rFonts w:ascii="Arial" w:hAnsi="Arial" w:cs="Arial"/>
        </w:rPr>
        <w:t>The NHS COVID-19 program is a digital contact tracing program created to help England and Wales manage the spread of COVID-19. The app was officially launched in September 2020 and was intended to augment the standard contact-tracing methods by quickly identifying people who had been in close touch with a person who tested positive for the virus (</w:t>
      </w:r>
      <w:proofErr w:type="spellStart"/>
      <w:r w:rsidRPr="00212291">
        <w:rPr>
          <w:rFonts w:ascii="Arial" w:hAnsi="Arial" w:cs="Arial"/>
        </w:rPr>
        <w:t>Wymant</w:t>
      </w:r>
      <w:proofErr w:type="spellEnd"/>
      <w:r w:rsidRPr="00212291">
        <w:rPr>
          <w:rFonts w:ascii="Arial" w:hAnsi="Arial" w:cs="Arial"/>
        </w:rPr>
        <w:t xml:space="preserve"> et al., 2021).</w:t>
      </w:r>
    </w:p>
    <w:p w14:paraId="648909B5" w14:textId="7E42D837" w:rsidR="00E77CBC" w:rsidRPr="00212291" w:rsidRDefault="00D92435" w:rsidP="00212291">
      <w:pPr>
        <w:spacing w:line="360" w:lineRule="auto"/>
        <w:jc w:val="both"/>
        <w:rPr>
          <w:rFonts w:ascii="Arial" w:hAnsi="Arial" w:cs="Arial"/>
        </w:rPr>
      </w:pPr>
      <w:r w:rsidRPr="00212291">
        <w:rPr>
          <w:rFonts w:ascii="Arial" w:hAnsi="Arial" w:cs="Arial"/>
        </w:rPr>
        <w:t>It uses Bluetooth to track activity on devices without the users' knowledge and alerts users when they are identified as close contacts of proven cases (Ferretti et al., 2020). The app lets users check in to places using a QR code and keeps track of the places they've been. According to Gov.UK (2026), it also sends self-isolation messages with thorough instructions after a possible exposure.</w:t>
      </w:r>
    </w:p>
    <w:p w14:paraId="24BD7F57" w14:textId="1A3F9304" w:rsidR="00AA51E0" w:rsidRPr="00212291" w:rsidRDefault="000F18D5" w:rsidP="00212291">
      <w:pPr>
        <w:spacing w:line="360" w:lineRule="auto"/>
        <w:jc w:val="both"/>
        <w:rPr>
          <w:rFonts w:ascii="Arial" w:hAnsi="Arial" w:cs="Arial"/>
        </w:rPr>
      </w:pPr>
      <w:r w:rsidRPr="00212291">
        <w:rPr>
          <w:rFonts w:ascii="Arial" w:hAnsi="Arial" w:cs="Arial"/>
        </w:rPr>
        <w:t>A fundamental characteristic of the NHS COVID-19 App is its privacy-by-design methodology, which reduces personal data collecting and adheres to the tenets of the UK General Data Protection Regulation (UK GDPR) (ICO, 2023).</w:t>
      </w:r>
    </w:p>
    <w:p w14:paraId="20CFC25C" w14:textId="661106A7" w:rsidR="006754E8" w:rsidRPr="00212291" w:rsidRDefault="006754E8" w:rsidP="00212291">
      <w:pPr>
        <w:spacing w:line="360" w:lineRule="auto"/>
        <w:jc w:val="both"/>
        <w:rPr>
          <w:rFonts w:ascii="Arial" w:hAnsi="Arial" w:cs="Arial"/>
        </w:rPr>
      </w:pPr>
      <w:r w:rsidRPr="00212291">
        <w:rPr>
          <w:rFonts w:ascii="Arial" w:hAnsi="Arial" w:cs="Arial"/>
        </w:rPr>
        <w:t>The implementation also embodies broader UK digital health initiatives, including A Plan for Digital Health and Social Care (Department of Health and Social Care, 2022) and the What Good Looks Like Framework, which advocate for safe, person-centred, and digitally connected healthcare services.</w:t>
      </w:r>
    </w:p>
    <w:p w14:paraId="7DE2FA9A" w14:textId="273A492C" w:rsidR="00516B6D" w:rsidRPr="00212291" w:rsidRDefault="00CF76F1" w:rsidP="00212291">
      <w:pPr>
        <w:spacing w:line="360" w:lineRule="auto"/>
        <w:jc w:val="both"/>
        <w:rPr>
          <w:rFonts w:ascii="Arial" w:hAnsi="Arial" w:cs="Arial"/>
        </w:rPr>
      </w:pPr>
      <w:r w:rsidRPr="00212291">
        <w:rPr>
          <w:rFonts w:ascii="Arial" w:hAnsi="Arial" w:cs="Arial"/>
        </w:rPr>
        <w:lastRenderedPageBreak/>
        <w:t>Nonetheless, despite its technological prowess, the app's success was predominantly contingent upon public trust, extensive adoption, and sustained user engagement, underscoring that effective digital innovation necessitates both advanced technology and public confidence (Williams &amp; Armitage, 2022).</w:t>
      </w:r>
    </w:p>
    <w:p w14:paraId="6E6C8AE0" w14:textId="56730A5B" w:rsidR="00E41EC0" w:rsidRPr="00212291" w:rsidRDefault="00D53FE0" w:rsidP="00212291">
      <w:pPr>
        <w:pStyle w:val="Heading1"/>
        <w:spacing w:line="360" w:lineRule="auto"/>
        <w:jc w:val="both"/>
        <w:rPr>
          <w:rFonts w:ascii="Arial" w:hAnsi="Arial" w:cs="Arial"/>
          <w:sz w:val="22"/>
          <w:szCs w:val="22"/>
        </w:rPr>
      </w:pPr>
      <w:bookmarkStart w:id="2" w:name="_Toc233476379"/>
      <w:r w:rsidRPr="00212291">
        <w:rPr>
          <w:rFonts w:ascii="Arial" w:hAnsi="Arial" w:cs="Arial"/>
          <w:sz w:val="22"/>
          <w:szCs w:val="22"/>
        </w:rPr>
        <w:t>Impact on Service Delivery</w:t>
      </w:r>
      <w:bookmarkEnd w:id="2"/>
    </w:p>
    <w:p w14:paraId="2E8C903C" w14:textId="66601B02" w:rsidR="00D53FE0" w:rsidRPr="00212291" w:rsidRDefault="001D4EAA" w:rsidP="00212291">
      <w:pPr>
        <w:spacing w:line="360" w:lineRule="auto"/>
        <w:jc w:val="both"/>
        <w:rPr>
          <w:rFonts w:ascii="Arial" w:hAnsi="Arial" w:cs="Arial"/>
        </w:rPr>
      </w:pPr>
      <w:r w:rsidRPr="00212291">
        <w:rPr>
          <w:rFonts w:ascii="Arial" w:hAnsi="Arial" w:cs="Arial"/>
        </w:rPr>
        <w:t>The NHS COVID-19 App markedly revolutionised service delivery in the UK healthcare system by implementing a digital method for contact tracking that enhanced conventional public health strategies during the COVID-19 pandemic. Launched in September 2020, the application facilitated the swift identification of persons who had been in proximity to verified COVID-19 instances via Bluetooth technology, hence enabling immediate delivery of exposure notifications (Ferretti et al., 2020).</w:t>
      </w:r>
    </w:p>
    <w:p w14:paraId="5FE2AB76" w14:textId="1D43DFF2" w:rsidR="001D4EAA" w:rsidRPr="00212291" w:rsidRDefault="00CE24F3" w:rsidP="00212291">
      <w:pPr>
        <w:spacing w:line="360" w:lineRule="auto"/>
        <w:jc w:val="both"/>
        <w:rPr>
          <w:rFonts w:ascii="Arial" w:hAnsi="Arial" w:cs="Arial"/>
        </w:rPr>
      </w:pPr>
      <w:r w:rsidRPr="00212291">
        <w:rPr>
          <w:rFonts w:ascii="Arial" w:hAnsi="Arial" w:cs="Arial"/>
        </w:rPr>
        <w:t>In contrast to traditional manual contact tracing, our computerised method expedited the identification of probable cases and promoted earlier self-isolation, hence mitigating additional transmission (</w:t>
      </w:r>
      <w:proofErr w:type="spellStart"/>
      <w:r w:rsidRPr="00212291">
        <w:rPr>
          <w:rFonts w:ascii="Arial" w:hAnsi="Arial" w:cs="Arial"/>
        </w:rPr>
        <w:t>Wymant</w:t>
      </w:r>
      <w:proofErr w:type="spellEnd"/>
      <w:r w:rsidRPr="00212291">
        <w:rPr>
          <w:rFonts w:ascii="Arial" w:hAnsi="Arial" w:cs="Arial"/>
        </w:rPr>
        <w:t xml:space="preserve"> et al., 2021). Moreover, the application demonstrated the UK government's broader dedication to digital transformation in health and social care by incorporating innovative technology into public health practice (Department of Health and Social Care, 2022).</w:t>
      </w:r>
    </w:p>
    <w:p w14:paraId="6E9DB892" w14:textId="023A54EE" w:rsidR="00D53FE0" w:rsidRPr="00212291" w:rsidRDefault="00F56F95" w:rsidP="00212291">
      <w:pPr>
        <w:spacing w:line="360" w:lineRule="auto"/>
        <w:jc w:val="both"/>
        <w:rPr>
          <w:rFonts w:ascii="Arial" w:hAnsi="Arial" w:cs="Arial"/>
        </w:rPr>
      </w:pPr>
      <w:r w:rsidRPr="00212291">
        <w:rPr>
          <w:rFonts w:ascii="Arial" w:hAnsi="Arial" w:cs="Arial"/>
        </w:rPr>
        <w:t>An additional advantage of the NHS COVID-19 App was that it helped to ease pressure on the NHS Test and Trace service. Manual contact tracing is time demanding and resource intensive since it depends on skilled workers and accurate memory of recent contacts by individuals (Ferretti et al., 2020).</w:t>
      </w:r>
    </w:p>
    <w:p w14:paraId="4ECDA96D" w14:textId="0AFA44F0" w:rsidR="0056340B" w:rsidRPr="00212291" w:rsidRDefault="00BF7725" w:rsidP="00212291">
      <w:pPr>
        <w:spacing w:line="360" w:lineRule="auto"/>
        <w:jc w:val="both"/>
        <w:rPr>
          <w:rFonts w:ascii="Arial" w:hAnsi="Arial" w:cs="Arial"/>
        </w:rPr>
      </w:pPr>
      <w:r w:rsidRPr="00212291">
        <w:rPr>
          <w:rFonts w:ascii="Arial" w:hAnsi="Arial" w:cs="Arial"/>
        </w:rPr>
        <w:t xml:space="preserve">The tool automatically identified close connections using encrypted Bluetooth signals, allowing up healthcare workers to focus on clinical treatment and outbreak management (Whitelaw et al., 2020). </w:t>
      </w:r>
      <w:proofErr w:type="spellStart"/>
      <w:r w:rsidRPr="00212291">
        <w:rPr>
          <w:rFonts w:ascii="Arial" w:hAnsi="Arial" w:cs="Arial"/>
        </w:rPr>
        <w:t>Wymant</w:t>
      </w:r>
      <w:proofErr w:type="spellEnd"/>
      <w:r w:rsidRPr="00212291">
        <w:rPr>
          <w:rFonts w:ascii="Arial" w:hAnsi="Arial" w:cs="Arial"/>
        </w:rPr>
        <w:t xml:space="preserve"> et al. (2021) predicted that broad adoption of the app avoided hundreds of thousands of COVID-19 infections in its first year, confirming its effectiveness in improving service delivery and decreasing healthcare resource pressure.</w:t>
      </w:r>
    </w:p>
    <w:p w14:paraId="56F3CCB3" w14:textId="3CC10808" w:rsidR="00BF7725" w:rsidRPr="00212291" w:rsidRDefault="00CF0F86" w:rsidP="00212291">
      <w:pPr>
        <w:spacing w:line="360" w:lineRule="auto"/>
        <w:jc w:val="both"/>
        <w:rPr>
          <w:rFonts w:ascii="Arial" w:hAnsi="Arial" w:cs="Arial"/>
        </w:rPr>
      </w:pPr>
      <w:r w:rsidRPr="00212291">
        <w:rPr>
          <w:rFonts w:ascii="Arial" w:hAnsi="Arial" w:cs="Arial"/>
        </w:rPr>
        <w:t>The program also helped to enhance outbreak management by accelerating public health responses. Exposure notifications were issued nearly quickly after users reported a positive COVID-19 test, enabling contacts to self-isolate before symptoms developed or they accidentally transmit the virus (Ferretti et al., 2020).</w:t>
      </w:r>
    </w:p>
    <w:p w14:paraId="345AAB5C" w14:textId="1BB4F70A" w:rsidR="00CF0F86" w:rsidRPr="00212291" w:rsidRDefault="001865BC" w:rsidP="00212291">
      <w:pPr>
        <w:spacing w:line="360" w:lineRule="auto"/>
        <w:jc w:val="both"/>
        <w:rPr>
          <w:rFonts w:ascii="Arial" w:hAnsi="Arial" w:cs="Arial"/>
        </w:rPr>
      </w:pPr>
      <w:r w:rsidRPr="00212291">
        <w:rPr>
          <w:rFonts w:ascii="Arial" w:hAnsi="Arial" w:cs="Arial"/>
        </w:rPr>
        <w:t xml:space="preserve">This rapid communication helped local public health teams to break transmission chains and use healthcare resources more efficiently when demand was high (Department of Health and Social Care, 2022). Hence, digital innovations, such as the NHS COVID-19 App, illustrated </w:t>
      </w:r>
      <w:r w:rsidRPr="00212291">
        <w:rPr>
          <w:rFonts w:ascii="Arial" w:hAnsi="Arial" w:cs="Arial"/>
        </w:rPr>
        <w:lastRenderedPageBreak/>
        <w:t>how innovation could bolster healthcare resilience in national catastrophes and enable evidence-based decision-making in public health (Whitelaw et al., 2020).</w:t>
      </w:r>
    </w:p>
    <w:p w14:paraId="30870AF9" w14:textId="5CEEF258" w:rsidR="001865BC" w:rsidRPr="00212291" w:rsidRDefault="00171C64" w:rsidP="00212291">
      <w:pPr>
        <w:spacing w:line="360" w:lineRule="auto"/>
        <w:jc w:val="both"/>
        <w:rPr>
          <w:rFonts w:ascii="Arial" w:hAnsi="Arial" w:cs="Arial"/>
        </w:rPr>
      </w:pPr>
      <w:r w:rsidRPr="00212291">
        <w:rPr>
          <w:rFonts w:ascii="Arial" w:hAnsi="Arial" w:cs="Arial"/>
        </w:rPr>
        <w:t xml:space="preserve">Despite these advantages, various implementation issues reduced the application's overall efficacy. One important restriction was </w:t>
      </w:r>
      <w:r w:rsidR="00086774" w:rsidRPr="00212291">
        <w:rPr>
          <w:rFonts w:ascii="Arial" w:hAnsi="Arial" w:cs="Arial"/>
        </w:rPr>
        <w:t>the need to interact with existing NHS systems, as the app's rapid</w:t>
      </w:r>
      <w:r w:rsidRPr="00212291">
        <w:rPr>
          <w:rFonts w:ascii="Arial" w:hAnsi="Arial" w:cs="Arial"/>
        </w:rPr>
        <w:t xml:space="preserve"> deployment during the pandemic caused technological and organisational challenges (Department of Health and Social Care, 2022).</w:t>
      </w:r>
    </w:p>
    <w:p w14:paraId="612C83DE" w14:textId="1CCF689A" w:rsidR="00781528" w:rsidRPr="00212291" w:rsidRDefault="00781528" w:rsidP="00212291">
      <w:pPr>
        <w:spacing w:line="360" w:lineRule="auto"/>
        <w:jc w:val="both"/>
        <w:rPr>
          <w:rFonts w:ascii="Arial" w:hAnsi="Arial" w:cs="Arial"/>
        </w:rPr>
      </w:pPr>
      <w:r w:rsidRPr="00212291">
        <w:rPr>
          <w:rFonts w:ascii="Arial" w:hAnsi="Arial" w:cs="Arial"/>
        </w:rPr>
        <w:t xml:space="preserve">Bluetooth technology was unable to reliably identify all close contacts, occasionally producing false-positive or false-negative exposure notifications. The technical constraints undermined user confidence and occasionally led to unwarranted self-isolation or missed </w:t>
      </w:r>
      <w:r w:rsidR="00086774" w:rsidRPr="00212291">
        <w:rPr>
          <w:rFonts w:ascii="Arial" w:hAnsi="Arial" w:cs="Arial"/>
        </w:rPr>
        <w:t>opportunities for exposure</w:t>
      </w:r>
      <w:r w:rsidRPr="00212291">
        <w:rPr>
          <w:rFonts w:ascii="Arial" w:hAnsi="Arial" w:cs="Arial"/>
        </w:rPr>
        <w:t xml:space="preserve"> (Williams and Armitage, 2022). </w:t>
      </w:r>
      <w:r w:rsidR="00086774" w:rsidRPr="00212291">
        <w:rPr>
          <w:rFonts w:ascii="Arial" w:hAnsi="Arial" w:cs="Arial"/>
        </w:rPr>
        <w:t>The application's development, maintenance, and updates required significant public investment, raising questions about its long-term viability.</w:t>
      </w:r>
    </w:p>
    <w:p w14:paraId="41F9816C" w14:textId="77777777" w:rsidR="00F62934" w:rsidRPr="00212291" w:rsidRDefault="00E01CB9" w:rsidP="00212291">
      <w:pPr>
        <w:spacing w:line="360" w:lineRule="auto"/>
        <w:jc w:val="both"/>
        <w:rPr>
          <w:rFonts w:ascii="Arial" w:hAnsi="Arial" w:cs="Arial"/>
        </w:rPr>
      </w:pPr>
      <w:r w:rsidRPr="00212291">
        <w:rPr>
          <w:rFonts w:ascii="Arial" w:hAnsi="Arial" w:cs="Arial"/>
        </w:rPr>
        <w:t xml:space="preserve">Public acceptance was another issue. Digital contact tracing's epidemiological efficacy depends on widespread adoption, but privacy, data security and government surveillance deterred some from installing or using the program (Exley et al., 2026). </w:t>
      </w:r>
    </w:p>
    <w:p w14:paraId="465CF514" w14:textId="1AB8E36D" w:rsidR="006F7FC2" w:rsidRPr="00212291" w:rsidRDefault="00F62934" w:rsidP="00212291">
      <w:pPr>
        <w:spacing w:line="360" w:lineRule="auto"/>
        <w:jc w:val="both"/>
        <w:rPr>
          <w:rFonts w:ascii="Arial" w:hAnsi="Arial" w:cs="Arial"/>
        </w:rPr>
      </w:pPr>
      <w:r w:rsidRPr="00212291">
        <w:rPr>
          <w:rFonts w:ascii="Arial" w:hAnsi="Arial" w:cs="Arial"/>
        </w:rPr>
        <w:t xml:space="preserve">Despite the app's development utilising a privacy-by-design methodology and adherence to UK GDPR standards (ICO, 2023), public trust continued to be a crucial factor for success. Thus, although the NHS COVID-19 App markedly enhanced the speed and efficacy of contact tracing, its overall effect on service delivery was contingent not only upon technological proficiency but also on public trust, organisational preparedness, and equitable access to digital technologies (Department of Health and Social Care, 2022; </w:t>
      </w:r>
      <w:proofErr w:type="spellStart"/>
      <w:r w:rsidRPr="00212291">
        <w:rPr>
          <w:rFonts w:ascii="Arial" w:hAnsi="Arial" w:cs="Arial"/>
        </w:rPr>
        <w:t>Wymant</w:t>
      </w:r>
      <w:proofErr w:type="spellEnd"/>
      <w:r w:rsidRPr="00212291">
        <w:rPr>
          <w:rFonts w:ascii="Arial" w:hAnsi="Arial" w:cs="Arial"/>
        </w:rPr>
        <w:t xml:space="preserve"> et al., 2021).</w:t>
      </w:r>
    </w:p>
    <w:p w14:paraId="357F4096" w14:textId="13E1A5C0" w:rsidR="00D53FE0" w:rsidRPr="00212291" w:rsidRDefault="00D53FE0" w:rsidP="00212291">
      <w:pPr>
        <w:pStyle w:val="Heading1"/>
        <w:spacing w:line="360" w:lineRule="auto"/>
        <w:jc w:val="both"/>
        <w:rPr>
          <w:rFonts w:ascii="Arial" w:hAnsi="Arial" w:cs="Arial"/>
          <w:sz w:val="22"/>
          <w:szCs w:val="22"/>
        </w:rPr>
      </w:pPr>
      <w:bookmarkStart w:id="3" w:name="_Toc233476380"/>
      <w:r w:rsidRPr="00212291">
        <w:rPr>
          <w:rFonts w:ascii="Arial" w:hAnsi="Arial" w:cs="Arial"/>
          <w:sz w:val="22"/>
          <w:szCs w:val="22"/>
        </w:rPr>
        <w:t>Impact on Patients / Service Users</w:t>
      </w:r>
      <w:bookmarkEnd w:id="3"/>
    </w:p>
    <w:p w14:paraId="3BE08015" w14:textId="41942031" w:rsidR="00D53FE0" w:rsidRPr="00212291" w:rsidRDefault="00475893" w:rsidP="00212291">
      <w:pPr>
        <w:spacing w:line="360" w:lineRule="auto"/>
        <w:jc w:val="both"/>
        <w:rPr>
          <w:rFonts w:ascii="Arial" w:hAnsi="Arial" w:cs="Arial"/>
        </w:rPr>
      </w:pPr>
      <w:r w:rsidRPr="00212291">
        <w:rPr>
          <w:rFonts w:ascii="Arial" w:hAnsi="Arial" w:cs="Arial"/>
        </w:rPr>
        <w:t>The NHS COVID-19 App transformed patient and service user access to public health information during the COVID-19 pandemic by delivering prompt exposure notifications and tailored health guidance (Greenhalgh et al., 2020).</w:t>
      </w:r>
      <w:r w:rsidR="00F72808" w:rsidRPr="00212291">
        <w:rPr>
          <w:rFonts w:ascii="Arial" w:hAnsi="Arial" w:cs="Arial"/>
        </w:rPr>
        <w:t xml:space="preserve"> Instead of only depending on manual contact tracing, users might be notified in real time if they had been in close touch with a confirmed case, allowing for faster self-isolation and testing (</w:t>
      </w:r>
      <w:proofErr w:type="spellStart"/>
      <w:r w:rsidR="00F72808" w:rsidRPr="00212291">
        <w:rPr>
          <w:rFonts w:ascii="Arial" w:hAnsi="Arial" w:cs="Arial"/>
        </w:rPr>
        <w:t>Wymant</w:t>
      </w:r>
      <w:proofErr w:type="spellEnd"/>
      <w:r w:rsidR="00F72808" w:rsidRPr="00212291">
        <w:rPr>
          <w:rFonts w:ascii="Arial" w:hAnsi="Arial" w:cs="Arial"/>
        </w:rPr>
        <w:t xml:space="preserve"> et al., 2021). This quick communication enhanced the availability of health information promptly and facilitated patient-centred treatment by urging people to take the right steps to protect themselves and others (JMIR, 2024).</w:t>
      </w:r>
    </w:p>
    <w:p w14:paraId="67D49AB3" w14:textId="6DEE5A00" w:rsidR="00F72808" w:rsidRPr="00212291" w:rsidRDefault="00347B7B" w:rsidP="00212291">
      <w:pPr>
        <w:spacing w:line="360" w:lineRule="auto"/>
        <w:jc w:val="both"/>
        <w:rPr>
          <w:rFonts w:ascii="Arial" w:hAnsi="Arial" w:cs="Arial"/>
        </w:rPr>
      </w:pPr>
      <w:r w:rsidRPr="00212291">
        <w:rPr>
          <w:rFonts w:ascii="Arial" w:hAnsi="Arial" w:cs="Arial"/>
        </w:rPr>
        <w:t>The application additionally encouraged more patient engagement in the management of personal health. The app facilitated educated decision-making by offering symptom guidance, risk assessments, and self-isolation suggestions in accordance with current public health advisories (Lupton, 2017).</w:t>
      </w:r>
    </w:p>
    <w:p w14:paraId="49B51A09" w14:textId="6CFF4BD9" w:rsidR="00347B7B" w:rsidRPr="00212291" w:rsidRDefault="000946D0" w:rsidP="00212291">
      <w:pPr>
        <w:spacing w:line="360" w:lineRule="auto"/>
        <w:jc w:val="both"/>
        <w:rPr>
          <w:rFonts w:ascii="Arial" w:hAnsi="Arial" w:cs="Arial"/>
        </w:rPr>
      </w:pPr>
      <w:r w:rsidRPr="00212291">
        <w:rPr>
          <w:rFonts w:ascii="Arial" w:hAnsi="Arial" w:cs="Arial"/>
        </w:rPr>
        <w:lastRenderedPageBreak/>
        <w:t>Greenhalgh et al. (2020) contend that digital technology can enhance healthcare delivery by augmenting patient participation and facilitating access to health services. The NHS COVID-19 App similarly diminished the necessity for superfluous interactions with healthcare experts while guaranteeing that consumers obtained precise and current information throughout the pandemic (Department of Health and Social Care, 2022).</w:t>
      </w:r>
    </w:p>
    <w:p w14:paraId="3E043797" w14:textId="556B30D9" w:rsidR="000946D0" w:rsidRPr="00212291" w:rsidRDefault="00172432" w:rsidP="00212291">
      <w:pPr>
        <w:spacing w:line="360" w:lineRule="auto"/>
        <w:jc w:val="both"/>
        <w:rPr>
          <w:rFonts w:ascii="Arial" w:hAnsi="Arial" w:cs="Arial"/>
        </w:rPr>
      </w:pPr>
      <w:r w:rsidRPr="00212291">
        <w:rPr>
          <w:rFonts w:ascii="Arial" w:hAnsi="Arial" w:cs="Arial"/>
        </w:rPr>
        <w:t xml:space="preserve">Despite these benefits, the experiences of patients were not uniform across the community. Digital exclusion continued to be a significant barrier for older folks, people with disabilities and those from lower socioeconomic backgrounds who lacked mobile devices, internet access or basic digital skills (Li, </w:t>
      </w:r>
      <w:proofErr w:type="spellStart"/>
      <w:r w:rsidRPr="00212291">
        <w:rPr>
          <w:rFonts w:ascii="Arial" w:hAnsi="Arial" w:cs="Arial"/>
        </w:rPr>
        <w:t>Taeihagh</w:t>
      </w:r>
      <w:proofErr w:type="spellEnd"/>
      <w:r w:rsidRPr="00212291">
        <w:rPr>
          <w:rFonts w:ascii="Arial" w:hAnsi="Arial" w:cs="Arial"/>
        </w:rPr>
        <w:t xml:space="preserve"> and Tan, 2023).</w:t>
      </w:r>
    </w:p>
    <w:p w14:paraId="3B6D7FCD" w14:textId="4798E1F4" w:rsidR="00172432" w:rsidRPr="00212291" w:rsidRDefault="00B30502" w:rsidP="00212291">
      <w:pPr>
        <w:spacing w:line="360" w:lineRule="auto"/>
        <w:jc w:val="both"/>
        <w:rPr>
          <w:rFonts w:ascii="Arial" w:hAnsi="Arial" w:cs="Arial"/>
        </w:rPr>
      </w:pPr>
      <w:r w:rsidRPr="00212291">
        <w:rPr>
          <w:rFonts w:ascii="Arial" w:hAnsi="Arial" w:cs="Arial"/>
        </w:rPr>
        <w:t>Lupton (2017) contends that digital health advancements may accidentally exacerbate health inequality when marginalised people are unable to properly utilise digital services. Thus, while the NHS COVID-19 App enhanced accessibility for numerous users, its advantages were not equitably spread throughout society.</w:t>
      </w:r>
    </w:p>
    <w:p w14:paraId="4561D1F3" w14:textId="4288D5A9" w:rsidR="00B30502" w:rsidRPr="00212291" w:rsidRDefault="007F4DB1" w:rsidP="00212291">
      <w:pPr>
        <w:spacing w:line="360" w:lineRule="auto"/>
        <w:jc w:val="both"/>
        <w:rPr>
          <w:rFonts w:ascii="Arial" w:hAnsi="Arial" w:cs="Arial"/>
        </w:rPr>
      </w:pPr>
      <w:r w:rsidRPr="00212291">
        <w:rPr>
          <w:rFonts w:ascii="Arial" w:hAnsi="Arial" w:cs="Arial"/>
        </w:rPr>
        <w:t>Privacy and trust were supplementary elements affecting patient adoption of the application. Despite the NHS COVID-19 App being developed with a privacy-by-design methodology and adhering to UK GDPR standards, some users continued to express apprehensions around data security and possible governmental surveillance (ICO, 2023).</w:t>
      </w:r>
    </w:p>
    <w:p w14:paraId="0AA84E0E" w14:textId="37BAAB12" w:rsidR="009F19CA" w:rsidRPr="00212291" w:rsidRDefault="00A00E6A" w:rsidP="00212291">
      <w:pPr>
        <w:spacing w:line="360" w:lineRule="auto"/>
        <w:jc w:val="both"/>
        <w:rPr>
          <w:rFonts w:ascii="Arial" w:hAnsi="Arial" w:cs="Arial"/>
        </w:rPr>
      </w:pPr>
      <w:r w:rsidRPr="00212291">
        <w:rPr>
          <w:rFonts w:ascii="Arial" w:hAnsi="Arial" w:cs="Arial"/>
        </w:rPr>
        <w:t>The UK Parliament Joint Committee on Human Rights (2022) underscored that transparency in data collection and storage is crucial for sustaining public trust in digital contact-tracing technologies. Moreover, Williams and Armitage (2022) discovered that faith in governmental and healthcare institutions substantially affected sentiments about the NHS COVID-19 App and the propensity to utilise it consistently.</w:t>
      </w:r>
    </w:p>
    <w:p w14:paraId="6272DB46" w14:textId="54CE30E0" w:rsidR="00A00E6A" w:rsidRPr="00212291" w:rsidRDefault="0067721B" w:rsidP="00212291">
      <w:pPr>
        <w:spacing w:line="360" w:lineRule="auto"/>
        <w:jc w:val="both"/>
        <w:rPr>
          <w:rFonts w:ascii="Arial" w:hAnsi="Arial" w:cs="Arial"/>
        </w:rPr>
      </w:pPr>
      <w:r w:rsidRPr="00212291">
        <w:rPr>
          <w:rFonts w:ascii="Arial" w:hAnsi="Arial" w:cs="Arial"/>
        </w:rPr>
        <w:t>The NHS COVID-19 App enhanced patient access to prompt health information, facilitated self-management, and promoted increased engagement in public health initiatives (</w:t>
      </w:r>
      <w:proofErr w:type="spellStart"/>
      <w:r w:rsidRPr="00212291">
        <w:rPr>
          <w:rFonts w:ascii="Arial" w:hAnsi="Arial" w:cs="Arial"/>
        </w:rPr>
        <w:t>Wymant</w:t>
      </w:r>
      <w:proofErr w:type="spellEnd"/>
      <w:r w:rsidRPr="00212291">
        <w:rPr>
          <w:rFonts w:ascii="Arial" w:hAnsi="Arial" w:cs="Arial"/>
        </w:rPr>
        <w:t xml:space="preserve"> et al., 2021). Nonetheless, its efficacy was constrained by digital disparities, privacy issues, and differing degrees of public confidence (Li, </w:t>
      </w:r>
      <w:proofErr w:type="spellStart"/>
      <w:r w:rsidRPr="00212291">
        <w:rPr>
          <w:rFonts w:ascii="Arial" w:hAnsi="Arial" w:cs="Arial"/>
        </w:rPr>
        <w:t>Taeihagh</w:t>
      </w:r>
      <w:proofErr w:type="spellEnd"/>
      <w:r w:rsidRPr="00212291">
        <w:rPr>
          <w:rFonts w:ascii="Arial" w:hAnsi="Arial" w:cs="Arial"/>
        </w:rPr>
        <w:t xml:space="preserve"> and Tan, 2023; UK Parliament Joint Committee on Human Rights, 2022).</w:t>
      </w:r>
    </w:p>
    <w:p w14:paraId="0DEF59E9" w14:textId="54D1FF37" w:rsidR="00D53FE0" w:rsidRPr="00212291" w:rsidRDefault="002B4D56" w:rsidP="00212291">
      <w:pPr>
        <w:spacing w:line="360" w:lineRule="auto"/>
        <w:jc w:val="both"/>
        <w:rPr>
          <w:rFonts w:ascii="Arial" w:hAnsi="Arial" w:cs="Arial"/>
        </w:rPr>
      </w:pPr>
      <w:r w:rsidRPr="00212291">
        <w:rPr>
          <w:rFonts w:ascii="Arial" w:hAnsi="Arial" w:cs="Arial"/>
        </w:rPr>
        <w:t>The findings indicate that effective digital transformation necessitates both innovative technology and inclusive implementation strategies that enhance digital literacy, guarantee equitable access, and sustain public trust in digital healthcare services (Department of Health and Social Care, 2022).</w:t>
      </w:r>
    </w:p>
    <w:p w14:paraId="1CC697A8" w14:textId="0CAD272C" w:rsidR="00D53FE0" w:rsidRPr="00212291" w:rsidRDefault="00516B6D" w:rsidP="00212291">
      <w:pPr>
        <w:pStyle w:val="Heading1"/>
        <w:spacing w:line="360" w:lineRule="auto"/>
        <w:jc w:val="both"/>
        <w:rPr>
          <w:rFonts w:ascii="Arial" w:hAnsi="Arial" w:cs="Arial"/>
          <w:sz w:val="22"/>
          <w:szCs w:val="22"/>
        </w:rPr>
      </w:pPr>
      <w:bookmarkStart w:id="4" w:name="_Toc233476381"/>
      <w:r w:rsidRPr="00212291">
        <w:rPr>
          <w:rFonts w:ascii="Arial" w:hAnsi="Arial" w:cs="Arial"/>
          <w:sz w:val="22"/>
          <w:szCs w:val="22"/>
        </w:rPr>
        <w:lastRenderedPageBreak/>
        <w:t>Impact on Communities</w:t>
      </w:r>
      <w:bookmarkEnd w:id="4"/>
      <w:r w:rsidRPr="00212291">
        <w:rPr>
          <w:rFonts w:ascii="Arial" w:hAnsi="Arial" w:cs="Arial"/>
          <w:sz w:val="22"/>
          <w:szCs w:val="22"/>
        </w:rPr>
        <w:t xml:space="preserve"> </w:t>
      </w:r>
    </w:p>
    <w:p w14:paraId="4C7E32D2" w14:textId="4D6F0AF2" w:rsidR="00945F4F" w:rsidRPr="00212291" w:rsidRDefault="00432282" w:rsidP="00212291">
      <w:pPr>
        <w:spacing w:line="360" w:lineRule="auto"/>
        <w:jc w:val="both"/>
        <w:rPr>
          <w:rFonts w:ascii="Arial" w:hAnsi="Arial" w:cs="Arial"/>
        </w:rPr>
      </w:pPr>
      <w:r w:rsidRPr="00212291">
        <w:rPr>
          <w:rFonts w:ascii="Arial" w:hAnsi="Arial" w:cs="Arial"/>
        </w:rPr>
        <w:t>The NHS COVID-19 App significantly influenced communities by aiding public health initiatives to mitigate the transmission of COVID-19. The app facilitated prompt self-isolation through swift exposure notifications and digital contact tracing, thus interrupting transmission chains and safeguarding at-risk people (</w:t>
      </w:r>
      <w:proofErr w:type="spellStart"/>
      <w:r w:rsidRPr="00212291">
        <w:rPr>
          <w:rFonts w:ascii="Arial" w:hAnsi="Arial" w:cs="Arial"/>
        </w:rPr>
        <w:t>Wymant</w:t>
      </w:r>
      <w:proofErr w:type="spellEnd"/>
      <w:r w:rsidRPr="00212291">
        <w:rPr>
          <w:rFonts w:ascii="Arial" w:hAnsi="Arial" w:cs="Arial"/>
        </w:rPr>
        <w:t xml:space="preserve"> et al., 2021).</w:t>
      </w:r>
    </w:p>
    <w:p w14:paraId="03F6F43F" w14:textId="09F92FC6" w:rsidR="00432282" w:rsidRPr="00212291" w:rsidRDefault="00CB0F9F" w:rsidP="00212291">
      <w:pPr>
        <w:spacing w:line="360" w:lineRule="auto"/>
        <w:jc w:val="both"/>
        <w:rPr>
          <w:rFonts w:ascii="Arial" w:hAnsi="Arial" w:cs="Arial"/>
        </w:rPr>
      </w:pPr>
      <w:r w:rsidRPr="00212291">
        <w:rPr>
          <w:rFonts w:ascii="Arial" w:hAnsi="Arial" w:cs="Arial"/>
        </w:rPr>
        <w:t>The technology enhanced traditional contact-tracing approaches, aiding community-level disease management and fortifying the UK's public health response during the pandemic (Whitelaw et al., 2020). The Department of Health and Social Care (2022) acknowledges that digital technologies are crucial for enhancing public health and developing more robust health and social care services.</w:t>
      </w:r>
    </w:p>
    <w:p w14:paraId="60053243" w14:textId="005A1343" w:rsidR="00D05648" w:rsidRPr="00212291" w:rsidRDefault="004723B5" w:rsidP="00212291">
      <w:pPr>
        <w:spacing w:line="360" w:lineRule="auto"/>
        <w:jc w:val="both"/>
        <w:rPr>
          <w:rFonts w:ascii="Arial" w:hAnsi="Arial" w:cs="Arial"/>
        </w:rPr>
      </w:pPr>
      <w:r w:rsidRPr="00212291">
        <w:rPr>
          <w:rFonts w:ascii="Arial" w:hAnsi="Arial" w:cs="Arial"/>
        </w:rPr>
        <w:t>The program additionally helped communities by enhancing public awareness of COVID-19 hazards and promoting community accountability. Users were provided with notifications, public health information and recommendations regarding testing and self-isolation, thereby encouraging behaviours that mitigated community transmission (Ferretti et al., 2020).</w:t>
      </w:r>
    </w:p>
    <w:p w14:paraId="45931F3B" w14:textId="5539E1CB" w:rsidR="004723B5" w:rsidRPr="00212291" w:rsidRDefault="00436C5F" w:rsidP="00212291">
      <w:pPr>
        <w:spacing w:line="360" w:lineRule="auto"/>
        <w:jc w:val="both"/>
        <w:rPr>
          <w:rFonts w:ascii="Arial" w:hAnsi="Arial" w:cs="Arial"/>
        </w:rPr>
      </w:pPr>
      <w:r w:rsidRPr="00212291">
        <w:rPr>
          <w:rFonts w:ascii="Arial" w:hAnsi="Arial" w:cs="Arial"/>
        </w:rPr>
        <w:t>This digital communication facilitated the rapid and consistent transmission of public health information to extensive audiences, hence minimising delays inherent in conventional communication methods (Greenhalgh et al., 2020). The NHS COVID-19 App exemplified the capacity of digital technologies to enhance community involvement and facilitate collaborative strategies for disease prevention (Lupton, 2017).</w:t>
      </w:r>
    </w:p>
    <w:p w14:paraId="6D8DA4CC" w14:textId="1F8B42A9" w:rsidR="00436C5F" w:rsidRPr="00212291" w:rsidRDefault="00695409" w:rsidP="00212291">
      <w:pPr>
        <w:spacing w:line="360" w:lineRule="auto"/>
        <w:jc w:val="both"/>
        <w:rPr>
          <w:rFonts w:ascii="Arial" w:hAnsi="Arial" w:cs="Arial"/>
        </w:rPr>
      </w:pPr>
      <w:r w:rsidRPr="00212291">
        <w:rPr>
          <w:rFonts w:ascii="Arial" w:hAnsi="Arial" w:cs="Arial"/>
        </w:rPr>
        <w:t xml:space="preserve">Notwithstanding these advantages the effects of the NHS COVID-19 App were not uniformly felt across all communities. Digital exclusion persisted as a significant issue, especially in rural regions and among socially disadvantaged groups, characterised by lower rates of smartphone ownership, internet access, and digital literacy (Li, </w:t>
      </w:r>
      <w:proofErr w:type="spellStart"/>
      <w:r w:rsidRPr="00212291">
        <w:rPr>
          <w:rFonts w:ascii="Arial" w:hAnsi="Arial" w:cs="Arial"/>
        </w:rPr>
        <w:t>Taeihagh</w:t>
      </w:r>
      <w:proofErr w:type="spellEnd"/>
      <w:r w:rsidRPr="00212291">
        <w:rPr>
          <w:rFonts w:ascii="Arial" w:hAnsi="Arial" w:cs="Arial"/>
        </w:rPr>
        <w:t xml:space="preserve"> and Tan, 2023).</w:t>
      </w:r>
    </w:p>
    <w:p w14:paraId="5DB41B7F" w14:textId="2678FE8B" w:rsidR="00011A65" w:rsidRPr="00212291" w:rsidRDefault="00A62753" w:rsidP="00212291">
      <w:pPr>
        <w:spacing w:line="360" w:lineRule="auto"/>
        <w:jc w:val="both"/>
        <w:rPr>
          <w:rFonts w:ascii="Arial" w:hAnsi="Arial" w:cs="Arial"/>
        </w:rPr>
      </w:pPr>
      <w:r w:rsidRPr="00212291">
        <w:rPr>
          <w:rFonts w:ascii="Arial" w:hAnsi="Arial" w:cs="Arial"/>
        </w:rPr>
        <w:t>Given these gaps, digital contact tracing was less successful for those who could not access it or use it confidently</w:t>
      </w:r>
      <w:r w:rsidR="00805A55" w:rsidRPr="00212291">
        <w:rPr>
          <w:rFonts w:ascii="Arial" w:hAnsi="Arial" w:cs="Arial"/>
        </w:rPr>
        <w:t>. Public support for the application varied by demographic and social variables, according to Exley et al. (2026), showing that digital inclusion hurdles needed to be addressed for successful adoption.</w:t>
      </w:r>
    </w:p>
    <w:p w14:paraId="4D48A8DB" w14:textId="047D7B24" w:rsidR="00336DB8" w:rsidRPr="00212291" w:rsidRDefault="00B0729B" w:rsidP="00212291">
      <w:pPr>
        <w:spacing w:line="360" w:lineRule="auto"/>
        <w:jc w:val="both"/>
        <w:rPr>
          <w:rFonts w:ascii="Arial" w:hAnsi="Arial" w:cs="Arial"/>
        </w:rPr>
      </w:pPr>
      <w:r w:rsidRPr="00212291">
        <w:rPr>
          <w:rFonts w:ascii="Arial" w:hAnsi="Arial" w:cs="Arial"/>
        </w:rPr>
        <w:t>A critical concern was preserving public trust while safeguarding individual rights. Despite the NHS COVID-19 App's design to adhere to UK GDPR and its implementation of robust privacy protections, apprehensions about surveillance and personal data utilisation affected community adoption (ICO, 2023). The UK Parliament Joint Committee on Human Rights (2022) underscored that digital public health interventions must reconcile illness prevention with the preservation of privacy and individual liberties.</w:t>
      </w:r>
    </w:p>
    <w:p w14:paraId="016681D3" w14:textId="3D6B2B3A" w:rsidR="0047643F" w:rsidRPr="00212291" w:rsidRDefault="006E4319" w:rsidP="00212291">
      <w:pPr>
        <w:spacing w:line="360" w:lineRule="auto"/>
        <w:jc w:val="both"/>
        <w:rPr>
          <w:rFonts w:ascii="Arial" w:hAnsi="Arial" w:cs="Arial"/>
        </w:rPr>
      </w:pPr>
      <w:r w:rsidRPr="00212291">
        <w:rPr>
          <w:rFonts w:ascii="Arial" w:hAnsi="Arial" w:cs="Arial"/>
        </w:rPr>
        <w:lastRenderedPageBreak/>
        <w:t>Consequently, although the NHS COVID-19 App significantly contributed to mitigating COVID-19 transmission and enhancing community health, its enduring efficacy relied on equitable access, transparent administration, and continued public trust. The findings indicate that successful digital transformation necessitates both technology innovation and policies that foster inclusiveness, trust, and community participation (Department of Health and Social Care, 2022).</w:t>
      </w:r>
    </w:p>
    <w:p w14:paraId="11CE10A9" w14:textId="5C7FE83E" w:rsidR="0047643F" w:rsidRPr="00212291" w:rsidRDefault="0039315C" w:rsidP="00212291">
      <w:pPr>
        <w:pStyle w:val="Heading1"/>
        <w:spacing w:line="360" w:lineRule="auto"/>
        <w:jc w:val="both"/>
        <w:rPr>
          <w:rFonts w:ascii="Arial" w:hAnsi="Arial" w:cs="Arial"/>
          <w:sz w:val="22"/>
          <w:szCs w:val="22"/>
        </w:rPr>
      </w:pPr>
      <w:bookmarkStart w:id="5" w:name="_Toc233476382"/>
      <w:r w:rsidRPr="00212291">
        <w:rPr>
          <w:rFonts w:ascii="Arial" w:hAnsi="Arial" w:cs="Arial"/>
          <w:sz w:val="22"/>
          <w:szCs w:val="22"/>
        </w:rPr>
        <w:t>Recommendations</w:t>
      </w:r>
      <w:r w:rsidR="002A1A71" w:rsidRPr="00212291">
        <w:rPr>
          <w:rFonts w:ascii="Arial" w:hAnsi="Arial" w:cs="Arial"/>
          <w:sz w:val="22"/>
          <w:szCs w:val="22"/>
        </w:rPr>
        <w:t xml:space="preserve"> and</w:t>
      </w:r>
      <w:r w:rsidRPr="00212291">
        <w:rPr>
          <w:rFonts w:ascii="Arial" w:hAnsi="Arial" w:cs="Arial"/>
          <w:sz w:val="22"/>
          <w:szCs w:val="22"/>
        </w:rPr>
        <w:t xml:space="preserve"> </w:t>
      </w:r>
      <w:r w:rsidR="002A1A71" w:rsidRPr="00212291">
        <w:rPr>
          <w:rFonts w:ascii="Arial" w:hAnsi="Arial" w:cs="Arial"/>
          <w:sz w:val="22"/>
          <w:szCs w:val="22"/>
        </w:rPr>
        <w:t>Conclusion</w:t>
      </w:r>
      <w:bookmarkEnd w:id="5"/>
    </w:p>
    <w:p w14:paraId="48E3DD1D" w14:textId="68A67574" w:rsidR="002A1A71" w:rsidRPr="00212291" w:rsidRDefault="002A1A71" w:rsidP="00212291">
      <w:pPr>
        <w:pStyle w:val="Heading2"/>
        <w:spacing w:line="360" w:lineRule="auto"/>
        <w:jc w:val="both"/>
        <w:rPr>
          <w:rFonts w:ascii="Arial" w:hAnsi="Arial" w:cs="Arial"/>
          <w:sz w:val="22"/>
          <w:szCs w:val="22"/>
        </w:rPr>
      </w:pPr>
      <w:bookmarkStart w:id="6" w:name="_Toc233476383"/>
      <w:r w:rsidRPr="00212291">
        <w:rPr>
          <w:rFonts w:ascii="Arial" w:hAnsi="Arial" w:cs="Arial"/>
          <w:sz w:val="22"/>
          <w:szCs w:val="22"/>
        </w:rPr>
        <w:t>Recommendations</w:t>
      </w:r>
      <w:bookmarkEnd w:id="6"/>
    </w:p>
    <w:p w14:paraId="4E869DE3" w14:textId="6B3EB551" w:rsidR="002A1A71" w:rsidRPr="00212291" w:rsidRDefault="00D96587" w:rsidP="00212291">
      <w:pPr>
        <w:spacing w:line="360" w:lineRule="auto"/>
        <w:jc w:val="both"/>
        <w:rPr>
          <w:rFonts w:ascii="Arial" w:hAnsi="Arial" w:cs="Arial"/>
        </w:rPr>
      </w:pPr>
      <w:r w:rsidRPr="00212291">
        <w:rPr>
          <w:rFonts w:ascii="Arial" w:hAnsi="Arial" w:cs="Arial"/>
        </w:rPr>
        <w:t xml:space="preserve">Increased investment in digital inclusion initiatives is necessary to ensure equitable access to digital healthcare services for vulnerable populations, hence enhancing the efficacy of forthcoming digital public health technologies (Department of Health and Social Care, 2022). </w:t>
      </w:r>
      <w:r w:rsidR="0018658C" w:rsidRPr="00212291">
        <w:rPr>
          <w:rFonts w:ascii="Arial" w:hAnsi="Arial" w:cs="Arial"/>
        </w:rPr>
        <w:t>Public trust must be reinforced through transparent information regarding data protection and ongoing adherence to UK GDPR mandates (ICO, 2023). Ultimately, forthcoming digital advances must be seamlessly incorporated into current NHS systems and underpinned by ongoing assessment to enhance technical efficacy, user satisfaction, and long-term viability (Whitelaw et al., 2020).</w:t>
      </w:r>
    </w:p>
    <w:p w14:paraId="28CAC2B4" w14:textId="3638AE3F" w:rsidR="0047643F" w:rsidRPr="00212291" w:rsidRDefault="002A1A71" w:rsidP="00212291">
      <w:pPr>
        <w:pStyle w:val="Heading2"/>
        <w:spacing w:line="360" w:lineRule="auto"/>
        <w:jc w:val="both"/>
        <w:rPr>
          <w:rFonts w:ascii="Arial" w:hAnsi="Arial" w:cs="Arial"/>
          <w:sz w:val="22"/>
          <w:szCs w:val="22"/>
        </w:rPr>
      </w:pPr>
      <w:bookmarkStart w:id="7" w:name="_Toc233476384"/>
      <w:r w:rsidRPr="00212291">
        <w:rPr>
          <w:rFonts w:ascii="Arial" w:hAnsi="Arial" w:cs="Arial"/>
          <w:sz w:val="22"/>
          <w:szCs w:val="22"/>
        </w:rPr>
        <w:t>Conclusion</w:t>
      </w:r>
      <w:bookmarkEnd w:id="7"/>
    </w:p>
    <w:p w14:paraId="7F8A41D9" w14:textId="210F938C" w:rsidR="002A1A71" w:rsidRPr="00212291" w:rsidRDefault="00202982" w:rsidP="00212291">
      <w:pPr>
        <w:spacing w:line="360" w:lineRule="auto"/>
        <w:jc w:val="both"/>
        <w:rPr>
          <w:rFonts w:ascii="Arial" w:hAnsi="Arial" w:cs="Arial"/>
        </w:rPr>
      </w:pPr>
      <w:r w:rsidRPr="00212291">
        <w:rPr>
          <w:rFonts w:ascii="Arial" w:hAnsi="Arial" w:cs="Arial"/>
        </w:rPr>
        <w:t>The NHS COVID-19 App constituted a notable digital advancement in UK health and social care throughout the COVID-19 pandemic. It enhanced service delivery by expediting contact tracking, facilitated patient support through swift access to public health information, and aided in diminishing community transmission.</w:t>
      </w:r>
    </w:p>
    <w:p w14:paraId="6FC8FB17" w14:textId="59DE88E4" w:rsidR="00AD64C7" w:rsidRPr="00212291" w:rsidRDefault="00AD64C7" w:rsidP="00212291">
      <w:pPr>
        <w:spacing w:line="360" w:lineRule="auto"/>
        <w:jc w:val="both"/>
        <w:rPr>
          <w:rFonts w:ascii="Arial" w:hAnsi="Arial" w:cs="Arial"/>
        </w:rPr>
      </w:pPr>
      <w:r w:rsidRPr="00212291">
        <w:rPr>
          <w:rFonts w:ascii="Arial" w:hAnsi="Arial" w:cs="Arial"/>
        </w:rPr>
        <w:t>However, its implementation revealed significant problems, such as digital exclusion, technical constraints and issues related to privacy and public trust. The findings indicate that although digital technologies provide significant potential to enhance healthcare systems, their efficacy is contingent upon successful deployment, equitable access, and ongoing public engagement.</w:t>
      </w:r>
      <w:r w:rsidR="00A9580E" w:rsidRPr="00212291">
        <w:rPr>
          <w:rFonts w:ascii="Arial" w:hAnsi="Arial" w:cs="Arial"/>
        </w:rPr>
        <w:t xml:space="preserve"> The NHS COVID-19 App exemplifies the opportunities and problems inherent in digital transformation within contemporary health and social care.</w:t>
      </w:r>
    </w:p>
    <w:p w14:paraId="4C9F77FE" w14:textId="77777777" w:rsidR="00A9580E" w:rsidRPr="00212291" w:rsidRDefault="00A9580E" w:rsidP="00212291">
      <w:pPr>
        <w:spacing w:line="360" w:lineRule="auto"/>
        <w:jc w:val="both"/>
        <w:rPr>
          <w:rFonts w:ascii="Arial" w:hAnsi="Arial" w:cs="Arial"/>
        </w:rPr>
      </w:pPr>
    </w:p>
    <w:p w14:paraId="3A16474B" w14:textId="77777777" w:rsidR="00A9580E" w:rsidRPr="00212291" w:rsidRDefault="00A9580E" w:rsidP="00212291">
      <w:pPr>
        <w:spacing w:line="360" w:lineRule="auto"/>
        <w:jc w:val="both"/>
        <w:rPr>
          <w:rFonts w:ascii="Arial" w:hAnsi="Arial" w:cs="Arial"/>
        </w:rPr>
      </w:pPr>
    </w:p>
    <w:p w14:paraId="4A52A9CF" w14:textId="77777777" w:rsidR="00A9580E" w:rsidRPr="00212291" w:rsidRDefault="00A9580E" w:rsidP="00212291">
      <w:pPr>
        <w:spacing w:line="360" w:lineRule="auto"/>
        <w:jc w:val="both"/>
        <w:rPr>
          <w:rFonts w:ascii="Arial" w:hAnsi="Arial" w:cs="Arial"/>
        </w:rPr>
      </w:pPr>
    </w:p>
    <w:p w14:paraId="637944C1" w14:textId="77777777" w:rsidR="00A9580E" w:rsidRPr="00212291" w:rsidRDefault="00A9580E" w:rsidP="00212291">
      <w:pPr>
        <w:spacing w:line="360" w:lineRule="auto"/>
        <w:jc w:val="both"/>
        <w:rPr>
          <w:rFonts w:ascii="Arial" w:hAnsi="Arial" w:cs="Arial"/>
        </w:rPr>
      </w:pPr>
    </w:p>
    <w:p w14:paraId="56463962" w14:textId="03CC4A8D" w:rsidR="0047643F" w:rsidRPr="00212291" w:rsidRDefault="0047643F" w:rsidP="00212291">
      <w:pPr>
        <w:pStyle w:val="Heading1"/>
        <w:spacing w:line="360" w:lineRule="auto"/>
        <w:jc w:val="both"/>
        <w:rPr>
          <w:rFonts w:ascii="Arial" w:hAnsi="Arial" w:cs="Arial"/>
          <w:sz w:val="22"/>
          <w:szCs w:val="22"/>
        </w:rPr>
      </w:pPr>
      <w:bookmarkStart w:id="8" w:name="_Toc233476385"/>
      <w:r w:rsidRPr="00212291">
        <w:rPr>
          <w:rFonts w:ascii="Arial" w:hAnsi="Arial" w:cs="Arial"/>
          <w:sz w:val="22"/>
          <w:szCs w:val="22"/>
        </w:rPr>
        <w:lastRenderedPageBreak/>
        <w:t>References</w:t>
      </w:r>
      <w:r w:rsidR="00BB162B" w:rsidRPr="00212291">
        <w:rPr>
          <w:rFonts w:ascii="Arial" w:hAnsi="Arial" w:cs="Arial"/>
          <w:sz w:val="22"/>
          <w:szCs w:val="22"/>
        </w:rPr>
        <w:t xml:space="preserve"> List</w:t>
      </w:r>
      <w:bookmarkEnd w:id="8"/>
    </w:p>
    <w:p w14:paraId="2154FF66" w14:textId="77ED682D" w:rsidR="00D70003" w:rsidRPr="00212291" w:rsidRDefault="00D70003" w:rsidP="00212291">
      <w:pPr>
        <w:pStyle w:val="ListParagraph"/>
        <w:numPr>
          <w:ilvl w:val="0"/>
          <w:numId w:val="2"/>
        </w:numPr>
        <w:spacing w:line="360" w:lineRule="auto"/>
        <w:jc w:val="both"/>
        <w:rPr>
          <w:rFonts w:ascii="Arial" w:hAnsi="Arial" w:cs="Arial"/>
        </w:rPr>
      </w:pPr>
      <w:r w:rsidRPr="00212291">
        <w:rPr>
          <w:rFonts w:ascii="Arial" w:hAnsi="Arial" w:cs="Arial"/>
        </w:rPr>
        <w:t>Department of Health and Social Care (2022). </w:t>
      </w:r>
      <w:r w:rsidRPr="00212291">
        <w:rPr>
          <w:rFonts w:ascii="Arial" w:hAnsi="Arial" w:cs="Arial"/>
          <w:i/>
          <w:iCs/>
        </w:rPr>
        <w:t>A Plan for Digital Health and Social Care</w:t>
      </w:r>
      <w:r w:rsidRPr="00212291">
        <w:rPr>
          <w:rFonts w:ascii="Arial" w:hAnsi="Arial" w:cs="Arial"/>
        </w:rPr>
        <w:t xml:space="preserve">. [online] GOV.UK. Available at: </w:t>
      </w:r>
      <w:hyperlink r:id="rId5" w:history="1">
        <w:r w:rsidRPr="00212291">
          <w:rPr>
            <w:rStyle w:val="Hyperlink"/>
            <w:rFonts w:ascii="Arial" w:hAnsi="Arial" w:cs="Arial"/>
          </w:rPr>
          <w:t>https://www.gov.uk/government/publications/a-plan-for-digital-health-and-social-care/a-plan-for-digital-health-and-social-care</w:t>
        </w:r>
      </w:hyperlink>
      <w:r w:rsidRPr="00212291">
        <w:rPr>
          <w:rFonts w:ascii="Arial" w:hAnsi="Arial" w:cs="Arial"/>
        </w:rPr>
        <w:t xml:space="preserve"> (Accessed on 11 June 2026).</w:t>
      </w:r>
    </w:p>
    <w:p w14:paraId="2BCF93A7" w14:textId="1C270E1C" w:rsidR="00AC300E" w:rsidRPr="00212291" w:rsidRDefault="00AC300E" w:rsidP="00212291">
      <w:pPr>
        <w:pStyle w:val="ListParagraph"/>
        <w:numPr>
          <w:ilvl w:val="0"/>
          <w:numId w:val="2"/>
        </w:numPr>
        <w:spacing w:line="360" w:lineRule="auto"/>
        <w:jc w:val="both"/>
        <w:rPr>
          <w:rFonts w:ascii="Arial" w:hAnsi="Arial" w:cs="Arial"/>
        </w:rPr>
      </w:pPr>
      <w:r w:rsidRPr="00212291">
        <w:rPr>
          <w:rFonts w:ascii="Arial" w:hAnsi="Arial" w:cs="Arial"/>
        </w:rPr>
        <w:t xml:space="preserve">Exley, J., Boadu, P., </w:t>
      </w:r>
      <w:proofErr w:type="spellStart"/>
      <w:r w:rsidRPr="00212291">
        <w:rPr>
          <w:rFonts w:ascii="Arial" w:hAnsi="Arial" w:cs="Arial"/>
        </w:rPr>
        <w:t>Allel</w:t>
      </w:r>
      <w:proofErr w:type="spellEnd"/>
      <w:r w:rsidRPr="00212291">
        <w:rPr>
          <w:rFonts w:ascii="Arial" w:hAnsi="Arial" w:cs="Arial"/>
        </w:rPr>
        <w:t>, K., Erens, B., Mays, N. &amp; Al</w:t>
      </w:r>
      <w:r w:rsidRPr="00212291">
        <w:rPr>
          <w:rFonts w:ascii="Arial" w:hAnsi="Arial" w:cs="Arial"/>
        </w:rPr>
        <w:noBreakHyphen/>
      </w:r>
      <w:proofErr w:type="spellStart"/>
      <w:r w:rsidRPr="00212291">
        <w:rPr>
          <w:rFonts w:ascii="Arial" w:hAnsi="Arial" w:cs="Arial"/>
        </w:rPr>
        <w:t>Haboubi</w:t>
      </w:r>
      <w:proofErr w:type="spellEnd"/>
      <w:r w:rsidRPr="00212291">
        <w:rPr>
          <w:rFonts w:ascii="Arial" w:hAnsi="Arial" w:cs="Arial"/>
        </w:rPr>
        <w:t xml:space="preserve">, M. (2026). </w:t>
      </w:r>
      <w:r w:rsidRPr="00212291">
        <w:rPr>
          <w:rFonts w:ascii="Arial" w:hAnsi="Arial" w:cs="Arial"/>
          <w:i/>
          <w:iCs/>
        </w:rPr>
        <w:t>Characteristics influencing support for the National Health Service COVID</w:t>
      </w:r>
      <w:r w:rsidRPr="00212291">
        <w:rPr>
          <w:rFonts w:ascii="Arial" w:hAnsi="Arial" w:cs="Arial"/>
          <w:i/>
          <w:iCs/>
        </w:rPr>
        <w:noBreakHyphen/>
        <w:t>19 app in England and Wales: Findings from a longitudinal survey</w:t>
      </w:r>
      <w:r w:rsidRPr="00212291">
        <w:rPr>
          <w:rFonts w:ascii="Arial" w:hAnsi="Arial" w:cs="Arial"/>
        </w:rPr>
        <w:t xml:space="preserve">. </w:t>
      </w:r>
      <w:r w:rsidRPr="00212291">
        <w:rPr>
          <w:rFonts w:ascii="Arial" w:hAnsi="Arial" w:cs="Arial"/>
          <w:i/>
          <w:iCs/>
        </w:rPr>
        <w:t>Journal of Medical Internet Research</w:t>
      </w:r>
      <w:r w:rsidRPr="00212291">
        <w:rPr>
          <w:rFonts w:ascii="Arial" w:hAnsi="Arial" w:cs="Arial"/>
        </w:rPr>
        <w:t xml:space="preserve">, 28(1), e76863. Available at: </w:t>
      </w:r>
      <w:hyperlink r:id="rId6" w:history="1">
        <w:r w:rsidRPr="00212291">
          <w:rPr>
            <w:rStyle w:val="Hyperlink"/>
            <w:rFonts w:ascii="Arial" w:hAnsi="Arial" w:cs="Arial"/>
          </w:rPr>
          <w:t>https://www.jmir.org/2026/1/e76863</w:t>
        </w:r>
      </w:hyperlink>
      <w:r w:rsidRPr="00212291">
        <w:rPr>
          <w:rFonts w:ascii="Arial" w:hAnsi="Arial" w:cs="Arial"/>
        </w:rPr>
        <w:t xml:space="preserve"> (Accessed on 11 June 2026).</w:t>
      </w:r>
    </w:p>
    <w:p w14:paraId="36AEF5F6" w14:textId="76DF23E2" w:rsidR="00661265" w:rsidRPr="00212291" w:rsidRDefault="00661265" w:rsidP="00212291">
      <w:pPr>
        <w:pStyle w:val="ListParagraph"/>
        <w:numPr>
          <w:ilvl w:val="0"/>
          <w:numId w:val="2"/>
        </w:numPr>
        <w:spacing w:line="360" w:lineRule="auto"/>
        <w:jc w:val="both"/>
        <w:rPr>
          <w:rFonts w:ascii="Arial" w:hAnsi="Arial" w:cs="Arial"/>
        </w:rPr>
      </w:pPr>
      <w:r w:rsidRPr="00212291">
        <w:rPr>
          <w:rFonts w:ascii="Arial" w:hAnsi="Arial" w:cs="Arial"/>
        </w:rPr>
        <w:t xml:space="preserve">Ferretti, L., </w:t>
      </w:r>
      <w:proofErr w:type="spellStart"/>
      <w:r w:rsidRPr="00212291">
        <w:rPr>
          <w:rFonts w:ascii="Arial" w:hAnsi="Arial" w:cs="Arial"/>
        </w:rPr>
        <w:t>Wymant</w:t>
      </w:r>
      <w:proofErr w:type="spellEnd"/>
      <w:r w:rsidRPr="00212291">
        <w:rPr>
          <w:rFonts w:ascii="Arial" w:hAnsi="Arial" w:cs="Arial"/>
        </w:rPr>
        <w:t xml:space="preserve">, C., Kendall, M., Zhao, L., </w:t>
      </w:r>
      <w:proofErr w:type="spellStart"/>
      <w:r w:rsidRPr="00212291">
        <w:rPr>
          <w:rFonts w:ascii="Arial" w:hAnsi="Arial" w:cs="Arial"/>
        </w:rPr>
        <w:t>Nurtay</w:t>
      </w:r>
      <w:proofErr w:type="spellEnd"/>
      <w:r w:rsidRPr="00212291">
        <w:rPr>
          <w:rFonts w:ascii="Arial" w:hAnsi="Arial" w:cs="Arial"/>
        </w:rPr>
        <w:t xml:space="preserve">, A., </w:t>
      </w:r>
      <w:proofErr w:type="spellStart"/>
      <w:r w:rsidRPr="00212291">
        <w:rPr>
          <w:rFonts w:ascii="Arial" w:hAnsi="Arial" w:cs="Arial"/>
        </w:rPr>
        <w:t>Abeler-Dörner</w:t>
      </w:r>
      <w:proofErr w:type="spellEnd"/>
      <w:r w:rsidRPr="00212291">
        <w:rPr>
          <w:rFonts w:ascii="Arial" w:hAnsi="Arial" w:cs="Arial"/>
        </w:rPr>
        <w:t>, L., Parker, M., Bonsall, D. and Fraser, C. (2020). Quantifying SARS-CoV-2 transmission suggests epidemic control with digital contact tracing. </w:t>
      </w:r>
      <w:r w:rsidRPr="00212291">
        <w:rPr>
          <w:rFonts w:ascii="Arial" w:hAnsi="Arial" w:cs="Arial"/>
          <w:i/>
          <w:iCs/>
        </w:rPr>
        <w:t>Science</w:t>
      </w:r>
      <w:r w:rsidRPr="00212291">
        <w:rPr>
          <w:rFonts w:ascii="Arial" w:hAnsi="Arial" w:cs="Arial"/>
        </w:rPr>
        <w:t xml:space="preserve">, [online] 368(6491). </w:t>
      </w:r>
      <w:proofErr w:type="spellStart"/>
      <w:r w:rsidRPr="00212291">
        <w:rPr>
          <w:rFonts w:ascii="Arial" w:hAnsi="Arial" w:cs="Arial"/>
        </w:rPr>
        <w:t>doi</w:t>
      </w:r>
      <w:proofErr w:type="spellEnd"/>
      <w:r w:rsidRPr="00212291">
        <w:rPr>
          <w:rFonts w:ascii="Arial" w:hAnsi="Arial" w:cs="Arial"/>
        </w:rPr>
        <w:t xml:space="preserve">: </w:t>
      </w:r>
      <w:hyperlink r:id="rId7" w:history="1">
        <w:r w:rsidRPr="00212291">
          <w:rPr>
            <w:rStyle w:val="Hyperlink"/>
            <w:rFonts w:ascii="Arial" w:hAnsi="Arial" w:cs="Arial"/>
          </w:rPr>
          <w:t>https://doi.org/10.1126/science.abb6936</w:t>
        </w:r>
      </w:hyperlink>
      <w:r w:rsidRPr="00212291">
        <w:rPr>
          <w:rFonts w:ascii="Arial" w:hAnsi="Arial" w:cs="Arial"/>
        </w:rPr>
        <w:t xml:space="preserve"> (Accessed on 11 June 2026).</w:t>
      </w:r>
    </w:p>
    <w:p w14:paraId="07A961AD" w14:textId="147A8CA3" w:rsidR="00B5116E" w:rsidRPr="00212291" w:rsidRDefault="00B5116E" w:rsidP="00212291">
      <w:pPr>
        <w:pStyle w:val="NormalWeb"/>
        <w:numPr>
          <w:ilvl w:val="0"/>
          <w:numId w:val="2"/>
        </w:numPr>
        <w:spacing w:before="0" w:beforeAutospacing="0" w:after="0" w:afterAutospacing="0" w:line="360" w:lineRule="auto"/>
        <w:jc w:val="both"/>
        <w:rPr>
          <w:rFonts w:ascii="Arial" w:hAnsi="Arial" w:cs="Arial"/>
          <w:color w:val="000000"/>
          <w:sz w:val="22"/>
          <w:szCs w:val="22"/>
        </w:rPr>
      </w:pPr>
      <w:r w:rsidRPr="00212291">
        <w:rPr>
          <w:rFonts w:ascii="Arial" w:hAnsi="Arial" w:cs="Arial"/>
          <w:color w:val="000000"/>
          <w:sz w:val="22"/>
          <w:szCs w:val="22"/>
        </w:rPr>
        <w:t>GOV.UK. (</w:t>
      </w:r>
      <w:r w:rsidR="00E77CBC" w:rsidRPr="00212291">
        <w:rPr>
          <w:rFonts w:ascii="Arial" w:hAnsi="Arial" w:cs="Arial"/>
          <w:color w:val="000000"/>
          <w:sz w:val="22"/>
          <w:szCs w:val="22"/>
        </w:rPr>
        <w:t>2026</w:t>
      </w:r>
      <w:r w:rsidRPr="00212291">
        <w:rPr>
          <w:rFonts w:ascii="Arial" w:hAnsi="Arial" w:cs="Arial"/>
          <w:color w:val="000000"/>
          <w:sz w:val="22"/>
          <w:szCs w:val="22"/>
        </w:rPr>
        <w:t>). </w:t>
      </w:r>
      <w:r w:rsidRPr="00212291">
        <w:rPr>
          <w:rFonts w:ascii="Arial" w:hAnsi="Arial" w:cs="Arial"/>
          <w:i/>
          <w:iCs/>
          <w:color w:val="000000"/>
          <w:sz w:val="22"/>
          <w:szCs w:val="22"/>
        </w:rPr>
        <w:t>NHS COVID-19 app: privacy notice</w:t>
      </w:r>
      <w:r w:rsidRPr="00212291">
        <w:rPr>
          <w:rFonts w:ascii="Arial" w:hAnsi="Arial" w:cs="Arial"/>
          <w:color w:val="000000"/>
          <w:sz w:val="22"/>
          <w:szCs w:val="22"/>
        </w:rPr>
        <w:t xml:space="preserve">. [online] Available at: </w:t>
      </w:r>
      <w:hyperlink r:id="rId8" w:history="1">
        <w:r w:rsidR="00203425" w:rsidRPr="00212291">
          <w:rPr>
            <w:rStyle w:val="Hyperlink"/>
            <w:rFonts w:ascii="Arial" w:hAnsi="Arial" w:cs="Arial"/>
            <w:sz w:val="22"/>
            <w:szCs w:val="22"/>
          </w:rPr>
          <w:t>https://www.gov.uk/government/publications/nhs-covid-19-app-privacy-information/nhs-covid-19-app-privacy-notice</w:t>
        </w:r>
      </w:hyperlink>
      <w:r w:rsidR="00203425" w:rsidRPr="00212291">
        <w:rPr>
          <w:rFonts w:ascii="Arial" w:hAnsi="Arial" w:cs="Arial"/>
          <w:color w:val="000000"/>
          <w:sz w:val="22"/>
          <w:szCs w:val="22"/>
        </w:rPr>
        <w:t xml:space="preserve"> </w:t>
      </w:r>
      <w:r w:rsidR="00203425" w:rsidRPr="00212291">
        <w:rPr>
          <w:rFonts w:ascii="Arial" w:hAnsi="Arial" w:cs="Arial"/>
          <w:sz w:val="22"/>
          <w:szCs w:val="22"/>
        </w:rPr>
        <w:t>(Accessed on 11 June 2026).</w:t>
      </w:r>
    </w:p>
    <w:p w14:paraId="64A85702" w14:textId="77C2D72B" w:rsidR="001641C0" w:rsidRPr="00212291" w:rsidRDefault="003650FB" w:rsidP="00212291">
      <w:pPr>
        <w:pStyle w:val="ListParagraph"/>
        <w:numPr>
          <w:ilvl w:val="0"/>
          <w:numId w:val="2"/>
        </w:numPr>
        <w:spacing w:line="360" w:lineRule="auto"/>
        <w:jc w:val="both"/>
        <w:rPr>
          <w:rFonts w:ascii="Arial" w:hAnsi="Arial" w:cs="Arial"/>
        </w:rPr>
      </w:pPr>
      <w:r w:rsidRPr="00212291">
        <w:rPr>
          <w:rFonts w:ascii="Arial" w:hAnsi="Arial" w:cs="Arial"/>
        </w:rPr>
        <w:t xml:space="preserve">Greenhalgh, T., </w:t>
      </w:r>
      <w:proofErr w:type="spellStart"/>
      <w:r w:rsidRPr="00212291">
        <w:rPr>
          <w:rFonts w:ascii="Arial" w:hAnsi="Arial" w:cs="Arial"/>
        </w:rPr>
        <w:t>Wherton</w:t>
      </w:r>
      <w:proofErr w:type="spellEnd"/>
      <w:r w:rsidRPr="00212291">
        <w:rPr>
          <w:rFonts w:ascii="Arial" w:hAnsi="Arial" w:cs="Arial"/>
        </w:rPr>
        <w:t>, J., Shaw, S. and Morrison, C. (2020). Video consultations for covid-19. </w:t>
      </w:r>
      <w:r w:rsidRPr="00212291">
        <w:rPr>
          <w:rFonts w:ascii="Arial" w:hAnsi="Arial" w:cs="Arial"/>
          <w:i/>
          <w:iCs/>
        </w:rPr>
        <w:t>BMJ</w:t>
      </w:r>
      <w:r w:rsidRPr="00212291">
        <w:rPr>
          <w:rFonts w:ascii="Arial" w:hAnsi="Arial" w:cs="Arial"/>
        </w:rPr>
        <w:t xml:space="preserve">, [online] 368(368), p.m998. </w:t>
      </w:r>
      <w:proofErr w:type="spellStart"/>
      <w:r w:rsidRPr="00212291">
        <w:rPr>
          <w:rFonts w:ascii="Arial" w:hAnsi="Arial" w:cs="Arial"/>
        </w:rPr>
        <w:t>doi</w:t>
      </w:r>
      <w:proofErr w:type="spellEnd"/>
      <w:r w:rsidRPr="00212291">
        <w:rPr>
          <w:rFonts w:ascii="Arial" w:hAnsi="Arial" w:cs="Arial"/>
        </w:rPr>
        <w:t xml:space="preserve">: </w:t>
      </w:r>
      <w:hyperlink r:id="rId9" w:history="1">
        <w:r w:rsidRPr="00212291">
          <w:rPr>
            <w:rStyle w:val="Hyperlink"/>
            <w:rFonts w:ascii="Arial" w:hAnsi="Arial" w:cs="Arial"/>
          </w:rPr>
          <w:t>https://doi.org/10.1136/bmj.m998</w:t>
        </w:r>
      </w:hyperlink>
      <w:r w:rsidRPr="00212291">
        <w:rPr>
          <w:rFonts w:ascii="Arial" w:hAnsi="Arial" w:cs="Arial"/>
        </w:rPr>
        <w:t xml:space="preserve"> (Accessed on 10 June 2026).</w:t>
      </w:r>
    </w:p>
    <w:p w14:paraId="185F0452" w14:textId="52D19F5F" w:rsidR="003B104D" w:rsidRPr="00212291" w:rsidRDefault="003B104D" w:rsidP="00212291">
      <w:pPr>
        <w:pStyle w:val="ListParagraph"/>
        <w:numPr>
          <w:ilvl w:val="0"/>
          <w:numId w:val="2"/>
        </w:numPr>
        <w:spacing w:line="360" w:lineRule="auto"/>
        <w:jc w:val="both"/>
        <w:rPr>
          <w:rFonts w:ascii="Arial" w:hAnsi="Arial" w:cs="Arial"/>
        </w:rPr>
      </w:pPr>
      <w:r w:rsidRPr="00212291">
        <w:rPr>
          <w:rFonts w:ascii="Arial" w:hAnsi="Arial" w:cs="Arial"/>
        </w:rPr>
        <w:t xml:space="preserve">Holmes, J., Sacchi, L., &amp; </w:t>
      </w:r>
      <w:proofErr w:type="spellStart"/>
      <w:r w:rsidRPr="00212291">
        <w:rPr>
          <w:rFonts w:ascii="Arial" w:hAnsi="Arial" w:cs="Arial"/>
        </w:rPr>
        <w:t>Bellazzi</w:t>
      </w:r>
      <w:proofErr w:type="spellEnd"/>
      <w:r w:rsidRPr="00212291">
        <w:rPr>
          <w:rFonts w:ascii="Arial" w:hAnsi="Arial" w:cs="Arial"/>
        </w:rPr>
        <w:t>, R. (2004). Artificial intelligence in medicine. </w:t>
      </w:r>
      <w:r w:rsidRPr="00212291">
        <w:rPr>
          <w:rFonts w:ascii="Arial" w:hAnsi="Arial" w:cs="Arial"/>
          <w:i/>
          <w:iCs/>
        </w:rPr>
        <w:t xml:space="preserve">Ann R Coll </w:t>
      </w:r>
      <w:proofErr w:type="spellStart"/>
      <w:r w:rsidRPr="00212291">
        <w:rPr>
          <w:rFonts w:ascii="Arial" w:hAnsi="Arial" w:cs="Arial"/>
          <w:i/>
          <w:iCs/>
        </w:rPr>
        <w:t>Surg</w:t>
      </w:r>
      <w:proofErr w:type="spellEnd"/>
      <w:r w:rsidRPr="00212291">
        <w:rPr>
          <w:rFonts w:ascii="Arial" w:hAnsi="Arial" w:cs="Arial"/>
          <w:i/>
          <w:iCs/>
        </w:rPr>
        <w:t xml:space="preserve"> Engl</w:t>
      </w:r>
      <w:r w:rsidRPr="00212291">
        <w:rPr>
          <w:rFonts w:ascii="Arial" w:hAnsi="Arial" w:cs="Arial"/>
        </w:rPr>
        <w:t>, </w:t>
      </w:r>
      <w:r w:rsidRPr="00212291">
        <w:rPr>
          <w:rFonts w:ascii="Arial" w:hAnsi="Arial" w:cs="Arial"/>
          <w:i/>
          <w:iCs/>
        </w:rPr>
        <w:t>86</w:t>
      </w:r>
      <w:r w:rsidRPr="00212291">
        <w:rPr>
          <w:rFonts w:ascii="Arial" w:hAnsi="Arial" w:cs="Arial"/>
        </w:rPr>
        <w:t>(86), 334-8.</w:t>
      </w:r>
    </w:p>
    <w:p w14:paraId="1DDACADA" w14:textId="1B571F2A" w:rsidR="00713EC7" w:rsidRPr="00212291" w:rsidRDefault="00713EC7" w:rsidP="00212291">
      <w:pPr>
        <w:pStyle w:val="NormalWeb"/>
        <w:numPr>
          <w:ilvl w:val="0"/>
          <w:numId w:val="2"/>
        </w:numPr>
        <w:spacing w:before="0" w:beforeAutospacing="0" w:after="0" w:afterAutospacing="0" w:line="360" w:lineRule="auto"/>
        <w:jc w:val="both"/>
        <w:rPr>
          <w:rFonts w:ascii="Arial" w:hAnsi="Arial" w:cs="Arial"/>
          <w:color w:val="000000"/>
          <w:sz w:val="22"/>
          <w:szCs w:val="22"/>
        </w:rPr>
      </w:pPr>
      <w:r w:rsidRPr="00212291">
        <w:rPr>
          <w:rFonts w:ascii="Arial" w:hAnsi="Arial" w:cs="Arial"/>
          <w:color w:val="000000"/>
          <w:sz w:val="22"/>
          <w:szCs w:val="22"/>
        </w:rPr>
        <w:t>ICO (2023). </w:t>
      </w:r>
      <w:r w:rsidRPr="00212291">
        <w:rPr>
          <w:rFonts w:ascii="Arial" w:hAnsi="Arial" w:cs="Arial"/>
          <w:i/>
          <w:iCs/>
          <w:color w:val="000000"/>
          <w:sz w:val="22"/>
          <w:szCs w:val="22"/>
        </w:rPr>
        <w:t>UK GDPR Guidance and Resources</w:t>
      </w:r>
      <w:r w:rsidRPr="00212291">
        <w:rPr>
          <w:rFonts w:ascii="Arial" w:hAnsi="Arial" w:cs="Arial"/>
          <w:color w:val="000000"/>
          <w:sz w:val="22"/>
          <w:szCs w:val="22"/>
        </w:rPr>
        <w:t xml:space="preserve">. [online] ico.org.uk. Available at: </w:t>
      </w:r>
      <w:hyperlink r:id="rId10" w:history="1">
        <w:r w:rsidRPr="00212291">
          <w:rPr>
            <w:rStyle w:val="Hyperlink"/>
            <w:rFonts w:ascii="Arial" w:hAnsi="Arial" w:cs="Arial"/>
            <w:sz w:val="22"/>
            <w:szCs w:val="22"/>
          </w:rPr>
          <w:t>https://ico.org.uk/for-organisations/uk-gdpr-guidance-and-resources/</w:t>
        </w:r>
      </w:hyperlink>
      <w:r w:rsidRPr="00212291">
        <w:rPr>
          <w:rFonts w:ascii="Arial" w:hAnsi="Arial" w:cs="Arial"/>
          <w:color w:val="000000"/>
          <w:sz w:val="22"/>
          <w:szCs w:val="22"/>
        </w:rPr>
        <w:t xml:space="preserve"> </w:t>
      </w:r>
      <w:r w:rsidRPr="00212291">
        <w:rPr>
          <w:rFonts w:ascii="Arial" w:hAnsi="Arial" w:cs="Arial"/>
          <w:sz w:val="22"/>
          <w:szCs w:val="22"/>
        </w:rPr>
        <w:t>(Accessed on 10 June 2026).</w:t>
      </w:r>
    </w:p>
    <w:p w14:paraId="34C9CBF4" w14:textId="070603BA" w:rsidR="00D46734" w:rsidRPr="00212291" w:rsidRDefault="00D46734" w:rsidP="00212291">
      <w:pPr>
        <w:pStyle w:val="ListParagraph"/>
        <w:numPr>
          <w:ilvl w:val="0"/>
          <w:numId w:val="2"/>
        </w:numPr>
        <w:spacing w:line="360" w:lineRule="auto"/>
        <w:jc w:val="both"/>
        <w:rPr>
          <w:rFonts w:ascii="Arial" w:hAnsi="Arial" w:cs="Arial"/>
        </w:rPr>
      </w:pPr>
      <w:r w:rsidRPr="00212291">
        <w:rPr>
          <w:rFonts w:ascii="Arial" w:hAnsi="Arial" w:cs="Arial"/>
        </w:rPr>
        <w:t>JMIR (2024). </w:t>
      </w:r>
      <w:r w:rsidRPr="00212291">
        <w:rPr>
          <w:rFonts w:ascii="Arial" w:hAnsi="Arial" w:cs="Arial"/>
          <w:i/>
          <w:iCs/>
        </w:rPr>
        <w:t>JMIR - Journal of Medical Internet Research</w:t>
      </w:r>
      <w:r w:rsidRPr="00212291">
        <w:rPr>
          <w:rFonts w:ascii="Arial" w:hAnsi="Arial" w:cs="Arial"/>
        </w:rPr>
        <w:t xml:space="preserve">. [online] www.jmir.org. Available at: </w:t>
      </w:r>
      <w:hyperlink r:id="rId11" w:history="1">
        <w:r w:rsidRPr="00212291">
          <w:rPr>
            <w:rStyle w:val="Hyperlink"/>
            <w:rFonts w:ascii="Arial" w:hAnsi="Arial" w:cs="Arial"/>
          </w:rPr>
          <w:t>https://www.jmir.org/</w:t>
        </w:r>
      </w:hyperlink>
      <w:r w:rsidRPr="00212291">
        <w:rPr>
          <w:rFonts w:ascii="Arial" w:hAnsi="Arial" w:cs="Arial"/>
        </w:rPr>
        <w:t xml:space="preserve"> (Accessed on 11 June 2026).</w:t>
      </w:r>
    </w:p>
    <w:p w14:paraId="5F9360E3" w14:textId="00B09B79" w:rsidR="006A6671" w:rsidRPr="00212291" w:rsidRDefault="006A6671" w:rsidP="00212291">
      <w:pPr>
        <w:pStyle w:val="ListParagraph"/>
        <w:numPr>
          <w:ilvl w:val="0"/>
          <w:numId w:val="2"/>
        </w:numPr>
        <w:spacing w:line="360" w:lineRule="auto"/>
        <w:jc w:val="both"/>
        <w:rPr>
          <w:rFonts w:ascii="Arial" w:hAnsi="Arial" w:cs="Arial"/>
        </w:rPr>
      </w:pPr>
      <w:r w:rsidRPr="00212291">
        <w:rPr>
          <w:rFonts w:ascii="Arial" w:hAnsi="Arial" w:cs="Arial"/>
        </w:rPr>
        <w:t>UK Parliament, Joint Committee on Human Rights (2022)</w:t>
      </w:r>
      <w:r w:rsidR="00E90909" w:rsidRPr="00212291">
        <w:rPr>
          <w:rFonts w:ascii="Arial" w:hAnsi="Arial" w:cs="Arial"/>
        </w:rPr>
        <w:t xml:space="preserve">. </w:t>
      </w:r>
      <w:r w:rsidRPr="00212291">
        <w:rPr>
          <w:rFonts w:ascii="Arial" w:hAnsi="Arial" w:cs="Arial"/>
          <w:i/>
          <w:iCs/>
        </w:rPr>
        <w:t>Human Rights and the Government’s Response to COVID</w:t>
      </w:r>
      <w:r w:rsidRPr="00212291">
        <w:rPr>
          <w:rFonts w:ascii="Arial" w:hAnsi="Arial" w:cs="Arial"/>
          <w:i/>
          <w:iCs/>
        </w:rPr>
        <w:noBreakHyphen/>
        <w:t>19: Digital Contact Tracing. Government Response to the Committee’s Third Report of Session 2019–21. Ninth Special Report of Session 2021–22 (HC 1198).</w:t>
      </w:r>
      <w:r w:rsidRPr="00212291">
        <w:rPr>
          <w:rFonts w:ascii="Arial" w:hAnsi="Arial" w:cs="Arial"/>
        </w:rPr>
        <w:t xml:space="preserve"> Available at: </w:t>
      </w:r>
      <w:hyperlink r:id="rId12" w:history="1">
        <w:r w:rsidRPr="00212291">
          <w:rPr>
            <w:rStyle w:val="Hyperlink"/>
            <w:rFonts w:ascii="Arial" w:hAnsi="Arial" w:cs="Arial"/>
          </w:rPr>
          <w:t>https://committees.parliament.uk/publications/9345/documents/160660/default/</w:t>
        </w:r>
      </w:hyperlink>
      <w:r w:rsidRPr="00212291">
        <w:rPr>
          <w:rFonts w:ascii="Arial" w:hAnsi="Arial" w:cs="Arial"/>
        </w:rPr>
        <w:t xml:space="preserve"> (Accessed on </w:t>
      </w:r>
      <w:r w:rsidR="00E90909" w:rsidRPr="00212291">
        <w:rPr>
          <w:rFonts w:ascii="Arial" w:hAnsi="Arial" w:cs="Arial"/>
        </w:rPr>
        <w:t>11</w:t>
      </w:r>
      <w:r w:rsidRPr="00212291">
        <w:rPr>
          <w:rFonts w:ascii="Arial" w:hAnsi="Arial" w:cs="Arial"/>
        </w:rPr>
        <w:t xml:space="preserve"> June 2026).</w:t>
      </w:r>
    </w:p>
    <w:p w14:paraId="6F34F187" w14:textId="4345B7C8" w:rsidR="00BA4C85" w:rsidRPr="00212291" w:rsidRDefault="001641C0" w:rsidP="00212291">
      <w:pPr>
        <w:pStyle w:val="ListParagraph"/>
        <w:numPr>
          <w:ilvl w:val="0"/>
          <w:numId w:val="2"/>
        </w:numPr>
        <w:spacing w:line="360" w:lineRule="auto"/>
        <w:jc w:val="both"/>
        <w:rPr>
          <w:rFonts w:ascii="Arial" w:hAnsi="Arial" w:cs="Arial"/>
        </w:rPr>
      </w:pPr>
      <w:r w:rsidRPr="00212291">
        <w:rPr>
          <w:rFonts w:ascii="Arial" w:hAnsi="Arial" w:cs="Arial"/>
        </w:rPr>
        <w:t xml:space="preserve">Li, L., </w:t>
      </w:r>
      <w:proofErr w:type="spellStart"/>
      <w:r w:rsidRPr="00212291">
        <w:rPr>
          <w:rFonts w:ascii="Arial" w:hAnsi="Arial" w:cs="Arial"/>
        </w:rPr>
        <w:t>Taeihagh</w:t>
      </w:r>
      <w:proofErr w:type="spellEnd"/>
      <w:r w:rsidRPr="00212291">
        <w:rPr>
          <w:rFonts w:ascii="Arial" w:hAnsi="Arial" w:cs="Arial"/>
        </w:rPr>
        <w:t xml:space="preserve">, A. and Tan, S.Y. (2023). A Scoping Review of the Impacts of COVID-19 Physical Distancing Measures on Vulnerable Population </w:t>
      </w:r>
      <w:r w:rsidRPr="00212291">
        <w:rPr>
          <w:rFonts w:ascii="Arial" w:hAnsi="Arial" w:cs="Arial"/>
        </w:rPr>
        <w:lastRenderedPageBreak/>
        <w:t>Groups. </w:t>
      </w:r>
      <w:r w:rsidRPr="00212291">
        <w:rPr>
          <w:rFonts w:ascii="Arial" w:hAnsi="Arial" w:cs="Arial"/>
          <w:i/>
          <w:iCs/>
        </w:rPr>
        <w:t>Nature Communications</w:t>
      </w:r>
      <w:r w:rsidRPr="00212291">
        <w:rPr>
          <w:rFonts w:ascii="Arial" w:hAnsi="Arial" w:cs="Arial"/>
        </w:rPr>
        <w:t xml:space="preserve">, [online] 14(1). </w:t>
      </w:r>
      <w:proofErr w:type="spellStart"/>
      <w:r w:rsidRPr="00212291">
        <w:rPr>
          <w:rFonts w:ascii="Arial" w:hAnsi="Arial" w:cs="Arial"/>
        </w:rPr>
        <w:t>doi</w:t>
      </w:r>
      <w:proofErr w:type="spellEnd"/>
      <w:r w:rsidRPr="00212291">
        <w:rPr>
          <w:rFonts w:ascii="Arial" w:hAnsi="Arial" w:cs="Arial"/>
        </w:rPr>
        <w:t xml:space="preserve">: </w:t>
      </w:r>
      <w:hyperlink r:id="rId13" w:history="1">
        <w:r w:rsidRPr="00212291">
          <w:rPr>
            <w:rStyle w:val="Hyperlink"/>
            <w:rFonts w:ascii="Arial" w:hAnsi="Arial" w:cs="Arial"/>
          </w:rPr>
          <w:t>https://doi.org/10.1038/s41467-023-36267-9</w:t>
        </w:r>
      </w:hyperlink>
      <w:r w:rsidRPr="00212291">
        <w:rPr>
          <w:rFonts w:ascii="Arial" w:hAnsi="Arial" w:cs="Arial"/>
        </w:rPr>
        <w:t xml:space="preserve"> (Accessed on 10 June 2026).</w:t>
      </w:r>
    </w:p>
    <w:p w14:paraId="01523FA4" w14:textId="386606C4" w:rsidR="00A158BA" w:rsidRPr="00212291" w:rsidRDefault="00A158BA" w:rsidP="00212291">
      <w:pPr>
        <w:pStyle w:val="ListParagraph"/>
        <w:numPr>
          <w:ilvl w:val="0"/>
          <w:numId w:val="2"/>
        </w:numPr>
        <w:spacing w:line="360" w:lineRule="auto"/>
        <w:jc w:val="both"/>
        <w:rPr>
          <w:rFonts w:ascii="Arial" w:hAnsi="Arial" w:cs="Arial"/>
        </w:rPr>
      </w:pPr>
      <w:r w:rsidRPr="00212291">
        <w:rPr>
          <w:rFonts w:ascii="Arial" w:hAnsi="Arial" w:cs="Arial"/>
        </w:rPr>
        <w:t>Lupton, D. (2017). </w:t>
      </w:r>
      <w:r w:rsidRPr="00212291">
        <w:rPr>
          <w:rFonts w:ascii="Arial" w:hAnsi="Arial" w:cs="Arial"/>
          <w:i/>
          <w:iCs/>
        </w:rPr>
        <w:t>Digital health: Critical and cross-disciplinary perspectives</w:t>
      </w:r>
      <w:r w:rsidRPr="00212291">
        <w:rPr>
          <w:rFonts w:ascii="Arial" w:hAnsi="Arial" w:cs="Arial"/>
        </w:rPr>
        <w:t>. Routledge.</w:t>
      </w:r>
    </w:p>
    <w:p w14:paraId="0D1A2146" w14:textId="0885C92F" w:rsidR="000E261B" w:rsidRPr="00212291" w:rsidRDefault="000E261B" w:rsidP="00212291">
      <w:pPr>
        <w:pStyle w:val="ListParagraph"/>
        <w:numPr>
          <w:ilvl w:val="0"/>
          <w:numId w:val="2"/>
        </w:numPr>
        <w:spacing w:line="360" w:lineRule="auto"/>
        <w:jc w:val="both"/>
        <w:rPr>
          <w:rFonts w:ascii="Arial" w:hAnsi="Arial" w:cs="Arial"/>
        </w:rPr>
      </w:pPr>
      <w:r w:rsidRPr="00212291">
        <w:rPr>
          <w:rFonts w:ascii="Arial" w:hAnsi="Arial" w:cs="Arial"/>
        </w:rPr>
        <w:t>Whitelaw, S., Mamas, M.A., Topol, E. and Spall, H.G.C.V. (2020). Applications of digital technology in COVID-19 pandemic planning and response. </w:t>
      </w:r>
      <w:r w:rsidRPr="00212291">
        <w:rPr>
          <w:rFonts w:ascii="Arial" w:hAnsi="Arial" w:cs="Arial"/>
          <w:i/>
          <w:iCs/>
        </w:rPr>
        <w:t>The Lancet Digital Health</w:t>
      </w:r>
      <w:r w:rsidRPr="00212291">
        <w:rPr>
          <w:rFonts w:ascii="Arial" w:hAnsi="Arial" w:cs="Arial"/>
        </w:rPr>
        <w:t xml:space="preserve">, [online] 2(8), pp.435–440. </w:t>
      </w:r>
      <w:proofErr w:type="spellStart"/>
      <w:r w:rsidRPr="00212291">
        <w:rPr>
          <w:rFonts w:ascii="Arial" w:hAnsi="Arial" w:cs="Arial"/>
        </w:rPr>
        <w:t>doi</w:t>
      </w:r>
      <w:proofErr w:type="spellEnd"/>
      <w:r w:rsidRPr="00212291">
        <w:rPr>
          <w:rFonts w:ascii="Arial" w:hAnsi="Arial" w:cs="Arial"/>
        </w:rPr>
        <w:t xml:space="preserve">: </w:t>
      </w:r>
      <w:hyperlink r:id="rId14" w:history="1">
        <w:r w:rsidRPr="00212291">
          <w:rPr>
            <w:rStyle w:val="Hyperlink"/>
            <w:rFonts w:ascii="Arial" w:hAnsi="Arial" w:cs="Arial"/>
          </w:rPr>
          <w:t>https://doi.org/10.1016/S2589-7500(20)30142-4</w:t>
        </w:r>
      </w:hyperlink>
      <w:r w:rsidRPr="00212291">
        <w:rPr>
          <w:rFonts w:ascii="Arial" w:hAnsi="Arial" w:cs="Arial"/>
        </w:rPr>
        <w:t xml:space="preserve"> (Accessed on 10 June 2026).</w:t>
      </w:r>
    </w:p>
    <w:p w14:paraId="7C347486" w14:textId="2ECAF2DF" w:rsidR="00EC113B" w:rsidRPr="00212291" w:rsidRDefault="00EC113B" w:rsidP="00212291">
      <w:pPr>
        <w:pStyle w:val="ListParagraph"/>
        <w:numPr>
          <w:ilvl w:val="0"/>
          <w:numId w:val="2"/>
        </w:numPr>
        <w:spacing w:line="360" w:lineRule="auto"/>
        <w:jc w:val="both"/>
        <w:rPr>
          <w:rFonts w:ascii="Arial" w:hAnsi="Arial" w:cs="Arial"/>
        </w:rPr>
      </w:pPr>
      <w:r w:rsidRPr="00212291">
        <w:rPr>
          <w:rFonts w:ascii="Arial" w:hAnsi="Arial" w:cs="Arial"/>
        </w:rPr>
        <w:t>Williams, S.N. &amp; Armitage, C.J. (2022) The relationship between trust and attitudes towards the COVID</w:t>
      </w:r>
      <w:r w:rsidRPr="00212291">
        <w:rPr>
          <w:rFonts w:ascii="Cambria Math" w:hAnsi="Cambria Math" w:cs="Cambria Math"/>
        </w:rPr>
        <w:t>‑</w:t>
      </w:r>
      <w:r w:rsidRPr="00212291">
        <w:rPr>
          <w:rFonts w:ascii="Arial" w:hAnsi="Arial" w:cs="Arial"/>
        </w:rPr>
        <w:t>19 digital contact</w:t>
      </w:r>
      <w:r w:rsidRPr="00212291">
        <w:rPr>
          <w:rFonts w:ascii="Cambria Math" w:hAnsi="Cambria Math" w:cs="Cambria Math"/>
        </w:rPr>
        <w:t>‑</w:t>
      </w:r>
      <w:r w:rsidRPr="00212291">
        <w:rPr>
          <w:rFonts w:ascii="Arial" w:hAnsi="Arial" w:cs="Arial"/>
        </w:rPr>
        <w:t>tracing app in the UK</w:t>
      </w:r>
      <w:r w:rsidR="00C5041D" w:rsidRPr="00212291">
        <w:rPr>
          <w:rFonts w:ascii="Arial" w:hAnsi="Arial" w:cs="Arial"/>
        </w:rPr>
        <w:t xml:space="preserve">. </w:t>
      </w:r>
      <w:r w:rsidRPr="00212291">
        <w:rPr>
          <w:rFonts w:ascii="Arial" w:hAnsi="Arial" w:cs="Arial"/>
        </w:rPr>
        <w:t xml:space="preserve">Available at: </w:t>
      </w:r>
      <w:hyperlink r:id="rId15" w:history="1">
        <w:r w:rsidR="00B26C06" w:rsidRPr="00212291">
          <w:rPr>
            <w:rStyle w:val="Hyperlink"/>
            <w:rFonts w:ascii="Arial" w:hAnsi="Arial" w:cs="Arial"/>
          </w:rPr>
          <w:t>https://www.researchgate.net/publication/364824016_The_relationship_between_trust_and_attitudes_towards_the_COVID-19_digital_contact-tracing_app_in_the_UK</w:t>
        </w:r>
      </w:hyperlink>
      <w:r w:rsidR="00B26C06" w:rsidRPr="00212291">
        <w:rPr>
          <w:rFonts w:ascii="Arial" w:hAnsi="Arial" w:cs="Arial"/>
        </w:rPr>
        <w:t xml:space="preserve"> </w:t>
      </w:r>
      <w:r w:rsidRPr="00212291">
        <w:rPr>
          <w:rFonts w:ascii="Arial" w:hAnsi="Arial" w:cs="Arial"/>
        </w:rPr>
        <w:t>(Accessed on 21 June 2026).</w:t>
      </w:r>
    </w:p>
    <w:p w14:paraId="2E96FABF" w14:textId="4026CD53" w:rsidR="001641C0" w:rsidRPr="00212291" w:rsidRDefault="001641C0" w:rsidP="00212291">
      <w:pPr>
        <w:pStyle w:val="ListParagraph"/>
        <w:numPr>
          <w:ilvl w:val="0"/>
          <w:numId w:val="2"/>
        </w:numPr>
        <w:spacing w:line="360" w:lineRule="auto"/>
        <w:jc w:val="both"/>
        <w:rPr>
          <w:rFonts w:ascii="Arial" w:hAnsi="Arial" w:cs="Arial"/>
        </w:rPr>
      </w:pPr>
      <w:proofErr w:type="spellStart"/>
      <w:r w:rsidRPr="00212291">
        <w:rPr>
          <w:rFonts w:ascii="Arial" w:hAnsi="Arial" w:cs="Arial"/>
        </w:rPr>
        <w:t>Wymant</w:t>
      </w:r>
      <w:proofErr w:type="spellEnd"/>
      <w:r w:rsidRPr="00212291">
        <w:rPr>
          <w:rFonts w:ascii="Arial" w:hAnsi="Arial" w:cs="Arial"/>
        </w:rPr>
        <w:t xml:space="preserve">, C., Ferretti, L., </w:t>
      </w:r>
      <w:proofErr w:type="spellStart"/>
      <w:r w:rsidRPr="00212291">
        <w:rPr>
          <w:rFonts w:ascii="Arial" w:hAnsi="Arial" w:cs="Arial"/>
        </w:rPr>
        <w:t>Tsallis</w:t>
      </w:r>
      <w:proofErr w:type="spellEnd"/>
      <w:r w:rsidRPr="00212291">
        <w:rPr>
          <w:rFonts w:ascii="Arial" w:hAnsi="Arial" w:cs="Arial"/>
        </w:rPr>
        <w:t xml:space="preserve">, D., Charalambides, M., </w:t>
      </w:r>
      <w:proofErr w:type="spellStart"/>
      <w:r w:rsidRPr="00212291">
        <w:rPr>
          <w:rFonts w:ascii="Arial" w:hAnsi="Arial" w:cs="Arial"/>
        </w:rPr>
        <w:t>Abeler-Dörner</w:t>
      </w:r>
      <w:proofErr w:type="spellEnd"/>
      <w:r w:rsidRPr="00212291">
        <w:rPr>
          <w:rFonts w:ascii="Arial" w:hAnsi="Arial" w:cs="Arial"/>
        </w:rPr>
        <w:t>, L., Bonsall, D., Hinch, R., Kendall, M., Milsom, L., Ayres, M., Holmes, C., Briers, M. and Fraser, C. (2021). The epidemiological impact of the NHS COVID-19 App. </w:t>
      </w:r>
      <w:r w:rsidRPr="00212291">
        <w:rPr>
          <w:rFonts w:ascii="Arial" w:hAnsi="Arial" w:cs="Arial"/>
          <w:i/>
          <w:iCs/>
        </w:rPr>
        <w:t>Nature</w:t>
      </w:r>
      <w:r w:rsidRPr="00212291">
        <w:rPr>
          <w:rFonts w:ascii="Arial" w:hAnsi="Arial" w:cs="Arial"/>
        </w:rPr>
        <w:t xml:space="preserve">, 594. </w:t>
      </w:r>
      <w:proofErr w:type="spellStart"/>
      <w:r w:rsidRPr="00212291">
        <w:rPr>
          <w:rFonts w:ascii="Arial" w:hAnsi="Arial" w:cs="Arial"/>
        </w:rPr>
        <w:t>doi</w:t>
      </w:r>
      <w:proofErr w:type="spellEnd"/>
      <w:r w:rsidRPr="00212291">
        <w:rPr>
          <w:rFonts w:ascii="Arial" w:hAnsi="Arial" w:cs="Arial"/>
        </w:rPr>
        <w:t xml:space="preserve">: </w:t>
      </w:r>
      <w:hyperlink r:id="rId16" w:history="1">
        <w:r w:rsidRPr="00212291">
          <w:rPr>
            <w:rStyle w:val="Hyperlink"/>
            <w:rFonts w:ascii="Arial" w:hAnsi="Arial" w:cs="Arial"/>
          </w:rPr>
          <w:t>https://doi.org/10.1038/s41586-021-03606-z</w:t>
        </w:r>
      </w:hyperlink>
      <w:r w:rsidRPr="00212291">
        <w:rPr>
          <w:rFonts w:ascii="Arial" w:hAnsi="Arial" w:cs="Arial"/>
        </w:rPr>
        <w:t xml:space="preserve"> (Accessed on 10 June 2026).</w:t>
      </w:r>
    </w:p>
    <w:sectPr w:rsidR="001641C0" w:rsidRPr="00212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471AE"/>
    <w:multiLevelType w:val="hybridMultilevel"/>
    <w:tmpl w:val="E794E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3771E4"/>
    <w:multiLevelType w:val="hybridMultilevel"/>
    <w:tmpl w:val="27A2B5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01230591">
    <w:abstractNumId w:val="0"/>
  </w:num>
  <w:num w:numId="2" w16cid:durableId="436146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D3C"/>
    <w:rsid w:val="00011A65"/>
    <w:rsid w:val="00052C93"/>
    <w:rsid w:val="00071B87"/>
    <w:rsid w:val="00086774"/>
    <w:rsid w:val="000946D0"/>
    <w:rsid w:val="000A37EA"/>
    <w:rsid w:val="000B7C7E"/>
    <w:rsid w:val="000C739D"/>
    <w:rsid w:val="000E261B"/>
    <w:rsid w:val="000F18D5"/>
    <w:rsid w:val="00120743"/>
    <w:rsid w:val="00135E59"/>
    <w:rsid w:val="00151F21"/>
    <w:rsid w:val="001641C0"/>
    <w:rsid w:val="00171C64"/>
    <w:rsid w:val="00172432"/>
    <w:rsid w:val="001822A5"/>
    <w:rsid w:val="00185459"/>
    <w:rsid w:val="0018658C"/>
    <w:rsid w:val="001865BC"/>
    <w:rsid w:val="001B6681"/>
    <w:rsid w:val="001D4EAA"/>
    <w:rsid w:val="00202982"/>
    <w:rsid w:val="00203425"/>
    <w:rsid w:val="00212291"/>
    <w:rsid w:val="0025729E"/>
    <w:rsid w:val="00297828"/>
    <w:rsid w:val="002A1A71"/>
    <w:rsid w:val="002B4D56"/>
    <w:rsid w:val="0030683E"/>
    <w:rsid w:val="00320273"/>
    <w:rsid w:val="00336DB8"/>
    <w:rsid w:val="00347B7B"/>
    <w:rsid w:val="003650FB"/>
    <w:rsid w:val="00390AAA"/>
    <w:rsid w:val="0039315C"/>
    <w:rsid w:val="00397FFE"/>
    <w:rsid w:val="003B104D"/>
    <w:rsid w:val="003B2F3A"/>
    <w:rsid w:val="003E7035"/>
    <w:rsid w:val="00432282"/>
    <w:rsid w:val="00435AD1"/>
    <w:rsid w:val="00436C5F"/>
    <w:rsid w:val="00440913"/>
    <w:rsid w:val="004723B5"/>
    <w:rsid w:val="00475893"/>
    <w:rsid w:val="0047643F"/>
    <w:rsid w:val="004A4688"/>
    <w:rsid w:val="004D1ECB"/>
    <w:rsid w:val="004D7B1D"/>
    <w:rsid w:val="004F4731"/>
    <w:rsid w:val="005168FA"/>
    <w:rsid w:val="00516B6D"/>
    <w:rsid w:val="0056340B"/>
    <w:rsid w:val="00602AD6"/>
    <w:rsid w:val="00661265"/>
    <w:rsid w:val="006754E8"/>
    <w:rsid w:val="0067721B"/>
    <w:rsid w:val="00695409"/>
    <w:rsid w:val="006A6671"/>
    <w:rsid w:val="006E4319"/>
    <w:rsid w:val="006F5AD4"/>
    <w:rsid w:val="006F7FC2"/>
    <w:rsid w:val="00713EC7"/>
    <w:rsid w:val="00754EB5"/>
    <w:rsid w:val="0076117D"/>
    <w:rsid w:val="00781528"/>
    <w:rsid w:val="00794F99"/>
    <w:rsid w:val="007F3C98"/>
    <w:rsid w:val="007F4DB1"/>
    <w:rsid w:val="00805A55"/>
    <w:rsid w:val="0081038D"/>
    <w:rsid w:val="008838A1"/>
    <w:rsid w:val="00901FD8"/>
    <w:rsid w:val="00945F4F"/>
    <w:rsid w:val="0097522D"/>
    <w:rsid w:val="009E7B63"/>
    <w:rsid w:val="009F19CA"/>
    <w:rsid w:val="00A00E6A"/>
    <w:rsid w:val="00A158BA"/>
    <w:rsid w:val="00A419FE"/>
    <w:rsid w:val="00A46D3C"/>
    <w:rsid w:val="00A62753"/>
    <w:rsid w:val="00A9580E"/>
    <w:rsid w:val="00AA51E0"/>
    <w:rsid w:val="00AB6002"/>
    <w:rsid w:val="00AC300E"/>
    <w:rsid w:val="00AD64C7"/>
    <w:rsid w:val="00B0729B"/>
    <w:rsid w:val="00B26C06"/>
    <w:rsid w:val="00B30502"/>
    <w:rsid w:val="00B5116E"/>
    <w:rsid w:val="00B81604"/>
    <w:rsid w:val="00B87488"/>
    <w:rsid w:val="00BA4BDF"/>
    <w:rsid w:val="00BA4C85"/>
    <w:rsid w:val="00BB162B"/>
    <w:rsid w:val="00BC38A1"/>
    <w:rsid w:val="00BE0944"/>
    <w:rsid w:val="00BF4B9D"/>
    <w:rsid w:val="00BF5ADC"/>
    <w:rsid w:val="00BF7725"/>
    <w:rsid w:val="00C04958"/>
    <w:rsid w:val="00C5041D"/>
    <w:rsid w:val="00C648B0"/>
    <w:rsid w:val="00C6596A"/>
    <w:rsid w:val="00CA743D"/>
    <w:rsid w:val="00CB0F9F"/>
    <w:rsid w:val="00CE24F3"/>
    <w:rsid w:val="00CF058F"/>
    <w:rsid w:val="00CF0F86"/>
    <w:rsid w:val="00CF76F1"/>
    <w:rsid w:val="00D05648"/>
    <w:rsid w:val="00D46734"/>
    <w:rsid w:val="00D511F1"/>
    <w:rsid w:val="00D53FE0"/>
    <w:rsid w:val="00D5535D"/>
    <w:rsid w:val="00D70003"/>
    <w:rsid w:val="00D92435"/>
    <w:rsid w:val="00D96587"/>
    <w:rsid w:val="00DB715D"/>
    <w:rsid w:val="00E01CB9"/>
    <w:rsid w:val="00E0308A"/>
    <w:rsid w:val="00E41EC0"/>
    <w:rsid w:val="00E571EE"/>
    <w:rsid w:val="00E74C26"/>
    <w:rsid w:val="00E77CBC"/>
    <w:rsid w:val="00E90909"/>
    <w:rsid w:val="00EB03C5"/>
    <w:rsid w:val="00EC113B"/>
    <w:rsid w:val="00F26D7B"/>
    <w:rsid w:val="00F33D0D"/>
    <w:rsid w:val="00F56F95"/>
    <w:rsid w:val="00F62934"/>
    <w:rsid w:val="00F72808"/>
    <w:rsid w:val="00FA4AEC"/>
    <w:rsid w:val="00FB7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F743"/>
  <w15:chartTrackingRefBased/>
  <w15:docId w15:val="{ACEACDFD-D2FB-4044-88EB-924FF38D0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6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6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D3C"/>
    <w:rPr>
      <w:rFonts w:eastAsiaTheme="majorEastAsia" w:cstheme="majorBidi"/>
      <w:color w:val="272727" w:themeColor="text1" w:themeTint="D8"/>
    </w:rPr>
  </w:style>
  <w:style w:type="paragraph" w:styleId="Title">
    <w:name w:val="Title"/>
    <w:basedOn w:val="Normal"/>
    <w:next w:val="Normal"/>
    <w:link w:val="TitleChar"/>
    <w:uiPriority w:val="10"/>
    <w:qFormat/>
    <w:rsid w:val="00A46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D3C"/>
    <w:pPr>
      <w:spacing w:before="160"/>
      <w:jc w:val="center"/>
    </w:pPr>
    <w:rPr>
      <w:i/>
      <w:iCs/>
      <w:color w:val="404040" w:themeColor="text1" w:themeTint="BF"/>
    </w:rPr>
  </w:style>
  <w:style w:type="character" w:customStyle="1" w:styleId="QuoteChar">
    <w:name w:val="Quote Char"/>
    <w:basedOn w:val="DefaultParagraphFont"/>
    <w:link w:val="Quote"/>
    <w:uiPriority w:val="29"/>
    <w:rsid w:val="00A46D3C"/>
    <w:rPr>
      <w:i/>
      <w:iCs/>
      <w:color w:val="404040" w:themeColor="text1" w:themeTint="BF"/>
    </w:rPr>
  </w:style>
  <w:style w:type="paragraph" w:styleId="ListParagraph">
    <w:name w:val="List Paragraph"/>
    <w:basedOn w:val="Normal"/>
    <w:uiPriority w:val="34"/>
    <w:qFormat/>
    <w:rsid w:val="00A46D3C"/>
    <w:pPr>
      <w:ind w:left="720"/>
      <w:contextualSpacing/>
    </w:pPr>
  </w:style>
  <w:style w:type="character" w:styleId="IntenseEmphasis">
    <w:name w:val="Intense Emphasis"/>
    <w:basedOn w:val="DefaultParagraphFont"/>
    <w:uiPriority w:val="21"/>
    <w:qFormat/>
    <w:rsid w:val="00A46D3C"/>
    <w:rPr>
      <w:i/>
      <w:iCs/>
      <w:color w:val="0F4761" w:themeColor="accent1" w:themeShade="BF"/>
    </w:rPr>
  </w:style>
  <w:style w:type="paragraph" w:styleId="IntenseQuote">
    <w:name w:val="Intense Quote"/>
    <w:basedOn w:val="Normal"/>
    <w:next w:val="Normal"/>
    <w:link w:val="IntenseQuoteChar"/>
    <w:uiPriority w:val="30"/>
    <w:qFormat/>
    <w:rsid w:val="00A46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D3C"/>
    <w:rPr>
      <w:i/>
      <w:iCs/>
      <w:color w:val="0F4761" w:themeColor="accent1" w:themeShade="BF"/>
    </w:rPr>
  </w:style>
  <w:style w:type="character" w:styleId="IntenseReference">
    <w:name w:val="Intense Reference"/>
    <w:basedOn w:val="DefaultParagraphFont"/>
    <w:uiPriority w:val="32"/>
    <w:qFormat/>
    <w:rsid w:val="00A46D3C"/>
    <w:rPr>
      <w:b/>
      <w:bCs/>
      <w:smallCaps/>
      <w:color w:val="0F4761" w:themeColor="accent1" w:themeShade="BF"/>
      <w:spacing w:val="5"/>
    </w:rPr>
  </w:style>
  <w:style w:type="paragraph" w:styleId="TOCHeading">
    <w:name w:val="TOC Heading"/>
    <w:basedOn w:val="Heading1"/>
    <w:next w:val="Normal"/>
    <w:uiPriority w:val="39"/>
    <w:unhideWhenUsed/>
    <w:qFormat/>
    <w:rsid w:val="00516B6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16B6D"/>
    <w:pPr>
      <w:spacing w:after="100"/>
    </w:pPr>
  </w:style>
  <w:style w:type="character" w:styleId="Hyperlink">
    <w:name w:val="Hyperlink"/>
    <w:basedOn w:val="DefaultParagraphFont"/>
    <w:uiPriority w:val="99"/>
    <w:unhideWhenUsed/>
    <w:rsid w:val="00516B6D"/>
    <w:rPr>
      <w:color w:val="467886" w:themeColor="hyperlink"/>
      <w:u w:val="single"/>
    </w:rPr>
  </w:style>
  <w:style w:type="character" w:styleId="UnresolvedMention">
    <w:name w:val="Unresolved Mention"/>
    <w:basedOn w:val="DefaultParagraphFont"/>
    <w:uiPriority w:val="99"/>
    <w:semiHidden/>
    <w:unhideWhenUsed/>
    <w:rsid w:val="00BA4C85"/>
    <w:rPr>
      <w:color w:val="605E5C"/>
      <w:shd w:val="clear" w:color="auto" w:fill="E1DFDD"/>
    </w:rPr>
  </w:style>
  <w:style w:type="paragraph" w:styleId="NormalWeb">
    <w:name w:val="Normal (Web)"/>
    <w:basedOn w:val="Normal"/>
    <w:uiPriority w:val="99"/>
    <w:unhideWhenUsed/>
    <w:rsid w:val="00B511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2572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hs-covid-19-app-privacy-information/nhs-covid-19-app-privacy-notice" TargetMode="External"/><Relationship Id="rId13" Type="http://schemas.openxmlformats.org/officeDocument/2006/relationships/hyperlink" Target="https://doi.org/10.1038/s41467-023-36267-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26/science.abb6936" TargetMode="External"/><Relationship Id="rId12" Type="http://schemas.openxmlformats.org/officeDocument/2006/relationships/hyperlink" Target="https://committees.parliament.uk/publications/9345/documents/160660/defaul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38/s41586-021-03606-z" TargetMode="External"/><Relationship Id="rId1" Type="http://schemas.openxmlformats.org/officeDocument/2006/relationships/numbering" Target="numbering.xml"/><Relationship Id="rId6" Type="http://schemas.openxmlformats.org/officeDocument/2006/relationships/hyperlink" Target="https://www.jmir.org/2026/1/e76863" TargetMode="External"/><Relationship Id="rId11" Type="http://schemas.openxmlformats.org/officeDocument/2006/relationships/hyperlink" Target="https://www.jmir.org/" TargetMode="External"/><Relationship Id="rId5" Type="http://schemas.openxmlformats.org/officeDocument/2006/relationships/hyperlink" Target="https://www.gov.uk/government/publications/a-plan-for-digital-health-and-social-care/a-plan-for-digital-health-and-social-care" TargetMode="External"/><Relationship Id="rId15" Type="http://schemas.openxmlformats.org/officeDocument/2006/relationships/hyperlink" Target="https://www.researchgate.net/publication/364824016_The_relationship_between_trust_and_attitudes_towards_the_COVID-19_digital_contact-tracing_app_in_the_UK" TargetMode="External"/><Relationship Id="rId10" Type="http://schemas.openxmlformats.org/officeDocument/2006/relationships/hyperlink" Target="https://ico.org.uk/for-organisations/uk-gdpr-guidance-and-resources/" TargetMode="External"/><Relationship Id="rId4" Type="http://schemas.openxmlformats.org/officeDocument/2006/relationships/webSettings" Target="webSettings.xml"/><Relationship Id="rId9" Type="http://schemas.openxmlformats.org/officeDocument/2006/relationships/hyperlink" Target="https://doi.org/10.1136/bmj.m998" TargetMode="External"/><Relationship Id="rId14" Type="http://schemas.openxmlformats.org/officeDocument/2006/relationships/hyperlink" Target="https://doi.org/10.1016/S2589-7500(20)3014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3107</Words>
  <Characters>17713</Characters>
  <Application>Microsoft Office Word</Application>
  <DocSecurity>0</DocSecurity>
  <Lines>147</Lines>
  <Paragraphs>41</Paragraphs>
  <ScaleCrop>false</ScaleCrop>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Coroeanu</cp:lastModifiedBy>
  <cp:revision>2</cp:revision>
  <dcterms:created xsi:type="dcterms:W3CDTF">2026-06-27T21:54:00Z</dcterms:created>
  <dcterms:modified xsi:type="dcterms:W3CDTF">2026-06-27T21:54:00Z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a08a0a58-a5c8-4234-bb34-d91dfbb8268d</vt:lpwstr>
  </property>
</Properties>
</file>