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8CB388" w14:textId="77777777" w:rsidR="003901EF" w:rsidRDefault="003901EF" w:rsidP="003901EF">
      <w:pPr>
        <w:jc w:val="center"/>
        <w:rPr>
          <w:b/>
          <w:bCs/>
          <w:sz w:val="32"/>
          <w:szCs w:val="32"/>
        </w:rPr>
      </w:pPr>
    </w:p>
    <w:p w14:paraId="75D0241F" w14:textId="77777777" w:rsidR="003901EF" w:rsidRDefault="003901EF" w:rsidP="003901EF">
      <w:pPr>
        <w:jc w:val="center"/>
        <w:rPr>
          <w:b/>
          <w:bCs/>
          <w:sz w:val="32"/>
          <w:szCs w:val="32"/>
        </w:rPr>
      </w:pPr>
    </w:p>
    <w:p w14:paraId="4D06B08C" w14:textId="77777777" w:rsidR="003901EF" w:rsidRDefault="003901EF" w:rsidP="003901EF">
      <w:pPr>
        <w:jc w:val="center"/>
        <w:rPr>
          <w:b/>
          <w:bCs/>
          <w:sz w:val="32"/>
          <w:szCs w:val="32"/>
        </w:rPr>
      </w:pPr>
    </w:p>
    <w:p w14:paraId="14AFCB4C" w14:textId="77777777" w:rsidR="003901EF" w:rsidRDefault="003901EF" w:rsidP="003901EF">
      <w:pPr>
        <w:jc w:val="center"/>
        <w:rPr>
          <w:b/>
          <w:bCs/>
          <w:sz w:val="32"/>
          <w:szCs w:val="32"/>
        </w:rPr>
      </w:pPr>
    </w:p>
    <w:p w14:paraId="3716CD52" w14:textId="77777777" w:rsidR="003901EF" w:rsidRDefault="003901EF" w:rsidP="003901EF">
      <w:pPr>
        <w:jc w:val="center"/>
        <w:rPr>
          <w:b/>
          <w:bCs/>
          <w:sz w:val="32"/>
          <w:szCs w:val="32"/>
        </w:rPr>
      </w:pPr>
    </w:p>
    <w:p w14:paraId="00CF8ACD" w14:textId="77777777" w:rsidR="003901EF" w:rsidRPr="004B1720" w:rsidRDefault="003901EF" w:rsidP="003901EF">
      <w:pPr>
        <w:jc w:val="center"/>
        <w:rPr>
          <w:b/>
          <w:bCs/>
          <w:sz w:val="32"/>
          <w:szCs w:val="32"/>
        </w:rPr>
      </w:pPr>
      <w:r>
        <w:rPr>
          <w:b/>
          <w:bCs/>
          <w:sz w:val="32"/>
          <w:szCs w:val="32"/>
        </w:rPr>
        <w:t>“</w:t>
      </w:r>
      <w:r w:rsidRPr="004B1720">
        <w:rPr>
          <w:b/>
          <w:bCs/>
          <w:sz w:val="32"/>
          <w:szCs w:val="32"/>
        </w:rPr>
        <w:t>BMIH5007</w:t>
      </w:r>
      <w:r>
        <w:rPr>
          <w:b/>
          <w:bCs/>
          <w:sz w:val="32"/>
          <w:szCs w:val="32"/>
        </w:rPr>
        <w:t>”</w:t>
      </w:r>
    </w:p>
    <w:p w14:paraId="350C7CF1" w14:textId="77777777" w:rsidR="003901EF" w:rsidRPr="004B1720" w:rsidRDefault="003901EF" w:rsidP="003901EF">
      <w:pPr>
        <w:jc w:val="center"/>
        <w:rPr>
          <w:b/>
          <w:bCs/>
          <w:sz w:val="32"/>
          <w:szCs w:val="32"/>
        </w:rPr>
      </w:pPr>
      <w:r>
        <w:rPr>
          <w:b/>
          <w:bCs/>
          <w:sz w:val="32"/>
          <w:szCs w:val="32"/>
        </w:rPr>
        <w:t>“</w:t>
      </w:r>
      <w:r w:rsidRPr="004B1720">
        <w:rPr>
          <w:b/>
          <w:bCs/>
          <w:sz w:val="32"/>
          <w:szCs w:val="32"/>
        </w:rPr>
        <w:t>Financial Management for the Hotel Industry</w:t>
      </w:r>
      <w:r>
        <w:rPr>
          <w:b/>
          <w:bCs/>
          <w:sz w:val="32"/>
          <w:szCs w:val="32"/>
        </w:rPr>
        <w:t>”</w:t>
      </w:r>
    </w:p>
    <w:p w14:paraId="3B21F24F" w14:textId="77777777" w:rsidR="003901EF" w:rsidRDefault="003901EF" w:rsidP="003901EF">
      <w:pPr>
        <w:pBdr>
          <w:bottom w:val="single" w:sz="4" w:space="1" w:color="auto"/>
        </w:pBdr>
        <w:jc w:val="center"/>
        <w:rPr>
          <w:sz w:val="32"/>
          <w:szCs w:val="32"/>
        </w:rPr>
      </w:pPr>
      <w:r>
        <w:rPr>
          <w:b/>
          <w:bCs/>
          <w:sz w:val="32"/>
          <w:szCs w:val="32"/>
        </w:rPr>
        <w:t>“</w:t>
      </w:r>
      <w:r w:rsidRPr="004B1720">
        <w:rPr>
          <w:b/>
          <w:bCs/>
          <w:sz w:val="32"/>
          <w:szCs w:val="32"/>
        </w:rPr>
        <w:t>Assessment 2</w:t>
      </w:r>
      <w:r>
        <w:rPr>
          <w:sz w:val="32"/>
          <w:szCs w:val="32"/>
        </w:rPr>
        <w:t>”</w:t>
      </w:r>
    </w:p>
    <w:p w14:paraId="20598DFD" w14:textId="77777777" w:rsidR="003901EF" w:rsidRDefault="003901EF" w:rsidP="003901EF">
      <w:pPr>
        <w:jc w:val="center"/>
        <w:rPr>
          <w:b/>
          <w:sz w:val="32"/>
          <w:szCs w:val="32"/>
        </w:rPr>
      </w:pPr>
      <w:r>
        <w:rPr>
          <w:b/>
          <w:sz w:val="32"/>
          <w:szCs w:val="32"/>
        </w:rPr>
        <w:t>Programme: BA International Hotel Management</w:t>
      </w:r>
    </w:p>
    <w:p w14:paraId="26A8F76E" w14:textId="77777777" w:rsidR="003901EF" w:rsidRDefault="003901EF" w:rsidP="003901EF">
      <w:pPr>
        <w:jc w:val="center"/>
        <w:rPr>
          <w:b/>
          <w:sz w:val="32"/>
          <w:szCs w:val="32"/>
        </w:rPr>
      </w:pPr>
      <w:r>
        <w:rPr>
          <w:b/>
          <w:sz w:val="32"/>
          <w:szCs w:val="32"/>
        </w:rPr>
        <w:t xml:space="preserve">Student Name: Tudor Radu  </w:t>
      </w:r>
    </w:p>
    <w:p w14:paraId="3B290C9B" w14:textId="77777777" w:rsidR="003901EF" w:rsidRDefault="003901EF" w:rsidP="003901EF">
      <w:pPr>
        <w:rPr>
          <w:b/>
          <w:lang w:val="en-US"/>
        </w:rPr>
      </w:pPr>
      <w:r>
        <w:rPr>
          <w:b/>
          <w:sz w:val="32"/>
          <w:szCs w:val="32"/>
        </w:rPr>
        <w:t xml:space="preserve">                                          Student ID: 2243696</w:t>
      </w:r>
    </w:p>
    <w:p w14:paraId="30D56163" w14:textId="77777777" w:rsidR="003901EF" w:rsidRDefault="003901EF" w:rsidP="003901EF">
      <w:pPr>
        <w:jc w:val="center"/>
        <w:rPr>
          <w:b/>
          <w:sz w:val="32"/>
          <w:szCs w:val="32"/>
        </w:rPr>
      </w:pPr>
      <w:r>
        <w:rPr>
          <w:b/>
          <w:sz w:val="32"/>
          <w:szCs w:val="32"/>
        </w:rPr>
        <w:t>Assignment Title: Report Case Study- The City Hotel</w:t>
      </w:r>
    </w:p>
    <w:p w14:paraId="0505ECF5" w14:textId="77777777" w:rsidR="003901EF" w:rsidRDefault="003901EF" w:rsidP="003901EF">
      <w:pPr>
        <w:jc w:val="center"/>
        <w:rPr>
          <w:b/>
          <w:sz w:val="32"/>
          <w:szCs w:val="32"/>
        </w:rPr>
      </w:pPr>
      <w:r>
        <w:rPr>
          <w:b/>
          <w:sz w:val="32"/>
          <w:szCs w:val="32"/>
        </w:rPr>
        <w:t>Word Count: 2043</w:t>
      </w:r>
    </w:p>
    <w:p w14:paraId="4F602C40" w14:textId="77777777" w:rsidR="003901EF" w:rsidRDefault="003901EF" w:rsidP="003901EF">
      <w:pPr>
        <w:pBdr>
          <w:bottom w:val="single" w:sz="4" w:space="1" w:color="auto"/>
        </w:pBdr>
        <w:jc w:val="center"/>
        <w:rPr>
          <w:b/>
        </w:rPr>
      </w:pPr>
      <w:r>
        <w:br w:type="page"/>
      </w:r>
    </w:p>
    <w:p w14:paraId="378E6466" w14:textId="77777777" w:rsidR="003901EF" w:rsidRDefault="003901EF" w:rsidP="003901EF">
      <w:pPr>
        <w:jc w:val="center"/>
        <w:rPr>
          <w:b/>
        </w:rPr>
      </w:pPr>
      <w:r>
        <w:rPr>
          <w:b/>
        </w:rPr>
        <w:lastRenderedPageBreak/>
        <w:t>Executive Summary</w:t>
      </w:r>
    </w:p>
    <w:p w14:paraId="6CAE6C07" w14:textId="77777777" w:rsidR="003901EF" w:rsidRDefault="003901EF" w:rsidP="003901EF">
      <w:r>
        <w:t xml:space="preserve">The applicability of the Financial Management concept provides a positive volume of financial performance analysis structure including some of the strategic development initiatives which bring a positive attribute in relation to the resource allocations as well. It also provides a significant level of importance to both financial and non-financial attributes on a simultaneous basis that is relevant and accountable to identify the progressive growth initiated. In relation to the present market circumstances, the financial position of The City Hotel is provided with the identification of financial position analysis associated with the revenue and profit formulation which allows the business to maintain comprehensive financial stability. The identified formulation related to the ratio analysis for the financial processing of the business presently indicates the use level of declining circumstantial approach in relation to the profit and revenue formulation which is insufficient and incompetent to maintain stable growth. To identify the primary reason for such declining incompetency both the macro and microeconomic factors have been evaluated that impose the general insufficiency mainly occurred due to GDP decline, interest expansion, inflation, market standard and also for the environmental issues that can be managed by the business through the applications of proper turn around strategic benefit. For such reason, some significant strategic structure is also provided in the ending part of this report which indicates the positive appearances and possibilities of business development properly. </w:t>
      </w:r>
    </w:p>
    <w:p w14:paraId="7A73339D" w14:textId="77777777" w:rsidR="003901EF" w:rsidRDefault="003901EF" w:rsidP="003901EF">
      <w:pPr>
        <w:rPr>
          <w:b/>
        </w:rPr>
      </w:pPr>
    </w:p>
    <w:p w14:paraId="308FFD9B" w14:textId="77777777" w:rsidR="003901EF" w:rsidRDefault="003901EF" w:rsidP="003901EF"/>
    <w:p w14:paraId="1F00E89F" w14:textId="77777777" w:rsidR="003901EF" w:rsidRDefault="003901EF" w:rsidP="003901EF">
      <w:pPr>
        <w:rPr>
          <w:b/>
        </w:rPr>
      </w:pPr>
      <w:r>
        <w:br w:type="page"/>
      </w:r>
    </w:p>
    <w:bookmarkStart w:id="0" w:name="_69vr5xfzkpju" w:colFirst="0" w:colLast="0" w:displacedByCustomXml="next"/>
    <w:bookmarkEnd w:id="0" w:displacedByCustomXml="next"/>
    <w:sdt>
      <w:sdtPr>
        <w:rPr>
          <w:rFonts w:ascii="Times New Roman" w:eastAsia="Times New Roman" w:hAnsi="Times New Roman" w:cs="Times New Roman"/>
          <w:color w:val="auto"/>
          <w:sz w:val="24"/>
          <w:szCs w:val="24"/>
          <w:lang w:val="en-GB"/>
        </w:rPr>
        <w:id w:val="-390111275"/>
        <w:docPartObj>
          <w:docPartGallery w:val="Table of Contents"/>
          <w:docPartUnique/>
        </w:docPartObj>
      </w:sdtPr>
      <w:sdtEndPr>
        <w:rPr>
          <w:b/>
          <w:bCs/>
          <w:noProof/>
        </w:rPr>
      </w:sdtEndPr>
      <w:sdtContent>
        <w:p w14:paraId="00E8CFEA" w14:textId="77777777" w:rsidR="003901EF" w:rsidRPr="00363D67" w:rsidRDefault="003901EF" w:rsidP="003901EF">
          <w:pPr>
            <w:pStyle w:val="TOCHeading"/>
            <w:jc w:val="center"/>
            <w:rPr>
              <w:rFonts w:ascii="Times New Roman" w:hAnsi="Times New Roman" w:cs="Times New Roman"/>
              <w:b/>
              <w:bCs/>
              <w:color w:val="000000" w:themeColor="text1"/>
            </w:rPr>
          </w:pPr>
          <w:r w:rsidRPr="00363D67">
            <w:rPr>
              <w:rFonts w:ascii="Times New Roman" w:hAnsi="Times New Roman" w:cs="Times New Roman"/>
              <w:b/>
              <w:bCs/>
              <w:color w:val="000000" w:themeColor="text1"/>
            </w:rPr>
            <w:t>Table of Contents</w:t>
          </w:r>
        </w:p>
        <w:p w14:paraId="7E7D07AA" w14:textId="77777777" w:rsidR="003901EF" w:rsidRDefault="003901EF" w:rsidP="003901EF">
          <w:pPr>
            <w:pStyle w:val="TOC1"/>
            <w:tabs>
              <w:tab w:val="right" w:leader="dot" w:pos="9350"/>
            </w:tabs>
            <w:rPr>
              <w:noProof/>
            </w:rPr>
          </w:pPr>
          <w:r>
            <w:fldChar w:fldCharType="begin"/>
          </w:r>
          <w:r>
            <w:instrText xml:space="preserve"> TOC \o "1-3" \h \z \u </w:instrText>
          </w:r>
          <w:r>
            <w:fldChar w:fldCharType="separate"/>
          </w:r>
          <w:hyperlink w:anchor="_Toc181524964" w:history="1">
            <w:r w:rsidRPr="00EB6A1A">
              <w:rPr>
                <w:rStyle w:val="Hyperlink"/>
                <w:noProof/>
              </w:rPr>
              <w:t>Introduction</w:t>
            </w:r>
            <w:r>
              <w:rPr>
                <w:noProof/>
                <w:webHidden/>
              </w:rPr>
              <w:tab/>
            </w:r>
            <w:r>
              <w:rPr>
                <w:noProof/>
                <w:webHidden/>
              </w:rPr>
              <w:fldChar w:fldCharType="begin"/>
            </w:r>
            <w:r>
              <w:rPr>
                <w:noProof/>
                <w:webHidden/>
              </w:rPr>
              <w:instrText xml:space="preserve"> PAGEREF _Toc181524964 \h </w:instrText>
            </w:r>
            <w:r>
              <w:rPr>
                <w:noProof/>
                <w:webHidden/>
              </w:rPr>
            </w:r>
            <w:r>
              <w:rPr>
                <w:noProof/>
                <w:webHidden/>
              </w:rPr>
              <w:fldChar w:fldCharType="separate"/>
            </w:r>
            <w:r>
              <w:rPr>
                <w:noProof/>
                <w:webHidden/>
              </w:rPr>
              <w:t>4</w:t>
            </w:r>
            <w:r>
              <w:rPr>
                <w:noProof/>
                <w:webHidden/>
              </w:rPr>
              <w:fldChar w:fldCharType="end"/>
            </w:r>
          </w:hyperlink>
        </w:p>
        <w:p w14:paraId="1D9C05CA" w14:textId="77777777" w:rsidR="003901EF" w:rsidRDefault="003901EF" w:rsidP="003901EF">
          <w:pPr>
            <w:pStyle w:val="TOC1"/>
            <w:tabs>
              <w:tab w:val="right" w:leader="dot" w:pos="9350"/>
            </w:tabs>
            <w:rPr>
              <w:noProof/>
            </w:rPr>
          </w:pPr>
          <w:hyperlink w:anchor="_Toc181524965" w:history="1">
            <w:r w:rsidRPr="00EB6A1A">
              <w:rPr>
                <w:rStyle w:val="Hyperlink"/>
                <w:noProof/>
              </w:rPr>
              <w:t>An analysis of the financial trending position for The City Hotel</w:t>
            </w:r>
            <w:r>
              <w:rPr>
                <w:noProof/>
                <w:webHidden/>
              </w:rPr>
              <w:tab/>
            </w:r>
            <w:r>
              <w:rPr>
                <w:noProof/>
                <w:webHidden/>
              </w:rPr>
              <w:fldChar w:fldCharType="begin"/>
            </w:r>
            <w:r>
              <w:rPr>
                <w:noProof/>
                <w:webHidden/>
              </w:rPr>
              <w:instrText xml:space="preserve"> PAGEREF _Toc181524965 \h </w:instrText>
            </w:r>
            <w:r>
              <w:rPr>
                <w:noProof/>
                <w:webHidden/>
              </w:rPr>
            </w:r>
            <w:r>
              <w:rPr>
                <w:noProof/>
                <w:webHidden/>
              </w:rPr>
              <w:fldChar w:fldCharType="separate"/>
            </w:r>
            <w:r>
              <w:rPr>
                <w:noProof/>
                <w:webHidden/>
              </w:rPr>
              <w:t>4</w:t>
            </w:r>
            <w:r>
              <w:rPr>
                <w:noProof/>
                <w:webHidden/>
              </w:rPr>
              <w:fldChar w:fldCharType="end"/>
            </w:r>
          </w:hyperlink>
        </w:p>
        <w:p w14:paraId="0596CD29" w14:textId="77777777" w:rsidR="003901EF" w:rsidRDefault="003901EF" w:rsidP="003901EF">
          <w:pPr>
            <w:pStyle w:val="TOC1"/>
            <w:tabs>
              <w:tab w:val="right" w:leader="dot" w:pos="9350"/>
            </w:tabs>
            <w:rPr>
              <w:noProof/>
            </w:rPr>
          </w:pPr>
          <w:hyperlink w:anchor="_Toc181524966" w:history="1">
            <w:r w:rsidRPr="00EB6A1A">
              <w:rPr>
                <w:rStyle w:val="Hyperlink"/>
                <w:noProof/>
              </w:rPr>
              <w:t>General reasons regarding the decline in revenue and earnings for The City Hotel</w:t>
            </w:r>
            <w:r>
              <w:rPr>
                <w:noProof/>
                <w:webHidden/>
              </w:rPr>
              <w:tab/>
            </w:r>
            <w:r>
              <w:rPr>
                <w:noProof/>
                <w:webHidden/>
              </w:rPr>
              <w:fldChar w:fldCharType="begin"/>
            </w:r>
            <w:r>
              <w:rPr>
                <w:noProof/>
                <w:webHidden/>
              </w:rPr>
              <w:instrText xml:space="preserve"> PAGEREF _Toc181524966 \h </w:instrText>
            </w:r>
            <w:r>
              <w:rPr>
                <w:noProof/>
                <w:webHidden/>
              </w:rPr>
            </w:r>
            <w:r>
              <w:rPr>
                <w:noProof/>
                <w:webHidden/>
              </w:rPr>
              <w:fldChar w:fldCharType="separate"/>
            </w:r>
            <w:r>
              <w:rPr>
                <w:noProof/>
                <w:webHidden/>
              </w:rPr>
              <w:t>7</w:t>
            </w:r>
            <w:r>
              <w:rPr>
                <w:noProof/>
                <w:webHidden/>
              </w:rPr>
              <w:fldChar w:fldCharType="end"/>
            </w:r>
          </w:hyperlink>
        </w:p>
        <w:p w14:paraId="054948E8" w14:textId="77777777" w:rsidR="003901EF" w:rsidRDefault="003901EF" w:rsidP="003901EF">
          <w:pPr>
            <w:pStyle w:val="TOC1"/>
            <w:tabs>
              <w:tab w:val="right" w:leader="dot" w:pos="9350"/>
            </w:tabs>
            <w:rPr>
              <w:noProof/>
            </w:rPr>
          </w:pPr>
          <w:hyperlink w:anchor="_Toc181524967" w:history="1">
            <w:r w:rsidRPr="00EB6A1A">
              <w:rPr>
                <w:rStyle w:val="Hyperlink"/>
                <w:noProof/>
              </w:rPr>
              <w:t>Turnaround strategies for business progress in future for The City Hotel</w:t>
            </w:r>
            <w:r>
              <w:rPr>
                <w:noProof/>
                <w:webHidden/>
              </w:rPr>
              <w:tab/>
            </w:r>
            <w:r>
              <w:rPr>
                <w:noProof/>
                <w:webHidden/>
              </w:rPr>
              <w:fldChar w:fldCharType="begin"/>
            </w:r>
            <w:r>
              <w:rPr>
                <w:noProof/>
                <w:webHidden/>
              </w:rPr>
              <w:instrText xml:space="preserve"> PAGEREF _Toc181524967 \h </w:instrText>
            </w:r>
            <w:r>
              <w:rPr>
                <w:noProof/>
                <w:webHidden/>
              </w:rPr>
            </w:r>
            <w:r>
              <w:rPr>
                <w:noProof/>
                <w:webHidden/>
              </w:rPr>
              <w:fldChar w:fldCharType="separate"/>
            </w:r>
            <w:r>
              <w:rPr>
                <w:noProof/>
                <w:webHidden/>
              </w:rPr>
              <w:t>10</w:t>
            </w:r>
            <w:r>
              <w:rPr>
                <w:noProof/>
                <w:webHidden/>
              </w:rPr>
              <w:fldChar w:fldCharType="end"/>
            </w:r>
          </w:hyperlink>
        </w:p>
        <w:p w14:paraId="677EA9CC" w14:textId="77777777" w:rsidR="003901EF" w:rsidRDefault="003901EF" w:rsidP="003901EF">
          <w:pPr>
            <w:pStyle w:val="TOC1"/>
            <w:tabs>
              <w:tab w:val="right" w:leader="dot" w:pos="9350"/>
            </w:tabs>
            <w:rPr>
              <w:noProof/>
            </w:rPr>
          </w:pPr>
          <w:hyperlink w:anchor="_Toc181524968" w:history="1">
            <w:r w:rsidRPr="00EB6A1A">
              <w:rPr>
                <w:rStyle w:val="Hyperlink"/>
                <w:noProof/>
              </w:rPr>
              <w:t>Conclusions</w:t>
            </w:r>
            <w:r>
              <w:rPr>
                <w:noProof/>
                <w:webHidden/>
              </w:rPr>
              <w:tab/>
            </w:r>
            <w:r>
              <w:rPr>
                <w:noProof/>
                <w:webHidden/>
              </w:rPr>
              <w:fldChar w:fldCharType="begin"/>
            </w:r>
            <w:r>
              <w:rPr>
                <w:noProof/>
                <w:webHidden/>
              </w:rPr>
              <w:instrText xml:space="preserve"> PAGEREF _Toc181524968 \h </w:instrText>
            </w:r>
            <w:r>
              <w:rPr>
                <w:noProof/>
                <w:webHidden/>
              </w:rPr>
            </w:r>
            <w:r>
              <w:rPr>
                <w:noProof/>
                <w:webHidden/>
              </w:rPr>
              <w:fldChar w:fldCharType="separate"/>
            </w:r>
            <w:r>
              <w:rPr>
                <w:noProof/>
                <w:webHidden/>
              </w:rPr>
              <w:t>11</w:t>
            </w:r>
            <w:r>
              <w:rPr>
                <w:noProof/>
                <w:webHidden/>
              </w:rPr>
              <w:fldChar w:fldCharType="end"/>
            </w:r>
          </w:hyperlink>
        </w:p>
        <w:p w14:paraId="0144D5D3" w14:textId="77777777" w:rsidR="003901EF" w:rsidRDefault="003901EF" w:rsidP="003901EF">
          <w:pPr>
            <w:pStyle w:val="TOC1"/>
            <w:tabs>
              <w:tab w:val="right" w:leader="dot" w:pos="9350"/>
            </w:tabs>
            <w:rPr>
              <w:noProof/>
            </w:rPr>
          </w:pPr>
          <w:hyperlink w:anchor="_Toc181524969" w:history="1">
            <w:r w:rsidRPr="00EB6A1A">
              <w:rPr>
                <w:rStyle w:val="Hyperlink"/>
                <w:noProof/>
              </w:rPr>
              <w:t>References</w:t>
            </w:r>
            <w:r>
              <w:rPr>
                <w:noProof/>
                <w:webHidden/>
              </w:rPr>
              <w:tab/>
            </w:r>
            <w:r>
              <w:rPr>
                <w:noProof/>
                <w:webHidden/>
              </w:rPr>
              <w:fldChar w:fldCharType="begin"/>
            </w:r>
            <w:r>
              <w:rPr>
                <w:noProof/>
                <w:webHidden/>
              </w:rPr>
              <w:instrText xml:space="preserve"> PAGEREF _Toc181524969 \h </w:instrText>
            </w:r>
            <w:r>
              <w:rPr>
                <w:noProof/>
                <w:webHidden/>
              </w:rPr>
            </w:r>
            <w:r>
              <w:rPr>
                <w:noProof/>
                <w:webHidden/>
              </w:rPr>
              <w:fldChar w:fldCharType="separate"/>
            </w:r>
            <w:r>
              <w:rPr>
                <w:noProof/>
                <w:webHidden/>
              </w:rPr>
              <w:t>12</w:t>
            </w:r>
            <w:r>
              <w:rPr>
                <w:noProof/>
                <w:webHidden/>
              </w:rPr>
              <w:fldChar w:fldCharType="end"/>
            </w:r>
          </w:hyperlink>
        </w:p>
        <w:p w14:paraId="48CBA38B" w14:textId="77777777" w:rsidR="003901EF" w:rsidRDefault="003901EF" w:rsidP="003901EF">
          <w:r>
            <w:rPr>
              <w:b/>
              <w:bCs/>
              <w:noProof/>
            </w:rPr>
            <w:fldChar w:fldCharType="end"/>
          </w:r>
        </w:p>
      </w:sdtContent>
    </w:sdt>
    <w:p w14:paraId="474DE590" w14:textId="77777777" w:rsidR="003901EF" w:rsidRDefault="003901EF" w:rsidP="003901EF">
      <w:pPr>
        <w:pStyle w:val="Heading1"/>
      </w:pPr>
      <w:r>
        <w:br w:type="page"/>
      </w:r>
    </w:p>
    <w:p w14:paraId="126C90FE" w14:textId="77777777" w:rsidR="003901EF" w:rsidRDefault="003901EF" w:rsidP="003901EF">
      <w:pPr>
        <w:pStyle w:val="Heading1"/>
      </w:pPr>
      <w:bookmarkStart w:id="1" w:name="_tc49rcwprfcw" w:colFirst="0" w:colLast="0"/>
      <w:bookmarkStart w:id="2" w:name="_Toc181524964"/>
      <w:bookmarkEnd w:id="1"/>
      <w:r>
        <w:lastRenderedPageBreak/>
        <w:t>Introduction</w:t>
      </w:r>
      <w:bookmarkEnd w:id="2"/>
      <w:r>
        <w:t xml:space="preserve"> </w:t>
      </w:r>
    </w:p>
    <w:p w14:paraId="6A032548" w14:textId="77777777" w:rsidR="003901EF" w:rsidRPr="00110BAE" w:rsidRDefault="003901EF" w:rsidP="003901EF">
      <w:bookmarkStart w:id="3" w:name="_5c0yhe441vji" w:colFirst="0" w:colLast="0"/>
      <w:bookmarkStart w:id="4" w:name="_Toc181524965"/>
      <w:bookmarkEnd w:id="3"/>
      <w:r w:rsidRPr="00110BAE">
        <w:t>This analysis examines the applicability of financial management in a business context, focusing on resource allocation, capital management, and the evaluation of financial performance. It highlights the importance of both financial and non-financial metrics in assessing a company's financial health and guiding stakeholder decisions (Laghari et al., 2023). This report specifically evaluates the financial performance and operational strategy of The City Hotel to assess its current financial position.</w:t>
      </w:r>
    </w:p>
    <w:p w14:paraId="15BA202A" w14:textId="77777777" w:rsidR="003901EF" w:rsidRDefault="003901EF" w:rsidP="003901EF">
      <w:pPr>
        <w:pStyle w:val="Heading1"/>
      </w:pPr>
      <w:r>
        <w:t>An analysis of the financial trending position for The City Hotel</w:t>
      </w:r>
      <w:bookmarkEnd w:id="4"/>
      <w:r>
        <w:t xml:space="preserve"> </w:t>
      </w:r>
    </w:p>
    <w:p w14:paraId="2070990B" w14:textId="77777777" w:rsidR="003901EF" w:rsidRDefault="003901EF" w:rsidP="003901EF">
      <w:r>
        <w:t>Financial management is crucial for any business to ensure sustainable profitability. A company with high revenue and controlled expenses is more likely to achieve profitability, whereas high expenses can undermine even strong revenue. This report evaluates The City Hotel’s financial trends, focusing on its revenue performance and overall business operations.</w:t>
      </w:r>
    </w:p>
    <w:p w14:paraId="1AABEDCD" w14:textId="77777777" w:rsidR="003901EF" w:rsidRDefault="003901EF" w:rsidP="003901EF">
      <w:r>
        <w:rPr>
          <w:b/>
        </w:rPr>
        <w:t xml:space="preserve">Revenue: </w:t>
      </w:r>
      <w:r>
        <w:t>Revenue represents the earnings generated from a company’s operations, influenced by both internal and external factors (</w:t>
      </w:r>
      <w:proofErr w:type="spellStart"/>
      <w:r>
        <w:t>Dieringer</w:t>
      </w:r>
      <w:proofErr w:type="spellEnd"/>
      <w:r>
        <w:t>, 2024). Positive revenue growth signals strong financial health, while declining revenue suggests operational inefficiencies or competitive challenges. This section outlines the financial performance of The City Hotel, identifying whether its revenue is growing or declining, and the implications for its financial stability.</w:t>
      </w:r>
    </w:p>
    <w:p w14:paraId="50CE8ACB" w14:textId="77777777" w:rsidR="003901EF" w:rsidRDefault="003901EF" w:rsidP="003901EF">
      <w:r>
        <w:t xml:space="preserve">In 2021 5248290 to 5307480 in 2022 indicates an expansion of 1.12% </w:t>
      </w:r>
    </w:p>
    <w:p w14:paraId="1EAF65DD" w14:textId="77777777" w:rsidR="003901EF" w:rsidRDefault="003901EF" w:rsidP="003901EF">
      <w:pPr>
        <w:numPr>
          <w:ilvl w:val="0"/>
          <w:numId w:val="1"/>
        </w:numPr>
      </w:pPr>
      <w:r>
        <w:t xml:space="preserve">In 2022 5307480 to 2325440 in 2023 indicates a declined position of (56.18%) </w:t>
      </w:r>
    </w:p>
    <w:p w14:paraId="49E39A23" w14:textId="77777777" w:rsidR="003901EF" w:rsidRDefault="003901EF" w:rsidP="003901EF">
      <w:r>
        <w:t xml:space="preserve">It mainly represents while in 2021 the revenue is expanded with a level of 1.12% in the period of 2022, it declines with the value of (56.18%), which represents more than 50% of financial capability decline initiatives. Generally, the insufficient market demand including the expanded level of pricing standard associated with the standard of living level of customers mainly imposes this type of insufficiencies. </w:t>
      </w:r>
    </w:p>
    <w:p w14:paraId="3B9D1C2A" w14:textId="77777777" w:rsidR="003901EF" w:rsidRDefault="003901EF" w:rsidP="003901EF">
      <w:r>
        <w:rPr>
          <w:b/>
        </w:rPr>
        <w:t>Expenses:</w:t>
      </w:r>
      <w:r>
        <w:t xml:space="preserve"> The presence of this element is necessary in associated with the business operations which allows to maintain a proper stability progress and formulation of the business operations in a smooth and systematic order (Drury, 2021</w:t>
      </w:r>
      <w:r w:rsidRPr="0057096E">
        <w:t xml:space="preserve">). A progressive expansions of business expenditure generally represents the incompetence’s structure of the business in the current market standard while the lower expenditure represents optimised value positioning growth and accountability support of business operation. In relation to the </w:t>
      </w:r>
      <w:r>
        <w:t xml:space="preserve">present formulations of the business position, a detailed variance analysis has been provided for two different periods of business. </w:t>
      </w:r>
    </w:p>
    <w:p w14:paraId="154E3CDE" w14:textId="77777777" w:rsidR="003901EF" w:rsidRDefault="003901EF" w:rsidP="003901EF">
      <w:pPr>
        <w:jc w:val="center"/>
      </w:pPr>
      <w:r>
        <w:rPr>
          <w:noProof/>
        </w:rPr>
        <w:lastRenderedPageBreak/>
        <w:drawing>
          <wp:inline distT="114300" distB="114300" distL="114300" distR="114300" wp14:anchorId="6C041E95" wp14:editId="75161BE9">
            <wp:extent cx="5943600" cy="130810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5"/>
                    <a:srcRect/>
                    <a:stretch>
                      <a:fillRect/>
                    </a:stretch>
                  </pic:blipFill>
                  <pic:spPr>
                    <a:xfrm>
                      <a:off x="0" y="0"/>
                      <a:ext cx="5943600" cy="1308100"/>
                    </a:xfrm>
                    <a:prstGeom prst="rect">
                      <a:avLst/>
                    </a:prstGeom>
                    <a:ln/>
                  </pic:spPr>
                </pic:pic>
              </a:graphicData>
            </a:graphic>
          </wp:inline>
        </w:drawing>
      </w:r>
    </w:p>
    <w:p w14:paraId="7581E0AB" w14:textId="77777777" w:rsidR="003901EF" w:rsidRDefault="003901EF" w:rsidP="003901EF">
      <w:r>
        <w:t xml:space="preserve">It can be identified that the formulation of this particular analysis represents the cost of goods sold level of the business is declined in proportion of the current market initiatives. Even the same approach is also noticed in relation to other cost elements as well, imposing a certain level of insufficiency including an incompetency approach to the business operations. Additionally, the current expanded operating charges can be identified as the reasons behind such expansions as well. </w:t>
      </w:r>
    </w:p>
    <w:p w14:paraId="12950007" w14:textId="77777777" w:rsidR="003901EF" w:rsidRPr="0057096E" w:rsidRDefault="003901EF" w:rsidP="003901EF">
      <w:pPr>
        <w:rPr>
          <w:lang w:val="en-US"/>
        </w:rPr>
      </w:pPr>
      <w:r>
        <w:rPr>
          <w:b/>
        </w:rPr>
        <w:t xml:space="preserve">Profitability: </w:t>
      </w:r>
      <w:r>
        <w:t>General measurement and structural initiative of profit position for an individual business represent the earning potential approach in a secured and compatible order that allows managing the general value positioning attribute support in a related to the operating activity basis (Seal, 2019</w:t>
      </w:r>
      <w:r w:rsidRPr="0057096E">
        <w:t xml:space="preserve">). </w:t>
      </w:r>
      <w:r w:rsidRPr="0057096E">
        <w:rPr>
          <w:lang w:val="en-US"/>
        </w:rPr>
        <w:t>A higher volume of profitability position represents a positive opportunity to gain optimal benefit in a business in the context of operating structure, the lower profit indicates the incompetence’s approach and the general declined standard of earning level of business as well. </w:t>
      </w:r>
    </w:p>
    <w:p w14:paraId="792EC26A" w14:textId="77777777" w:rsidR="003901EF" w:rsidRPr="0057096E" w:rsidRDefault="003901EF" w:rsidP="003901EF"/>
    <w:p w14:paraId="11E54D5A" w14:textId="77777777" w:rsidR="003901EF" w:rsidRDefault="003901EF" w:rsidP="003901EF">
      <w:r>
        <w:rPr>
          <w:noProof/>
        </w:rPr>
        <w:drawing>
          <wp:inline distT="114300" distB="114300" distL="114300" distR="114300" wp14:anchorId="6C39A384" wp14:editId="7A42F21D">
            <wp:extent cx="5943600" cy="171450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
                    <a:srcRect/>
                    <a:stretch>
                      <a:fillRect/>
                    </a:stretch>
                  </pic:blipFill>
                  <pic:spPr>
                    <a:xfrm>
                      <a:off x="0" y="0"/>
                      <a:ext cx="5943600" cy="1714500"/>
                    </a:xfrm>
                    <a:prstGeom prst="rect">
                      <a:avLst/>
                    </a:prstGeom>
                    <a:ln/>
                  </pic:spPr>
                </pic:pic>
              </a:graphicData>
            </a:graphic>
          </wp:inline>
        </w:drawing>
      </w:r>
    </w:p>
    <w:p w14:paraId="24D53E74" w14:textId="77777777" w:rsidR="003901EF" w:rsidRDefault="003901EF" w:rsidP="003901EF">
      <w:pPr>
        <w:rPr>
          <w:b/>
        </w:rPr>
      </w:pPr>
      <w:r>
        <w:t xml:space="preserve">The formulation of gross profit margin related to this analysis indicates a general proportionate expansion of 92.4% in all three financial periods while the operating margin of the business represents a declining position of (52.4%) </w:t>
      </w:r>
      <w:r w:rsidRPr="0057096E">
        <w:t xml:space="preserve">in the last financial year of 2023 compared to the operating level of earning as 12.7% in 2022 and 2021. </w:t>
      </w:r>
      <w:r>
        <w:t xml:space="preserve">The excessive level of Cost expansion mainly imposes this type of negative approach on this business's profitability. </w:t>
      </w:r>
    </w:p>
    <w:p w14:paraId="23C9A9EE" w14:textId="77777777" w:rsidR="003901EF" w:rsidRPr="0057096E" w:rsidRDefault="003901EF" w:rsidP="003901EF">
      <w:pPr>
        <w:rPr>
          <w:lang w:val="en-US"/>
        </w:rPr>
      </w:pPr>
      <w:r>
        <w:rPr>
          <w:b/>
        </w:rPr>
        <w:lastRenderedPageBreak/>
        <w:t>Liquidity:</w:t>
      </w:r>
      <w:r>
        <w:t xml:space="preserve"> Formulation of these measurements has been initiated to provide a significant analytical benefit associated with cash flow formulation structure that brings a comprehensive approach to business cash flow feasibility value more accurately (</w:t>
      </w:r>
      <w:proofErr w:type="spellStart"/>
      <w:r>
        <w:t>Atrill</w:t>
      </w:r>
      <w:proofErr w:type="spellEnd"/>
      <w:r>
        <w:t xml:space="preserve"> and McLaney, 2021</w:t>
      </w:r>
      <w:r w:rsidRPr="0057096E">
        <w:t xml:space="preserve">). </w:t>
      </w:r>
      <w:r w:rsidRPr="0057096E">
        <w:rPr>
          <w:lang w:val="en-US"/>
        </w:rPr>
        <w:t>A positive position or ideal liquidity standard of the business indicates a higher volume of acid structure compared to the liability value which is able to maintain the payment initiative in respect of obligations without hampering the business operation, while declining liquidity indicates the opposite position where the business is incompetent to meet the liabilities properly. </w:t>
      </w:r>
    </w:p>
    <w:p w14:paraId="0A88D55F" w14:textId="77777777" w:rsidR="003901EF" w:rsidRDefault="003901EF" w:rsidP="003901EF">
      <w:pPr>
        <w:rPr>
          <w:b/>
        </w:rPr>
      </w:pPr>
      <w:r>
        <w:rPr>
          <w:noProof/>
        </w:rPr>
        <w:drawing>
          <wp:inline distT="114300" distB="114300" distL="114300" distR="114300" wp14:anchorId="754F49C7" wp14:editId="7DCE523F">
            <wp:extent cx="5943600" cy="15240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1524000"/>
                    </a:xfrm>
                    <a:prstGeom prst="rect">
                      <a:avLst/>
                    </a:prstGeom>
                    <a:ln/>
                  </pic:spPr>
                </pic:pic>
              </a:graphicData>
            </a:graphic>
          </wp:inline>
        </w:drawing>
      </w:r>
    </w:p>
    <w:p w14:paraId="3E6E630C" w14:textId="77777777" w:rsidR="003901EF" w:rsidRPr="0057096E" w:rsidRDefault="003901EF" w:rsidP="003901EF">
      <w:r>
        <w:t xml:space="preserve">The formulated level of this particular computation indicates an insufficient approach in relation to the volume of </w:t>
      </w:r>
      <w:r w:rsidRPr="0057096E">
        <w:t xml:space="preserve">liquidity in the last year 2023 with a level of 0.638 Times of development while in the earlier it was around 0.93 times of initiative. Even the quick ratio also represents a declining level of 0.62 times in the current year of 2023 compared to the previous level of 0.915 times of development, which represents the excessive level of expanded burden in the current liability standard. </w:t>
      </w:r>
    </w:p>
    <w:p w14:paraId="2BDA8C6B" w14:textId="77777777" w:rsidR="003901EF" w:rsidRPr="0057096E" w:rsidRDefault="003901EF" w:rsidP="003901EF">
      <w:pPr>
        <w:rPr>
          <w:lang w:val="en-US"/>
        </w:rPr>
      </w:pPr>
      <w:r>
        <w:rPr>
          <w:b/>
        </w:rPr>
        <w:t xml:space="preserve">Solvency: </w:t>
      </w:r>
      <w:r>
        <w:t>The initiated structure of this has been approached for measuring the capital structure element effectively that is optimal for the realisation of leverage positions and stability attributes accurately</w:t>
      </w:r>
      <w:r w:rsidRPr="0057096E">
        <w:t xml:space="preserve">. </w:t>
      </w:r>
      <w:r w:rsidRPr="0057096E">
        <w:rPr>
          <w:lang w:val="en-US"/>
        </w:rPr>
        <w:t>As per the principal if the debt-to-equity position of the business is expanded it will represent a negative approach as the Outsourcing capital volume will be higher compared to the equity capital position, on the other hand, if the interest coverage ratio is higher therefore, it will represent a positive financial standard where the business is capable of making the payment in respect of borrowing capital initiative. </w:t>
      </w:r>
    </w:p>
    <w:p w14:paraId="7A499C2A" w14:textId="77777777" w:rsidR="003901EF" w:rsidRDefault="003901EF" w:rsidP="003901EF">
      <w:pPr>
        <w:jc w:val="center"/>
      </w:pPr>
      <w:r>
        <w:rPr>
          <w:noProof/>
        </w:rPr>
        <w:lastRenderedPageBreak/>
        <w:drawing>
          <wp:inline distT="114300" distB="114300" distL="114300" distR="114300" wp14:anchorId="6F363DEF" wp14:editId="0EF2EE31">
            <wp:extent cx="5943600" cy="26162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616200"/>
                    </a:xfrm>
                    <a:prstGeom prst="rect">
                      <a:avLst/>
                    </a:prstGeom>
                    <a:ln/>
                  </pic:spPr>
                </pic:pic>
              </a:graphicData>
            </a:graphic>
          </wp:inline>
        </w:drawing>
      </w:r>
    </w:p>
    <w:p w14:paraId="74F8F968" w14:textId="77777777" w:rsidR="003901EF" w:rsidRPr="0057096E" w:rsidRDefault="003901EF" w:rsidP="003901EF">
      <w:r w:rsidRPr="0057096E">
        <w:t xml:space="preserve">The generally identified measurements of this analysis indicate the value related to debt-to-equity measurement indicate excessive expansions of 8.66 Times of development compared to the previous 4.34 times (in 2022) of development initiative mainly represents the excessive level of expansions in the following capital position which ultimately imposes the Outsourcing financial risks. On the other hand, the interest coverage ratio represents the decline in financial level up to (29.65) times due to the reasons for declined earning positions in the current year, which was 26.95 times positive in 2022 and 16.39 times in 2021. On the other hand, the debt to assets position represents an expanded approach due to the circumstances of excessive boring expansions while the equity represents a declining standard of 0.09 times representing the insufficient equity capital structure as well, while the same earlier was 0.16 times in 2022 and 0.17 times in 2021. </w:t>
      </w:r>
    </w:p>
    <w:p w14:paraId="0E84F841" w14:textId="77777777" w:rsidR="003901EF" w:rsidRDefault="003901EF" w:rsidP="003901EF">
      <w:pPr>
        <w:pStyle w:val="Heading1"/>
      </w:pPr>
      <w:bookmarkStart w:id="5" w:name="_8mshwhdcx28w" w:colFirst="0" w:colLast="0"/>
      <w:bookmarkStart w:id="6" w:name="_Toc181524966"/>
      <w:bookmarkEnd w:id="5"/>
      <w:r>
        <w:t>General reasons regarding the decline in revenue and earnings for The City Hotel</w:t>
      </w:r>
      <w:bookmarkEnd w:id="6"/>
    </w:p>
    <w:p w14:paraId="1E3497A1" w14:textId="77777777" w:rsidR="003901EF" w:rsidRDefault="003901EF" w:rsidP="003901EF">
      <w:r w:rsidRPr="00110BAE">
        <w:t>The decline in revenue and earnings for The City Hotel can be attributed to both macro and microeconomic factors. During periods of economic downturn, lower living standards reduce demand, negatively impacting revenue and profitability (</w:t>
      </w:r>
      <w:proofErr w:type="spellStart"/>
      <w:r w:rsidRPr="00110BAE">
        <w:t>Silitonga</w:t>
      </w:r>
      <w:proofErr w:type="spellEnd"/>
      <w:r w:rsidRPr="00110BAE">
        <w:t xml:space="preserve"> et al., 2024). Currently, economic conditions in the UK are contributing to inefficiencies in business operations. Key factors affecting the decline in earnings include these broader economic challenges.</w:t>
      </w:r>
    </w:p>
    <w:p w14:paraId="62A9AFF0" w14:textId="77777777" w:rsidR="003901EF" w:rsidRPr="0057096E" w:rsidRDefault="003901EF" w:rsidP="003901EF">
      <w:r>
        <w:rPr>
          <w:b/>
        </w:rPr>
        <w:t>Economic position:</w:t>
      </w:r>
      <w:r>
        <w:t xml:space="preserve"> The primary initiative associated with the political interventions in the UK economy imposes a certain level of challenging approach that can be identified through the recognition of GDP processing. In the present situation with the Brexit referendum, the immigration issues impose a certain level of challenging crisis for the </w:t>
      </w:r>
      <w:r w:rsidRPr="0057096E">
        <w:t xml:space="preserve">labour expenses which is also expanded with the Russia-Ukraine war to maintain the supply chain initiative. Due to these </w:t>
      </w:r>
      <w:r w:rsidRPr="0057096E">
        <w:lastRenderedPageBreak/>
        <w:t xml:space="preserve">reasons, the overall customer engagement in this business is negatively impacted and it also imposes are certain volume of insufficiency in the revenue expansion support. Along with the requisite raw material, the level of declining employee structure imposes a certain volume of negative impact related to the revenue formulations in individual businesses which also imposes a negative impact on the GDP formulation. The expanded level of employee available imposes a certain crisis in relation to the service development initiative mainly and due to such reasons, the operating charges of the business are constantly expanded.  The present level of growth rate related </w:t>
      </w:r>
      <w:r>
        <w:t xml:space="preserve">to the GDP position is around 0.1% which represents a huge level of market insufficiency and incompetence standard mainly (ONS, </w:t>
      </w:r>
      <w:r w:rsidRPr="0057096E">
        <w:t xml:space="preserve">2024). This type of negative approach also imposes a certain level of financial difficulties on the business of the City Hotel as well. </w:t>
      </w:r>
    </w:p>
    <w:p w14:paraId="22CF69B9" w14:textId="77777777" w:rsidR="003901EF" w:rsidRDefault="003901EF" w:rsidP="003901EF">
      <w:pPr>
        <w:jc w:val="center"/>
        <w:rPr>
          <w:b/>
        </w:rPr>
      </w:pPr>
      <w:r>
        <w:rPr>
          <w:b/>
          <w:noProof/>
        </w:rPr>
        <w:drawing>
          <wp:inline distT="114300" distB="114300" distL="114300" distR="114300" wp14:anchorId="18A884BA" wp14:editId="13F88C85">
            <wp:extent cx="4494407" cy="2852738"/>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494407" cy="2852738"/>
                    </a:xfrm>
                    <a:prstGeom prst="rect">
                      <a:avLst/>
                    </a:prstGeom>
                    <a:ln/>
                  </pic:spPr>
                </pic:pic>
              </a:graphicData>
            </a:graphic>
          </wp:inline>
        </w:drawing>
      </w:r>
    </w:p>
    <w:p w14:paraId="0A17A864" w14:textId="77777777" w:rsidR="003901EF" w:rsidRPr="0057096E" w:rsidRDefault="003901EF" w:rsidP="003901EF">
      <w:r>
        <w:rPr>
          <w:b/>
        </w:rPr>
        <w:t xml:space="preserve">Interest and inflation: </w:t>
      </w:r>
      <w:r>
        <w:t xml:space="preserve">In the present period the level of inflation has expanded up to the level of 2.2% in the UK economy while in the earlier such level was more than 10%. The huge volume of such inflations level mainly initiates the consequences of expanded levels of charges in relation to every individual accounting element related to the business which imposes a certain level of insufficiency for the declining standard of living. Even the expanded positions of interest by the BOE week a level of 5.25% (currently 5.00%) initiates a huge level of challenging approach for the maintenance of borrowing initiative approach that imposes a certain level of operating crisis </w:t>
      </w:r>
      <w:r w:rsidRPr="0057096E">
        <w:t>for every individual sector including the hospitality business as well (Harari, 2024). The expansions of this volume generally indicate a certain volume of negative impact in relation to the financial cost level on an unethical order which ultimately imposes a certain volume of profit-</w:t>
      </w:r>
      <w:r w:rsidRPr="0057096E">
        <w:lastRenderedPageBreak/>
        <w:t xml:space="preserve">declining consequences The volume of such insufficient financial availability imposes a certain volume of negative impact related to trade initiatives for every hospitality business and the same negative influences are also imposing a certain level of trade crisis in the City Hotel as well.  </w:t>
      </w:r>
    </w:p>
    <w:p w14:paraId="48A3B10F" w14:textId="77777777" w:rsidR="003901EF" w:rsidRPr="0057096E" w:rsidRDefault="003901EF" w:rsidP="003901EF"/>
    <w:p w14:paraId="4ACC7726" w14:textId="77777777" w:rsidR="003901EF" w:rsidRDefault="003901EF" w:rsidP="003901EF">
      <w:pPr>
        <w:jc w:val="center"/>
      </w:pPr>
      <w:r>
        <w:rPr>
          <w:noProof/>
        </w:rPr>
        <w:drawing>
          <wp:inline distT="114300" distB="114300" distL="114300" distR="114300" wp14:anchorId="41337F97" wp14:editId="6FB2A350">
            <wp:extent cx="4919663" cy="324823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919663" cy="3248239"/>
                    </a:xfrm>
                    <a:prstGeom prst="rect">
                      <a:avLst/>
                    </a:prstGeom>
                    <a:ln/>
                  </pic:spPr>
                </pic:pic>
              </a:graphicData>
            </a:graphic>
          </wp:inline>
        </w:drawing>
      </w:r>
    </w:p>
    <w:p w14:paraId="2103B975" w14:textId="77777777" w:rsidR="003901EF" w:rsidRPr="0057096E" w:rsidRDefault="003901EF" w:rsidP="003901EF">
      <w:pPr>
        <w:rPr>
          <w:lang w:val="en-US"/>
        </w:rPr>
      </w:pPr>
      <w:r>
        <w:rPr>
          <w:b/>
        </w:rPr>
        <w:t>Taxation</w:t>
      </w:r>
      <w:r>
        <w:t xml:space="preserve">: Tax is defined as a volume of charges or obligations which is paid by a business to the government in respect of the volume of earnings. In the present situation, the government expanded the level of corporate tax level from 19% to 25% which imposes the level of a challenging approach in </w:t>
      </w:r>
      <w:r w:rsidRPr="0057096E">
        <w:t xml:space="preserve">relation to maintaining the volume of business profitability or earnings. The formulation of this expansion and initiative such as expansions impose a level of operating challenge position over the business performances that is generally uncertain for the maintenance of business’ value initiative formulation (Taxsummaries.pwc.com, 2023). </w:t>
      </w:r>
      <w:r w:rsidRPr="0057096E">
        <w:rPr>
          <w:lang w:val="en-US"/>
        </w:rPr>
        <w:t>Due to these reasons, the volume of tax liability in the business is expanded during the year 2022 and also in 2023 in proportionate to the volume of revenue formulation. </w:t>
      </w:r>
    </w:p>
    <w:p w14:paraId="26EE9060" w14:textId="77777777" w:rsidR="003901EF" w:rsidRPr="0057096E" w:rsidRDefault="003901EF" w:rsidP="003901EF">
      <w:pPr>
        <w:jc w:val="center"/>
      </w:pPr>
      <w:r w:rsidRPr="0057096E">
        <w:rPr>
          <w:noProof/>
        </w:rPr>
        <w:lastRenderedPageBreak/>
        <w:drawing>
          <wp:inline distT="114300" distB="114300" distL="114300" distR="114300" wp14:anchorId="33301DA3" wp14:editId="57EDCD81">
            <wp:extent cx="5119688" cy="2494207"/>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119688" cy="2494207"/>
                    </a:xfrm>
                    <a:prstGeom prst="rect">
                      <a:avLst/>
                    </a:prstGeom>
                    <a:ln/>
                  </pic:spPr>
                </pic:pic>
              </a:graphicData>
            </a:graphic>
          </wp:inline>
        </w:drawing>
      </w:r>
    </w:p>
    <w:p w14:paraId="292588AB" w14:textId="77777777" w:rsidR="003901EF" w:rsidRPr="0057096E" w:rsidRDefault="003901EF" w:rsidP="003901EF">
      <w:r>
        <w:rPr>
          <w:b/>
        </w:rPr>
        <w:t>Impact of Global Warming:</w:t>
      </w:r>
      <w:r>
        <w:t xml:space="preserve"> The general initiative related to the presence of demand associated with the hospitality business depends upon the environment on a significant basis. A positive environment structure represents a positive tourist engagement the insufficient level of temperature and atmospheric consequences impose a negative impact on this industry. In the presence scenario, the label of temperature in the UK is constantly expanding due to the reasons of global warming with +0.83°C, while the level of GHG emissions level is expanded to the position of 417.1 </w:t>
      </w:r>
      <w:proofErr w:type="spellStart"/>
      <w:r>
        <w:t>MtCO₂e</w:t>
      </w:r>
      <w:proofErr w:type="spellEnd"/>
      <w:r>
        <w:t xml:space="preserve"> (WWF, 2023). The position of search insufficient environmental </w:t>
      </w:r>
      <w:r w:rsidRPr="0057096E">
        <w:t xml:space="preserve">impact imposes a certain level of challenging approach related to the tourism business on an insufficient basis. </w:t>
      </w:r>
      <w:r w:rsidRPr="0057096E">
        <w:rPr>
          <w:lang w:val="en-US"/>
        </w:rPr>
        <w:t>Generally, this consequence imposes the volume of revenue level of the business as a declining approach as the primary volume of customer involvement is declining on a constant basis due to the insufficiency in weather positions and global warming. </w:t>
      </w:r>
    </w:p>
    <w:p w14:paraId="1FF8E123" w14:textId="77777777" w:rsidR="003901EF" w:rsidRPr="0057096E" w:rsidRDefault="003901EF" w:rsidP="003901EF">
      <w:pPr>
        <w:jc w:val="center"/>
      </w:pPr>
      <w:r w:rsidRPr="0057096E">
        <w:rPr>
          <w:noProof/>
        </w:rPr>
        <w:lastRenderedPageBreak/>
        <w:drawing>
          <wp:inline distT="114300" distB="114300" distL="114300" distR="114300" wp14:anchorId="58F1BF27" wp14:editId="4D3F2D95">
            <wp:extent cx="4605338" cy="2798064"/>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605338" cy="2798064"/>
                    </a:xfrm>
                    <a:prstGeom prst="rect">
                      <a:avLst/>
                    </a:prstGeom>
                    <a:ln/>
                  </pic:spPr>
                </pic:pic>
              </a:graphicData>
            </a:graphic>
          </wp:inline>
        </w:drawing>
      </w:r>
    </w:p>
    <w:p w14:paraId="29E1CD77" w14:textId="77777777" w:rsidR="003901EF" w:rsidRDefault="003901EF" w:rsidP="003901EF">
      <w:pPr>
        <w:pStyle w:val="Heading1"/>
      </w:pPr>
      <w:bookmarkStart w:id="7" w:name="_4lw40s3jnv1e" w:colFirst="0" w:colLast="0"/>
      <w:bookmarkStart w:id="8" w:name="_Toc181524967"/>
      <w:bookmarkEnd w:id="7"/>
      <w:r>
        <w:t>Turnaround strategies for business progress in future for The City Hotel</w:t>
      </w:r>
      <w:bookmarkEnd w:id="8"/>
    </w:p>
    <w:p w14:paraId="56940839" w14:textId="77777777" w:rsidR="003901EF" w:rsidRDefault="003901EF" w:rsidP="003901EF">
      <w:bookmarkStart w:id="9" w:name="_hgpthuwanoxa" w:colFirst="0" w:colLast="0"/>
      <w:bookmarkStart w:id="10" w:name="_Toc181524968"/>
      <w:bookmarkEnd w:id="9"/>
      <w:r>
        <w:t>A clear strategic plan is essential for businesses facing challenges, helping them regain financial stability. A turnaround strategy involves various approaches to address financial setbacks and improve operations. For The City Hotel, adopting value-based pricing can enhance revenue by aligning pricing with customer value (</w:t>
      </w:r>
      <w:proofErr w:type="spellStart"/>
      <w:r>
        <w:t>Tomczyk</w:t>
      </w:r>
      <w:proofErr w:type="spellEnd"/>
      <w:r>
        <w:t>, 2023).</w:t>
      </w:r>
    </w:p>
    <w:p w14:paraId="080C632E" w14:textId="77777777" w:rsidR="003901EF" w:rsidRDefault="003901EF" w:rsidP="003901EF">
      <w:r>
        <w:t>Employee engagement is key to maintaining cultural development and improving service quality. Focusing on employee retention will strengthen support and foster a positive work environment (</w:t>
      </w:r>
      <w:proofErr w:type="spellStart"/>
      <w:r>
        <w:t>Adeyefa</w:t>
      </w:r>
      <w:proofErr w:type="spellEnd"/>
      <w:r>
        <w:t xml:space="preserve"> et al., 2023).</w:t>
      </w:r>
    </w:p>
    <w:p w14:paraId="5E458179" w14:textId="77777777" w:rsidR="003901EF" w:rsidRDefault="003901EF" w:rsidP="003901EF">
      <w:r>
        <w:t>Additionally, integrating AI technology and revising payment systems can streamline operations, improve customer experience, and support sustainable growth (Al-</w:t>
      </w:r>
      <w:proofErr w:type="spellStart"/>
      <w:r>
        <w:t>Hyari</w:t>
      </w:r>
      <w:proofErr w:type="spellEnd"/>
      <w:r>
        <w:t xml:space="preserve"> et al., 2023). These initiatives will help position The City Hotel for long-term success.</w:t>
      </w:r>
    </w:p>
    <w:p w14:paraId="2B84EDC7" w14:textId="77777777" w:rsidR="003901EF" w:rsidRDefault="003901EF" w:rsidP="003901EF">
      <w:pPr>
        <w:pStyle w:val="NormalWeb"/>
      </w:pPr>
    </w:p>
    <w:p w14:paraId="25A2B792" w14:textId="77777777" w:rsidR="003901EF" w:rsidRDefault="003901EF" w:rsidP="003901EF">
      <w:pPr>
        <w:pStyle w:val="Heading1"/>
      </w:pPr>
      <w:r>
        <w:t>Conclusions</w:t>
      </w:r>
      <w:bookmarkEnd w:id="10"/>
      <w:r>
        <w:t xml:space="preserve"> </w:t>
      </w:r>
    </w:p>
    <w:p w14:paraId="6E69326E" w14:textId="77777777" w:rsidR="003901EF" w:rsidRDefault="003901EF" w:rsidP="003901EF">
      <w:r>
        <w:t xml:space="preserve">With the support of the amount valuation, it can be concluded that in the present situation, the primary demand and operating position related to the business service of The City Hotel is mainly declining imposing a certain level of challenging approach. It can be identified that the operating structure even the declined standard of living approach among the customers significantly impacted on a negative basis on this business that is unable to formulate a proper growth initiative approach and development support. In respect of the present operating consequences the </w:t>
      </w:r>
      <w:r>
        <w:lastRenderedPageBreak/>
        <w:t xml:space="preserve">implemented approach of turnaround strategy is provided related to the business operation initiative which will be a sustainable approach for the maintenance of business values and revenue formulations in the upcoming. </w:t>
      </w:r>
    </w:p>
    <w:p w14:paraId="54C0905C" w14:textId="77777777" w:rsidR="003901EF" w:rsidRDefault="003901EF" w:rsidP="003901EF"/>
    <w:p w14:paraId="7A6EF08F" w14:textId="77777777" w:rsidR="003901EF" w:rsidRDefault="003901EF" w:rsidP="003901EF">
      <w:pPr>
        <w:rPr>
          <w:b/>
        </w:rPr>
      </w:pPr>
      <w:bookmarkStart w:id="11" w:name="_fnn4t45if9u5" w:colFirst="0" w:colLast="0"/>
      <w:bookmarkEnd w:id="11"/>
      <w:r>
        <w:br w:type="page"/>
      </w:r>
    </w:p>
    <w:p w14:paraId="0D0FA7AC" w14:textId="77777777" w:rsidR="003901EF" w:rsidRDefault="003901EF" w:rsidP="003901EF">
      <w:pPr>
        <w:pStyle w:val="Heading1"/>
      </w:pPr>
      <w:bookmarkStart w:id="12" w:name="_Toc181524969"/>
      <w:r>
        <w:lastRenderedPageBreak/>
        <w:t>References</w:t>
      </w:r>
      <w:bookmarkEnd w:id="12"/>
    </w:p>
    <w:p w14:paraId="2CA01F91" w14:textId="77777777" w:rsidR="003901EF" w:rsidRPr="00653B4B" w:rsidRDefault="003901EF" w:rsidP="003901EF">
      <w:proofErr w:type="spellStart"/>
      <w:r w:rsidRPr="00653B4B">
        <w:t>Adeyefa</w:t>
      </w:r>
      <w:proofErr w:type="spellEnd"/>
      <w:r w:rsidRPr="00653B4B">
        <w:t xml:space="preserve">, A., </w:t>
      </w:r>
      <w:proofErr w:type="spellStart"/>
      <w:r w:rsidRPr="00653B4B">
        <w:t>Adedipe</w:t>
      </w:r>
      <w:proofErr w:type="spellEnd"/>
      <w:r w:rsidRPr="00653B4B">
        <w:t xml:space="preserve">, A., Adebayo, I. and </w:t>
      </w:r>
      <w:proofErr w:type="spellStart"/>
      <w:r w:rsidRPr="00653B4B">
        <w:t>Adesuyan</w:t>
      </w:r>
      <w:proofErr w:type="spellEnd"/>
      <w:r w:rsidRPr="00653B4B">
        <w:t>, A., 2023. Influence of green human resource management practices on employee retention in the hotel industry. </w:t>
      </w:r>
      <w:r w:rsidRPr="005F75E3">
        <w:rPr>
          <w:i/>
          <w:iCs/>
        </w:rPr>
        <w:t>African Journal of Hospitality, Tourism and Leisure</w:t>
      </w:r>
      <w:r w:rsidRPr="00653B4B">
        <w:t>, </w:t>
      </w:r>
      <w:r w:rsidRPr="005F75E3">
        <w:rPr>
          <w:i/>
          <w:iCs/>
        </w:rPr>
        <w:t>12</w:t>
      </w:r>
      <w:r w:rsidRPr="00653B4B">
        <w:t>(1), pp.114-130.</w:t>
      </w:r>
    </w:p>
    <w:p w14:paraId="15E7CC5A" w14:textId="77777777" w:rsidR="003901EF" w:rsidRPr="00653B4B" w:rsidRDefault="003901EF" w:rsidP="003901EF">
      <w:r w:rsidRPr="00653B4B">
        <w:t>Al-</w:t>
      </w:r>
      <w:proofErr w:type="spellStart"/>
      <w:r w:rsidRPr="00653B4B">
        <w:t>Hyari</w:t>
      </w:r>
      <w:proofErr w:type="spellEnd"/>
      <w:r w:rsidRPr="00653B4B">
        <w:t>, H.S.A., Al-</w:t>
      </w:r>
      <w:proofErr w:type="spellStart"/>
      <w:r w:rsidRPr="00653B4B">
        <w:t>Smadi</w:t>
      </w:r>
      <w:proofErr w:type="spellEnd"/>
      <w:r w:rsidRPr="00653B4B">
        <w:t xml:space="preserve">, H.M. and </w:t>
      </w:r>
      <w:proofErr w:type="spellStart"/>
      <w:r w:rsidRPr="00653B4B">
        <w:t>Weshah</w:t>
      </w:r>
      <w:proofErr w:type="spellEnd"/>
      <w:r w:rsidRPr="00653B4B">
        <w:t>, S.R., 2023. The impact of artificial intelligence (AI) on guest satisfaction in hotel management: An empirical study of luxury hotels. </w:t>
      </w:r>
      <w:r w:rsidRPr="005F75E3">
        <w:rPr>
          <w:i/>
          <w:iCs/>
        </w:rPr>
        <w:t xml:space="preserve">Geo Journal of Tourism and </w:t>
      </w:r>
      <w:proofErr w:type="spellStart"/>
      <w:r w:rsidRPr="005F75E3">
        <w:rPr>
          <w:i/>
          <w:iCs/>
        </w:rPr>
        <w:t>Geosites</w:t>
      </w:r>
      <w:proofErr w:type="spellEnd"/>
      <w:r w:rsidRPr="00653B4B">
        <w:t>, </w:t>
      </w:r>
      <w:r w:rsidRPr="005F75E3">
        <w:rPr>
          <w:i/>
          <w:iCs/>
        </w:rPr>
        <w:t>48</w:t>
      </w:r>
      <w:r w:rsidRPr="00653B4B">
        <w:t>, pp.810-819.</w:t>
      </w:r>
    </w:p>
    <w:p w14:paraId="789767E4" w14:textId="77777777" w:rsidR="003901EF" w:rsidRPr="005F75E3" w:rsidRDefault="003901EF" w:rsidP="003901EF">
      <w:pPr>
        <w:rPr>
          <w:lang w:val="en-US"/>
        </w:rPr>
      </w:pPr>
      <w:proofErr w:type="spellStart"/>
      <w:r w:rsidRPr="005F75E3">
        <w:rPr>
          <w:lang w:val="en-US"/>
        </w:rPr>
        <w:t>Atrill</w:t>
      </w:r>
      <w:proofErr w:type="spellEnd"/>
      <w:r w:rsidRPr="005F75E3">
        <w:rPr>
          <w:lang w:val="en-US"/>
        </w:rPr>
        <w:t xml:space="preserve">, P. and McLaney, E (2021). </w:t>
      </w:r>
      <w:r w:rsidRPr="005F75E3">
        <w:rPr>
          <w:i/>
          <w:iCs/>
          <w:lang w:val="en-US"/>
        </w:rPr>
        <w:t>Management Accounting for Decision Makers</w:t>
      </w:r>
      <w:r w:rsidRPr="005F75E3">
        <w:rPr>
          <w:lang w:val="en-US"/>
        </w:rPr>
        <w:t>, FT Prentice Hall</w:t>
      </w:r>
    </w:p>
    <w:p w14:paraId="637995CE" w14:textId="77777777" w:rsidR="003901EF" w:rsidRPr="00653B4B" w:rsidRDefault="003901EF" w:rsidP="003901EF">
      <w:proofErr w:type="spellStart"/>
      <w:r w:rsidRPr="00653B4B">
        <w:t>Dieringer</w:t>
      </w:r>
      <w:proofErr w:type="spellEnd"/>
      <w:r w:rsidRPr="00653B4B">
        <w:t>, K.I., 2024. Business: Revenue and Reimbursement Opportunities. In </w:t>
      </w:r>
      <w:r w:rsidRPr="005F75E3">
        <w:rPr>
          <w:i/>
          <w:iCs/>
        </w:rPr>
        <w:t>Administrative Topics in Athletic Training</w:t>
      </w:r>
      <w:r w:rsidRPr="00653B4B">
        <w:t> (pp. 240-257). Routledge.</w:t>
      </w:r>
    </w:p>
    <w:p w14:paraId="4A74E2F7" w14:textId="77777777" w:rsidR="003901EF" w:rsidRPr="005F75E3" w:rsidRDefault="003901EF" w:rsidP="003901EF">
      <w:pPr>
        <w:rPr>
          <w:lang w:val="en-US"/>
        </w:rPr>
      </w:pPr>
      <w:r w:rsidRPr="005F75E3">
        <w:rPr>
          <w:lang w:val="en-US"/>
        </w:rPr>
        <w:t xml:space="preserve">Drury, C. (2021). (11th Ed) </w:t>
      </w:r>
      <w:r w:rsidRPr="005F75E3">
        <w:rPr>
          <w:i/>
          <w:iCs/>
          <w:lang w:val="en-US"/>
        </w:rPr>
        <w:t>Management and Cost Accounting</w:t>
      </w:r>
      <w:r w:rsidRPr="005F75E3">
        <w:rPr>
          <w:lang w:val="en-US"/>
        </w:rPr>
        <w:t>, London, Prentice Hall</w:t>
      </w:r>
    </w:p>
    <w:p w14:paraId="0134037D" w14:textId="77777777" w:rsidR="003901EF" w:rsidRPr="005F75E3" w:rsidRDefault="003901EF" w:rsidP="003901EF">
      <w:pPr>
        <w:rPr>
          <w:lang w:val="en-US"/>
        </w:rPr>
      </w:pPr>
      <w:r w:rsidRPr="005F75E3">
        <w:rPr>
          <w:lang w:val="en-US"/>
        </w:rPr>
        <w:t xml:space="preserve">Harari, D. (2024). Interest Rates and Monetary Policy: Key Economic Indicators. </w:t>
      </w:r>
      <w:r w:rsidRPr="005F75E3">
        <w:rPr>
          <w:i/>
          <w:iCs/>
          <w:lang w:val="en-US"/>
        </w:rPr>
        <w:t>commonslibrary.parliament.uk</w:t>
      </w:r>
      <w:r w:rsidRPr="005F75E3">
        <w:rPr>
          <w:lang w:val="en-US"/>
        </w:rPr>
        <w:t>, [online] 02802. Available at: https://commonslibrary.parliament.uk/research-briefings/sn02802/ [Accessed 3 Nov. 2024].</w:t>
      </w:r>
    </w:p>
    <w:p w14:paraId="43767926" w14:textId="77777777" w:rsidR="003901EF" w:rsidRPr="00653B4B" w:rsidRDefault="003901EF" w:rsidP="003901EF">
      <w:r w:rsidRPr="00653B4B">
        <w:t>Laghari, F., Ahmed, F. and López García, M.D.L.N., 2023. Cash flow management and its effect on firm performance: Empirical evidence on non-financial firms of China. </w:t>
      </w:r>
      <w:proofErr w:type="spellStart"/>
      <w:r w:rsidRPr="005F75E3">
        <w:rPr>
          <w:i/>
          <w:iCs/>
        </w:rPr>
        <w:t>Plos</w:t>
      </w:r>
      <w:proofErr w:type="spellEnd"/>
      <w:r w:rsidRPr="005F75E3">
        <w:rPr>
          <w:i/>
          <w:iCs/>
        </w:rPr>
        <w:t xml:space="preserve"> one</w:t>
      </w:r>
      <w:r w:rsidRPr="00653B4B">
        <w:t>, </w:t>
      </w:r>
      <w:r w:rsidRPr="005F75E3">
        <w:rPr>
          <w:i/>
          <w:iCs/>
        </w:rPr>
        <w:t>18</w:t>
      </w:r>
      <w:r w:rsidRPr="00653B4B">
        <w:t>(6), p.e0287135.</w:t>
      </w:r>
    </w:p>
    <w:p w14:paraId="33127D20" w14:textId="77777777" w:rsidR="003901EF" w:rsidRPr="00653B4B" w:rsidRDefault="003901EF" w:rsidP="003901EF">
      <w:proofErr w:type="spellStart"/>
      <w:r w:rsidRPr="00653B4B">
        <w:t>Ogbu</w:t>
      </w:r>
      <w:proofErr w:type="spellEnd"/>
      <w:r w:rsidRPr="00653B4B">
        <w:t xml:space="preserve">, J.O., </w:t>
      </w:r>
      <w:proofErr w:type="spellStart"/>
      <w:r w:rsidRPr="00653B4B">
        <w:t>Igomu</w:t>
      </w:r>
      <w:proofErr w:type="spellEnd"/>
      <w:r w:rsidRPr="00653B4B">
        <w:t xml:space="preserve">, D.M. and </w:t>
      </w:r>
      <w:proofErr w:type="spellStart"/>
      <w:r w:rsidRPr="00653B4B">
        <w:t>Ozah</w:t>
      </w:r>
      <w:proofErr w:type="spellEnd"/>
      <w:r w:rsidRPr="00653B4B">
        <w:t>, J.P., 2023. EFFECT OF TURNAROUND STRATEGIES ON SUSTAINABLE GROWTH OF ABUJA ELECTRICITY DISTRIBUTION COMPANY. </w:t>
      </w:r>
      <w:proofErr w:type="spellStart"/>
      <w:r w:rsidRPr="005F75E3">
        <w:rPr>
          <w:i/>
          <w:iCs/>
        </w:rPr>
        <w:t>FULafia</w:t>
      </w:r>
      <w:proofErr w:type="spellEnd"/>
      <w:r w:rsidRPr="005F75E3">
        <w:rPr>
          <w:i/>
          <w:iCs/>
        </w:rPr>
        <w:t xml:space="preserve"> International Journal of Business and Allied Studies</w:t>
      </w:r>
      <w:r w:rsidRPr="00653B4B">
        <w:t>, </w:t>
      </w:r>
      <w:r w:rsidRPr="005F75E3">
        <w:rPr>
          <w:i/>
          <w:iCs/>
        </w:rPr>
        <w:t>1</w:t>
      </w:r>
      <w:r w:rsidRPr="00653B4B">
        <w:t>(1), pp.17-35.</w:t>
      </w:r>
    </w:p>
    <w:p w14:paraId="6756FD27" w14:textId="77777777" w:rsidR="003901EF" w:rsidRPr="005F75E3" w:rsidRDefault="003901EF" w:rsidP="003901EF">
      <w:pPr>
        <w:rPr>
          <w:lang w:val="en-US"/>
        </w:rPr>
      </w:pPr>
      <w:r w:rsidRPr="005F75E3">
        <w:rPr>
          <w:lang w:val="en-US"/>
        </w:rPr>
        <w:t xml:space="preserve">ONS (2024). </w:t>
      </w:r>
      <w:r w:rsidRPr="005F75E3">
        <w:rPr>
          <w:i/>
          <w:iCs/>
          <w:lang w:val="en-US"/>
        </w:rPr>
        <w:t>Gross Domestic Product (GDP) - Office for National Statistics</w:t>
      </w:r>
      <w:r w:rsidRPr="005F75E3">
        <w:rPr>
          <w:lang w:val="en-US"/>
        </w:rPr>
        <w:t>. [online] Ons.gov.uk. Available at: https://www.ons.gov.uk/economy/grossdomesticproductgdp [Accessed 3 Nov. 2024].</w:t>
      </w:r>
    </w:p>
    <w:p w14:paraId="0F3ABAC8" w14:textId="77777777" w:rsidR="003901EF" w:rsidRPr="005F75E3" w:rsidRDefault="003901EF" w:rsidP="003901EF">
      <w:pPr>
        <w:rPr>
          <w:lang w:val="en-US"/>
        </w:rPr>
      </w:pPr>
      <w:r w:rsidRPr="005F75E3">
        <w:rPr>
          <w:lang w:val="en-US"/>
        </w:rPr>
        <w:t xml:space="preserve">Seal, W. (2019) (6th Ed) </w:t>
      </w:r>
      <w:r w:rsidRPr="005F75E3">
        <w:rPr>
          <w:i/>
          <w:iCs/>
          <w:lang w:val="en-US"/>
        </w:rPr>
        <w:t>Management Accounting</w:t>
      </w:r>
      <w:r w:rsidRPr="005F75E3">
        <w:rPr>
          <w:lang w:val="en-US"/>
        </w:rPr>
        <w:t>, London, McGraw Hill</w:t>
      </w:r>
    </w:p>
    <w:p w14:paraId="5B1C3690" w14:textId="77777777" w:rsidR="003901EF" w:rsidRPr="005F75E3" w:rsidRDefault="003901EF" w:rsidP="003901EF">
      <w:pPr>
        <w:rPr>
          <w:lang w:val="en-US"/>
        </w:rPr>
      </w:pPr>
      <w:proofErr w:type="spellStart"/>
      <w:r w:rsidRPr="00653B4B">
        <w:t>Silitonga</w:t>
      </w:r>
      <w:proofErr w:type="spellEnd"/>
      <w:r w:rsidRPr="00653B4B">
        <w:t xml:space="preserve">, D., </w:t>
      </w:r>
      <w:proofErr w:type="spellStart"/>
      <w:r w:rsidRPr="00653B4B">
        <w:t>Rohmayanti</w:t>
      </w:r>
      <w:proofErr w:type="spellEnd"/>
      <w:r w:rsidRPr="00653B4B">
        <w:t xml:space="preserve">, S.A.A., </w:t>
      </w:r>
      <w:proofErr w:type="spellStart"/>
      <w:r w:rsidRPr="00653B4B">
        <w:t>Aripin</w:t>
      </w:r>
      <w:proofErr w:type="spellEnd"/>
      <w:r w:rsidRPr="00653B4B">
        <w:t xml:space="preserve">, Z., </w:t>
      </w:r>
      <w:proofErr w:type="spellStart"/>
      <w:r w:rsidRPr="00653B4B">
        <w:t>Kuswandi</w:t>
      </w:r>
      <w:proofErr w:type="spellEnd"/>
      <w:r w:rsidRPr="00653B4B">
        <w:t xml:space="preserve">, D. and </w:t>
      </w:r>
      <w:proofErr w:type="spellStart"/>
      <w:r w:rsidRPr="00653B4B">
        <w:t>Sulistyo</w:t>
      </w:r>
      <w:proofErr w:type="spellEnd"/>
      <w:r w:rsidRPr="00653B4B">
        <w:t>, A.B., 2024. Edge computing in E-commerce business: economic impacts and advantages of scalable information systems. </w:t>
      </w:r>
      <w:r w:rsidRPr="005F75E3">
        <w:rPr>
          <w:i/>
          <w:iCs/>
        </w:rPr>
        <w:t>EAI Endorsed Transactions on Scalable Information Systems</w:t>
      </w:r>
      <w:r w:rsidRPr="00653B4B">
        <w:t>, </w:t>
      </w:r>
      <w:r w:rsidRPr="005F75E3">
        <w:rPr>
          <w:i/>
          <w:iCs/>
        </w:rPr>
        <w:t>11</w:t>
      </w:r>
      <w:r w:rsidRPr="00653B4B">
        <w:t>(1).</w:t>
      </w:r>
    </w:p>
    <w:p w14:paraId="64661D15" w14:textId="77777777" w:rsidR="003901EF" w:rsidRPr="005F75E3" w:rsidRDefault="003901EF" w:rsidP="003901EF">
      <w:pPr>
        <w:rPr>
          <w:lang w:val="en-US"/>
        </w:rPr>
      </w:pPr>
      <w:r w:rsidRPr="005F75E3">
        <w:rPr>
          <w:lang w:val="en-US"/>
        </w:rPr>
        <w:t xml:space="preserve">Taxsummaries.pwc.com (2023). </w:t>
      </w:r>
      <w:r w:rsidRPr="005F75E3">
        <w:rPr>
          <w:i/>
          <w:iCs/>
          <w:lang w:val="en-US"/>
        </w:rPr>
        <w:t>United Kingdom - Corporate - Taxes on Corporate Income</w:t>
      </w:r>
      <w:r w:rsidRPr="005F75E3">
        <w:rPr>
          <w:lang w:val="en-US"/>
        </w:rPr>
        <w:t>. [online] taxsummaries.pwc.com. Available at: https://taxsummaries.pwc.com/united-kingdom/corporate/taxes-on-corporate-income [Accessed 3 Nov. 2024].</w:t>
      </w:r>
    </w:p>
    <w:p w14:paraId="3C76A89D" w14:textId="77777777" w:rsidR="003901EF" w:rsidRPr="00653B4B" w:rsidRDefault="003901EF" w:rsidP="003901EF">
      <w:proofErr w:type="spellStart"/>
      <w:r w:rsidRPr="00653B4B">
        <w:lastRenderedPageBreak/>
        <w:t>Tomczyk</w:t>
      </w:r>
      <w:proofErr w:type="spellEnd"/>
      <w:r w:rsidRPr="00653B4B">
        <w:t>, A.T., 2023. </w:t>
      </w:r>
      <w:r w:rsidRPr="005F75E3">
        <w:rPr>
          <w:i/>
          <w:iCs/>
        </w:rPr>
        <w:t>Personalisation through pricing co-creation: Customer’s willingness to pay and pricing strategies in the B2C context of hospitality</w:t>
      </w:r>
      <w:r w:rsidRPr="00653B4B">
        <w:t> (Doctoral dissertation, Bournemouth University).</w:t>
      </w:r>
    </w:p>
    <w:p w14:paraId="2F2F5DC9" w14:textId="77777777" w:rsidR="003901EF" w:rsidRPr="005F75E3" w:rsidRDefault="003901EF" w:rsidP="003901EF">
      <w:pPr>
        <w:rPr>
          <w:lang w:val="en-US"/>
        </w:rPr>
      </w:pPr>
      <w:r w:rsidRPr="005F75E3">
        <w:rPr>
          <w:lang w:val="en-US"/>
        </w:rPr>
        <w:t xml:space="preserve">WWF. (2023). </w:t>
      </w:r>
      <w:r w:rsidRPr="005F75E3">
        <w:rPr>
          <w:i/>
          <w:iCs/>
          <w:lang w:val="en-US"/>
        </w:rPr>
        <w:t>UK Climate change</w:t>
      </w:r>
      <w:r w:rsidRPr="005F75E3">
        <w:rPr>
          <w:lang w:val="en-US"/>
        </w:rPr>
        <w:t>. [online] Available at: https://www.wwf.org.uk/learn/climate-change/uk [Accessed 3 Nov. 2024].</w:t>
      </w:r>
    </w:p>
    <w:p w14:paraId="472DBE30" w14:textId="77777777" w:rsidR="003901EF" w:rsidRPr="00EC2E6A" w:rsidRDefault="003901EF" w:rsidP="003901EF">
      <w:pPr>
        <w:spacing w:after="160"/>
        <w:rPr>
          <w:lang w:val="en-US"/>
        </w:rPr>
      </w:pPr>
    </w:p>
    <w:p w14:paraId="40E60CEE" w14:textId="77777777" w:rsidR="003901EF" w:rsidRPr="009B7F0F" w:rsidRDefault="003901EF" w:rsidP="003901EF">
      <w:pPr>
        <w:spacing w:after="160"/>
        <w:rPr>
          <w:lang w:val="en-US"/>
        </w:rPr>
      </w:pPr>
    </w:p>
    <w:p w14:paraId="548AE9F7" w14:textId="77777777" w:rsidR="003901EF" w:rsidRPr="009B7F0F" w:rsidRDefault="003901EF" w:rsidP="003901EF">
      <w:pPr>
        <w:spacing w:after="160"/>
        <w:rPr>
          <w:lang w:val="en-US"/>
        </w:rPr>
      </w:pPr>
    </w:p>
    <w:p w14:paraId="703E8AF5" w14:textId="77777777" w:rsidR="003901EF" w:rsidRPr="009B7F0F" w:rsidRDefault="003901EF" w:rsidP="003901EF"/>
    <w:p w14:paraId="2A65DE3A" w14:textId="77777777" w:rsidR="003901EF" w:rsidRDefault="003901EF" w:rsidP="003901EF"/>
    <w:p w14:paraId="210B2F6A" w14:textId="77777777" w:rsidR="003901EF" w:rsidRDefault="003901EF" w:rsidP="003901EF"/>
    <w:p w14:paraId="4526AEE7" w14:textId="77777777" w:rsidR="003901EF" w:rsidRDefault="003901EF" w:rsidP="003901EF"/>
    <w:p w14:paraId="7810B300" w14:textId="77777777" w:rsidR="003901EF" w:rsidRDefault="003901EF" w:rsidP="003901EF"/>
    <w:p w14:paraId="33AFF419" w14:textId="77777777" w:rsidR="003901EF" w:rsidRDefault="003901EF" w:rsidP="003901EF"/>
    <w:p w14:paraId="0034288B" w14:textId="77777777" w:rsidR="003901EF" w:rsidRPr="00C2050D" w:rsidRDefault="003901EF" w:rsidP="003901EF"/>
    <w:p w14:paraId="476A003D" w14:textId="32AFA854" w:rsidR="008053D9" w:rsidRPr="003901EF" w:rsidRDefault="008053D9" w:rsidP="003901EF"/>
    <w:sectPr w:rsidR="008053D9" w:rsidRPr="003901EF">
      <w:footerReference w:type="default" r:id="rId1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8444436"/>
      <w:docPartObj>
        <w:docPartGallery w:val="Page Numbers (Bottom of Page)"/>
        <w:docPartUnique/>
      </w:docPartObj>
    </w:sdtPr>
    <w:sdtEndPr>
      <w:rPr>
        <w:noProof/>
      </w:rPr>
    </w:sdtEndPr>
    <w:sdtContent>
      <w:p w14:paraId="0BC494FC" w14:textId="77777777" w:rsidR="00363D67" w:rsidRDefault="003901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943196" w14:textId="77777777" w:rsidR="00363D67" w:rsidRDefault="003901EF">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C23C2F"/>
    <w:multiLevelType w:val="multilevel"/>
    <w:tmpl w:val="420C24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1EF"/>
    <w:rsid w:val="00287316"/>
    <w:rsid w:val="003901EF"/>
    <w:rsid w:val="008053D9"/>
    <w:rsid w:val="00D53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AA6AD"/>
  <w15:chartTrackingRefBased/>
  <w15:docId w15:val="{383905F8-91ED-4592-B937-C973C64B9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1EF"/>
    <w:pPr>
      <w:spacing w:after="0" w:line="36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3901EF"/>
    <w:pPr>
      <w:keepNext/>
      <w:keepLine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1EF"/>
    <w:rPr>
      <w:rFonts w:ascii="Times New Roman" w:eastAsia="Times New Roman" w:hAnsi="Times New Roman" w:cs="Times New Roman"/>
      <w:b/>
      <w:sz w:val="24"/>
      <w:szCs w:val="24"/>
    </w:rPr>
  </w:style>
  <w:style w:type="paragraph" w:styleId="TOCHeading">
    <w:name w:val="TOC Heading"/>
    <w:basedOn w:val="Heading1"/>
    <w:next w:val="Normal"/>
    <w:uiPriority w:val="39"/>
    <w:unhideWhenUsed/>
    <w:qFormat/>
    <w:rsid w:val="003901EF"/>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3901EF"/>
    <w:pPr>
      <w:spacing w:after="100"/>
    </w:pPr>
  </w:style>
  <w:style w:type="character" w:styleId="Hyperlink">
    <w:name w:val="Hyperlink"/>
    <w:basedOn w:val="DefaultParagraphFont"/>
    <w:uiPriority w:val="99"/>
    <w:unhideWhenUsed/>
    <w:rsid w:val="003901EF"/>
    <w:rPr>
      <w:color w:val="0563C1" w:themeColor="hyperlink"/>
      <w:u w:val="single"/>
    </w:rPr>
  </w:style>
  <w:style w:type="paragraph" w:styleId="Footer">
    <w:name w:val="footer"/>
    <w:basedOn w:val="Normal"/>
    <w:link w:val="FooterChar"/>
    <w:uiPriority w:val="99"/>
    <w:unhideWhenUsed/>
    <w:rsid w:val="003901EF"/>
    <w:pPr>
      <w:tabs>
        <w:tab w:val="center" w:pos="4680"/>
        <w:tab w:val="right" w:pos="9360"/>
      </w:tabs>
      <w:spacing w:line="240" w:lineRule="auto"/>
    </w:pPr>
  </w:style>
  <w:style w:type="character" w:customStyle="1" w:styleId="FooterChar">
    <w:name w:val="Footer Char"/>
    <w:basedOn w:val="DefaultParagraphFont"/>
    <w:link w:val="Footer"/>
    <w:uiPriority w:val="99"/>
    <w:rsid w:val="003901EF"/>
    <w:rPr>
      <w:rFonts w:ascii="Times New Roman" w:eastAsia="Times New Roman" w:hAnsi="Times New Roman" w:cs="Times New Roman"/>
      <w:sz w:val="24"/>
      <w:szCs w:val="24"/>
    </w:rPr>
  </w:style>
  <w:style w:type="paragraph" w:styleId="NormalWeb">
    <w:name w:val="Normal (Web)"/>
    <w:basedOn w:val="Normal"/>
    <w:uiPriority w:val="99"/>
    <w:semiHidden/>
    <w:unhideWhenUsed/>
    <w:rsid w:val="003901EF"/>
    <w:pPr>
      <w:spacing w:before="100" w:beforeAutospacing="1" w:after="100" w:afterAutospacing="1" w:line="240" w:lineRule="auto"/>
      <w:jc w:val="left"/>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2808</Words>
  <Characters>16010</Characters>
  <Application>Microsoft Office Word</Application>
  <DocSecurity>0</DocSecurity>
  <Lines>133</Lines>
  <Paragraphs>37</Paragraphs>
  <ScaleCrop>false</ScaleCrop>
  <Company/>
  <LinksUpToDate>false</LinksUpToDate>
  <CharactersWithSpaces>18781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Modrzejewska, Klaudia</dc:creator>
  <cp:keywords/>
  <dc:description/>
  <cp:lastModifiedBy>Modrzejewska, Klaudia</cp:lastModifiedBy>
  <cp:revision>1</cp:revision>
  <dcterms:created xsi:type="dcterms:W3CDTF">2024-11-13T12:32:00Z</dcterms:created>
  <dcterms:modified xsi:type="dcterms:W3CDTF">2024-11-13T12:33:00Z</dcterms:modified>
</cp:coreProperties>
</file>