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CA8B8E" w14:textId="77777777" w:rsidR="00993C3C" w:rsidRDefault="0039612E" w:rsidP="00D35F99">
      <w:pPr>
        <w:spacing w:before="100" w:beforeAutospacing="1" w:after="100" w:afterAutospacing="1" w:line="300" w:lineRule="atLeast"/>
        <w:rPr>
          <w:rFonts w:eastAsia="Times New Roman" w:cs="Arial"/>
          <w:szCs w:val="22"/>
        </w:rPr>
      </w:pPr>
      <w:r>
        <w:rPr>
          <w:rFonts w:eastAsia="Times New Roman" w:cs="Arial"/>
          <w:szCs w:val="22"/>
        </w:rPr>
        <w:t>Student name: Marife Tabalba</w:t>
      </w:r>
      <w:r w:rsidR="00993C3C">
        <w:rPr>
          <w:rFonts w:eastAsia="Times New Roman" w:cs="Arial"/>
          <w:szCs w:val="22"/>
        </w:rPr>
        <w:t xml:space="preserve"> Jamiro</w:t>
      </w:r>
    </w:p>
    <w:p w14:paraId="6786F56B" w14:textId="77777777" w:rsidR="00CF5916" w:rsidRPr="00DF6109" w:rsidRDefault="0088512E" w:rsidP="00D35F99">
      <w:pPr>
        <w:spacing w:before="100" w:beforeAutospacing="1" w:after="100" w:afterAutospacing="1" w:line="300" w:lineRule="atLeast"/>
        <w:rPr>
          <w:rFonts w:eastAsia="Times New Roman" w:cs="Arial"/>
          <w:b/>
          <w:szCs w:val="22"/>
        </w:rPr>
      </w:pPr>
      <w:r w:rsidRPr="00DF6109">
        <w:rPr>
          <w:rFonts w:eastAsia="Times New Roman" w:cs="Arial"/>
          <w:b/>
          <w:szCs w:val="22"/>
        </w:rPr>
        <w:t>STUDENT ID: 2214833</w:t>
      </w:r>
    </w:p>
    <w:p w14:paraId="18B8E126" w14:textId="77777777" w:rsidR="002C43E4" w:rsidRPr="00DF6109" w:rsidRDefault="00CF5916" w:rsidP="00D35F99">
      <w:pPr>
        <w:spacing w:before="100" w:beforeAutospacing="1" w:after="100" w:afterAutospacing="1" w:line="300" w:lineRule="atLeast"/>
        <w:rPr>
          <w:rFonts w:eastAsia="Times New Roman" w:cs="Arial"/>
          <w:b/>
          <w:szCs w:val="22"/>
        </w:rPr>
      </w:pPr>
      <w:r w:rsidRPr="00DF6109">
        <w:rPr>
          <w:rFonts w:eastAsia="Times New Roman" w:cs="Arial"/>
          <w:b/>
          <w:szCs w:val="22"/>
        </w:rPr>
        <w:t>Module name: Introduction</w:t>
      </w:r>
      <w:r w:rsidR="002C43E4" w:rsidRPr="00DF6109">
        <w:rPr>
          <w:rFonts w:eastAsia="Times New Roman" w:cs="Arial"/>
          <w:b/>
          <w:szCs w:val="22"/>
        </w:rPr>
        <w:t xml:space="preserve"> of public health</w:t>
      </w:r>
    </w:p>
    <w:p w14:paraId="2B2154E7" w14:textId="77777777" w:rsidR="00550DE9" w:rsidRPr="00DF6109" w:rsidRDefault="002C43E4" w:rsidP="00D35F99">
      <w:pPr>
        <w:spacing w:before="100" w:beforeAutospacing="1" w:after="100" w:afterAutospacing="1" w:line="300" w:lineRule="atLeast"/>
        <w:rPr>
          <w:rFonts w:eastAsia="Times New Roman" w:cs="Arial"/>
          <w:b/>
          <w:szCs w:val="22"/>
        </w:rPr>
      </w:pPr>
      <w:r w:rsidRPr="00DF6109">
        <w:rPr>
          <w:rFonts w:eastAsia="Times New Roman" w:cs="Arial"/>
          <w:b/>
          <w:szCs w:val="22"/>
        </w:rPr>
        <w:t>Module code</w:t>
      </w:r>
      <w:r w:rsidR="00550DE9" w:rsidRPr="00DF6109">
        <w:rPr>
          <w:rFonts w:eastAsia="Times New Roman" w:cs="Arial"/>
          <w:b/>
          <w:szCs w:val="22"/>
        </w:rPr>
        <w:t>: LCHS 4008</w:t>
      </w:r>
    </w:p>
    <w:p w14:paraId="3D6375B0" w14:textId="44B51F09" w:rsidR="003B1AF5" w:rsidRDefault="009901E7" w:rsidP="00D35F99">
      <w:pPr>
        <w:spacing w:before="100" w:beforeAutospacing="1" w:after="100" w:afterAutospacing="1" w:line="300" w:lineRule="atLeast"/>
        <w:rPr>
          <w:rFonts w:eastAsia="Times New Roman" w:cs="Arial"/>
          <w:szCs w:val="22"/>
        </w:rPr>
      </w:pPr>
      <w:r w:rsidRPr="00DF6109">
        <w:rPr>
          <w:rFonts w:eastAsia="Times New Roman" w:cs="Arial"/>
          <w:b/>
          <w:szCs w:val="22"/>
        </w:rPr>
        <w:t>Lecturer name: Patro</w:t>
      </w:r>
      <w:r w:rsidR="009362BF" w:rsidRPr="00DF6109">
        <w:rPr>
          <w:rFonts w:eastAsia="Times New Roman" w:cs="Arial"/>
          <w:b/>
          <w:szCs w:val="22"/>
        </w:rPr>
        <w:t>nella Ganza</w:t>
      </w:r>
      <w:r w:rsidR="0009550E">
        <w:rPr>
          <w:rFonts w:eastAsia="Times New Roman" w:cs="Arial"/>
          <w:b/>
          <w:szCs w:val="22"/>
        </w:rPr>
        <w:br/>
      </w:r>
      <w:r w:rsidR="0009550E">
        <w:rPr>
          <w:rFonts w:eastAsia="Times New Roman" w:cs="Arial"/>
          <w:b/>
          <w:szCs w:val="22"/>
        </w:rPr>
        <w:br/>
      </w:r>
      <w:r w:rsidR="0038369D">
        <w:rPr>
          <w:rFonts w:eastAsia="Times New Roman" w:cs="Arial"/>
          <w:szCs w:val="22"/>
        </w:rPr>
        <w:br/>
      </w:r>
      <w:r w:rsidR="0038369D">
        <w:rPr>
          <w:rFonts w:eastAsia="Times New Roman" w:cs="Arial"/>
          <w:szCs w:val="22"/>
        </w:rPr>
        <w:br/>
      </w:r>
    </w:p>
    <w:p w14:paraId="0009F468" w14:textId="6046C1D1" w:rsidR="00031C68" w:rsidRDefault="003B1AF5" w:rsidP="00D35F99">
      <w:pPr>
        <w:spacing w:before="100" w:beforeAutospacing="1" w:after="100" w:afterAutospacing="1" w:line="300" w:lineRule="atLeast"/>
        <w:rPr>
          <w:rFonts w:eastAsia="Times New Roman" w:cs="Arial"/>
          <w:szCs w:val="22"/>
        </w:rPr>
      </w:pPr>
      <w:r>
        <w:rPr>
          <w:rFonts w:eastAsia="Times New Roman" w:cs="Arial"/>
          <w:szCs w:val="22"/>
        </w:rPr>
        <w:t>Introduction</w:t>
      </w:r>
      <w:r w:rsidR="00031C68">
        <w:rPr>
          <w:rFonts w:eastAsia="Times New Roman" w:cs="Arial"/>
          <w:szCs w:val="22"/>
        </w:rPr>
        <w:t>…………………………</w:t>
      </w:r>
      <w:r w:rsidR="00A60DFF">
        <w:rPr>
          <w:rFonts w:eastAsia="Times New Roman" w:cs="Arial"/>
          <w:szCs w:val="22"/>
        </w:rPr>
        <w:t>……………………..</w:t>
      </w:r>
      <w:r w:rsidR="00031C68">
        <w:rPr>
          <w:rFonts w:eastAsia="Times New Roman" w:cs="Arial"/>
          <w:szCs w:val="22"/>
        </w:rPr>
        <w:t>.1</w:t>
      </w:r>
    </w:p>
    <w:p w14:paraId="3ED4A9B9" w14:textId="141F3CDB" w:rsidR="00A60DFF" w:rsidRDefault="00DF6109" w:rsidP="00D35F99">
      <w:pPr>
        <w:spacing w:before="100" w:beforeAutospacing="1" w:after="100" w:afterAutospacing="1" w:line="300" w:lineRule="atLeast"/>
        <w:rPr>
          <w:rFonts w:eastAsia="Times New Roman" w:cs="Arial"/>
          <w:szCs w:val="22"/>
        </w:rPr>
      </w:pPr>
      <w:r>
        <w:rPr>
          <w:rFonts w:eastAsia="Times New Roman" w:cs="Arial"/>
          <w:szCs w:val="22"/>
        </w:rPr>
        <w:t>Understanding</w:t>
      </w:r>
      <w:r w:rsidR="00E279B3">
        <w:rPr>
          <w:rFonts w:eastAsia="Times New Roman" w:cs="Arial"/>
          <w:szCs w:val="22"/>
        </w:rPr>
        <w:t xml:space="preserve"> Polio</w:t>
      </w:r>
      <w:r w:rsidR="00771C05">
        <w:rPr>
          <w:rFonts w:eastAsia="Times New Roman" w:cs="Arial"/>
          <w:szCs w:val="22"/>
        </w:rPr>
        <w:t xml:space="preserve"> and importance of </w:t>
      </w:r>
      <w:r w:rsidR="007424E4">
        <w:rPr>
          <w:rFonts w:eastAsia="Times New Roman" w:cs="Arial"/>
          <w:szCs w:val="22"/>
        </w:rPr>
        <w:t>surveillance</w:t>
      </w:r>
      <w:r w:rsidR="00F255E4">
        <w:rPr>
          <w:rFonts w:eastAsia="Times New Roman" w:cs="Arial"/>
          <w:szCs w:val="22"/>
        </w:rPr>
        <w:t>…</w:t>
      </w:r>
      <w:r w:rsidR="0009550E">
        <w:rPr>
          <w:rFonts w:eastAsia="Times New Roman" w:cs="Arial"/>
          <w:szCs w:val="22"/>
        </w:rPr>
        <w:t>...</w:t>
      </w:r>
      <w:r w:rsidR="00F255E4">
        <w:rPr>
          <w:rFonts w:eastAsia="Times New Roman" w:cs="Arial"/>
          <w:szCs w:val="22"/>
        </w:rPr>
        <w:t>.</w:t>
      </w:r>
      <w:r w:rsidR="00A60DFF">
        <w:rPr>
          <w:rFonts w:eastAsia="Times New Roman" w:cs="Arial"/>
          <w:szCs w:val="22"/>
        </w:rPr>
        <w:t>2</w:t>
      </w:r>
    </w:p>
    <w:p w14:paraId="477AE360" w14:textId="1AC0649B" w:rsidR="00FF483C" w:rsidRDefault="00C7372F" w:rsidP="00D35F99">
      <w:pPr>
        <w:spacing w:before="100" w:beforeAutospacing="1" w:after="100" w:afterAutospacing="1" w:line="300" w:lineRule="atLeast"/>
        <w:rPr>
          <w:rFonts w:eastAsia="Times New Roman" w:cs="Arial"/>
          <w:szCs w:val="22"/>
        </w:rPr>
      </w:pPr>
      <w:r>
        <w:rPr>
          <w:rFonts w:eastAsia="Times New Roman" w:cs="Arial"/>
          <w:szCs w:val="22"/>
        </w:rPr>
        <w:t>Acute F</w:t>
      </w:r>
      <w:r w:rsidR="00596A7D">
        <w:rPr>
          <w:rFonts w:eastAsia="Times New Roman" w:cs="Arial"/>
          <w:szCs w:val="22"/>
        </w:rPr>
        <w:t xml:space="preserve">laccid Paralysis </w:t>
      </w:r>
      <w:r w:rsidR="00613AEF">
        <w:rPr>
          <w:rFonts w:eastAsia="Times New Roman" w:cs="Arial"/>
          <w:szCs w:val="22"/>
        </w:rPr>
        <w:t>[AFP] sur</w:t>
      </w:r>
      <w:r w:rsidR="00FF483C">
        <w:rPr>
          <w:rFonts w:eastAsia="Times New Roman" w:cs="Arial"/>
          <w:szCs w:val="22"/>
        </w:rPr>
        <w:t>veillance</w:t>
      </w:r>
      <w:r w:rsidR="003545FC">
        <w:rPr>
          <w:rFonts w:eastAsia="Times New Roman" w:cs="Arial"/>
          <w:szCs w:val="22"/>
        </w:rPr>
        <w:t>…………</w:t>
      </w:r>
      <w:r w:rsidR="0009550E">
        <w:rPr>
          <w:rFonts w:eastAsia="Times New Roman" w:cs="Arial"/>
          <w:szCs w:val="22"/>
        </w:rPr>
        <w:t>….</w:t>
      </w:r>
      <w:r w:rsidR="003545FC">
        <w:rPr>
          <w:rFonts w:eastAsia="Times New Roman" w:cs="Arial"/>
          <w:szCs w:val="22"/>
        </w:rPr>
        <w:t>3</w:t>
      </w:r>
    </w:p>
    <w:p w14:paraId="1AEEF8D7" w14:textId="50FDC3FA" w:rsidR="002C0F4D" w:rsidRDefault="008A4653" w:rsidP="00D35F99">
      <w:pPr>
        <w:spacing w:before="100" w:beforeAutospacing="1" w:after="100" w:afterAutospacing="1" w:line="300" w:lineRule="atLeast"/>
        <w:rPr>
          <w:rFonts w:eastAsia="Times New Roman" w:cs="Arial"/>
          <w:szCs w:val="22"/>
        </w:rPr>
      </w:pPr>
      <w:r>
        <w:rPr>
          <w:rFonts w:eastAsia="Times New Roman" w:cs="Arial"/>
          <w:szCs w:val="22"/>
        </w:rPr>
        <w:t>Laboratory surv</w:t>
      </w:r>
      <w:r w:rsidR="005F2D06">
        <w:rPr>
          <w:rFonts w:eastAsia="Times New Roman" w:cs="Arial"/>
          <w:szCs w:val="22"/>
        </w:rPr>
        <w:t>ei</w:t>
      </w:r>
      <w:r>
        <w:rPr>
          <w:rFonts w:eastAsia="Times New Roman" w:cs="Arial"/>
          <w:szCs w:val="22"/>
        </w:rPr>
        <w:t>lance</w:t>
      </w:r>
      <w:r w:rsidR="003545FC">
        <w:rPr>
          <w:rFonts w:eastAsia="Times New Roman" w:cs="Arial"/>
          <w:szCs w:val="22"/>
        </w:rPr>
        <w:t>…………………………………….</w:t>
      </w:r>
      <w:r w:rsidR="005F2D06">
        <w:rPr>
          <w:rFonts w:eastAsia="Times New Roman" w:cs="Arial"/>
          <w:szCs w:val="22"/>
        </w:rPr>
        <w:t>4</w:t>
      </w:r>
    </w:p>
    <w:p w14:paraId="79B09372" w14:textId="706C3A65" w:rsidR="001731C9" w:rsidRDefault="002C0F4D" w:rsidP="00D35F99">
      <w:pPr>
        <w:spacing w:before="100" w:beforeAutospacing="1" w:after="100" w:afterAutospacing="1" w:line="300" w:lineRule="atLeast"/>
        <w:rPr>
          <w:rFonts w:eastAsia="Times New Roman" w:cs="Arial"/>
          <w:szCs w:val="22"/>
        </w:rPr>
      </w:pPr>
      <w:r>
        <w:rPr>
          <w:rFonts w:eastAsia="Times New Roman" w:cs="Arial"/>
          <w:szCs w:val="22"/>
        </w:rPr>
        <w:t>Environment</w:t>
      </w:r>
      <w:r w:rsidR="001731C9">
        <w:rPr>
          <w:rFonts w:eastAsia="Times New Roman" w:cs="Arial"/>
          <w:szCs w:val="22"/>
        </w:rPr>
        <w:t xml:space="preserve">al </w:t>
      </w:r>
      <w:r w:rsidR="00C60CAF">
        <w:rPr>
          <w:rFonts w:eastAsia="Times New Roman" w:cs="Arial"/>
          <w:szCs w:val="22"/>
        </w:rPr>
        <w:t>surveillance</w:t>
      </w:r>
      <w:r w:rsidR="001731C9">
        <w:rPr>
          <w:rFonts w:eastAsia="Times New Roman" w:cs="Arial"/>
          <w:szCs w:val="22"/>
        </w:rPr>
        <w:t>……………………………</w:t>
      </w:r>
      <w:r w:rsidR="0009550E">
        <w:rPr>
          <w:rFonts w:eastAsia="Times New Roman" w:cs="Arial"/>
          <w:szCs w:val="22"/>
        </w:rPr>
        <w:t>….</w:t>
      </w:r>
      <w:r w:rsidR="001731C9">
        <w:rPr>
          <w:rFonts w:eastAsia="Times New Roman" w:cs="Arial"/>
          <w:szCs w:val="22"/>
        </w:rPr>
        <w:t>5</w:t>
      </w:r>
    </w:p>
    <w:p w14:paraId="340CAC10" w14:textId="477B8B86" w:rsidR="00CE21B0" w:rsidRDefault="0057046A" w:rsidP="00D35F99">
      <w:pPr>
        <w:spacing w:before="100" w:beforeAutospacing="1" w:after="100" w:afterAutospacing="1" w:line="300" w:lineRule="atLeast"/>
        <w:rPr>
          <w:rFonts w:eastAsia="Times New Roman" w:cs="Arial"/>
          <w:szCs w:val="22"/>
        </w:rPr>
      </w:pPr>
      <w:r>
        <w:rPr>
          <w:rFonts w:eastAsia="Times New Roman" w:cs="Arial"/>
          <w:szCs w:val="22"/>
        </w:rPr>
        <w:t>Vaccination coverage monitoring…………………………</w:t>
      </w:r>
      <w:r w:rsidR="00CE21B0">
        <w:rPr>
          <w:rFonts w:eastAsia="Times New Roman" w:cs="Arial"/>
          <w:szCs w:val="22"/>
        </w:rPr>
        <w:t>6</w:t>
      </w:r>
    </w:p>
    <w:p w14:paraId="43169DFA" w14:textId="620107EF" w:rsidR="0041292F" w:rsidRDefault="00CE21B0" w:rsidP="00D35F99">
      <w:pPr>
        <w:spacing w:before="100" w:beforeAutospacing="1" w:after="100" w:afterAutospacing="1" w:line="300" w:lineRule="atLeast"/>
        <w:rPr>
          <w:rFonts w:eastAsia="Times New Roman" w:cs="Arial"/>
          <w:szCs w:val="22"/>
        </w:rPr>
      </w:pPr>
      <w:r>
        <w:rPr>
          <w:rFonts w:eastAsia="Times New Roman" w:cs="Arial"/>
          <w:szCs w:val="22"/>
        </w:rPr>
        <w:t>Challenges</w:t>
      </w:r>
      <w:r w:rsidR="00CB6F12">
        <w:rPr>
          <w:rFonts w:eastAsia="Times New Roman" w:cs="Arial"/>
          <w:szCs w:val="22"/>
        </w:rPr>
        <w:t xml:space="preserve"> in global polio </w:t>
      </w:r>
      <w:r w:rsidR="00C60CAF">
        <w:rPr>
          <w:rFonts w:eastAsia="Times New Roman" w:cs="Arial"/>
          <w:szCs w:val="22"/>
        </w:rPr>
        <w:t>surveillance</w:t>
      </w:r>
      <w:r w:rsidR="00CB6F12">
        <w:rPr>
          <w:rFonts w:eastAsia="Times New Roman" w:cs="Arial"/>
          <w:szCs w:val="22"/>
        </w:rPr>
        <w:t>………………</w:t>
      </w:r>
      <w:r w:rsidR="0009550E">
        <w:rPr>
          <w:rFonts w:eastAsia="Times New Roman" w:cs="Arial"/>
          <w:szCs w:val="22"/>
        </w:rPr>
        <w:t>….</w:t>
      </w:r>
      <w:r w:rsidR="00CB6F12">
        <w:rPr>
          <w:rFonts w:eastAsia="Times New Roman" w:cs="Arial"/>
          <w:szCs w:val="22"/>
        </w:rPr>
        <w:t>7</w:t>
      </w:r>
    </w:p>
    <w:p w14:paraId="45093399" w14:textId="1A167C18" w:rsidR="00010E17" w:rsidRDefault="00380A5E" w:rsidP="00D35F99">
      <w:pPr>
        <w:spacing w:before="100" w:beforeAutospacing="1" w:after="100" w:afterAutospacing="1" w:line="300" w:lineRule="atLeast"/>
        <w:rPr>
          <w:rFonts w:eastAsia="Times New Roman" w:cs="Arial"/>
          <w:szCs w:val="22"/>
        </w:rPr>
      </w:pPr>
      <w:r>
        <w:rPr>
          <w:rFonts w:eastAsia="Times New Roman" w:cs="Arial"/>
          <w:szCs w:val="22"/>
        </w:rPr>
        <w:t>Concl</w:t>
      </w:r>
      <w:r w:rsidR="0041292F">
        <w:rPr>
          <w:rFonts w:eastAsia="Times New Roman" w:cs="Arial"/>
          <w:szCs w:val="22"/>
        </w:rPr>
        <w:t>usion……………</w:t>
      </w:r>
      <w:r w:rsidR="00010E17">
        <w:rPr>
          <w:rFonts w:eastAsia="Times New Roman" w:cs="Arial"/>
          <w:szCs w:val="22"/>
        </w:rPr>
        <w:t>…………………………………….8</w:t>
      </w:r>
    </w:p>
    <w:p w14:paraId="0F66CFDB" w14:textId="3253F576" w:rsidR="00D35D67" w:rsidRPr="00DF6109" w:rsidRDefault="00C04012" w:rsidP="00DF6109">
      <w:pPr>
        <w:spacing w:before="100" w:beforeAutospacing="1" w:after="100" w:afterAutospacing="1" w:line="300" w:lineRule="atLeast"/>
        <w:rPr>
          <w:rFonts w:eastAsia="Times New Roman" w:cs="Arial"/>
          <w:b/>
          <w:szCs w:val="22"/>
        </w:rPr>
      </w:pPr>
      <w:r>
        <w:rPr>
          <w:rFonts w:eastAsia="Times New Roman" w:cs="Arial"/>
          <w:szCs w:val="22"/>
        </w:rPr>
        <w:t>Re</w:t>
      </w:r>
      <w:r w:rsidR="005C553C">
        <w:rPr>
          <w:rFonts w:eastAsia="Times New Roman" w:cs="Arial"/>
          <w:szCs w:val="22"/>
        </w:rPr>
        <w:t>ferences………………………………………………….9</w:t>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br/>
      </w:r>
      <w:r w:rsidR="00DB4988">
        <w:rPr>
          <w:rFonts w:eastAsia="Times New Roman" w:cs="Arial"/>
          <w:szCs w:val="22"/>
        </w:rPr>
        <w:lastRenderedPageBreak/>
        <w:br/>
      </w:r>
      <w:r w:rsidR="00383F90">
        <w:rPr>
          <w:rFonts w:eastAsia="Times New Roman" w:cs="Arial"/>
          <w:szCs w:val="22"/>
        </w:rPr>
        <w:br/>
      </w:r>
      <w:r w:rsidR="00842AF6" w:rsidRPr="00263C62">
        <w:rPr>
          <w:rFonts w:cs="Arial"/>
          <w:b/>
          <w:bCs/>
          <w:szCs w:val="22"/>
        </w:rPr>
        <w:t xml:space="preserve">INTRODUCTION </w:t>
      </w:r>
      <w:r w:rsidR="0009550E">
        <w:rPr>
          <w:rFonts w:cs="Arial"/>
          <w:b/>
          <w:bCs/>
          <w:szCs w:val="22"/>
        </w:rPr>
        <w:br/>
      </w:r>
      <w:r w:rsidR="00842AF6">
        <w:rPr>
          <w:rFonts w:ascii="Segoe UI" w:hAnsi="Segoe UI"/>
          <w:sz w:val="21"/>
        </w:rPr>
        <w:br/>
      </w:r>
      <w:r w:rsidR="00D35D67">
        <w:rPr>
          <w:rFonts w:ascii="Segoe UI" w:hAnsi="Segoe UI"/>
          <w:sz w:val="21"/>
        </w:rPr>
        <w:t>Poliomyelitis, commonly known as polio, is a highly contagious viral disease caused by the poliovirus. The virus is transmitted primarily through the faecal-oral route and can spread rapidly in areas with poor sanitation, inadequate access to clean water, and low immunisation coverage. Although many infections are asymptomatic or cause only mild flu-like symptoms, severe cases can result in permanent paralysis and, in some instances, death due to respiratory muscle failure. Before the development of effective vaccines, polio outbreaks were responsible for widespread disability and mortality worldwide. Since the establishment of the Global Polio Eradication Initiative (GPEI) in 1988, global polio cases have fallen by more than 99.9%, making polio one of the closest diseases to eradication after smallpox. Despite this progress, wild poliovirus transmission persists in a small number of countries, highlighting the importance of continuous surveillance and monitoring. This essay examines the major approaches used to measure and monitor polio, including Acute Flaccid Paralysis surveillance, laboratory surveillance, environmental surveillance, and vaccination coverage monitoring.</w:t>
      </w:r>
    </w:p>
    <w:p w14:paraId="7640AE71" w14:textId="66E93C73" w:rsidR="00D35D67" w:rsidRDefault="00D35D67" w:rsidP="00D35D67">
      <w:pPr>
        <w:spacing w:line="300" w:lineRule="atLeast"/>
        <w:rPr>
          <w:rFonts w:ascii="Segoe UI" w:hAnsi="Segoe UI"/>
          <w:sz w:val="21"/>
        </w:rPr>
      </w:pPr>
    </w:p>
    <w:p w14:paraId="4F05BEEF" w14:textId="77777777" w:rsidR="00D35D67" w:rsidRPr="00263C62" w:rsidRDefault="00D35D67" w:rsidP="00D35D67">
      <w:pPr>
        <w:pStyle w:val="Heading2"/>
        <w:spacing w:line="300" w:lineRule="atLeast"/>
        <w:rPr>
          <w:rFonts w:ascii="Segoe UI" w:hAnsi="Segoe UI" w:cs="Segoe UI"/>
          <w:b/>
          <w:bCs/>
          <w:sz w:val="22"/>
          <w:szCs w:val="22"/>
        </w:rPr>
      </w:pPr>
      <w:r w:rsidRPr="00263C62">
        <w:rPr>
          <w:rFonts w:ascii="Segoe UI" w:hAnsi="Segoe UI" w:cs="Segoe UI"/>
          <w:b/>
          <w:bCs/>
          <w:sz w:val="22"/>
          <w:szCs w:val="22"/>
        </w:rPr>
        <w:t>Understanding Polio and the Importance of Surveillance</w:t>
      </w:r>
    </w:p>
    <w:p w14:paraId="2A7AC1D3"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Polio is a vaccine-preventable disease that primarily affects young children. Once the poliovirus enters the body through contaminated food or water, it multiplies in the intestines and may invade the central nervous system. While most infected individuals do not develop symptoms, approximately one in every 200 infections can lead to irreversible paralysis (World Health Organization, 2025). Effective surveillance systems are therefore essential because many infections occur silently before a paralytic case is identified.</w:t>
      </w:r>
    </w:p>
    <w:p w14:paraId="426A7DD0" w14:textId="7E316D8B"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The launch of the Global Polio Eradication Initiative in 1988 marked a turning point in public health efforts to eliminate the disease. Since then, governments, health </w:t>
      </w:r>
      <w:r w:rsidR="00596050">
        <w:rPr>
          <w:rFonts w:ascii="Segoe UI" w:hAnsi="Segoe UI" w:cs="Segoe UI"/>
          <w:sz w:val="21"/>
        </w:rPr>
        <w:t>organizations</w:t>
      </w:r>
      <w:r>
        <w:rPr>
          <w:rFonts w:ascii="Segoe UI" w:hAnsi="Segoe UI" w:cs="Segoe UI"/>
          <w:sz w:val="21"/>
        </w:rPr>
        <w:t xml:space="preserve">, and international partners have worked together to strengthen surveillance and </w:t>
      </w:r>
      <w:r w:rsidR="00596050">
        <w:rPr>
          <w:rFonts w:ascii="Segoe UI" w:hAnsi="Segoe UI" w:cs="Segoe UI"/>
          <w:sz w:val="21"/>
        </w:rPr>
        <w:t>immunization</w:t>
      </w:r>
      <w:r>
        <w:rPr>
          <w:rFonts w:ascii="Segoe UI" w:hAnsi="Segoe UI" w:cs="Segoe UI"/>
          <w:sz w:val="21"/>
        </w:rPr>
        <w:t xml:space="preserve"> systems worldwide. Surveillance enables health authorities to detect poliovirus circulation early, identify vulnerable populations, evaluate eradication progress, and implement rapid intervention measures. Without comprehensive surveillance systems, outbreaks could spread unnoticed and undermine eradication achievements.</w:t>
      </w:r>
    </w:p>
    <w:p w14:paraId="0A697D51"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To support global eradication efforts, several surveillance approaches work together. These approaches include Acute Flaccid Paralysis (AFP) surveillance, laboratory surveillance, environmental surveillance, and vaccination coverage monitoring. Each system contributes unique information that assists policymakers and healthcare professionals in controlling and preventing poliovirus transmission.</w:t>
      </w:r>
    </w:p>
    <w:p w14:paraId="0BF93D5C" w14:textId="77777777" w:rsidR="00D35D67" w:rsidRPr="00263C62" w:rsidRDefault="00D35D67" w:rsidP="00D35D67">
      <w:pPr>
        <w:pStyle w:val="Heading2"/>
        <w:spacing w:line="300" w:lineRule="atLeast"/>
        <w:rPr>
          <w:rFonts w:ascii="Arial" w:hAnsi="Arial" w:cs="Arial"/>
          <w:b/>
          <w:bCs/>
          <w:sz w:val="22"/>
          <w:szCs w:val="22"/>
        </w:rPr>
      </w:pPr>
      <w:r w:rsidRPr="00263C62">
        <w:rPr>
          <w:rFonts w:ascii="Arial" w:hAnsi="Arial" w:cs="Arial"/>
          <w:b/>
          <w:bCs/>
          <w:sz w:val="22"/>
          <w:szCs w:val="22"/>
        </w:rPr>
        <w:lastRenderedPageBreak/>
        <w:t>Acute Flaccid Paralysis (AFP) Surveillance</w:t>
      </w:r>
    </w:p>
    <w:p w14:paraId="73B396FC" w14:textId="4C9723E0"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Acute Flaccid Paralysis surveillance is widely </w:t>
      </w:r>
      <w:r w:rsidR="00596050">
        <w:rPr>
          <w:rFonts w:ascii="Segoe UI" w:hAnsi="Segoe UI" w:cs="Segoe UI"/>
          <w:sz w:val="21"/>
        </w:rPr>
        <w:t>recognized</w:t>
      </w:r>
      <w:r>
        <w:rPr>
          <w:rFonts w:ascii="Segoe UI" w:hAnsi="Segoe UI" w:cs="Segoe UI"/>
          <w:sz w:val="21"/>
        </w:rPr>
        <w:t xml:space="preserve"> as the cornerstone of global polio surveillance. AFP refers to the sudden onset of weakness or paralysis in children younger than fifteen years of age. Since paralysis is the most </w:t>
      </w:r>
      <w:r w:rsidR="00596050">
        <w:rPr>
          <w:rFonts w:ascii="Segoe UI" w:hAnsi="Segoe UI" w:cs="Segoe UI"/>
          <w:sz w:val="21"/>
        </w:rPr>
        <w:t>recognizable</w:t>
      </w:r>
      <w:r>
        <w:rPr>
          <w:rFonts w:ascii="Segoe UI" w:hAnsi="Segoe UI" w:cs="Segoe UI"/>
          <w:sz w:val="21"/>
        </w:rPr>
        <w:t xml:space="preserve"> clinical manifestation of poliovirus infection, monitoring AFP cases allows health authorities to identify potential polio cases and investigate further.</w:t>
      </w:r>
    </w:p>
    <w:p w14:paraId="4BB433F6"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AFP surveillance involves a structured process. Healthcare workers, hospitals, clinics, and community volunteers are trained to identify and report any cases of sudden paralysis. Once a case is detected, public health authorities are notified immediately. A trained surveillance officer then conducts a detailed investigation, including medical history, vaccination status, travel history, and possible contact with infected individuals.</w:t>
      </w:r>
    </w:p>
    <w:p w14:paraId="5B3A4C4B" w14:textId="33A8C5E7"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Following the investigation, two stool specimens are collected from the patient and transported through a controlled cold chain to a </w:t>
      </w:r>
      <w:r w:rsidR="00596050">
        <w:rPr>
          <w:rFonts w:ascii="Segoe UI" w:hAnsi="Segoe UI" w:cs="Segoe UI"/>
          <w:sz w:val="21"/>
        </w:rPr>
        <w:t>specialized</w:t>
      </w:r>
      <w:r>
        <w:rPr>
          <w:rFonts w:ascii="Segoe UI" w:hAnsi="Segoe UI" w:cs="Segoe UI"/>
          <w:sz w:val="21"/>
        </w:rPr>
        <w:t xml:space="preserve"> laboratory for testing. Results from laboratory analysis determine whether poliovirus is present and whether further public health interventions are required. A follow-up examination is conducted sixty days after the onset of paralysis to assess residual weakness and support final case classification.</w:t>
      </w:r>
    </w:p>
    <w:p w14:paraId="64BD48EE" w14:textId="0F58E1B1" w:rsidR="00D35D67" w:rsidRPr="001A46E8" w:rsidRDefault="00D35D67" w:rsidP="001A46E8">
      <w:pPr>
        <w:pStyle w:val="NormalWeb"/>
        <w:spacing w:line="300" w:lineRule="atLeast"/>
        <w:rPr>
          <w:rFonts w:ascii="Segoe UI" w:hAnsi="Segoe UI" w:cs="Segoe UI"/>
          <w:sz w:val="21"/>
        </w:rPr>
      </w:pPr>
      <w:r>
        <w:rPr>
          <w:rFonts w:ascii="Segoe UI" w:hAnsi="Segoe UI" w:cs="Segoe UI"/>
          <w:sz w:val="21"/>
        </w:rPr>
        <w:t>AFP surveillance provides several advantages. First, it enables early detection of imported cases and circulating vaccine-derived polioviruses. Second, it provides evidence that countries remain free from active poliovirus transmission. Third, AFP surveillance data help guide vaccination campaigns and outbreak responses. However, AFP surveillance alone may not identify all infections because many individuals infected with poliovirus never develop paralysis. Consequently, additional monitoring approaches are required to complement AFP surveillance.</w:t>
      </w:r>
      <w:r w:rsidR="001A46E8">
        <w:rPr>
          <w:rFonts w:ascii="Segoe UI" w:hAnsi="Segoe UI" w:cs="Segoe UI"/>
          <w:sz w:val="21"/>
        </w:rPr>
        <w:br/>
      </w:r>
      <w:r w:rsidR="001A46E8">
        <w:rPr>
          <w:rFonts w:ascii="Segoe UI" w:hAnsi="Segoe UI" w:cs="Segoe UI"/>
          <w:sz w:val="21"/>
        </w:rPr>
        <w:br/>
      </w:r>
      <w:r>
        <w:rPr>
          <w:rFonts w:ascii="Segoe UI" w:hAnsi="Segoe UI" w:cs="Segoe UI"/>
        </w:rPr>
        <w:t>Laboratory Surveillance</w:t>
      </w:r>
    </w:p>
    <w:p w14:paraId="4CA3C0C1" w14:textId="1E3E7A15"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Laboratory surveillance is a critical component of the global polio eradication program because it confirms suspected cases and </w:t>
      </w:r>
      <w:r w:rsidR="00596050">
        <w:rPr>
          <w:rFonts w:ascii="Segoe UI" w:hAnsi="Segoe UI" w:cs="Segoe UI"/>
          <w:sz w:val="21"/>
        </w:rPr>
        <w:t>characterizes</w:t>
      </w:r>
      <w:r>
        <w:rPr>
          <w:rFonts w:ascii="Segoe UI" w:hAnsi="Segoe UI" w:cs="Segoe UI"/>
          <w:sz w:val="21"/>
        </w:rPr>
        <w:t xml:space="preserve"> circulating virus strains. While AFP surveillance identifies possible cases, laboratory testing provides scientific evidence regarding the presence and type of poliovirus involved.</w:t>
      </w:r>
    </w:p>
    <w:p w14:paraId="41269457"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The process begins with virus isolation, during which stool samples obtained from AFP cases are cultured in specialised laboratories. If poliovirus is detected, further testing is conducted to determine whether the virus is a wild poliovirus, a vaccine-derived poliovirus, or a vaccine-related strain. Molecular diagnostic methods such as polymerase chain reaction (PCR) and genomic sequencing are used extensively throughout this process.</w:t>
      </w:r>
    </w:p>
    <w:p w14:paraId="00159A7C"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Genomic sequencing has become particularly important because it allows scientists to identify genetic relationships among poliovirus isolates. Through sequencing, public health officials can trace transmission pathways, establish the origins of outbreaks, and determine whether cases in different </w:t>
      </w:r>
      <w:r>
        <w:rPr>
          <w:rFonts w:ascii="Segoe UI" w:hAnsi="Segoe UI" w:cs="Segoe UI"/>
          <w:sz w:val="21"/>
        </w:rPr>
        <w:lastRenderedPageBreak/>
        <w:t>regions are connected. Such information is essential when planning targeted vaccination strategies and monitoring the effectiveness of interventions.</w:t>
      </w:r>
    </w:p>
    <w:p w14:paraId="57D44875" w14:textId="298EFBA8" w:rsidR="00D35D67" w:rsidRDefault="00D35D67" w:rsidP="00D35D67">
      <w:pPr>
        <w:pStyle w:val="NormalWeb"/>
        <w:spacing w:line="300" w:lineRule="atLeast"/>
        <w:rPr>
          <w:rFonts w:ascii="Segoe UI" w:hAnsi="Segoe UI" w:cs="Segoe UI"/>
          <w:sz w:val="21"/>
        </w:rPr>
      </w:pPr>
      <w:r>
        <w:rPr>
          <w:rFonts w:ascii="Segoe UI" w:hAnsi="Segoe UI" w:cs="Segoe UI"/>
          <w:sz w:val="21"/>
        </w:rPr>
        <w:t>The Global Polio Laboratory Network (GPLN) supports these activities by providing standardised testing procedures and quality assurance across laboratories worldwide. This network ensures that surveillance data remain accurate, reliable, and comparable between countries. Laboratory surveillance therefore strengthens the evidence base for eradication progra</w:t>
      </w:r>
      <w:r w:rsidR="00C87D2A">
        <w:rPr>
          <w:rFonts w:ascii="Segoe UI" w:hAnsi="Segoe UI" w:cs="Segoe UI"/>
          <w:sz w:val="21"/>
        </w:rPr>
        <w:t xml:space="preserve">m </w:t>
      </w:r>
      <w:r>
        <w:rPr>
          <w:rFonts w:ascii="Segoe UI" w:hAnsi="Segoe UI" w:cs="Segoe UI"/>
          <w:sz w:val="21"/>
        </w:rPr>
        <w:t>and enhances the capacity of health systems to respond rapidly to outbreaks.</w:t>
      </w:r>
    </w:p>
    <w:p w14:paraId="05ECA04D" w14:textId="77777777" w:rsidR="00D35D67" w:rsidRPr="00263C62" w:rsidRDefault="00D35D67" w:rsidP="00D35D67">
      <w:pPr>
        <w:pStyle w:val="Heading2"/>
        <w:spacing w:line="300" w:lineRule="atLeast"/>
        <w:rPr>
          <w:rFonts w:ascii="Arial" w:hAnsi="Arial" w:cs="Arial"/>
          <w:sz w:val="22"/>
          <w:szCs w:val="22"/>
        </w:rPr>
      </w:pPr>
      <w:r w:rsidRPr="00263C62">
        <w:rPr>
          <w:rFonts w:ascii="Arial" w:hAnsi="Arial" w:cs="Arial"/>
          <w:sz w:val="22"/>
          <w:szCs w:val="22"/>
        </w:rPr>
        <w:t>Environmental Surveillance</w:t>
      </w:r>
    </w:p>
    <w:p w14:paraId="61CE6B62"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Environmental surveillance, commonly referred to as wastewater or sewage surveillance, has emerged as a highly effective method for detecting hidden poliovirus transmission. Unlike AFP surveillance, which depends on identifying clinical cases, environmental surveillance can detect poliovirus shed in human faeces even when infected individuals display no symptoms.</w:t>
      </w:r>
    </w:p>
    <w:p w14:paraId="46FA7E65"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The surveillance process involves collecting wastewater samples from selected sewage sites at regular intervals. Samples are transported to accredited laboratories and analysed using molecular methods to identify the presence of poliovirus. When the virus is detected in sewage, public health officials can investigate affected areas and implement preventive interventions before paralytic cases occur.</w:t>
      </w:r>
    </w:p>
    <w:p w14:paraId="12CFC2D5"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One of the principal advantages of environmental surveillance is its ability to provide an early warning system. Because infected individuals may excrete poliovirus for several weeks without symptoms, wastewater testing can reveal circulation before traditional surveillance systems detect cases. This approach has become increasingly valuable in countries that have already eliminated polio but remain at risk of imported infections.</w:t>
      </w:r>
    </w:p>
    <w:p w14:paraId="47722C90"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Environmental surveillance also complements AFP surveillance by filling potential gaps in case detection. For example, poliovirus identified in wastewater may indicate ongoing community transmission in areas where no cases of paralysis have been reported. Consequently, environmental surveillance strengthens confidence in eradication efforts and improves overall surveillance sensitivity.</w:t>
      </w:r>
    </w:p>
    <w:p w14:paraId="02245939"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Recent experience with COVID-19 wastewater monitoring has further demonstrated the value of environmental surveillance for public health decision-making. The lessons learned from polio surveillance have influenced broader applications of wastewater-based epidemiology for infectious diseases worldwide.</w:t>
      </w:r>
    </w:p>
    <w:p w14:paraId="477F8911" w14:textId="77777777" w:rsidR="00D35D67" w:rsidRPr="00263C62" w:rsidRDefault="00D35D67" w:rsidP="00D35D67">
      <w:pPr>
        <w:pStyle w:val="Heading2"/>
        <w:spacing w:line="300" w:lineRule="atLeast"/>
        <w:rPr>
          <w:rFonts w:ascii="Arial" w:hAnsi="Arial" w:cs="Arial"/>
          <w:b/>
          <w:bCs/>
          <w:sz w:val="22"/>
          <w:szCs w:val="22"/>
        </w:rPr>
      </w:pPr>
      <w:r w:rsidRPr="00263C62">
        <w:rPr>
          <w:rFonts w:ascii="Arial" w:hAnsi="Arial" w:cs="Arial"/>
          <w:b/>
          <w:bCs/>
          <w:sz w:val="22"/>
          <w:szCs w:val="22"/>
        </w:rPr>
        <w:lastRenderedPageBreak/>
        <w:t>Vaccination Coverage Monitoring</w:t>
      </w:r>
    </w:p>
    <w:p w14:paraId="02BA3536"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Vaccination coverage monitoring is another important strategy used to measure and monitor polio control efforts. Unlike surveillance systems that focus on detecting the virus itself, vaccination monitoring evaluates population immunity and identifies communities at risk of outbreaks.</w:t>
      </w:r>
    </w:p>
    <w:p w14:paraId="3C980F8A" w14:textId="4AB4C11A"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The primary objective of vaccination coverage monitoring is to assess the proportion of individuals, particularly children, who have received recommended polio vaccine doses. Health authorities collect data through </w:t>
      </w:r>
      <w:r w:rsidR="009C3B80">
        <w:rPr>
          <w:rFonts w:ascii="Segoe UI" w:hAnsi="Segoe UI" w:cs="Segoe UI"/>
          <w:sz w:val="21"/>
        </w:rPr>
        <w:t>immunization</w:t>
      </w:r>
      <w:r>
        <w:rPr>
          <w:rFonts w:ascii="Segoe UI" w:hAnsi="Segoe UI" w:cs="Segoe UI"/>
          <w:sz w:val="21"/>
        </w:rPr>
        <w:t xml:space="preserve"> records, household surveys, vaccination registers, and national health information systems. This information helps determine whether communities have sufficient immunity to interrupt poliovirus transmission.</w:t>
      </w:r>
    </w:p>
    <w:p w14:paraId="30990072" w14:textId="399E99F4" w:rsidR="00D35D67" w:rsidRDefault="00D35D67" w:rsidP="00D35D67">
      <w:pPr>
        <w:pStyle w:val="NormalWeb"/>
        <w:spacing w:line="300" w:lineRule="atLeast"/>
        <w:rPr>
          <w:rFonts w:ascii="Segoe UI" w:hAnsi="Segoe UI" w:cs="Segoe UI"/>
          <w:sz w:val="21"/>
        </w:rPr>
      </w:pPr>
      <w:r>
        <w:rPr>
          <w:rFonts w:ascii="Segoe UI" w:hAnsi="Segoe UI" w:cs="Segoe UI"/>
          <w:sz w:val="21"/>
        </w:rPr>
        <w:t>High vaccination coverage is essential because poliovirus spreads easily in under-</w:t>
      </w:r>
      <w:r w:rsidR="009C3B80">
        <w:rPr>
          <w:rFonts w:ascii="Segoe UI" w:hAnsi="Segoe UI" w:cs="Segoe UI"/>
          <w:sz w:val="21"/>
        </w:rPr>
        <w:t>immunized</w:t>
      </w:r>
      <w:r>
        <w:rPr>
          <w:rFonts w:ascii="Segoe UI" w:hAnsi="Segoe UI" w:cs="Segoe UI"/>
          <w:sz w:val="21"/>
        </w:rPr>
        <w:t xml:space="preserve"> populations. Monitoring vaccine uptake allows public health officials to identify immunity gaps and target vulnerable communities with supplementary </w:t>
      </w:r>
      <w:r w:rsidR="009C3B80">
        <w:rPr>
          <w:rFonts w:ascii="Segoe UI" w:hAnsi="Segoe UI" w:cs="Segoe UI"/>
          <w:sz w:val="21"/>
        </w:rPr>
        <w:t>immunization</w:t>
      </w:r>
      <w:r>
        <w:rPr>
          <w:rFonts w:ascii="Segoe UI" w:hAnsi="Segoe UI" w:cs="Segoe UI"/>
          <w:sz w:val="21"/>
        </w:rPr>
        <w:t xml:space="preserve"> activities. Such interventions may include mass vaccination campaigns, mobile vaccination services, and outreach program</w:t>
      </w:r>
      <w:r w:rsidR="009C3B80">
        <w:rPr>
          <w:rFonts w:ascii="Segoe UI" w:hAnsi="Segoe UI" w:cs="Segoe UI"/>
          <w:sz w:val="21"/>
        </w:rPr>
        <w:t xml:space="preserve"> </w:t>
      </w:r>
      <w:r>
        <w:rPr>
          <w:rFonts w:ascii="Segoe UI" w:hAnsi="Segoe UI" w:cs="Segoe UI"/>
          <w:sz w:val="21"/>
        </w:rPr>
        <w:t>in remote areas.</w:t>
      </w:r>
    </w:p>
    <w:p w14:paraId="78B2E1B0" w14:textId="7614BCEF" w:rsidR="00D35D67" w:rsidRDefault="00D35D67" w:rsidP="00D35D67">
      <w:pPr>
        <w:pStyle w:val="NormalWeb"/>
        <w:spacing w:line="300" w:lineRule="atLeast"/>
        <w:rPr>
          <w:rFonts w:ascii="Segoe UI" w:hAnsi="Segoe UI" w:cs="Segoe UI"/>
          <w:sz w:val="21"/>
        </w:rPr>
      </w:pPr>
      <w:r>
        <w:rPr>
          <w:rFonts w:ascii="Segoe UI" w:hAnsi="Segoe UI" w:cs="Segoe UI"/>
          <w:sz w:val="21"/>
        </w:rPr>
        <w:t>Vaccination coverage data are also important for evaluating program</w:t>
      </w:r>
      <w:r w:rsidR="00C80FA4">
        <w:rPr>
          <w:rFonts w:ascii="Segoe UI" w:hAnsi="Segoe UI" w:cs="Segoe UI"/>
          <w:sz w:val="21"/>
        </w:rPr>
        <w:t xml:space="preserve"> </w:t>
      </w:r>
      <w:r>
        <w:rPr>
          <w:rFonts w:ascii="Segoe UI" w:hAnsi="Segoe UI" w:cs="Segoe UI"/>
          <w:sz w:val="21"/>
        </w:rPr>
        <w:t xml:space="preserve">performance. Governments and international </w:t>
      </w:r>
      <w:r w:rsidR="00C80FA4">
        <w:rPr>
          <w:rFonts w:ascii="Segoe UI" w:hAnsi="Segoe UI" w:cs="Segoe UI"/>
          <w:sz w:val="21"/>
        </w:rPr>
        <w:t>organizations</w:t>
      </w:r>
      <w:r>
        <w:rPr>
          <w:rFonts w:ascii="Segoe UI" w:hAnsi="Segoe UI" w:cs="Segoe UI"/>
          <w:sz w:val="21"/>
        </w:rPr>
        <w:t xml:space="preserve"> use coverage indicators to allocate resources, assess policy effectiveness, and monitor progress toward eradication targets. Areas with low </w:t>
      </w:r>
      <w:r w:rsidR="00C80FA4">
        <w:rPr>
          <w:rFonts w:ascii="Segoe UI" w:hAnsi="Segoe UI" w:cs="Segoe UI"/>
          <w:sz w:val="21"/>
        </w:rPr>
        <w:t>immunization</w:t>
      </w:r>
      <w:r>
        <w:rPr>
          <w:rFonts w:ascii="Segoe UI" w:hAnsi="Segoe UI" w:cs="Segoe UI"/>
          <w:sz w:val="21"/>
        </w:rPr>
        <w:t xml:space="preserve"> rates can be </w:t>
      </w:r>
      <w:r w:rsidR="00C80FA4">
        <w:rPr>
          <w:rFonts w:ascii="Segoe UI" w:hAnsi="Segoe UI" w:cs="Segoe UI"/>
          <w:sz w:val="21"/>
        </w:rPr>
        <w:t>prioritized</w:t>
      </w:r>
      <w:r>
        <w:rPr>
          <w:rFonts w:ascii="Segoe UI" w:hAnsi="Segoe UI" w:cs="Segoe UI"/>
          <w:sz w:val="21"/>
        </w:rPr>
        <w:t xml:space="preserve"> for additional support and public health interventions.</w:t>
      </w:r>
    </w:p>
    <w:p w14:paraId="018919B2" w14:textId="779299CD"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Furthermore, vaccination monitoring contributes to health equity by highlighting populations with limited access to healthcare services. Addressing disparities in </w:t>
      </w:r>
      <w:r w:rsidR="00C80FA4">
        <w:rPr>
          <w:rFonts w:ascii="Segoe UI" w:hAnsi="Segoe UI" w:cs="Segoe UI"/>
          <w:sz w:val="21"/>
        </w:rPr>
        <w:t>immunization</w:t>
      </w:r>
      <w:r>
        <w:rPr>
          <w:rFonts w:ascii="Segoe UI" w:hAnsi="Segoe UI" w:cs="Segoe UI"/>
          <w:sz w:val="21"/>
        </w:rPr>
        <w:t xml:space="preserve"> coverage not only protects individuals from polio but also strengthens broader public health systems and disease prevention programs.</w:t>
      </w:r>
    </w:p>
    <w:p w14:paraId="03AB85C7" w14:textId="77777777" w:rsidR="00D35D67" w:rsidRPr="00263C62" w:rsidRDefault="00D35D67" w:rsidP="00D35D67">
      <w:pPr>
        <w:pStyle w:val="Heading2"/>
        <w:spacing w:line="300" w:lineRule="atLeast"/>
        <w:rPr>
          <w:rFonts w:ascii="Arial" w:hAnsi="Arial" w:cs="Arial"/>
          <w:b/>
          <w:bCs/>
          <w:sz w:val="22"/>
          <w:szCs w:val="22"/>
        </w:rPr>
      </w:pPr>
      <w:r w:rsidRPr="00263C62">
        <w:rPr>
          <w:rFonts w:ascii="Arial" w:hAnsi="Arial" w:cs="Arial"/>
          <w:b/>
          <w:bCs/>
          <w:sz w:val="22"/>
          <w:szCs w:val="22"/>
        </w:rPr>
        <w:t>Challenges in Global Polio Surveillance</w:t>
      </w:r>
    </w:p>
    <w:p w14:paraId="6637DB0A"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Despite remarkable achievements, several challenges continue to affect global polio surveillance efforts. Political instability, armed conflict, population displacement, and insecurity have hindered vaccination and surveillance activities in some regions. Afghanistan and Pakistan remain the only countries where endemic wild poliovirus transmission persists, presenting ongoing risks to global eradication.</w:t>
      </w:r>
    </w:p>
    <w:p w14:paraId="07DAF95F" w14:textId="5E1AC1D2" w:rsidR="00D35D67" w:rsidRDefault="00D35D67" w:rsidP="00D35D67">
      <w:pPr>
        <w:pStyle w:val="NormalWeb"/>
        <w:spacing w:line="300" w:lineRule="atLeast"/>
        <w:rPr>
          <w:rFonts w:ascii="Segoe UI" w:hAnsi="Segoe UI" w:cs="Segoe UI"/>
          <w:sz w:val="21"/>
        </w:rPr>
      </w:pPr>
      <w:r>
        <w:rPr>
          <w:rFonts w:ascii="Segoe UI" w:hAnsi="Segoe UI" w:cs="Segoe UI"/>
          <w:sz w:val="21"/>
        </w:rPr>
        <w:t>Another challenge involves vaccine-derived polioviruses, which can emerge in communities with low vaccination coverage. Although oral polio vaccines have played a crucial role in reducing disease transmission, under-</w:t>
      </w:r>
      <w:r w:rsidR="00FC217B">
        <w:rPr>
          <w:rFonts w:ascii="Segoe UI" w:hAnsi="Segoe UI" w:cs="Segoe UI"/>
          <w:sz w:val="21"/>
        </w:rPr>
        <w:t>immunized</w:t>
      </w:r>
      <w:r>
        <w:rPr>
          <w:rFonts w:ascii="Segoe UI" w:hAnsi="Segoe UI" w:cs="Segoe UI"/>
          <w:sz w:val="21"/>
        </w:rPr>
        <w:t xml:space="preserve"> populations may occasionally experience outbreaks associated with mutated vaccine strains. Continuous surveillance is therefore necessary to detect both wild and vaccine-derived polioviruses.</w:t>
      </w:r>
    </w:p>
    <w:p w14:paraId="769D6E80"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lastRenderedPageBreak/>
        <w:t>Funding constraints also pose difficulties for surveillance systems. Maintaining laboratory networks, environmental monitoring sites, vaccination campaigns, and trained personnel requires substantial investment. As polio cases decline, securing long-term financial support may become increasingly challenging. Nevertheless, sustained commitment remains essential until eradication has been achieved and certified globally.</w:t>
      </w:r>
    </w:p>
    <w:p w14:paraId="10A51F29" w14:textId="36E5EFEF"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Finally, </w:t>
      </w:r>
      <w:r w:rsidR="00FC217B">
        <w:rPr>
          <w:rFonts w:ascii="Segoe UI" w:hAnsi="Segoe UI" w:cs="Segoe UI"/>
          <w:sz w:val="21"/>
        </w:rPr>
        <w:t>globalization</w:t>
      </w:r>
      <w:r>
        <w:rPr>
          <w:rFonts w:ascii="Segoe UI" w:hAnsi="Segoe UI" w:cs="Segoe UI"/>
          <w:sz w:val="21"/>
        </w:rPr>
        <w:t xml:space="preserve"> and international travel increase the possibility of imported cases. Even countries that have been polio-free for decades remain vulnerable if surveillance systems weaken. Consequently, continuous monitoring, high </w:t>
      </w:r>
      <w:r w:rsidR="00FC217B">
        <w:rPr>
          <w:rFonts w:ascii="Segoe UI" w:hAnsi="Segoe UI" w:cs="Segoe UI"/>
          <w:sz w:val="21"/>
        </w:rPr>
        <w:t>immunization</w:t>
      </w:r>
      <w:r>
        <w:rPr>
          <w:rFonts w:ascii="Segoe UI" w:hAnsi="Segoe UI" w:cs="Segoe UI"/>
          <w:sz w:val="21"/>
        </w:rPr>
        <w:t xml:space="preserve"> coverage, and rapid outbreak response mechanisms must remain priorities for public health authorities.</w:t>
      </w:r>
    </w:p>
    <w:p w14:paraId="29A928B6" w14:textId="77777777" w:rsidR="00D35D67" w:rsidRDefault="003C094C" w:rsidP="00D35D67">
      <w:pPr>
        <w:spacing w:line="300" w:lineRule="atLeast"/>
        <w:rPr>
          <w:rFonts w:ascii="Segoe UI" w:hAnsi="Segoe UI"/>
          <w:sz w:val="21"/>
        </w:rPr>
      </w:pPr>
      <w:r>
        <w:rPr>
          <w:noProof/>
        </w:rPr>
      </w:r>
      <w:r>
        <w:pict w14:anchorId="1700CFCD">
          <v:rect id="Horizontal Lin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Gg2tAfbAAAABwEAAA8AAAAAAAAAAAAAAAAAugQAAGRycy9kb3du&#13;&#10;cmV2LnhtbFBLBQYAAAAABAAEAPMAAADCBQAAAAA=&#13;&#10;" filled="f">
            <o:lock v:ext="edit" rotation="t" aspectratio="t" verticies="t" text="t" shapetype="t"/>
            <w10:anchorlock/>
          </v:rect>
        </w:pict>
      </w:r>
    </w:p>
    <w:p w14:paraId="598B862A" w14:textId="2A43C529" w:rsidR="00D35D67" w:rsidRPr="00263C62" w:rsidRDefault="00D35D67" w:rsidP="00D35D67">
      <w:pPr>
        <w:pStyle w:val="Heading1"/>
        <w:spacing w:line="300" w:lineRule="atLeast"/>
        <w:rPr>
          <w:rFonts w:ascii="Arial" w:hAnsi="Arial" w:cs="Arial"/>
          <w:b/>
          <w:bCs/>
          <w:sz w:val="22"/>
          <w:szCs w:val="22"/>
        </w:rPr>
      </w:pPr>
      <w:r w:rsidRPr="00263C62">
        <w:rPr>
          <w:rFonts w:ascii="Arial" w:hAnsi="Arial" w:cs="Arial"/>
          <w:b/>
          <w:bCs/>
          <w:sz w:val="22"/>
          <w:szCs w:val="22"/>
        </w:rPr>
        <w:t xml:space="preserve">Conclusion </w:t>
      </w:r>
    </w:p>
    <w:p w14:paraId="58A6CE00" w14:textId="5947959E"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Polio remains one of the most significant public health challenges targeted for global eradication. Although the disease has been eliminated from most parts of the world, its continued presence in a small number of countries highlights the need for robust surveillance and monitoring systems. Acute Flaccid Paralysis surveillance, laboratory surveillance, environmental surveillance, and vaccination coverage monitoring each play a vital role in detecting poliovirus transmission, assessing population immunity, and guiding public health interventions. Together, these complementary approaches provide comprehensive information that supports rapid outbreak detection, effective vaccination campaigns, and evidence-based decision-making. The substantial reduction in global polio cases since 1988 demonstrates the success of coordinated international efforts involving governments, healthcare professionals, researchers, and global health </w:t>
      </w:r>
      <w:r w:rsidR="00FC217B">
        <w:rPr>
          <w:rFonts w:ascii="Segoe UI" w:hAnsi="Segoe UI" w:cs="Segoe UI"/>
          <w:sz w:val="21"/>
        </w:rPr>
        <w:t>organizations</w:t>
      </w:r>
      <w:r>
        <w:rPr>
          <w:rFonts w:ascii="Segoe UI" w:hAnsi="Segoe UI" w:cs="Segoe UI"/>
          <w:sz w:val="21"/>
        </w:rPr>
        <w:t xml:space="preserve">. However, until all poliovirus transmission is interrupted worldwide, continued vigilance remains essential. Sustained investment in surveillance and </w:t>
      </w:r>
      <w:r w:rsidR="00FC217B">
        <w:rPr>
          <w:rFonts w:ascii="Segoe UI" w:hAnsi="Segoe UI" w:cs="Segoe UI"/>
          <w:sz w:val="21"/>
        </w:rPr>
        <w:t>immunization</w:t>
      </w:r>
      <w:r>
        <w:rPr>
          <w:rFonts w:ascii="Segoe UI" w:hAnsi="Segoe UI" w:cs="Segoe UI"/>
          <w:sz w:val="21"/>
        </w:rPr>
        <w:t xml:space="preserve"> programs will be critical to achieving the </w:t>
      </w:r>
      <w:r w:rsidR="00FC217B">
        <w:rPr>
          <w:rFonts w:ascii="Segoe UI" w:hAnsi="Segoe UI" w:cs="Segoe UI"/>
          <w:sz w:val="21"/>
        </w:rPr>
        <w:t>goal</w:t>
      </w:r>
      <w:r>
        <w:rPr>
          <w:rFonts w:ascii="Segoe UI" w:hAnsi="Segoe UI" w:cs="Segoe UI"/>
          <w:sz w:val="21"/>
        </w:rPr>
        <w:t xml:space="preserve"> of a permanently polio-free world.</w:t>
      </w:r>
    </w:p>
    <w:p w14:paraId="1239C08D" w14:textId="2209A547" w:rsidR="00D35D67" w:rsidRDefault="00D35D67" w:rsidP="00D35D67">
      <w:pPr>
        <w:spacing w:line="300" w:lineRule="atLeast"/>
        <w:rPr>
          <w:rFonts w:ascii="Segoe UI" w:hAnsi="Segoe UI"/>
          <w:sz w:val="21"/>
        </w:rPr>
      </w:pPr>
    </w:p>
    <w:p w14:paraId="4C9C9FF0" w14:textId="77777777" w:rsidR="00D35D67" w:rsidRPr="00263C62" w:rsidRDefault="00D35D67" w:rsidP="00D35D67">
      <w:pPr>
        <w:pStyle w:val="Heading1"/>
        <w:spacing w:line="300" w:lineRule="atLeast"/>
        <w:rPr>
          <w:rFonts w:ascii="Arial" w:hAnsi="Arial" w:cs="Arial"/>
          <w:b/>
          <w:bCs/>
          <w:sz w:val="22"/>
          <w:szCs w:val="22"/>
        </w:rPr>
      </w:pPr>
      <w:r w:rsidRPr="00263C62">
        <w:rPr>
          <w:rFonts w:ascii="Arial" w:hAnsi="Arial" w:cs="Arial"/>
          <w:b/>
          <w:bCs/>
          <w:sz w:val="22"/>
          <w:szCs w:val="22"/>
        </w:rPr>
        <w:t>References</w:t>
      </w:r>
    </w:p>
    <w:p w14:paraId="2FB0954D" w14:textId="6EC718D8"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Centers for Disease Control and Prevention (CDC) (2026) </w:t>
      </w:r>
      <w:r>
        <w:rPr>
          <w:rStyle w:val="Emphasis"/>
          <w:rFonts w:ascii="Segoe UI" w:hAnsi="Segoe UI" w:cs="Segoe UI"/>
          <w:sz w:val="21"/>
        </w:rPr>
        <w:t>About Global Polio Eradication</w:t>
      </w:r>
      <w:r>
        <w:rPr>
          <w:rFonts w:ascii="Segoe UI" w:hAnsi="Segoe UI" w:cs="Segoe UI"/>
          <w:sz w:val="21"/>
        </w:rPr>
        <w:t>. Available at: https://www.cdc.gov/global-polio-vaccination</w:t>
      </w:r>
    </w:p>
    <w:p w14:paraId="245C8005" w14:textId="5FC39F67"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Global Polio Eradication Initiative (GPEI) (2026) </w:t>
      </w:r>
      <w:r>
        <w:rPr>
          <w:rStyle w:val="Emphasis"/>
          <w:rFonts w:ascii="Segoe UI" w:hAnsi="Segoe UI" w:cs="Segoe UI"/>
          <w:sz w:val="21"/>
        </w:rPr>
        <w:t>Polio Eradication Strategy 2022-2026</w:t>
      </w:r>
      <w:r>
        <w:rPr>
          <w:rFonts w:ascii="Segoe UI" w:hAnsi="Segoe UI" w:cs="Segoe UI"/>
          <w:sz w:val="21"/>
        </w:rPr>
        <w:t xml:space="preserve">. Available at: https://polioeradication.org/ </w:t>
      </w:r>
    </w:p>
    <w:p w14:paraId="0BA7F984" w14:textId="6B6A1564"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National Health Service (NHS) (2025) </w:t>
      </w:r>
      <w:r>
        <w:rPr>
          <w:rStyle w:val="Emphasis"/>
          <w:rFonts w:ascii="Segoe UI" w:hAnsi="Segoe UI" w:cs="Segoe UI"/>
          <w:sz w:val="21"/>
        </w:rPr>
        <w:t>Polio</w:t>
      </w:r>
      <w:r>
        <w:rPr>
          <w:rFonts w:ascii="Segoe UI" w:hAnsi="Segoe UI" w:cs="Segoe UI"/>
          <w:sz w:val="21"/>
        </w:rPr>
        <w:t>. Available at: https://www.nhs.uk</w:t>
      </w:r>
    </w:p>
    <w:p w14:paraId="461BEB2F" w14:textId="20262FEF" w:rsidR="00D35D67" w:rsidRDefault="00D35D67" w:rsidP="00D35D67">
      <w:pPr>
        <w:pStyle w:val="NormalWeb"/>
        <w:spacing w:line="300" w:lineRule="atLeast"/>
        <w:rPr>
          <w:rFonts w:ascii="Segoe UI" w:hAnsi="Segoe UI" w:cs="Segoe UI"/>
          <w:sz w:val="21"/>
        </w:rPr>
      </w:pPr>
      <w:r>
        <w:rPr>
          <w:rFonts w:ascii="Segoe UI" w:hAnsi="Segoe UI" w:cs="Segoe UI"/>
          <w:sz w:val="21"/>
        </w:rPr>
        <w:lastRenderedPageBreak/>
        <w:t xml:space="preserve">UK Health Security Agency (2026) </w:t>
      </w:r>
      <w:r>
        <w:rPr>
          <w:rStyle w:val="Emphasis"/>
          <w:rFonts w:ascii="Segoe UI" w:hAnsi="Segoe UI" w:cs="Segoe UI"/>
          <w:sz w:val="21"/>
        </w:rPr>
        <w:t>Global Polio Eradication Program</w:t>
      </w:r>
      <w:r>
        <w:rPr>
          <w:rFonts w:ascii="Segoe UI" w:hAnsi="Segoe UI" w:cs="Segoe UI"/>
          <w:sz w:val="21"/>
        </w:rPr>
        <w:t xml:space="preserve">. Available at: https://www.gov.uk/government/publications/polio-global-eradication-nac-and-environmental-surveillance </w:t>
      </w:r>
    </w:p>
    <w:p w14:paraId="381A46B0"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World Health Organization (WHO) (2025) </w:t>
      </w:r>
      <w:r>
        <w:rPr>
          <w:rStyle w:val="Emphasis"/>
          <w:rFonts w:ascii="Segoe UI" w:hAnsi="Segoe UI" w:cs="Segoe UI"/>
          <w:sz w:val="21"/>
        </w:rPr>
        <w:t>Global Polio Surveillance Action Plan 2025-2026</w:t>
      </w:r>
      <w:r>
        <w:rPr>
          <w:rFonts w:ascii="Segoe UI" w:hAnsi="Segoe UI" w:cs="Segoe UI"/>
          <w:sz w:val="21"/>
        </w:rPr>
        <w:t>. Geneva: WHO.</w:t>
      </w:r>
    </w:p>
    <w:p w14:paraId="631694E5" w14:textId="77777777"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World Health Organization (WHO) (2025) </w:t>
      </w:r>
      <w:r>
        <w:rPr>
          <w:rStyle w:val="Emphasis"/>
          <w:rFonts w:ascii="Segoe UI" w:hAnsi="Segoe UI" w:cs="Segoe UI"/>
          <w:sz w:val="21"/>
        </w:rPr>
        <w:t>Poliomyelitis (Polio) Fact Sheet</w:t>
      </w:r>
      <w:r>
        <w:rPr>
          <w:rFonts w:ascii="Segoe UI" w:hAnsi="Segoe UI" w:cs="Segoe UI"/>
          <w:sz w:val="21"/>
        </w:rPr>
        <w:t>. Geneva: WHO.</w:t>
      </w:r>
    </w:p>
    <w:p w14:paraId="745AEF8D" w14:textId="740999FF"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World Health Organization Regional Office for Africa (2025) </w:t>
      </w:r>
      <w:r>
        <w:rPr>
          <w:rStyle w:val="Emphasis"/>
          <w:rFonts w:ascii="Segoe UI" w:hAnsi="Segoe UI" w:cs="Segoe UI"/>
          <w:sz w:val="21"/>
        </w:rPr>
        <w:t>Polio Environmental Surveillance Bulletin</w:t>
      </w:r>
      <w:r>
        <w:rPr>
          <w:rFonts w:ascii="Segoe UI" w:hAnsi="Segoe UI" w:cs="Segoe UI"/>
          <w:sz w:val="21"/>
        </w:rPr>
        <w:t xml:space="preserve">. Available at: https://www.afro.who.int </w:t>
      </w:r>
    </w:p>
    <w:p w14:paraId="5FA4F6AC" w14:textId="2F65B1FD" w:rsidR="00D35D67" w:rsidRDefault="00D35D67" w:rsidP="00D35D67">
      <w:pPr>
        <w:pStyle w:val="NormalWeb"/>
        <w:spacing w:line="300" w:lineRule="atLeast"/>
        <w:rPr>
          <w:rFonts w:ascii="Segoe UI" w:hAnsi="Segoe UI" w:cs="Segoe UI"/>
          <w:sz w:val="21"/>
        </w:rPr>
      </w:pPr>
      <w:r>
        <w:rPr>
          <w:rFonts w:ascii="Segoe UI" w:hAnsi="Segoe UI" w:cs="Segoe UI"/>
          <w:sz w:val="21"/>
        </w:rPr>
        <w:t xml:space="preserve">World Health Organization Regional Office for the Eastern Mediterranean (2025) </w:t>
      </w:r>
      <w:r>
        <w:rPr>
          <w:rStyle w:val="Emphasis"/>
          <w:rFonts w:ascii="Segoe UI" w:hAnsi="Segoe UI" w:cs="Segoe UI"/>
          <w:sz w:val="21"/>
        </w:rPr>
        <w:t>Surveillance in Polio Eradication</w:t>
      </w:r>
      <w:r>
        <w:rPr>
          <w:rFonts w:ascii="Segoe UI" w:hAnsi="Segoe UI" w:cs="Segoe UI"/>
          <w:sz w:val="21"/>
        </w:rPr>
        <w:t xml:space="preserve">. Available at: https://www.emro.who.int </w:t>
      </w:r>
    </w:p>
    <w:p w14:paraId="2B55DDD0" w14:textId="56980777" w:rsidR="00740F52" w:rsidRPr="003C2A5A" w:rsidRDefault="00740F52" w:rsidP="00D35D67">
      <w:pPr>
        <w:spacing w:before="100" w:beforeAutospacing="1" w:after="100" w:afterAutospacing="1" w:line="300" w:lineRule="atLeast"/>
        <w:ind w:left="720"/>
        <w:rPr>
          <w:rFonts w:eastAsia="Times New Roman" w:cs="Arial"/>
          <w:szCs w:val="22"/>
        </w:rPr>
      </w:pPr>
    </w:p>
    <w:sectPr w:rsidR="00740F52" w:rsidRPr="003C2A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16B6E74"/>
    <w:multiLevelType w:val="multilevel"/>
    <w:tmpl w:val="41CCB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7B5D48"/>
    <w:multiLevelType w:val="multilevel"/>
    <w:tmpl w:val="A23C5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C565F3"/>
    <w:multiLevelType w:val="multilevel"/>
    <w:tmpl w:val="DEB20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592345"/>
    <w:multiLevelType w:val="multilevel"/>
    <w:tmpl w:val="2AEAAAC4"/>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375602"/>
    <w:multiLevelType w:val="multilevel"/>
    <w:tmpl w:val="C9AE8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256F6D"/>
    <w:multiLevelType w:val="multilevel"/>
    <w:tmpl w:val="EBF8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60261F"/>
    <w:multiLevelType w:val="multilevel"/>
    <w:tmpl w:val="03D6631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7" w15:restartNumberingAfterBreak="0">
    <w:nsid w:val="462F46ED"/>
    <w:multiLevelType w:val="multilevel"/>
    <w:tmpl w:val="71B81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3C049B"/>
    <w:multiLevelType w:val="multilevel"/>
    <w:tmpl w:val="DBA27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19490C"/>
    <w:multiLevelType w:val="multilevel"/>
    <w:tmpl w:val="40DA4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1842542">
    <w:abstractNumId w:val="2"/>
  </w:num>
  <w:num w:numId="2" w16cid:durableId="702747786">
    <w:abstractNumId w:val="7"/>
  </w:num>
  <w:num w:numId="3" w16cid:durableId="1423838448">
    <w:abstractNumId w:val="4"/>
  </w:num>
  <w:num w:numId="4" w16cid:durableId="209465256">
    <w:abstractNumId w:val="9"/>
  </w:num>
  <w:num w:numId="5" w16cid:durableId="2064598107">
    <w:abstractNumId w:val="8"/>
  </w:num>
  <w:num w:numId="6" w16cid:durableId="445928861">
    <w:abstractNumId w:val="1"/>
  </w:num>
  <w:num w:numId="7" w16cid:durableId="1233350929">
    <w:abstractNumId w:val="5"/>
  </w:num>
  <w:num w:numId="8" w16cid:durableId="1578051919">
    <w:abstractNumId w:val="0"/>
  </w:num>
  <w:num w:numId="9" w16cid:durableId="1412652547">
    <w:abstractNumId w:val="3"/>
  </w:num>
  <w:num w:numId="10" w16cid:durableId="1374962503">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969"/>
    <w:rsid w:val="00010E17"/>
    <w:rsid w:val="00031C68"/>
    <w:rsid w:val="0009550E"/>
    <w:rsid w:val="000D2BCC"/>
    <w:rsid w:val="00156A8B"/>
    <w:rsid w:val="001731C9"/>
    <w:rsid w:val="001A46E8"/>
    <w:rsid w:val="001B6969"/>
    <w:rsid w:val="001D7AC2"/>
    <w:rsid w:val="00263C62"/>
    <w:rsid w:val="00284D11"/>
    <w:rsid w:val="002B19EC"/>
    <w:rsid w:val="002C0F4D"/>
    <w:rsid w:val="002C43E4"/>
    <w:rsid w:val="003545FC"/>
    <w:rsid w:val="00380A5E"/>
    <w:rsid w:val="0038369D"/>
    <w:rsid w:val="00383F90"/>
    <w:rsid w:val="0039612E"/>
    <w:rsid w:val="003B1AF5"/>
    <w:rsid w:val="003C094C"/>
    <w:rsid w:val="003C2A5A"/>
    <w:rsid w:val="0041292F"/>
    <w:rsid w:val="004141AF"/>
    <w:rsid w:val="00441817"/>
    <w:rsid w:val="004B360A"/>
    <w:rsid w:val="00550DE9"/>
    <w:rsid w:val="0057046A"/>
    <w:rsid w:val="00596050"/>
    <w:rsid w:val="00596A7D"/>
    <w:rsid w:val="005C3280"/>
    <w:rsid w:val="005C553C"/>
    <w:rsid w:val="005F2D06"/>
    <w:rsid w:val="00613AEF"/>
    <w:rsid w:val="00615E5C"/>
    <w:rsid w:val="00740BE0"/>
    <w:rsid w:val="00740F52"/>
    <w:rsid w:val="007424E4"/>
    <w:rsid w:val="00771C05"/>
    <w:rsid w:val="007C68F8"/>
    <w:rsid w:val="00842AF6"/>
    <w:rsid w:val="0088512E"/>
    <w:rsid w:val="008A4653"/>
    <w:rsid w:val="008E79F4"/>
    <w:rsid w:val="009362BF"/>
    <w:rsid w:val="009901E7"/>
    <w:rsid w:val="00993C3C"/>
    <w:rsid w:val="009A1105"/>
    <w:rsid w:val="009C3B80"/>
    <w:rsid w:val="00A23A0D"/>
    <w:rsid w:val="00A50DB7"/>
    <w:rsid w:val="00A60DFF"/>
    <w:rsid w:val="00A96C7B"/>
    <w:rsid w:val="00B14E7F"/>
    <w:rsid w:val="00B268C7"/>
    <w:rsid w:val="00C04012"/>
    <w:rsid w:val="00C60CAF"/>
    <w:rsid w:val="00C7372F"/>
    <w:rsid w:val="00C80FA4"/>
    <w:rsid w:val="00C85535"/>
    <w:rsid w:val="00C87D2A"/>
    <w:rsid w:val="00CB6F12"/>
    <w:rsid w:val="00CE21B0"/>
    <w:rsid w:val="00CE41F5"/>
    <w:rsid w:val="00CE58C3"/>
    <w:rsid w:val="00CF16BB"/>
    <w:rsid w:val="00CF5916"/>
    <w:rsid w:val="00D35D67"/>
    <w:rsid w:val="00D35F99"/>
    <w:rsid w:val="00D938E6"/>
    <w:rsid w:val="00D965D5"/>
    <w:rsid w:val="00DA65E0"/>
    <w:rsid w:val="00DB1B69"/>
    <w:rsid w:val="00DB4988"/>
    <w:rsid w:val="00DF6109"/>
    <w:rsid w:val="00E011A4"/>
    <w:rsid w:val="00E279B3"/>
    <w:rsid w:val="00E43544"/>
    <w:rsid w:val="00ED3B59"/>
    <w:rsid w:val="00F10A44"/>
    <w:rsid w:val="00F255E4"/>
    <w:rsid w:val="00F426BF"/>
    <w:rsid w:val="00FC217B"/>
    <w:rsid w:val="00FF4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6D3AC9"/>
  <w15:chartTrackingRefBased/>
  <w15:docId w15:val="{1E7FBFDE-6D08-134E-93F9-68285737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heme="minorHAnsi" w:hAnsi="Arial" w:cs="Segoe UI"/>
        <w:sz w:val="22"/>
        <w:szCs w:val="21"/>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9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69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B69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9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9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B69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9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9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9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9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69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B69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9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969"/>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B69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9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9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969"/>
    <w:rPr>
      <w:rFonts w:eastAsiaTheme="majorEastAsia" w:cstheme="majorBidi"/>
      <w:color w:val="272727" w:themeColor="text1" w:themeTint="D8"/>
    </w:rPr>
  </w:style>
  <w:style w:type="paragraph" w:styleId="Title">
    <w:name w:val="Title"/>
    <w:basedOn w:val="Normal"/>
    <w:next w:val="Normal"/>
    <w:link w:val="TitleChar"/>
    <w:uiPriority w:val="10"/>
    <w:qFormat/>
    <w:rsid w:val="001B6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9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9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9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969"/>
    <w:pPr>
      <w:spacing w:before="160"/>
      <w:jc w:val="center"/>
    </w:pPr>
    <w:rPr>
      <w:i/>
      <w:iCs/>
      <w:color w:val="404040" w:themeColor="text1" w:themeTint="BF"/>
    </w:rPr>
  </w:style>
  <w:style w:type="character" w:customStyle="1" w:styleId="QuoteChar">
    <w:name w:val="Quote Char"/>
    <w:basedOn w:val="DefaultParagraphFont"/>
    <w:link w:val="Quote"/>
    <w:uiPriority w:val="29"/>
    <w:rsid w:val="001B6969"/>
    <w:rPr>
      <w:i/>
      <w:iCs/>
      <w:color w:val="404040" w:themeColor="text1" w:themeTint="BF"/>
    </w:rPr>
  </w:style>
  <w:style w:type="paragraph" w:styleId="ListParagraph">
    <w:name w:val="List Paragraph"/>
    <w:basedOn w:val="Normal"/>
    <w:uiPriority w:val="34"/>
    <w:qFormat/>
    <w:rsid w:val="001B6969"/>
    <w:pPr>
      <w:ind w:left="720"/>
      <w:contextualSpacing/>
    </w:pPr>
  </w:style>
  <w:style w:type="character" w:styleId="IntenseEmphasis">
    <w:name w:val="Intense Emphasis"/>
    <w:basedOn w:val="DefaultParagraphFont"/>
    <w:uiPriority w:val="21"/>
    <w:qFormat/>
    <w:rsid w:val="001B6969"/>
    <w:rPr>
      <w:i/>
      <w:iCs/>
      <w:color w:val="0F4761" w:themeColor="accent1" w:themeShade="BF"/>
    </w:rPr>
  </w:style>
  <w:style w:type="paragraph" w:styleId="IntenseQuote">
    <w:name w:val="Intense Quote"/>
    <w:basedOn w:val="Normal"/>
    <w:next w:val="Normal"/>
    <w:link w:val="IntenseQuoteChar"/>
    <w:uiPriority w:val="30"/>
    <w:qFormat/>
    <w:rsid w:val="001B69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969"/>
    <w:rPr>
      <w:i/>
      <w:iCs/>
      <w:color w:val="0F4761" w:themeColor="accent1" w:themeShade="BF"/>
    </w:rPr>
  </w:style>
  <w:style w:type="character" w:styleId="IntenseReference">
    <w:name w:val="Intense Reference"/>
    <w:basedOn w:val="DefaultParagraphFont"/>
    <w:uiPriority w:val="32"/>
    <w:qFormat/>
    <w:rsid w:val="001B6969"/>
    <w:rPr>
      <w:b/>
      <w:bCs/>
      <w:smallCaps/>
      <w:color w:val="0F4761" w:themeColor="accent1" w:themeShade="BF"/>
      <w:spacing w:val="5"/>
    </w:rPr>
  </w:style>
  <w:style w:type="character" w:styleId="Hyperlink">
    <w:name w:val="Hyperlink"/>
    <w:basedOn w:val="DefaultParagraphFont"/>
    <w:uiPriority w:val="99"/>
    <w:semiHidden/>
    <w:unhideWhenUsed/>
    <w:rsid w:val="001B6969"/>
    <w:rPr>
      <w:strike w:val="0"/>
      <w:dstrike w:val="0"/>
      <w:color w:val="464FEB"/>
      <w:u w:val="none"/>
      <w:effect w:val="none"/>
    </w:rPr>
  </w:style>
  <w:style w:type="paragraph" w:styleId="NormalWeb">
    <w:name w:val="Normal (Web)"/>
    <w:basedOn w:val="Normal"/>
    <w:uiPriority w:val="99"/>
    <w:unhideWhenUsed/>
    <w:rsid w:val="001B6969"/>
    <w:pPr>
      <w:spacing w:before="100" w:beforeAutospacing="1" w:after="100" w:afterAutospacing="1" w:line="240" w:lineRule="auto"/>
    </w:pPr>
    <w:rPr>
      <w:rFonts w:ascii="Times New Roman" w:eastAsia="Times New Roman" w:hAnsi="Times New Roman" w:cs="Times New Roman"/>
    </w:rPr>
  </w:style>
  <w:style w:type="character" w:customStyle="1" w:styleId="1idhmhe">
    <w:name w:val="___1idhmhe"/>
    <w:basedOn w:val="DefaultParagraphFont"/>
    <w:rsid w:val="001B6969"/>
  </w:style>
  <w:style w:type="paragraph" w:styleId="NoSpacing">
    <w:name w:val="No Spacing"/>
    <w:next w:val="Heading1"/>
    <w:uiPriority w:val="1"/>
    <w:qFormat/>
    <w:rsid w:val="00DA65E0"/>
    <w:pPr>
      <w:spacing w:after="0" w:line="240" w:lineRule="auto"/>
    </w:pPr>
  </w:style>
  <w:style w:type="character" w:styleId="Emphasis">
    <w:name w:val="Emphasis"/>
    <w:basedOn w:val="DefaultParagraphFont"/>
    <w:uiPriority w:val="20"/>
    <w:qFormat/>
    <w:rsid w:val="00DA65E0"/>
    <w:rPr>
      <w:i/>
      <w:iCs/>
    </w:rPr>
  </w:style>
  <w:style w:type="character" w:styleId="Strong">
    <w:name w:val="Strong"/>
    <w:basedOn w:val="DefaultParagraphFont"/>
    <w:uiPriority w:val="22"/>
    <w:qFormat/>
    <w:rsid w:val="00DA65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7</Pages>
  <Words>2172</Words>
  <Characters>12384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Marife Tabalba (2214833)</dc:creator>
  <cp:keywords/>
  <dc:description/>
  <cp:lastModifiedBy>Marife Tabalba (2214833)</cp:lastModifiedBy>
  <cp:revision>73</cp:revision>
  <dcterms:created xsi:type="dcterms:W3CDTF">2026-08-14T20:54:00Z</dcterms:created>
  <dcterms:modified xsi:type="dcterms:W3CDTF">2026-08-15T00:07:00Z</dcterms:modified>
</cp:coreProperties>
</file>