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5C12BB" w14:textId="5FD2F4CD" w:rsidR="00F01BF4" w:rsidRDefault="00F01BF4" w:rsidP="00DB1C63">
      <w:pPr>
        <w:spacing w:line="360" w:lineRule="auto"/>
        <w:jc w:val="center"/>
        <w:rPr>
          <w:b/>
          <w:bCs/>
          <w:sz w:val="44"/>
          <w:szCs w:val="44"/>
        </w:rPr>
      </w:pPr>
      <w:r w:rsidRPr="00480849">
        <w:rPr>
          <w:rFonts w:asciiTheme="majorHAnsi" w:eastAsia="Times New Roman" w:hAnsiTheme="majorHAnsi" w:cstheme="majorHAnsi"/>
          <w:noProof/>
          <w:color w:val="000000" w:themeColor="text1"/>
          <w:sz w:val="26"/>
          <w:szCs w:val="26"/>
        </w:rPr>
        <w:drawing>
          <wp:anchor distT="0" distB="0" distL="114300" distR="114300" simplePos="0" relativeHeight="251658244" behindDoc="0" locked="0" layoutInCell="1" allowOverlap="1" wp14:anchorId="2862B406" wp14:editId="0BA9B3E8">
            <wp:simplePos x="0" y="0"/>
            <wp:positionH relativeFrom="column">
              <wp:posOffset>898525</wp:posOffset>
            </wp:positionH>
            <wp:positionV relativeFrom="paragraph">
              <wp:posOffset>129316</wp:posOffset>
            </wp:positionV>
            <wp:extent cx="4773930" cy="2651760"/>
            <wp:effectExtent l="0" t="0" r="1270" b="2540"/>
            <wp:wrapTopAndBottom/>
            <wp:docPr id="169214742" name="Picture 606513823">
              <a:extLst xmlns:a="http://schemas.openxmlformats.org/drawingml/2006/main">
                <a:ext uri="{FF2B5EF4-FFF2-40B4-BE49-F238E27FC236}">
                  <a16:creationId xmlns:a16="http://schemas.microsoft.com/office/drawing/2014/main" id="{92A4FB80-8532-4B4C-BF6C-7308BF8E4D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14742" name="Picture 606513823"/>
                    <pic:cNvPicPr/>
                  </pic:nvPicPr>
                  <pic:blipFill>
                    <a:blip r:embed="rId6"/>
                    <a:stretch>
                      <a:fillRect/>
                    </a:stretch>
                  </pic:blipFill>
                  <pic:spPr>
                    <a:xfrm>
                      <a:off x="0" y="0"/>
                      <a:ext cx="4773930" cy="2651760"/>
                    </a:xfrm>
                    <a:prstGeom prst="rect">
                      <a:avLst/>
                    </a:prstGeom>
                  </pic:spPr>
                </pic:pic>
              </a:graphicData>
            </a:graphic>
            <wp14:sizeRelH relativeFrom="margin">
              <wp14:pctWidth>0</wp14:pctWidth>
            </wp14:sizeRelH>
            <wp14:sizeRelV relativeFrom="margin">
              <wp14:pctHeight>0</wp14:pctHeight>
            </wp14:sizeRelV>
          </wp:anchor>
        </w:drawing>
      </w:r>
    </w:p>
    <w:p w14:paraId="53594293" w14:textId="317E92D0" w:rsidR="005D2DA6" w:rsidRPr="00F01BF4" w:rsidRDefault="005D2DA6" w:rsidP="00DB1C63">
      <w:pPr>
        <w:spacing w:line="360" w:lineRule="auto"/>
        <w:jc w:val="center"/>
        <w:rPr>
          <w:b/>
          <w:bCs/>
          <w:sz w:val="28"/>
          <w:szCs w:val="28"/>
        </w:rPr>
      </w:pPr>
      <w:r w:rsidRPr="00F01BF4">
        <w:rPr>
          <w:b/>
          <w:bCs/>
          <w:sz w:val="36"/>
          <w:szCs w:val="36"/>
        </w:rPr>
        <w:t>Governing AI-Mediated Recruitment in Multinational Corporations:</w:t>
      </w:r>
    </w:p>
    <w:p w14:paraId="225BEE0D" w14:textId="77777777" w:rsidR="005D2DA6" w:rsidRPr="00F01BF4" w:rsidRDefault="005D2DA6" w:rsidP="00DB1C63">
      <w:pPr>
        <w:spacing w:after="0" w:line="360" w:lineRule="auto"/>
        <w:jc w:val="center"/>
        <w:rPr>
          <w:b/>
          <w:bCs/>
          <w:sz w:val="36"/>
          <w:szCs w:val="36"/>
        </w:rPr>
      </w:pPr>
      <w:r w:rsidRPr="00F01BF4">
        <w:rPr>
          <w:b/>
          <w:bCs/>
          <w:sz w:val="36"/>
          <w:szCs w:val="36"/>
        </w:rPr>
        <w:t>A Systematic Review of Organisational Decision-Making Across Europe and East Asia</w:t>
      </w:r>
    </w:p>
    <w:p w14:paraId="091C491D" w14:textId="6B1C49E2" w:rsidR="005D2DA6" w:rsidRPr="000603E2" w:rsidRDefault="005D2DA6" w:rsidP="000603E2">
      <w:pPr>
        <w:pStyle w:val="NormalWeb"/>
        <w:spacing w:before="0" w:beforeAutospacing="0" w:after="0" w:afterAutospacing="0" w:line="276" w:lineRule="auto"/>
        <w:jc w:val="both"/>
        <w:rPr>
          <w:rFonts w:asciiTheme="majorHAnsi" w:hAnsiTheme="majorHAnsi" w:cstheme="majorHAnsi"/>
          <w:b/>
          <w:color w:val="000000" w:themeColor="text1"/>
          <w:sz w:val="26"/>
          <w:szCs w:val="26"/>
        </w:rPr>
      </w:pPr>
      <w:r w:rsidRPr="00480849">
        <w:rPr>
          <w:rFonts w:asciiTheme="majorHAnsi" w:hAnsiTheme="majorHAnsi" w:cstheme="majorHAnsi"/>
          <w:color w:val="000000" w:themeColor="text1"/>
          <w:sz w:val="26"/>
          <w:szCs w:val="26"/>
        </w:rPr>
        <w:br/>
      </w:r>
    </w:p>
    <w:p w14:paraId="1D2D96B5" w14:textId="77777777" w:rsidR="005D2DA6" w:rsidRPr="006C274D" w:rsidRDefault="005D2DA6" w:rsidP="005D2DA6">
      <w:pPr>
        <w:jc w:val="center"/>
        <w:rPr>
          <w:rFonts w:ascii="Times New Roman" w:hAnsi="Times New Roman" w:cs="Times New Roman"/>
          <w:b/>
          <w:bCs/>
          <w:color w:val="000000" w:themeColor="text1"/>
          <w:sz w:val="40"/>
          <w:szCs w:val="40"/>
        </w:rPr>
      </w:pPr>
      <w:r w:rsidRPr="006C274D">
        <w:rPr>
          <w:rStyle w:val="Strong"/>
          <w:rFonts w:ascii="Times New Roman" w:hAnsi="Times New Roman" w:cs="Times New Roman"/>
          <w:color w:val="000000" w:themeColor="text1"/>
          <w:sz w:val="40"/>
          <w:szCs w:val="40"/>
        </w:rPr>
        <w:t>Student Name:</w:t>
      </w:r>
      <w:r w:rsidRPr="006C274D">
        <w:rPr>
          <w:rFonts w:ascii="Times New Roman" w:hAnsi="Times New Roman" w:cs="Times New Roman"/>
          <w:color w:val="000000" w:themeColor="text1"/>
          <w:sz w:val="40"/>
          <w:szCs w:val="40"/>
        </w:rPr>
        <w:t xml:space="preserve"> </w:t>
      </w:r>
      <w:r w:rsidRPr="006C274D">
        <w:rPr>
          <w:rFonts w:ascii="Times New Roman" w:hAnsi="Times New Roman" w:cs="Times New Roman"/>
          <w:b/>
          <w:bCs/>
          <w:color w:val="000000" w:themeColor="text1"/>
          <w:sz w:val="40"/>
          <w:szCs w:val="40"/>
        </w:rPr>
        <w:t>Asma Begum</w:t>
      </w:r>
      <w:r w:rsidRPr="006C274D">
        <w:rPr>
          <w:rFonts w:ascii="Times New Roman" w:hAnsi="Times New Roman" w:cs="Times New Roman"/>
          <w:color w:val="000000" w:themeColor="text1"/>
          <w:sz w:val="40"/>
          <w:szCs w:val="40"/>
        </w:rPr>
        <w:br/>
      </w:r>
      <w:r w:rsidRPr="006C274D">
        <w:rPr>
          <w:rStyle w:val="Strong"/>
          <w:rFonts w:ascii="Times New Roman" w:hAnsi="Times New Roman" w:cs="Times New Roman"/>
          <w:color w:val="000000" w:themeColor="text1"/>
          <w:sz w:val="40"/>
          <w:szCs w:val="40"/>
        </w:rPr>
        <w:t>Student ID:</w:t>
      </w:r>
      <w:r w:rsidRPr="006C274D">
        <w:rPr>
          <w:rFonts w:ascii="Times New Roman" w:hAnsi="Times New Roman" w:cs="Times New Roman"/>
          <w:color w:val="000000" w:themeColor="text1"/>
          <w:sz w:val="40"/>
          <w:szCs w:val="40"/>
        </w:rPr>
        <w:t xml:space="preserve"> </w:t>
      </w:r>
      <w:r w:rsidRPr="006C274D">
        <w:rPr>
          <w:rFonts w:ascii="Times New Roman" w:hAnsi="Times New Roman" w:cs="Times New Roman"/>
          <w:b/>
          <w:bCs/>
          <w:color w:val="000000" w:themeColor="text1"/>
          <w:sz w:val="40"/>
          <w:szCs w:val="40"/>
        </w:rPr>
        <w:t>2503534</w:t>
      </w:r>
    </w:p>
    <w:p w14:paraId="78FB67EE" w14:textId="77777777" w:rsidR="005D2DA6" w:rsidRPr="006C274D" w:rsidRDefault="005D2DA6" w:rsidP="005D2DA6">
      <w:pPr>
        <w:jc w:val="center"/>
        <w:rPr>
          <w:rFonts w:ascii="Times New Roman" w:hAnsi="Times New Roman" w:cs="Times New Roman"/>
          <w:b/>
          <w:bCs/>
          <w:color w:val="000000" w:themeColor="text1"/>
          <w:sz w:val="40"/>
          <w:szCs w:val="40"/>
        </w:rPr>
      </w:pPr>
      <w:r w:rsidRPr="006C274D">
        <w:rPr>
          <w:rFonts w:ascii="Times New Roman" w:hAnsi="Times New Roman" w:cs="Times New Roman"/>
          <w:b/>
          <w:bCs/>
          <w:color w:val="000000" w:themeColor="text1"/>
          <w:sz w:val="40"/>
          <w:szCs w:val="40"/>
        </w:rPr>
        <w:t>Supervisor: Ghulam Mujtaba</w:t>
      </w:r>
    </w:p>
    <w:p w14:paraId="5FCF0EEB" w14:textId="4B197C8E" w:rsidR="005D2DA6" w:rsidRPr="006C274D" w:rsidRDefault="005D2DA6" w:rsidP="005D2DA6">
      <w:pPr>
        <w:jc w:val="center"/>
        <w:rPr>
          <w:rFonts w:ascii="Times New Roman" w:hAnsi="Times New Roman" w:cs="Times New Roman"/>
          <w:b/>
          <w:bCs/>
          <w:color w:val="000000" w:themeColor="text1"/>
          <w:sz w:val="40"/>
          <w:szCs w:val="40"/>
        </w:rPr>
      </w:pPr>
      <w:r w:rsidRPr="006C274D">
        <w:rPr>
          <w:rFonts w:ascii="Times New Roman" w:hAnsi="Times New Roman" w:cs="Times New Roman"/>
          <w:b/>
          <w:bCs/>
          <w:color w:val="000000" w:themeColor="text1"/>
          <w:sz w:val="40"/>
          <w:szCs w:val="40"/>
        </w:rPr>
        <w:t>Word Count: 1</w:t>
      </w:r>
      <w:r w:rsidR="0093253F">
        <w:rPr>
          <w:rFonts w:ascii="Times New Roman" w:hAnsi="Times New Roman" w:cs="Times New Roman"/>
          <w:b/>
          <w:bCs/>
          <w:color w:val="000000" w:themeColor="text1"/>
          <w:sz w:val="40"/>
          <w:szCs w:val="40"/>
        </w:rPr>
        <w:t>5881</w:t>
      </w:r>
    </w:p>
    <w:p w14:paraId="257C3825" w14:textId="77777777" w:rsidR="005D2DA6" w:rsidRPr="00664E5B" w:rsidRDefault="005D2DA6" w:rsidP="005D2DA6">
      <w:pPr>
        <w:jc w:val="both"/>
        <w:rPr>
          <w:rFonts w:ascii="Times New Roman" w:hAnsi="Times New Roman" w:cs="Times New Roman"/>
          <w:sz w:val="32"/>
          <w:szCs w:val="32"/>
        </w:rPr>
      </w:pPr>
    </w:p>
    <w:p w14:paraId="2982B710" w14:textId="77777777" w:rsidR="005D2DA6" w:rsidRDefault="005D2DA6" w:rsidP="005D2DA6">
      <w:pPr>
        <w:spacing w:line="360" w:lineRule="auto"/>
        <w:jc w:val="both"/>
        <w:rPr>
          <w:b/>
          <w:bCs/>
          <w:sz w:val="36"/>
          <w:szCs w:val="36"/>
        </w:rPr>
      </w:pPr>
    </w:p>
    <w:p w14:paraId="1A352D2E" w14:textId="1C9FB767" w:rsidR="005D2DA6" w:rsidRDefault="00085351" w:rsidP="00511A10">
      <w:pPr>
        <w:pStyle w:val="Heading1"/>
        <w:jc w:val="both"/>
        <w:rPr>
          <w:b/>
          <w:bCs/>
        </w:rPr>
      </w:pPr>
      <w:bookmarkStart w:id="0" w:name="_Toc240996941"/>
      <w:r>
        <w:rPr>
          <w:noProof/>
        </w:rPr>
        <w:lastRenderedPageBreak/>
        <w:drawing>
          <wp:anchor distT="0" distB="0" distL="114300" distR="114300" simplePos="0" relativeHeight="251658243" behindDoc="0" locked="0" layoutInCell="1" allowOverlap="1" wp14:anchorId="768B0964" wp14:editId="52C7A8CD">
            <wp:simplePos x="0" y="0"/>
            <wp:positionH relativeFrom="column">
              <wp:posOffset>-117176</wp:posOffset>
            </wp:positionH>
            <wp:positionV relativeFrom="paragraph">
              <wp:posOffset>17780</wp:posOffset>
            </wp:positionV>
            <wp:extent cx="6938645" cy="4625340"/>
            <wp:effectExtent l="0" t="0" r="0" b="0"/>
            <wp:wrapTopAndBottom/>
            <wp:docPr id="1882755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755174" name="Picture 1882755174"/>
                    <pic:cNvPicPr/>
                  </pic:nvPicPr>
                  <pic:blipFill>
                    <a:blip r:embed="rId7">
                      <a:extLst>
                        <a:ext uri="{28A0092B-C50C-407E-A947-70E740481C1C}">
                          <a14:useLocalDpi xmlns:a14="http://schemas.microsoft.com/office/drawing/2010/main" val="0"/>
                        </a:ext>
                      </a:extLst>
                    </a:blip>
                    <a:stretch>
                      <a:fillRect/>
                    </a:stretch>
                  </pic:blipFill>
                  <pic:spPr>
                    <a:xfrm>
                      <a:off x="0" y="0"/>
                      <a:ext cx="6938645" cy="4625340"/>
                    </a:xfrm>
                    <a:prstGeom prst="rect">
                      <a:avLst/>
                    </a:prstGeom>
                  </pic:spPr>
                </pic:pic>
              </a:graphicData>
            </a:graphic>
            <wp14:sizeRelH relativeFrom="margin">
              <wp14:pctWidth>0</wp14:pctWidth>
            </wp14:sizeRelH>
            <wp14:sizeRelV relativeFrom="margin">
              <wp14:pctHeight>0</wp14:pctHeight>
            </wp14:sizeRelV>
          </wp:anchor>
        </w:drawing>
      </w:r>
      <w:bookmarkEnd w:id="0"/>
    </w:p>
    <w:p w14:paraId="0512FADB" w14:textId="77777777" w:rsidR="005D2DA6" w:rsidRPr="00C9329A" w:rsidRDefault="005D2DA6" w:rsidP="005D2DA6">
      <w:pPr>
        <w:jc w:val="both"/>
        <w:rPr>
          <w:b/>
          <w:i/>
          <w:sz w:val="32"/>
          <w:szCs w:val="32"/>
        </w:rPr>
      </w:pPr>
      <w:r w:rsidRPr="00C9329A">
        <w:rPr>
          <w:b/>
          <w:i/>
          <w:sz w:val="32"/>
          <w:szCs w:val="32"/>
        </w:rPr>
        <w:t>Declaration</w:t>
      </w:r>
    </w:p>
    <w:p w14:paraId="442E5F6D" w14:textId="77777777" w:rsidR="005D2DA6" w:rsidRPr="00BB35D8" w:rsidRDefault="005D2DA6" w:rsidP="005D2DA6">
      <w:pPr>
        <w:jc w:val="both"/>
        <w:rPr>
          <w:bCs/>
          <w:i/>
        </w:rPr>
      </w:pPr>
      <w:r w:rsidRPr="00BB35D8">
        <w:rPr>
          <w:bCs/>
          <w:i/>
        </w:rPr>
        <w:t>I hereby declare that this dissertation is my own original work and has been produced independently, except where due acknowledgement has been made. Where the work of others has been consulted, it has been properly cited and referenced in accordance with academic conventions.</w:t>
      </w:r>
    </w:p>
    <w:p w14:paraId="420FB775" w14:textId="77777777" w:rsidR="005D2DA6" w:rsidRPr="00BB35D8" w:rsidRDefault="005D2DA6" w:rsidP="005D2DA6">
      <w:pPr>
        <w:jc w:val="both"/>
        <w:rPr>
          <w:bCs/>
          <w:i/>
        </w:rPr>
      </w:pPr>
      <w:r w:rsidRPr="00BB35D8">
        <w:rPr>
          <w:bCs/>
          <w:i/>
        </w:rPr>
        <w:t>This dissertation has not been submitted, in whole or in part, for any other academic award or qualification at this or any other institution. All sources used in the preparation of this research have been appropriately acknowledged, and the intellectual content of this work is my own.</w:t>
      </w:r>
    </w:p>
    <w:p w14:paraId="6FFDDBB1" w14:textId="77777777" w:rsidR="005D2DA6" w:rsidRPr="00BB35D8" w:rsidRDefault="005D2DA6" w:rsidP="005D2DA6">
      <w:pPr>
        <w:jc w:val="both"/>
        <w:rPr>
          <w:bCs/>
          <w:i/>
        </w:rPr>
      </w:pPr>
      <w:r w:rsidRPr="00BB35D8">
        <w:rPr>
          <w:bCs/>
          <w:i/>
        </w:rPr>
        <w:t>I confirm that I have read and understood the university's guidelines on academic integrity and plagiarism, and I affirm that this submission complies with those requirements.</w:t>
      </w:r>
    </w:p>
    <w:p w14:paraId="78E20D7C" w14:textId="38D1A17F" w:rsidR="005D2DA6" w:rsidRPr="004A3AA6" w:rsidRDefault="005D2DA6" w:rsidP="005D2DA6">
      <w:pPr>
        <w:spacing w:after="0" w:line="360" w:lineRule="auto"/>
        <w:jc w:val="both"/>
        <w:rPr>
          <w:i/>
          <w:iCs/>
        </w:rPr>
      </w:pPr>
      <w:r w:rsidRPr="004A3AA6">
        <w:rPr>
          <w:b/>
          <w:bCs/>
          <w:i/>
          <w:iCs/>
        </w:rPr>
        <w:t>Date:</w:t>
      </w:r>
      <w:r w:rsidRPr="004A3AA6">
        <w:rPr>
          <w:i/>
          <w:iCs/>
        </w:rPr>
        <w:t xml:space="preserve"> </w:t>
      </w:r>
      <w:r>
        <w:rPr>
          <w:i/>
          <w:iCs/>
        </w:rPr>
        <w:t>2</w:t>
      </w:r>
      <w:r w:rsidR="00D312A7">
        <w:rPr>
          <w:i/>
          <w:iCs/>
        </w:rPr>
        <w:t>5</w:t>
      </w:r>
      <w:r w:rsidRPr="009813D3">
        <w:rPr>
          <w:i/>
          <w:iCs/>
          <w:vertAlign w:val="superscript"/>
        </w:rPr>
        <w:t>th</w:t>
      </w:r>
      <w:r>
        <w:rPr>
          <w:i/>
          <w:iCs/>
        </w:rPr>
        <w:t xml:space="preserve"> September,2026</w:t>
      </w:r>
    </w:p>
    <w:p w14:paraId="132C3560" w14:textId="77777777" w:rsidR="005D2DA6" w:rsidRDefault="005D2DA6" w:rsidP="005D2DA6">
      <w:pPr>
        <w:spacing w:after="0" w:line="360" w:lineRule="auto"/>
        <w:jc w:val="both"/>
        <w:rPr>
          <w:i/>
          <w:iCs/>
        </w:rPr>
      </w:pPr>
      <w:r w:rsidRPr="004A3AA6">
        <w:rPr>
          <w:b/>
          <w:bCs/>
          <w:i/>
          <w:iCs/>
        </w:rPr>
        <w:t>Signature:</w:t>
      </w:r>
      <w:r w:rsidRPr="004A3AA6">
        <w:rPr>
          <w:i/>
          <w:iCs/>
        </w:rPr>
        <w:t xml:space="preserve"> </w:t>
      </w:r>
      <w:r>
        <w:rPr>
          <w:i/>
          <w:iCs/>
        </w:rPr>
        <w:t>Asma</w:t>
      </w:r>
    </w:p>
    <w:p w14:paraId="220869EF" w14:textId="77777777" w:rsidR="005D2DA6" w:rsidRPr="0033106B" w:rsidRDefault="005D2DA6" w:rsidP="005D2DA6">
      <w:pPr>
        <w:spacing w:after="0"/>
        <w:jc w:val="both"/>
        <w:rPr>
          <w:b/>
          <w:i/>
        </w:rPr>
      </w:pPr>
      <w:r w:rsidRPr="0033106B">
        <w:rPr>
          <w:b/>
          <w:i/>
        </w:rPr>
        <w:t xml:space="preserve">Student ID: </w:t>
      </w:r>
      <w:r w:rsidRPr="00BB35D8">
        <w:rPr>
          <w:bCs/>
          <w:i/>
        </w:rPr>
        <w:t>2503534</w:t>
      </w:r>
    </w:p>
    <w:p w14:paraId="37D4C94C" w14:textId="77777777" w:rsidR="005D2DA6" w:rsidRDefault="005D2DA6" w:rsidP="005D2DA6">
      <w:pPr>
        <w:spacing w:line="360" w:lineRule="auto"/>
        <w:jc w:val="both"/>
        <w:rPr>
          <w:i/>
          <w:iCs/>
        </w:rPr>
      </w:pPr>
    </w:p>
    <w:p w14:paraId="793B296B" w14:textId="77777777" w:rsidR="005D2DA6" w:rsidRDefault="005D2DA6" w:rsidP="005D2DA6">
      <w:pPr>
        <w:spacing w:line="360" w:lineRule="auto"/>
        <w:jc w:val="both"/>
        <w:rPr>
          <w:b/>
          <w:bCs/>
          <w:sz w:val="28"/>
          <w:szCs w:val="28"/>
        </w:rPr>
      </w:pPr>
    </w:p>
    <w:p w14:paraId="2E472D8A" w14:textId="77777777" w:rsidR="00511A10" w:rsidRDefault="00511A10" w:rsidP="005D2DA6">
      <w:pPr>
        <w:spacing w:line="360" w:lineRule="auto"/>
        <w:jc w:val="both"/>
        <w:rPr>
          <w:b/>
          <w:bCs/>
          <w:sz w:val="28"/>
          <w:szCs w:val="28"/>
        </w:rPr>
      </w:pPr>
    </w:p>
    <w:p w14:paraId="6DB0F2A4" w14:textId="77777777" w:rsidR="005D2DA6" w:rsidRPr="009B68C2" w:rsidRDefault="005D2DA6" w:rsidP="005D2DA6">
      <w:pPr>
        <w:spacing w:line="360" w:lineRule="auto"/>
        <w:jc w:val="both"/>
        <w:rPr>
          <w:b/>
          <w:bCs/>
          <w:sz w:val="32"/>
          <w:szCs w:val="32"/>
        </w:rPr>
      </w:pPr>
      <w:r w:rsidRPr="009B68C2">
        <w:rPr>
          <w:b/>
          <w:bCs/>
          <w:sz w:val="32"/>
          <w:szCs w:val="32"/>
        </w:rPr>
        <w:lastRenderedPageBreak/>
        <w:t>AI Use Acknowledgement</w:t>
      </w:r>
    </w:p>
    <w:p w14:paraId="385978B0" w14:textId="77777777" w:rsidR="005D2DA6" w:rsidRPr="000E1836" w:rsidRDefault="005D2DA6" w:rsidP="005D2DA6">
      <w:pPr>
        <w:spacing w:line="360" w:lineRule="auto"/>
        <w:jc w:val="both"/>
      </w:pPr>
      <w:r w:rsidRPr="000E1836">
        <w:t>This dissertation made use of Artificial Intelligence (AI) tools to help with editing the language, checking grammar and spelling, and making the writing clearer and better organised. AI tools were also used to help generate and improve ideas during the research and writing process.</w:t>
      </w:r>
    </w:p>
    <w:p w14:paraId="5B77BC32" w14:textId="77777777" w:rsidR="005D2DA6" w:rsidRDefault="005D2DA6" w:rsidP="005D2DA6">
      <w:pPr>
        <w:spacing w:line="360" w:lineRule="auto"/>
        <w:jc w:val="both"/>
      </w:pPr>
      <w:r w:rsidRPr="000E1836">
        <w:t>However, the author is fully responsible for the research design, choosing and reviewing sources, analysing data, drawing conclusions, and the overall academic quality of this work. All references were checked and cited correctly, and the final content was reviewed for accuracy before submission.</w:t>
      </w:r>
    </w:p>
    <w:p w14:paraId="1B7BB637" w14:textId="77777777" w:rsidR="005D2DA6" w:rsidRPr="00931398" w:rsidRDefault="005D2DA6" w:rsidP="005D2DA6">
      <w:pPr>
        <w:spacing w:line="360" w:lineRule="auto"/>
        <w:jc w:val="both"/>
      </w:pPr>
    </w:p>
    <w:p w14:paraId="740A0C9B" w14:textId="77777777" w:rsidR="005D2DA6" w:rsidRPr="009B68C2" w:rsidRDefault="005D2DA6" w:rsidP="005D2DA6">
      <w:pPr>
        <w:spacing w:line="360" w:lineRule="auto"/>
        <w:jc w:val="both"/>
        <w:rPr>
          <w:b/>
          <w:bCs/>
          <w:sz w:val="32"/>
          <w:szCs w:val="32"/>
        </w:rPr>
      </w:pPr>
      <w:r w:rsidRPr="009B68C2">
        <w:rPr>
          <w:b/>
          <w:bCs/>
          <w:sz w:val="32"/>
          <w:szCs w:val="32"/>
        </w:rPr>
        <w:t>Acknowledgements</w:t>
      </w:r>
    </w:p>
    <w:p w14:paraId="56A426FD" w14:textId="77777777" w:rsidR="00E64F1E" w:rsidRDefault="00E64F1E" w:rsidP="00E64F1E">
      <w:pPr>
        <w:spacing w:line="360" w:lineRule="auto"/>
        <w:jc w:val="both"/>
      </w:pPr>
      <w:r>
        <w:t>I am deeply grateful to my supervisor for their expert guidance, incisive feedback, and unwavering commitment to analytical rigour throughout this dissertation. Their insistence on focus, methodological discipline, and theoretical clarity substantially enhanced the quality and coherence of this work.</w:t>
      </w:r>
    </w:p>
    <w:p w14:paraId="7278A78D" w14:textId="77777777" w:rsidR="00E64F1E" w:rsidRDefault="00E64F1E" w:rsidP="00E64F1E">
      <w:pPr>
        <w:spacing w:line="360" w:lineRule="auto"/>
        <w:jc w:val="both"/>
      </w:pPr>
      <w:r>
        <w:t>I also wish to thank the programme’s academic staff for fostering a rigorous and intellectually stimulating environment that encouraged critical engagement with complex organisational and technological challenges.</w:t>
      </w:r>
    </w:p>
    <w:p w14:paraId="0E030833" w14:textId="19C0BECA" w:rsidR="005D2DA6" w:rsidRDefault="00E64F1E" w:rsidP="005D2DA6">
      <w:pPr>
        <w:spacing w:line="360" w:lineRule="auto"/>
        <w:jc w:val="both"/>
      </w:pPr>
      <w:r>
        <w:t>Finally, I extend my heartfelt appreciation to my family and friends for their steadfast support, patience, and encouragement during this research journey. Their understanding and motivation were indispensable to the completion of this dissertation.</w:t>
      </w:r>
    </w:p>
    <w:p w14:paraId="38795E6B" w14:textId="77777777" w:rsidR="000F28CD" w:rsidRDefault="000F28CD" w:rsidP="005D2DA6">
      <w:pPr>
        <w:spacing w:line="360" w:lineRule="auto"/>
        <w:jc w:val="both"/>
        <w:rPr>
          <w:b/>
          <w:bCs/>
          <w:sz w:val="28"/>
          <w:szCs w:val="28"/>
        </w:rPr>
      </w:pPr>
    </w:p>
    <w:p w14:paraId="255E41E1" w14:textId="77777777" w:rsidR="005D2DA6" w:rsidRDefault="005D2DA6" w:rsidP="005D2DA6">
      <w:pPr>
        <w:spacing w:line="360" w:lineRule="auto"/>
        <w:jc w:val="both"/>
        <w:rPr>
          <w:b/>
          <w:bCs/>
          <w:sz w:val="28"/>
          <w:szCs w:val="28"/>
        </w:rPr>
      </w:pPr>
    </w:p>
    <w:p w14:paraId="2C1214CE" w14:textId="77777777" w:rsidR="005D2DA6" w:rsidRDefault="005D2DA6" w:rsidP="005D2DA6">
      <w:pPr>
        <w:spacing w:line="360" w:lineRule="auto"/>
        <w:jc w:val="both"/>
        <w:rPr>
          <w:b/>
          <w:bCs/>
          <w:sz w:val="28"/>
          <w:szCs w:val="28"/>
        </w:rPr>
      </w:pPr>
    </w:p>
    <w:p w14:paraId="4CB4E1ED" w14:textId="77777777" w:rsidR="005D2DA6" w:rsidRDefault="005D2DA6" w:rsidP="005D2DA6">
      <w:pPr>
        <w:spacing w:line="360" w:lineRule="auto"/>
        <w:jc w:val="both"/>
        <w:rPr>
          <w:b/>
          <w:bCs/>
          <w:sz w:val="28"/>
          <w:szCs w:val="28"/>
        </w:rPr>
      </w:pPr>
    </w:p>
    <w:p w14:paraId="524C18B0" w14:textId="77777777" w:rsidR="005D2DA6" w:rsidRDefault="005D2DA6" w:rsidP="005D2DA6">
      <w:pPr>
        <w:spacing w:line="360" w:lineRule="auto"/>
        <w:jc w:val="both"/>
        <w:rPr>
          <w:b/>
          <w:bCs/>
          <w:sz w:val="28"/>
          <w:szCs w:val="28"/>
        </w:rPr>
      </w:pPr>
    </w:p>
    <w:p w14:paraId="4C5BFEBD" w14:textId="77777777" w:rsidR="005D2DA6" w:rsidRDefault="005D2DA6" w:rsidP="005D2DA6">
      <w:pPr>
        <w:spacing w:line="360" w:lineRule="auto"/>
        <w:jc w:val="both"/>
        <w:rPr>
          <w:b/>
          <w:bCs/>
          <w:sz w:val="28"/>
          <w:szCs w:val="28"/>
        </w:rPr>
      </w:pPr>
    </w:p>
    <w:p w14:paraId="00487A98" w14:textId="77777777" w:rsidR="005D2DA6" w:rsidRDefault="005D2DA6" w:rsidP="005D2DA6">
      <w:pPr>
        <w:spacing w:line="360" w:lineRule="auto"/>
        <w:jc w:val="both"/>
        <w:rPr>
          <w:b/>
          <w:bCs/>
          <w:sz w:val="28"/>
          <w:szCs w:val="28"/>
        </w:rPr>
      </w:pPr>
    </w:p>
    <w:p w14:paraId="7793DC34" w14:textId="77777777" w:rsidR="005D2DA6" w:rsidRDefault="005D2DA6" w:rsidP="005D2DA6">
      <w:pPr>
        <w:spacing w:line="360" w:lineRule="auto"/>
        <w:jc w:val="both"/>
        <w:rPr>
          <w:b/>
          <w:bCs/>
          <w:sz w:val="28"/>
          <w:szCs w:val="28"/>
        </w:rPr>
      </w:pPr>
    </w:p>
    <w:p w14:paraId="7E739F90" w14:textId="77777777" w:rsidR="005D2DA6" w:rsidRPr="00EF1443" w:rsidRDefault="005D2DA6" w:rsidP="005D2DA6">
      <w:pPr>
        <w:spacing w:line="360" w:lineRule="auto"/>
        <w:jc w:val="both"/>
        <w:rPr>
          <w:b/>
          <w:bCs/>
          <w:sz w:val="32"/>
          <w:szCs w:val="32"/>
        </w:rPr>
      </w:pPr>
      <w:r w:rsidRPr="00EF1443">
        <w:rPr>
          <w:b/>
          <w:bCs/>
          <w:sz w:val="32"/>
          <w:szCs w:val="32"/>
        </w:rPr>
        <w:lastRenderedPageBreak/>
        <w:t>Research Summary</w:t>
      </w:r>
    </w:p>
    <w:p w14:paraId="576C2039" w14:textId="77777777" w:rsidR="00094D17" w:rsidRDefault="00094D17" w:rsidP="00094D17">
      <w:pPr>
        <w:spacing w:line="360" w:lineRule="auto"/>
        <w:jc w:val="both"/>
      </w:pPr>
      <w:r>
        <w:t>The expanding deployment of artificial intelligence (AI) in recruitment has sparked considerable scholarly debate around efficiency, bias, ethics, and regulation. Yet, existing studies remain dispersed across technical, organisational, and institutional lenses, constraining a coherent understanding of how AI-mediated recruitment systems are governed in practice, especially within multinational corporations (MNCs). This dissertation addresses that gap through a systematic literature review that synthesises peer-reviewed research on AI recruitment, with a comparative emphasis on Europe and East Asia.</w:t>
      </w:r>
    </w:p>
    <w:p w14:paraId="6A1D1FAB" w14:textId="77777777" w:rsidR="00094D17" w:rsidRDefault="00094D17" w:rsidP="00094D17">
      <w:pPr>
        <w:spacing w:line="360" w:lineRule="auto"/>
        <w:jc w:val="both"/>
      </w:pPr>
      <w:r>
        <w:t>Anchored in an integrative conceptual framework, the study examines how technical system design, organisational decision-making, and institutional contexts interact to shape governance capacity, accountability, and recruitment outcomes. The review employs transparent search, screening, and quality appraisal procedures to weight evidence rigorously and avoids descriptive overgeneralisation. The findings indicate that governance challenges emerge principally at organisational decision interfaces—where algorithmic outputs are interpreted and acted upon—rather than from automation per se. Regulatory compliance and technical safeguards are necessary but insufficient where organisational authority and accountability remain diffuse.</w:t>
      </w:r>
    </w:p>
    <w:p w14:paraId="418C9316" w14:textId="7A54D1B6" w:rsidR="00BD14B9" w:rsidRDefault="00094D17" w:rsidP="008A4AED">
      <w:pPr>
        <w:spacing w:line="360" w:lineRule="auto"/>
        <w:jc w:val="both"/>
      </w:pPr>
      <w:r>
        <w:t>By reconceptualising AI recruitment as a governance problem embedded within organisational and institutional settings, this study advances theory by integrating socio-technical, organisational, and institutional perspectives. It further provides analytically grounded implications for multinational organisations, regulators, and future research aimed at governing AI recruitment more effectively and with greater contextual sensitivity.</w:t>
      </w:r>
    </w:p>
    <w:p w14:paraId="3F2BD213" w14:textId="77777777" w:rsidR="00833FA9" w:rsidRDefault="00833FA9" w:rsidP="008A4AED">
      <w:pPr>
        <w:spacing w:line="360" w:lineRule="auto"/>
        <w:jc w:val="both"/>
      </w:pPr>
    </w:p>
    <w:p w14:paraId="642588EE" w14:textId="77777777" w:rsidR="00833FA9" w:rsidRDefault="00833FA9" w:rsidP="008A4AED">
      <w:pPr>
        <w:spacing w:line="360" w:lineRule="auto"/>
        <w:jc w:val="both"/>
      </w:pPr>
    </w:p>
    <w:p w14:paraId="7EF66EB8" w14:textId="77777777" w:rsidR="00833FA9" w:rsidRDefault="00833FA9" w:rsidP="008A4AED">
      <w:pPr>
        <w:spacing w:line="360" w:lineRule="auto"/>
        <w:jc w:val="both"/>
      </w:pPr>
    </w:p>
    <w:p w14:paraId="2CE09F3F" w14:textId="77777777" w:rsidR="00833FA9" w:rsidRDefault="00833FA9" w:rsidP="008A4AED">
      <w:pPr>
        <w:spacing w:line="360" w:lineRule="auto"/>
        <w:jc w:val="both"/>
      </w:pPr>
    </w:p>
    <w:p w14:paraId="720C209D" w14:textId="77777777" w:rsidR="00833FA9" w:rsidRDefault="00833FA9" w:rsidP="008A4AED">
      <w:pPr>
        <w:spacing w:line="360" w:lineRule="auto"/>
        <w:jc w:val="both"/>
      </w:pPr>
    </w:p>
    <w:p w14:paraId="1F149B50" w14:textId="77777777" w:rsidR="00FE0030" w:rsidRDefault="00FE0030" w:rsidP="008A4AED">
      <w:pPr>
        <w:spacing w:line="360" w:lineRule="auto"/>
        <w:jc w:val="both"/>
      </w:pPr>
    </w:p>
    <w:p w14:paraId="0FC0831E" w14:textId="77777777" w:rsidR="00E505F8" w:rsidRDefault="00E505F8" w:rsidP="008A4AED">
      <w:pPr>
        <w:spacing w:line="360" w:lineRule="auto"/>
        <w:jc w:val="both"/>
      </w:pPr>
    </w:p>
    <w:p w14:paraId="40149D28" w14:textId="77777777" w:rsidR="00833FA9" w:rsidRDefault="00833FA9" w:rsidP="008A4AED">
      <w:pPr>
        <w:spacing w:line="360" w:lineRule="auto"/>
        <w:jc w:val="both"/>
      </w:pPr>
    </w:p>
    <w:sdt>
      <w:sdtPr>
        <w:rPr>
          <w:rFonts w:asciiTheme="minorHAnsi" w:eastAsiaTheme="minorEastAsia" w:hAnsiTheme="minorHAnsi" w:cstheme="minorBidi"/>
          <w:b w:val="0"/>
          <w:bCs w:val="0"/>
          <w:color w:val="auto"/>
          <w:kern w:val="2"/>
          <w:sz w:val="24"/>
          <w:szCs w:val="24"/>
          <w:lang w:val="en-GB"/>
          <w14:ligatures w14:val="standardContextual"/>
        </w:rPr>
        <w:id w:val="61835408"/>
        <w:docPartObj>
          <w:docPartGallery w:val="Table of Contents"/>
          <w:docPartUnique/>
        </w:docPartObj>
      </w:sdtPr>
      <w:sdtEndPr>
        <w:rPr>
          <w:color w:val="153D63" w:themeColor="text2" w:themeTint="E6"/>
        </w:rPr>
      </w:sdtEndPr>
      <w:sdtContent>
        <w:p w14:paraId="33E13181" w14:textId="6F6E9296" w:rsidR="001D2DB6" w:rsidRPr="00F5287B" w:rsidRDefault="00833FA9" w:rsidP="00F5287B">
          <w:pPr>
            <w:pStyle w:val="TOCHeading"/>
            <w:spacing w:before="0"/>
            <w:rPr>
              <w:color w:val="000000" w:themeColor="text1"/>
            </w:rPr>
          </w:pPr>
          <w:r w:rsidRPr="00B12EC0">
            <w:rPr>
              <w:color w:val="000000" w:themeColor="text1"/>
            </w:rPr>
            <w:t>Table of Contents</w:t>
          </w:r>
          <w:r w:rsidRPr="00B12EC0">
            <w:rPr>
              <w:b w:val="0"/>
              <w:bCs w:val="0"/>
              <w:caps/>
              <w:color w:val="000000" w:themeColor="text1"/>
              <w:sz w:val="20"/>
              <w:szCs w:val="20"/>
            </w:rPr>
            <w:fldChar w:fldCharType="begin"/>
          </w:r>
          <w:r w:rsidRPr="00B12EC0">
            <w:rPr>
              <w:color w:val="000000" w:themeColor="text1"/>
            </w:rPr>
            <w:instrText xml:space="preserve"> TOC \o "1-3" \h \z \u </w:instrText>
          </w:r>
          <w:r w:rsidRPr="00B12EC0">
            <w:rPr>
              <w:b w:val="0"/>
              <w:bCs w:val="0"/>
              <w:caps/>
              <w:color w:val="000000" w:themeColor="text1"/>
              <w:sz w:val="20"/>
              <w:szCs w:val="20"/>
            </w:rPr>
            <w:fldChar w:fldCharType="separate"/>
          </w:r>
        </w:p>
        <w:p w14:paraId="613502BE" w14:textId="50294489" w:rsidR="001D2DB6" w:rsidRDefault="001D2DB6">
          <w:pPr>
            <w:pStyle w:val="TOC1"/>
            <w:tabs>
              <w:tab w:val="right" w:leader="dot" w:pos="10450"/>
            </w:tabs>
            <w:rPr>
              <w:b w:val="0"/>
              <w:bCs w:val="0"/>
              <w:caps w:val="0"/>
              <w:noProof/>
              <w:sz w:val="24"/>
              <w:szCs w:val="24"/>
              <w:lang w:eastAsia="en-GB"/>
            </w:rPr>
          </w:pPr>
          <w:hyperlink w:anchor="_Toc240996942" w:history="1">
            <w:r w:rsidRPr="00A44459">
              <w:rPr>
                <w:rStyle w:val="Hyperlink"/>
                <w:noProof/>
              </w:rPr>
              <w:t>CHAPTER 1: INTRODUCTION</w:t>
            </w:r>
            <w:r>
              <w:rPr>
                <w:noProof/>
                <w:webHidden/>
              </w:rPr>
              <w:tab/>
            </w:r>
            <w:r>
              <w:rPr>
                <w:noProof/>
                <w:webHidden/>
              </w:rPr>
              <w:fldChar w:fldCharType="begin"/>
            </w:r>
            <w:r>
              <w:rPr>
                <w:noProof/>
                <w:webHidden/>
              </w:rPr>
              <w:instrText xml:space="preserve"> PAGEREF _Toc240996942 \h </w:instrText>
            </w:r>
            <w:r>
              <w:rPr>
                <w:noProof/>
                <w:webHidden/>
              </w:rPr>
            </w:r>
            <w:r>
              <w:rPr>
                <w:noProof/>
                <w:webHidden/>
              </w:rPr>
              <w:fldChar w:fldCharType="separate"/>
            </w:r>
            <w:r>
              <w:rPr>
                <w:noProof/>
                <w:webHidden/>
              </w:rPr>
              <w:t>10</w:t>
            </w:r>
            <w:r>
              <w:rPr>
                <w:noProof/>
                <w:webHidden/>
              </w:rPr>
              <w:fldChar w:fldCharType="end"/>
            </w:r>
          </w:hyperlink>
        </w:p>
        <w:p w14:paraId="49B72DE8" w14:textId="0E3673FE" w:rsidR="001D2DB6" w:rsidRDefault="001D2DB6">
          <w:pPr>
            <w:pStyle w:val="TOC2"/>
            <w:rPr>
              <w:b w:val="0"/>
              <w:smallCaps w:val="0"/>
              <w:color w:val="auto"/>
              <w:sz w:val="24"/>
              <w:szCs w:val="24"/>
              <w:lang w:eastAsia="en-GB"/>
            </w:rPr>
          </w:pPr>
          <w:hyperlink w:anchor="_Toc240996943" w:history="1">
            <w:r w:rsidRPr="00A44459">
              <w:rPr>
                <w:rStyle w:val="Hyperlink"/>
                <w:bCs/>
              </w:rPr>
              <w:t>1.1 Background and Context</w:t>
            </w:r>
            <w:r>
              <w:rPr>
                <w:webHidden/>
              </w:rPr>
              <w:tab/>
            </w:r>
            <w:r>
              <w:rPr>
                <w:webHidden/>
              </w:rPr>
              <w:fldChar w:fldCharType="begin"/>
            </w:r>
            <w:r>
              <w:rPr>
                <w:webHidden/>
              </w:rPr>
              <w:instrText xml:space="preserve"> PAGEREF _Toc240996943 \h </w:instrText>
            </w:r>
            <w:r>
              <w:rPr>
                <w:webHidden/>
              </w:rPr>
            </w:r>
            <w:r>
              <w:rPr>
                <w:webHidden/>
              </w:rPr>
              <w:fldChar w:fldCharType="separate"/>
            </w:r>
            <w:r>
              <w:rPr>
                <w:webHidden/>
              </w:rPr>
              <w:t>10</w:t>
            </w:r>
            <w:r>
              <w:rPr>
                <w:webHidden/>
              </w:rPr>
              <w:fldChar w:fldCharType="end"/>
            </w:r>
          </w:hyperlink>
        </w:p>
        <w:p w14:paraId="1368F2ED" w14:textId="3138F6A2" w:rsidR="001D2DB6" w:rsidRDefault="001D2DB6">
          <w:pPr>
            <w:pStyle w:val="TOC2"/>
            <w:rPr>
              <w:b w:val="0"/>
              <w:smallCaps w:val="0"/>
              <w:color w:val="auto"/>
              <w:sz w:val="24"/>
              <w:szCs w:val="24"/>
              <w:lang w:eastAsia="en-GB"/>
            </w:rPr>
          </w:pPr>
          <w:hyperlink w:anchor="_Toc240996944" w:history="1">
            <w:r w:rsidRPr="00A44459">
              <w:rPr>
                <w:rStyle w:val="Hyperlink"/>
                <w:bCs/>
              </w:rPr>
              <w:t>1.2 Research Aim</w:t>
            </w:r>
            <w:r>
              <w:rPr>
                <w:webHidden/>
              </w:rPr>
              <w:tab/>
            </w:r>
            <w:r>
              <w:rPr>
                <w:webHidden/>
              </w:rPr>
              <w:fldChar w:fldCharType="begin"/>
            </w:r>
            <w:r>
              <w:rPr>
                <w:webHidden/>
              </w:rPr>
              <w:instrText xml:space="preserve"> PAGEREF _Toc240996944 \h </w:instrText>
            </w:r>
            <w:r>
              <w:rPr>
                <w:webHidden/>
              </w:rPr>
            </w:r>
            <w:r>
              <w:rPr>
                <w:webHidden/>
              </w:rPr>
              <w:fldChar w:fldCharType="separate"/>
            </w:r>
            <w:r>
              <w:rPr>
                <w:webHidden/>
              </w:rPr>
              <w:t>10</w:t>
            </w:r>
            <w:r>
              <w:rPr>
                <w:webHidden/>
              </w:rPr>
              <w:fldChar w:fldCharType="end"/>
            </w:r>
          </w:hyperlink>
        </w:p>
        <w:p w14:paraId="3C3C392D" w14:textId="384237E5" w:rsidR="001D2DB6" w:rsidRDefault="001D2DB6">
          <w:pPr>
            <w:pStyle w:val="TOC2"/>
            <w:rPr>
              <w:b w:val="0"/>
              <w:smallCaps w:val="0"/>
              <w:color w:val="auto"/>
              <w:sz w:val="24"/>
              <w:szCs w:val="24"/>
              <w:lang w:eastAsia="en-GB"/>
            </w:rPr>
          </w:pPr>
          <w:hyperlink w:anchor="_Toc240996945" w:history="1">
            <w:r w:rsidRPr="00A44459">
              <w:rPr>
                <w:rStyle w:val="Hyperlink"/>
                <w:bCs/>
              </w:rPr>
              <w:t>1.3 Research Objectives</w:t>
            </w:r>
            <w:r>
              <w:rPr>
                <w:webHidden/>
              </w:rPr>
              <w:tab/>
            </w:r>
            <w:r>
              <w:rPr>
                <w:webHidden/>
              </w:rPr>
              <w:fldChar w:fldCharType="begin"/>
            </w:r>
            <w:r>
              <w:rPr>
                <w:webHidden/>
              </w:rPr>
              <w:instrText xml:space="preserve"> PAGEREF _Toc240996945 \h </w:instrText>
            </w:r>
            <w:r>
              <w:rPr>
                <w:webHidden/>
              </w:rPr>
            </w:r>
            <w:r>
              <w:rPr>
                <w:webHidden/>
              </w:rPr>
              <w:fldChar w:fldCharType="separate"/>
            </w:r>
            <w:r>
              <w:rPr>
                <w:webHidden/>
              </w:rPr>
              <w:t>11</w:t>
            </w:r>
            <w:r>
              <w:rPr>
                <w:webHidden/>
              </w:rPr>
              <w:fldChar w:fldCharType="end"/>
            </w:r>
          </w:hyperlink>
        </w:p>
        <w:p w14:paraId="6D6A4D56" w14:textId="12D49676" w:rsidR="001D2DB6" w:rsidRDefault="001D2DB6">
          <w:pPr>
            <w:pStyle w:val="TOC2"/>
            <w:rPr>
              <w:b w:val="0"/>
              <w:smallCaps w:val="0"/>
              <w:color w:val="auto"/>
              <w:sz w:val="24"/>
              <w:szCs w:val="24"/>
              <w:lang w:eastAsia="en-GB"/>
            </w:rPr>
          </w:pPr>
          <w:hyperlink w:anchor="_Toc240996946" w:history="1">
            <w:r w:rsidRPr="00A44459">
              <w:rPr>
                <w:rStyle w:val="Hyperlink"/>
              </w:rPr>
              <w:t>1.4 Research Problem</w:t>
            </w:r>
            <w:r>
              <w:rPr>
                <w:webHidden/>
              </w:rPr>
              <w:tab/>
            </w:r>
            <w:r>
              <w:rPr>
                <w:webHidden/>
              </w:rPr>
              <w:fldChar w:fldCharType="begin"/>
            </w:r>
            <w:r>
              <w:rPr>
                <w:webHidden/>
              </w:rPr>
              <w:instrText xml:space="preserve"> PAGEREF _Toc240996946 \h </w:instrText>
            </w:r>
            <w:r>
              <w:rPr>
                <w:webHidden/>
              </w:rPr>
            </w:r>
            <w:r>
              <w:rPr>
                <w:webHidden/>
              </w:rPr>
              <w:fldChar w:fldCharType="separate"/>
            </w:r>
            <w:r>
              <w:rPr>
                <w:webHidden/>
              </w:rPr>
              <w:t>11</w:t>
            </w:r>
            <w:r>
              <w:rPr>
                <w:webHidden/>
              </w:rPr>
              <w:fldChar w:fldCharType="end"/>
            </w:r>
          </w:hyperlink>
        </w:p>
        <w:p w14:paraId="2225BBDA" w14:textId="1E8DD3AD" w:rsidR="001D2DB6" w:rsidRDefault="001D2DB6">
          <w:pPr>
            <w:pStyle w:val="TOC2"/>
            <w:rPr>
              <w:b w:val="0"/>
              <w:smallCaps w:val="0"/>
              <w:color w:val="auto"/>
              <w:sz w:val="24"/>
              <w:szCs w:val="24"/>
              <w:lang w:eastAsia="en-GB"/>
            </w:rPr>
          </w:pPr>
          <w:hyperlink w:anchor="_Toc240996947" w:history="1">
            <w:r w:rsidRPr="00A44459">
              <w:rPr>
                <w:rStyle w:val="Hyperlink"/>
              </w:rPr>
              <w:t>1.5 Significance and Rationale of the Study</w:t>
            </w:r>
            <w:r>
              <w:rPr>
                <w:webHidden/>
              </w:rPr>
              <w:tab/>
            </w:r>
            <w:r>
              <w:rPr>
                <w:webHidden/>
              </w:rPr>
              <w:fldChar w:fldCharType="begin"/>
            </w:r>
            <w:r>
              <w:rPr>
                <w:webHidden/>
              </w:rPr>
              <w:instrText xml:space="preserve"> PAGEREF _Toc240996947 \h </w:instrText>
            </w:r>
            <w:r>
              <w:rPr>
                <w:webHidden/>
              </w:rPr>
            </w:r>
            <w:r>
              <w:rPr>
                <w:webHidden/>
              </w:rPr>
              <w:fldChar w:fldCharType="separate"/>
            </w:r>
            <w:r>
              <w:rPr>
                <w:webHidden/>
              </w:rPr>
              <w:t>11</w:t>
            </w:r>
            <w:r>
              <w:rPr>
                <w:webHidden/>
              </w:rPr>
              <w:fldChar w:fldCharType="end"/>
            </w:r>
          </w:hyperlink>
        </w:p>
        <w:p w14:paraId="1CA46B58" w14:textId="553C3EB8" w:rsidR="001D2DB6" w:rsidRDefault="001D2DB6">
          <w:pPr>
            <w:pStyle w:val="TOC2"/>
            <w:rPr>
              <w:b w:val="0"/>
              <w:smallCaps w:val="0"/>
              <w:color w:val="auto"/>
              <w:sz w:val="24"/>
              <w:szCs w:val="24"/>
              <w:lang w:eastAsia="en-GB"/>
            </w:rPr>
          </w:pPr>
          <w:hyperlink w:anchor="_Toc240996948" w:history="1">
            <w:r w:rsidRPr="00A44459">
              <w:rPr>
                <w:rStyle w:val="Hyperlink"/>
              </w:rPr>
              <w:t>1.6 Scope of the Study</w:t>
            </w:r>
            <w:r>
              <w:rPr>
                <w:webHidden/>
              </w:rPr>
              <w:tab/>
            </w:r>
            <w:r>
              <w:rPr>
                <w:webHidden/>
              </w:rPr>
              <w:fldChar w:fldCharType="begin"/>
            </w:r>
            <w:r>
              <w:rPr>
                <w:webHidden/>
              </w:rPr>
              <w:instrText xml:space="preserve"> PAGEREF _Toc240996948 \h </w:instrText>
            </w:r>
            <w:r>
              <w:rPr>
                <w:webHidden/>
              </w:rPr>
            </w:r>
            <w:r>
              <w:rPr>
                <w:webHidden/>
              </w:rPr>
              <w:fldChar w:fldCharType="separate"/>
            </w:r>
            <w:r>
              <w:rPr>
                <w:webHidden/>
              </w:rPr>
              <w:t>12</w:t>
            </w:r>
            <w:r>
              <w:rPr>
                <w:webHidden/>
              </w:rPr>
              <w:fldChar w:fldCharType="end"/>
            </w:r>
          </w:hyperlink>
        </w:p>
        <w:p w14:paraId="6AB6DDF1" w14:textId="21838EA7" w:rsidR="001D2DB6" w:rsidRDefault="001D2DB6">
          <w:pPr>
            <w:pStyle w:val="TOC2"/>
            <w:rPr>
              <w:b w:val="0"/>
              <w:smallCaps w:val="0"/>
              <w:color w:val="auto"/>
              <w:sz w:val="24"/>
              <w:szCs w:val="24"/>
              <w:lang w:eastAsia="en-GB"/>
            </w:rPr>
          </w:pPr>
          <w:hyperlink w:anchor="_Toc240996949" w:history="1">
            <w:r w:rsidRPr="00A44459">
              <w:rPr>
                <w:rStyle w:val="Hyperlink"/>
                <w:bCs/>
              </w:rPr>
              <w:t>1.7 Dissertation Structure</w:t>
            </w:r>
            <w:r>
              <w:rPr>
                <w:webHidden/>
              </w:rPr>
              <w:tab/>
            </w:r>
            <w:r>
              <w:rPr>
                <w:webHidden/>
              </w:rPr>
              <w:fldChar w:fldCharType="begin"/>
            </w:r>
            <w:r>
              <w:rPr>
                <w:webHidden/>
              </w:rPr>
              <w:instrText xml:space="preserve"> PAGEREF _Toc240996949 \h </w:instrText>
            </w:r>
            <w:r>
              <w:rPr>
                <w:webHidden/>
              </w:rPr>
            </w:r>
            <w:r>
              <w:rPr>
                <w:webHidden/>
              </w:rPr>
              <w:fldChar w:fldCharType="separate"/>
            </w:r>
            <w:r>
              <w:rPr>
                <w:webHidden/>
              </w:rPr>
              <w:t>14</w:t>
            </w:r>
            <w:r>
              <w:rPr>
                <w:webHidden/>
              </w:rPr>
              <w:fldChar w:fldCharType="end"/>
            </w:r>
          </w:hyperlink>
        </w:p>
        <w:p w14:paraId="046D51A1" w14:textId="7671C25C" w:rsidR="001D2DB6" w:rsidRDefault="001D2DB6">
          <w:pPr>
            <w:pStyle w:val="TOC1"/>
            <w:tabs>
              <w:tab w:val="right" w:leader="dot" w:pos="10450"/>
            </w:tabs>
            <w:rPr>
              <w:b w:val="0"/>
              <w:bCs w:val="0"/>
              <w:caps w:val="0"/>
              <w:noProof/>
              <w:sz w:val="24"/>
              <w:szCs w:val="24"/>
              <w:lang w:eastAsia="en-GB"/>
            </w:rPr>
          </w:pPr>
          <w:hyperlink w:anchor="_Toc240996950" w:history="1">
            <w:r w:rsidRPr="00A44459">
              <w:rPr>
                <w:rStyle w:val="Hyperlink"/>
                <w:noProof/>
              </w:rPr>
              <w:t>CHAPTER 2: LITERATURE REVIEW</w:t>
            </w:r>
            <w:r>
              <w:rPr>
                <w:noProof/>
                <w:webHidden/>
              </w:rPr>
              <w:tab/>
            </w:r>
            <w:r>
              <w:rPr>
                <w:noProof/>
                <w:webHidden/>
              </w:rPr>
              <w:fldChar w:fldCharType="begin"/>
            </w:r>
            <w:r>
              <w:rPr>
                <w:noProof/>
                <w:webHidden/>
              </w:rPr>
              <w:instrText xml:space="preserve"> PAGEREF _Toc240996950 \h </w:instrText>
            </w:r>
            <w:r>
              <w:rPr>
                <w:noProof/>
                <w:webHidden/>
              </w:rPr>
            </w:r>
            <w:r>
              <w:rPr>
                <w:noProof/>
                <w:webHidden/>
              </w:rPr>
              <w:fldChar w:fldCharType="separate"/>
            </w:r>
            <w:r>
              <w:rPr>
                <w:noProof/>
                <w:webHidden/>
              </w:rPr>
              <w:t>15</w:t>
            </w:r>
            <w:r>
              <w:rPr>
                <w:noProof/>
                <w:webHidden/>
              </w:rPr>
              <w:fldChar w:fldCharType="end"/>
            </w:r>
          </w:hyperlink>
        </w:p>
        <w:p w14:paraId="70E13041" w14:textId="259D75C1" w:rsidR="001D2DB6" w:rsidRDefault="001D2DB6">
          <w:pPr>
            <w:pStyle w:val="TOC2"/>
            <w:rPr>
              <w:b w:val="0"/>
              <w:smallCaps w:val="0"/>
              <w:color w:val="auto"/>
              <w:sz w:val="24"/>
              <w:szCs w:val="24"/>
              <w:lang w:eastAsia="en-GB"/>
            </w:rPr>
          </w:pPr>
          <w:hyperlink w:anchor="_Toc240996951" w:history="1">
            <w:r w:rsidRPr="00A44459">
              <w:rPr>
                <w:rStyle w:val="Hyperlink"/>
                <w:bCs/>
              </w:rPr>
              <w:t>2.1 Introduction</w:t>
            </w:r>
            <w:r>
              <w:rPr>
                <w:webHidden/>
              </w:rPr>
              <w:tab/>
            </w:r>
            <w:r>
              <w:rPr>
                <w:webHidden/>
              </w:rPr>
              <w:fldChar w:fldCharType="begin"/>
            </w:r>
            <w:r>
              <w:rPr>
                <w:webHidden/>
              </w:rPr>
              <w:instrText xml:space="preserve"> PAGEREF _Toc240996951 \h </w:instrText>
            </w:r>
            <w:r>
              <w:rPr>
                <w:webHidden/>
              </w:rPr>
            </w:r>
            <w:r>
              <w:rPr>
                <w:webHidden/>
              </w:rPr>
              <w:fldChar w:fldCharType="separate"/>
            </w:r>
            <w:r>
              <w:rPr>
                <w:webHidden/>
              </w:rPr>
              <w:t>15</w:t>
            </w:r>
            <w:r>
              <w:rPr>
                <w:webHidden/>
              </w:rPr>
              <w:fldChar w:fldCharType="end"/>
            </w:r>
          </w:hyperlink>
        </w:p>
        <w:p w14:paraId="0A05123F" w14:textId="3EC63A03" w:rsidR="001D2DB6" w:rsidRDefault="001D2DB6">
          <w:pPr>
            <w:pStyle w:val="TOC2"/>
            <w:rPr>
              <w:b w:val="0"/>
              <w:smallCaps w:val="0"/>
              <w:color w:val="auto"/>
              <w:sz w:val="24"/>
              <w:szCs w:val="24"/>
              <w:lang w:eastAsia="en-GB"/>
            </w:rPr>
          </w:pPr>
          <w:hyperlink w:anchor="_Toc240996952" w:history="1">
            <w:r w:rsidRPr="00A44459">
              <w:rPr>
                <w:rStyle w:val="Hyperlink"/>
                <w:bCs/>
              </w:rPr>
              <w:t>2.2 AI in HRM</w:t>
            </w:r>
            <w:r>
              <w:rPr>
                <w:webHidden/>
              </w:rPr>
              <w:tab/>
            </w:r>
            <w:r>
              <w:rPr>
                <w:webHidden/>
              </w:rPr>
              <w:fldChar w:fldCharType="begin"/>
            </w:r>
            <w:r>
              <w:rPr>
                <w:webHidden/>
              </w:rPr>
              <w:instrText xml:space="preserve"> PAGEREF _Toc240996952 \h </w:instrText>
            </w:r>
            <w:r>
              <w:rPr>
                <w:webHidden/>
              </w:rPr>
            </w:r>
            <w:r>
              <w:rPr>
                <w:webHidden/>
              </w:rPr>
              <w:fldChar w:fldCharType="separate"/>
            </w:r>
            <w:r>
              <w:rPr>
                <w:webHidden/>
              </w:rPr>
              <w:t>15</w:t>
            </w:r>
            <w:r>
              <w:rPr>
                <w:webHidden/>
              </w:rPr>
              <w:fldChar w:fldCharType="end"/>
            </w:r>
          </w:hyperlink>
        </w:p>
        <w:p w14:paraId="7F99AC43" w14:textId="5104BF28" w:rsidR="001D2DB6" w:rsidRDefault="001D2DB6">
          <w:pPr>
            <w:pStyle w:val="TOC2"/>
            <w:rPr>
              <w:b w:val="0"/>
              <w:smallCaps w:val="0"/>
              <w:color w:val="auto"/>
              <w:sz w:val="24"/>
              <w:szCs w:val="24"/>
              <w:lang w:eastAsia="en-GB"/>
            </w:rPr>
          </w:pPr>
          <w:hyperlink w:anchor="_Toc240996953" w:history="1">
            <w:r w:rsidRPr="00A44459">
              <w:rPr>
                <w:rStyle w:val="Hyperlink"/>
                <w:bCs/>
              </w:rPr>
              <w:t>2.3 AI and Decision</w:t>
            </w:r>
            <w:r w:rsidRPr="00A44459">
              <w:rPr>
                <w:rStyle w:val="Hyperlink"/>
                <w:rFonts w:ascii="Cambria Math" w:hAnsi="Cambria Math" w:cs="Cambria Math"/>
                <w:bCs/>
              </w:rPr>
              <w:t>‑</w:t>
            </w:r>
            <w:r w:rsidRPr="00A44459">
              <w:rPr>
                <w:rStyle w:val="Hyperlink"/>
                <w:bCs/>
              </w:rPr>
              <w:t>Making</w:t>
            </w:r>
            <w:r>
              <w:rPr>
                <w:webHidden/>
              </w:rPr>
              <w:tab/>
            </w:r>
            <w:r>
              <w:rPr>
                <w:webHidden/>
              </w:rPr>
              <w:fldChar w:fldCharType="begin"/>
            </w:r>
            <w:r>
              <w:rPr>
                <w:webHidden/>
              </w:rPr>
              <w:instrText xml:space="preserve"> PAGEREF _Toc240996953 \h </w:instrText>
            </w:r>
            <w:r>
              <w:rPr>
                <w:webHidden/>
              </w:rPr>
            </w:r>
            <w:r>
              <w:rPr>
                <w:webHidden/>
              </w:rPr>
              <w:fldChar w:fldCharType="separate"/>
            </w:r>
            <w:r>
              <w:rPr>
                <w:webHidden/>
              </w:rPr>
              <w:t>15</w:t>
            </w:r>
            <w:r>
              <w:rPr>
                <w:webHidden/>
              </w:rPr>
              <w:fldChar w:fldCharType="end"/>
            </w:r>
          </w:hyperlink>
        </w:p>
        <w:p w14:paraId="45727B14" w14:textId="5EBA3AE9" w:rsidR="001D2DB6" w:rsidRDefault="001D2DB6">
          <w:pPr>
            <w:pStyle w:val="TOC2"/>
            <w:rPr>
              <w:b w:val="0"/>
              <w:smallCaps w:val="0"/>
              <w:color w:val="auto"/>
              <w:sz w:val="24"/>
              <w:szCs w:val="24"/>
              <w:lang w:eastAsia="en-GB"/>
            </w:rPr>
          </w:pPr>
          <w:hyperlink w:anchor="_Toc240996954" w:history="1">
            <w:r w:rsidRPr="00A44459">
              <w:rPr>
                <w:rStyle w:val="Hyperlink"/>
                <w:bCs/>
              </w:rPr>
              <w:t xml:space="preserve">2.4 Bias, </w:t>
            </w:r>
            <w:r w:rsidRPr="00A44459">
              <w:rPr>
                <w:rStyle w:val="Hyperlink"/>
              </w:rPr>
              <w:t xml:space="preserve">Fairness </w:t>
            </w:r>
            <w:r w:rsidRPr="00A44459">
              <w:rPr>
                <w:rStyle w:val="Hyperlink"/>
                <w:bCs/>
              </w:rPr>
              <w:t>and Transparency</w:t>
            </w:r>
            <w:r>
              <w:rPr>
                <w:webHidden/>
              </w:rPr>
              <w:tab/>
            </w:r>
            <w:r>
              <w:rPr>
                <w:webHidden/>
              </w:rPr>
              <w:fldChar w:fldCharType="begin"/>
            </w:r>
            <w:r>
              <w:rPr>
                <w:webHidden/>
              </w:rPr>
              <w:instrText xml:space="preserve"> PAGEREF _Toc240996954 \h </w:instrText>
            </w:r>
            <w:r>
              <w:rPr>
                <w:webHidden/>
              </w:rPr>
            </w:r>
            <w:r>
              <w:rPr>
                <w:webHidden/>
              </w:rPr>
              <w:fldChar w:fldCharType="separate"/>
            </w:r>
            <w:r>
              <w:rPr>
                <w:webHidden/>
              </w:rPr>
              <w:t>16</w:t>
            </w:r>
            <w:r>
              <w:rPr>
                <w:webHidden/>
              </w:rPr>
              <w:fldChar w:fldCharType="end"/>
            </w:r>
          </w:hyperlink>
        </w:p>
        <w:p w14:paraId="53E8881B" w14:textId="389AA231" w:rsidR="001D2DB6" w:rsidRDefault="001D2DB6">
          <w:pPr>
            <w:pStyle w:val="TOC3"/>
            <w:tabs>
              <w:tab w:val="right" w:leader="dot" w:pos="10450"/>
            </w:tabs>
            <w:rPr>
              <w:i w:val="0"/>
              <w:iCs w:val="0"/>
              <w:noProof/>
              <w:sz w:val="24"/>
              <w:szCs w:val="24"/>
              <w:lang w:eastAsia="en-GB"/>
            </w:rPr>
          </w:pPr>
          <w:hyperlink w:anchor="_Toc240996955" w:history="1">
            <w:r w:rsidRPr="00A44459">
              <w:rPr>
                <w:rStyle w:val="Hyperlink"/>
                <w:b/>
                <w:bCs/>
                <w:noProof/>
              </w:rPr>
              <w:t>2.4.1 Technical Accounts of Bias</w:t>
            </w:r>
            <w:r>
              <w:rPr>
                <w:noProof/>
                <w:webHidden/>
              </w:rPr>
              <w:tab/>
            </w:r>
            <w:r>
              <w:rPr>
                <w:noProof/>
                <w:webHidden/>
              </w:rPr>
              <w:fldChar w:fldCharType="begin"/>
            </w:r>
            <w:r>
              <w:rPr>
                <w:noProof/>
                <w:webHidden/>
              </w:rPr>
              <w:instrText xml:space="preserve"> PAGEREF _Toc240996955 \h </w:instrText>
            </w:r>
            <w:r>
              <w:rPr>
                <w:noProof/>
                <w:webHidden/>
              </w:rPr>
            </w:r>
            <w:r>
              <w:rPr>
                <w:noProof/>
                <w:webHidden/>
              </w:rPr>
              <w:fldChar w:fldCharType="separate"/>
            </w:r>
            <w:r>
              <w:rPr>
                <w:noProof/>
                <w:webHidden/>
              </w:rPr>
              <w:t>17</w:t>
            </w:r>
            <w:r>
              <w:rPr>
                <w:noProof/>
                <w:webHidden/>
              </w:rPr>
              <w:fldChar w:fldCharType="end"/>
            </w:r>
          </w:hyperlink>
        </w:p>
        <w:p w14:paraId="1ABA457C" w14:textId="65C7F229" w:rsidR="001D2DB6" w:rsidRDefault="001D2DB6">
          <w:pPr>
            <w:pStyle w:val="TOC3"/>
            <w:tabs>
              <w:tab w:val="right" w:leader="dot" w:pos="10450"/>
            </w:tabs>
            <w:rPr>
              <w:i w:val="0"/>
              <w:iCs w:val="0"/>
              <w:noProof/>
              <w:sz w:val="24"/>
              <w:szCs w:val="24"/>
              <w:lang w:eastAsia="en-GB"/>
            </w:rPr>
          </w:pPr>
          <w:hyperlink w:anchor="_Toc240996956" w:history="1">
            <w:r w:rsidRPr="00A44459">
              <w:rPr>
                <w:rStyle w:val="Hyperlink"/>
                <w:b/>
                <w:bCs/>
                <w:noProof/>
              </w:rPr>
              <w:t>2.4.2 Normative and Philosophical Critiques</w:t>
            </w:r>
            <w:r>
              <w:rPr>
                <w:noProof/>
                <w:webHidden/>
              </w:rPr>
              <w:tab/>
            </w:r>
            <w:r>
              <w:rPr>
                <w:noProof/>
                <w:webHidden/>
              </w:rPr>
              <w:fldChar w:fldCharType="begin"/>
            </w:r>
            <w:r>
              <w:rPr>
                <w:noProof/>
                <w:webHidden/>
              </w:rPr>
              <w:instrText xml:space="preserve"> PAGEREF _Toc240996956 \h </w:instrText>
            </w:r>
            <w:r>
              <w:rPr>
                <w:noProof/>
                <w:webHidden/>
              </w:rPr>
            </w:r>
            <w:r>
              <w:rPr>
                <w:noProof/>
                <w:webHidden/>
              </w:rPr>
              <w:fldChar w:fldCharType="separate"/>
            </w:r>
            <w:r>
              <w:rPr>
                <w:noProof/>
                <w:webHidden/>
              </w:rPr>
              <w:t>17</w:t>
            </w:r>
            <w:r>
              <w:rPr>
                <w:noProof/>
                <w:webHidden/>
              </w:rPr>
              <w:fldChar w:fldCharType="end"/>
            </w:r>
          </w:hyperlink>
        </w:p>
        <w:p w14:paraId="77085912" w14:textId="591F5DD2" w:rsidR="001D2DB6" w:rsidRDefault="001D2DB6">
          <w:pPr>
            <w:pStyle w:val="TOC3"/>
            <w:tabs>
              <w:tab w:val="right" w:leader="dot" w:pos="10450"/>
            </w:tabs>
            <w:rPr>
              <w:i w:val="0"/>
              <w:iCs w:val="0"/>
              <w:noProof/>
              <w:sz w:val="24"/>
              <w:szCs w:val="24"/>
              <w:lang w:eastAsia="en-GB"/>
            </w:rPr>
          </w:pPr>
          <w:hyperlink w:anchor="_Toc240996957" w:history="1">
            <w:r w:rsidRPr="00A44459">
              <w:rPr>
                <w:rStyle w:val="Hyperlink"/>
                <w:b/>
                <w:bCs/>
                <w:noProof/>
              </w:rPr>
              <w:t>2.4.3 Transparency and Explainability</w:t>
            </w:r>
            <w:r>
              <w:rPr>
                <w:noProof/>
                <w:webHidden/>
              </w:rPr>
              <w:tab/>
            </w:r>
            <w:r>
              <w:rPr>
                <w:noProof/>
                <w:webHidden/>
              </w:rPr>
              <w:fldChar w:fldCharType="begin"/>
            </w:r>
            <w:r>
              <w:rPr>
                <w:noProof/>
                <w:webHidden/>
              </w:rPr>
              <w:instrText xml:space="preserve"> PAGEREF _Toc240996957 \h </w:instrText>
            </w:r>
            <w:r>
              <w:rPr>
                <w:noProof/>
                <w:webHidden/>
              </w:rPr>
            </w:r>
            <w:r>
              <w:rPr>
                <w:noProof/>
                <w:webHidden/>
              </w:rPr>
              <w:fldChar w:fldCharType="separate"/>
            </w:r>
            <w:r>
              <w:rPr>
                <w:noProof/>
                <w:webHidden/>
              </w:rPr>
              <w:t>17</w:t>
            </w:r>
            <w:r>
              <w:rPr>
                <w:noProof/>
                <w:webHidden/>
              </w:rPr>
              <w:fldChar w:fldCharType="end"/>
            </w:r>
          </w:hyperlink>
        </w:p>
        <w:p w14:paraId="164DFC21" w14:textId="13E5640D" w:rsidR="001D2DB6" w:rsidRDefault="001D2DB6">
          <w:pPr>
            <w:pStyle w:val="TOC2"/>
            <w:rPr>
              <w:b w:val="0"/>
              <w:smallCaps w:val="0"/>
              <w:color w:val="auto"/>
              <w:sz w:val="24"/>
              <w:szCs w:val="24"/>
              <w:lang w:eastAsia="en-GB"/>
            </w:rPr>
          </w:pPr>
          <w:hyperlink w:anchor="_Toc240996958" w:history="1">
            <w:r w:rsidRPr="00A44459">
              <w:rPr>
                <w:rStyle w:val="Hyperlink"/>
                <w:bCs/>
              </w:rPr>
              <w:t>2.5 Organisational Governance</w:t>
            </w:r>
            <w:r>
              <w:rPr>
                <w:webHidden/>
              </w:rPr>
              <w:tab/>
            </w:r>
            <w:r>
              <w:rPr>
                <w:webHidden/>
              </w:rPr>
              <w:fldChar w:fldCharType="begin"/>
            </w:r>
            <w:r>
              <w:rPr>
                <w:webHidden/>
              </w:rPr>
              <w:instrText xml:space="preserve"> PAGEREF _Toc240996958 \h </w:instrText>
            </w:r>
            <w:r>
              <w:rPr>
                <w:webHidden/>
              </w:rPr>
            </w:r>
            <w:r>
              <w:rPr>
                <w:webHidden/>
              </w:rPr>
              <w:fldChar w:fldCharType="separate"/>
            </w:r>
            <w:r>
              <w:rPr>
                <w:webHidden/>
              </w:rPr>
              <w:t>18</w:t>
            </w:r>
            <w:r>
              <w:rPr>
                <w:webHidden/>
              </w:rPr>
              <w:fldChar w:fldCharType="end"/>
            </w:r>
          </w:hyperlink>
        </w:p>
        <w:p w14:paraId="48CE49BE" w14:textId="311CF229" w:rsidR="001D2DB6" w:rsidRDefault="001D2DB6">
          <w:pPr>
            <w:pStyle w:val="TOC3"/>
            <w:tabs>
              <w:tab w:val="right" w:leader="dot" w:pos="10450"/>
            </w:tabs>
            <w:rPr>
              <w:i w:val="0"/>
              <w:iCs w:val="0"/>
              <w:noProof/>
              <w:sz w:val="24"/>
              <w:szCs w:val="24"/>
              <w:lang w:eastAsia="en-GB"/>
            </w:rPr>
          </w:pPr>
          <w:hyperlink w:anchor="_Toc240996959" w:history="1">
            <w:r w:rsidRPr="00A44459">
              <w:rPr>
                <w:rStyle w:val="Hyperlink"/>
                <w:b/>
                <w:bCs/>
                <w:noProof/>
              </w:rPr>
              <w:t>2.5.1 AI Adoption in HRM: Descriptive Dominance and Its Limits</w:t>
            </w:r>
            <w:r>
              <w:rPr>
                <w:noProof/>
                <w:webHidden/>
              </w:rPr>
              <w:tab/>
            </w:r>
            <w:r>
              <w:rPr>
                <w:noProof/>
                <w:webHidden/>
              </w:rPr>
              <w:fldChar w:fldCharType="begin"/>
            </w:r>
            <w:r>
              <w:rPr>
                <w:noProof/>
                <w:webHidden/>
              </w:rPr>
              <w:instrText xml:space="preserve"> PAGEREF _Toc240996959 \h </w:instrText>
            </w:r>
            <w:r>
              <w:rPr>
                <w:noProof/>
                <w:webHidden/>
              </w:rPr>
            </w:r>
            <w:r>
              <w:rPr>
                <w:noProof/>
                <w:webHidden/>
              </w:rPr>
              <w:fldChar w:fldCharType="separate"/>
            </w:r>
            <w:r>
              <w:rPr>
                <w:noProof/>
                <w:webHidden/>
              </w:rPr>
              <w:t>18</w:t>
            </w:r>
            <w:r>
              <w:rPr>
                <w:noProof/>
                <w:webHidden/>
              </w:rPr>
              <w:fldChar w:fldCharType="end"/>
            </w:r>
          </w:hyperlink>
        </w:p>
        <w:p w14:paraId="2CEFCA01" w14:textId="3AE5D6FC" w:rsidR="001D2DB6" w:rsidRDefault="001D2DB6">
          <w:pPr>
            <w:pStyle w:val="TOC3"/>
            <w:tabs>
              <w:tab w:val="right" w:leader="dot" w:pos="10450"/>
            </w:tabs>
            <w:rPr>
              <w:i w:val="0"/>
              <w:iCs w:val="0"/>
              <w:noProof/>
              <w:sz w:val="24"/>
              <w:szCs w:val="24"/>
              <w:lang w:eastAsia="en-GB"/>
            </w:rPr>
          </w:pPr>
          <w:hyperlink w:anchor="_Toc240996960" w:history="1">
            <w:r w:rsidRPr="00A44459">
              <w:rPr>
                <w:rStyle w:val="Hyperlink"/>
                <w:b/>
                <w:bCs/>
                <w:noProof/>
              </w:rPr>
              <w:t>2.5.2 Human</w:t>
            </w:r>
            <w:r w:rsidRPr="00A44459">
              <w:rPr>
                <w:rStyle w:val="Hyperlink"/>
                <w:rFonts w:ascii="Cambria Math" w:hAnsi="Cambria Math" w:cs="Cambria Math"/>
                <w:b/>
                <w:bCs/>
                <w:noProof/>
              </w:rPr>
              <w:t>‑</w:t>
            </w:r>
            <w:r w:rsidRPr="00A44459">
              <w:rPr>
                <w:rStyle w:val="Hyperlink"/>
                <w:b/>
                <w:bCs/>
                <w:noProof/>
              </w:rPr>
              <w:t>in</w:t>
            </w:r>
            <w:r w:rsidRPr="00A44459">
              <w:rPr>
                <w:rStyle w:val="Hyperlink"/>
                <w:rFonts w:ascii="Cambria Math" w:hAnsi="Cambria Math" w:cs="Cambria Math"/>
                <w:b/>
                <w:bCs/>
                <w:noProof/>
              </w:rPr>
              <w:t>‑</w:t>
            </w:r>
            <w:r w:rsidRPr="00A44459">
              <w:rPr>
                <w:rStyle w:val="Hyperlink"/>
                <w:b/>
                <w:bCs/>
                <w:noProof/>
              </w:rPr>
              <w:t>the</w:t>
            </w:r>
            <w:r w:rsidRPr="00A44459">
              <w:rPr>
                <w:rStyle w:val="Hyperlink"/>
                <w:rFonts w:ascii="Cambria Math" w:hAnsi="Cambria Math" w:cs="Cambria Math"/>
                <w:b/>
                <w:bCs/>
                <w:noProof/>
              </w:rPr>
              <w:t>‑</w:t>
            </w:r>
            <w:r w:rsidRPr="00A44459">
              <w:rPr>
                <w:rStyle w:val="Hyperlink"/>
                <w:b/>
                <w:bCs/>
                <w:noProof/>
              </w:rPr>
              <w:t>Loop and Accountability Structures</w:t>
            </w:r>
            <w:r>
              <w:rPr>
                <w:noProof/>
                <w:webHidden/>
              </w:rPr>
              <w:tab/>
            </w:r>
            <w:r>
              <w:rPr>
                <w:noProof/>
                <w:webHidden/>
              </w:rPr>
              <w:fldChar w:fldCharType="begin"/>
            </w:r>
            <w:r>
              <w:rPr>
                <w:noProof/>
                <w:webHidden/>
              </w:rPr>
              <w:instrText xml:space="preserve"> PAGEREF _Toc240996960 \h </w:instrText>
            </w:r>
            <w:r>
              <w:rPr>
                <w:noProof/>
                <w:webHidden/>
              </w:rPr>
            </w:r>
            <w:r>
              <w:rPr>
                <w:noProof/>
                <w:webHidden/>
              </w:rPr>
              <w:fldChar w:fldCharType="separate"/>
            </w:r>
            <w:r>
              <w:rPr>
                <w:noProof/>
                <w:webHidden/>
              </w:rPr>
              <w:t>18</w:t>
            </w:r>
            <w:r>
              <w:rPr>
                <w:noProof/>
                <w:webHidden/>
              </w:rPr>
              <w:fldChar w:fldCharType="end"/>
            </w:r>
          </w:hyperlink>
        </w:p>
        <w:p w14:paraId="062542E3" w14:textId="1587EA6D" w:rsidR="001D2DB6" w:rsidRDefault="001D2DB6">
          <w:pPr>
            <w:pStyle w:val="TOC2"/>
            <w:rPr>
              <w:b w:val="0"/>
              <w:smallCaps w:val="0"/>
              <w:color w:val="auto"/>
              <w:sz w:val="24"/>
              <w:szCs w:val="24"/>
              <w:lang w:eastAsia="en-GB"/>
            </w:rPr>
          </w:pPr>
          <w:hyperlink w:anchor="_Toc240996961" w:history="1">
            <w:r w:rsidRPr="00A44459">
              <w:rPr>
                <w:rStyle w:val="Hyperlink"/>
                <w:bCs/>
              </w:rPr>
              <w:t>2.6 Institutional and Regulatory Context</w:t>
            </w:r>
            <w:r>
              <w:rPr>
                <w:webHidden/>
              </w:rPr>
              <w:tab/>
            </w:r>
            <w:r>
              <w:rPr>
                <w:webHidden/>
              </w:rPr>
              <w:fldChar w:fldCharType="begin"/>
            </w:r>
            <w:r>
              <w:rPr>
                <w:webHidden/>
              </w:rPr>
              <w:instrText xml:space="preserve"> PAGEREF _Toc240996961 \h </w:instrText>
            </w:r>
            <w:r>
              <w:rPr>
                <w:webHidden/>
              </w:rPr>
            </w:r>
            <w:r>
              <w:rPr>
                <w:webHidden/>
              </w:rPr>
              <w:fldChar w:fldCharType="separate"/>
            </w:r>
            <w:r>
              <w:rPr>
                <w:webHidden/>
              </w:rPr>
              <w:t>18</w:t>
            </w:r>
            <w:r>
              <w:rPr>
                <w:webHidden/>
              </w:rPr>
              <w:fldChar w:fldCharType="end"/>
            </w:r>
          </w:hyperlink>
        </w:p>
        <w:p w14:paraId="5E83AC9E" w14:textId="1BDA6D83" w:rsidR="001D2DB6" w:rsidRDefault="001D2DB6">
          <w:pPr>
            <w:pStyle w:val="TOC3"/>
            <w:tabs>
              <w:tab w:val="right" w:leader="dot" w:pos="10450"/>
            </w:tabs>
            <w:rPr>
              <w:i w:val="0"/>
              <w:iCs w:val="0"/>
              <w:noProof/>
              <w:sz w:val="24"/>
              <w:szCs w:val="24"/>
              <w:lang w:eastAsia="en-GB"/>
            </w:rPr>
          </w:pPr>
          <w:hyperlink w:anchor="_Toc240996962" w:history="1">
            <w:r w:rsidRPr="00A44459">
              <w:rPr>
                <w:rStyle w:val="Hyperlink"/>
                <w:b/>
                <w:bCs/>
                <w:noProof/>
              </w:rPr>
              <w:t>2.6.1 Europe: High</w:t>
            </w:r>
            <w:r w:rsidRPr="00A44459">
              <w:rPr>
                <w:rStyle w:val="Hyperlink"/>
                <w:rFonts w:ascii="Cambria Math" w:hAnsi="Cambria Math" w:cs="Cambria Math"/>
                <w:b/>
                <w:bCs/>
                <w:noProof/>
              </w:rPr>
              <w:t>‑</w:t>
            </w:r>
            <w:r w:rsidRPr="00A44459">
              <w:rPr>
                <w:rStyle w:val="Hyperlink"/>
                <w:b/>
                <w:bCs/>
                <w:noProof/>
              </w:rPr>
              <w:t>Risk AI and Compliance</w:t>
            </w:r>
            <w:r w:rsidRPr="00A44459">
              <w:rPr>
                <w:rStyle w:val="Hyperlink"/>
                <w:rFonts w:ascii="Cambria Math" w:hAnsi="Cambria Math" w:cs="Cambria Math"/>
                <w:b/>
                <w:bCs/>
                <w:noProof/>
              </w:rPr>
              <w:t>‑</w:t>
            </w:r>
            <w:r w:rsidRPr="00A44459">
              <w:rPr>
                <w:rStyle w:val="Hyperlink"/>
                <w:b/>
                <w:bCs/>
                <w:noProof/>
              </w:rPr>
              <w:t>Centric Governance</w:t>
            </w:r>
            <w:r>
              <w:rPr>
                <w:noProof/>
                <w:webHidden/>
              </w:rPr>
              <w:tab/>
            </w:r>
            <w:r>
              <w:rPr>
                <w:noProof/>
                <w:webHidden/>
              </w:rPr>
              <w:fldChar w:fldCharType="begin"/>
            </w:r>
            <w:r>
              <w:rPr>
                <w:noProof/>
                <w:webHidden/>
              </w:rPr>
              <w:instrText xml:space="preserve"> PAGEREF _Toc240996962 \h </w:instrText>
            </w:r>
            <w:r>
              <w:rPr>
                <w:noProof/>
                <w:webHidden/>
              </w:rPr>
            </w:r>
            <w:r>
              <w:rPr>
                <w:noProof/>
                <w:webHidden/>
              </w:rPr>
              <w:fldChar w:fldCharType="separate"/>
            </w:r>
            <w:r>
              <w:rPr>
                <w:noProof/>
                <w:webHidden/>
              </w:rPr>
              <w:t>18</w:t>
            </w:r>
            <w:r>
              <w:rPr>
                <w:noProof/>
                <w:webHidden/>
              </w:rPr>
              <w:fldChar w:fldCharType="end"/>
            </w:r>
          </w:hyperlink>
        </w:p>
        <w:p w14:paraId="7C822567" w14:textId="3A4A46F9" w:rsidR="001D2DB6" w:rsidRDefault="001D2DB6">
          <w:pPr>
            <w:pStyle w:val="TOC3"/>
            <w:tabs>
              <w:tab w:val="right" w:leader="dot" w:pos="10450"/>
            </w:tabs>
            <w:rPr>
              <w:i w:val="0"/>
              <w:iCs w:val="0"/>
              <w:noProof/>
              <w:sz w:val="24"/>
              <w:szCs w:val="24"/>
              <w:lang w:eastAsia="en-GB"/>
            </w:rPr>
          </w:pPr>
          <w:hyperlink w:anchor="_Toc240996963" w:history="1">
            <w:r w:rsidRPr="00A44459">
              <w:rPr>
                <w:rStyle w:val="Hyperlink"/>
                <w:b/>
                <w:bCs/>
                <w:noProof/>
              </w:rPr>
              <w:t>2.6.2 East Asia: Soft Law, Market Logic and Adoption Pressures</w:t>
            </w:r>
            <w:r>
              <w:rPr>
                <w:noProof/>
                <w:webHidden/>
              </w:rPr>
              <w:tab/>
            </w:r>
            <w:r>
              <w:rPr>
                <w:noProof/>
                <w:webHidden/>
              </w:rPr>
              <w:fldChar w:fldCharType="begin"/>
            </w:r>
            <w:r>
              <w:rPr>
                <w:noProof/>
                <w:webHidden/>
              </w:rPr>
              <w:instrText xml:space="preserve"> PAGEREF _Toc240996963 \h </w:instrText>
            </w:r>
            <w:r>
              <w:rPr>
                <w:noProof/>
                <w:webHidden/>
              </w:rPr>
            </w:r>
            <w:r>
              <w:rPr>
                <w:noProof/>
                <w:webHidden/>
              </w:rPr>
              <w:fldChar w:fldCharType="separate"/>
            </w:r>
            <w:r>
              <w:rPr>
                <w:noProof/>
                <w:webHidden/>
              </w:rPr>
              <w:t>19</w:t>
            </w:r>
            <w:r>
              <w:rPr>
                <w:noProof/>
                <w:webHidden/>
              </w:rPr>
              <w:fldChar w:fldCharType="end"/>
            </w:r>
          </w:hyperlink>
        </w:p>
        <w:p w14:paraId="27E1D1DC" w14:textId="40E5E04B" w:rsidR="001D2DB6" w:rsidRDefault="001D2DB6">
          <w:pPr>
            <w:pStyle w:val="TOC2"/>
            <w:rPr>
              <w:b w:val="0"/>
              <w:smallCaps w:val="0"/>
              <w:color w:val="auto"/>
              <w:sz w:val="24"/>
              <w:szCs w:val="24"/>
              <w:lang w:eastAsia="en-GB"/>
            </w:rPr>
          </w:pPr>
          <w:hyperlink w:anchor="_Toc240996964" w:history="1">
            <w:r w:rsidRPr="00A44459">
              <w:rPr>
                <w:rStyle w:val="Hyperlink"/>
                <w:bCs/>
              </w:rPr>
              <w:t>2.7 MNC Context</w:t>
            </w:r>
            <w:r>
              <w:rPr>
                <w:webHidden/>
              </w:rPr>
              <w:tab/>
            </w:r>
            <w:r>
              <w:rPr>
                <w:webHidden/>
              </w:rPr>
              <w:fldChar w:fldCharType="begin"/>
            </w:r>
            <w:r>
              <w:rPr>
                <w:webHidden/>
              </w:rPr>
              <w:instrText xml:space="preserve"> PAGEREF _Toc240996964 \h </w:instrText>
            </w:r>
            <w:r>
              <w:rPr>
                <w:webHidden/>
              </w:rPr>
            </w:r>
            <w:r>
              <w:rPr>
                <w:webHidden/>
              </w:rPr>
              <w:fldChar w:fldCharType="separate"/>
            </w:r>
            <w:r>
              <w:rPr>
                <w:webHidden/>
              </w:rPr>
              <w:t>19</w:t>
            </w:r>
            <w:r>
              <w:rPr>
                <w:webHidden/>
              </w:rPr>
              <w:fldChar w:fldCharType="end"/>
            </w:r>
          </w:hyperlink>
        </w:p>
        <w:p w14:paraId="1D3CBF10" w14:textId="4FD28747" w:rsidR="001D2DB6" w:rsidRDefault="001D2DB6">
          <w:pPr>
            <w:pStyle w:val="TOC2"/>
            <w:rPr>
              <w:b w:val="0"/>
              <w:smallCaps w:val="0"/>
              <w:color w:val="auto"/>
              <w:sz w:val="24"/>
              <w:szCs w:val="24"/>
              <w:lang w:eastAsia="en-GB"/>
            </w:rPr>
          </w:pPr>
          <w:hyperlink w:anchor="_Toc240996965" w:history="1">
            <w:r w:rsidRPr="00A44459">
              <w:rPr>
                <w:rStyle w:val="Hyperlink"/>
                <w:bCs/>
              </w:rPr>
              <w:t>2.8 Theoretical Framework</w:t>
            </w:r>
            <w:r>
              <w:rPr>
                <w:webHidden/>
              </w:rPr>
              <w:tab/>
            </w:r>
            <w:r>
              <w:rPr>
                <w:webHidden/>
              </w:rPr>
              <w:fldChar w:fldCharType="begin"/>
            </w:r>
            <w:r>
              <w:rPr>
                <w:webHidden/>
              </w:rPr>
              <w:instrText xml:space="preserve"> PAGEREF _Toc240996965 \h </w:instrText>
            </w:r>
            <w:r>
              <w:rPr>
                <w:webHidden/>
              </w:rPr>
            </w:r>
            <w:r>
              <w:rPr>
                <w:webHidden/>
              </w:rPr>
              <w:fldChar w:fldCharType="separate"/>
            </w:r>
            <w:r>
              <w:rPr>
                <w:webHidden/>
              </w:rPr>
              <w:t>20</w:t>
            </w:r>
            <w:r>
              <w:rPr>
                <w:webHidden/>
              </w:rPr>
              <w:fldChar w:fldCharType="end"/>
            </w:r>
          </w:hyperlink>
        </w:p>
        <w:p w14:paraId="3E7A8FFF" w14:textId="42ED581E" w:rsidR="001D2DB6" w:rsidRDefault="001D2DB6">
          <w:pPr>
            <w:pStyle w:val="TOC3"/>
            <w:tabs>
              <w:tab w:val="right" w:leader="dot" w:pos="10450"/>
            </w:tabs>
            <w:rPr>
              <w:i w:val="0"/>
              <w:iCs w:val="0"/>
              <w:noProof/>
              <w:sz w:val="24"/>
              <w:szCs w:val="24"/>
              <w:lang w:eastAsia="en-GB"/>
            </w:rPr>
          </w:pPr>
          <w:hyperlink w:anchor="_Toc240996966" w:history="1">
            <w:r w:rsidRPr="00A44459">
              <w:rPr>
                <w:rStyle w:val="Hyperlink"/>
                <w:b/>
                <w:bCs/>
                <w:noProof/>
              </w:rPr>
              <w:t>2.8.1 Socio</w:t>
            </w:r>
            <w:r w:rsidRPr="00A44459">
              <w:rPr>
                <w:rStyle w:val="Hyperlink"/>
                <w:rFonts w:ascii="Cambria Math" w:hAnsi="Cambria Math" w:cs="Cambria Math"/>
                <w:b/>
                <w:bCs/>
                <w:noProof/>
              </w:rPr>
              <w:t>‑</w:t>
            </w:r>
            <w:r w:rsidRPr="00A44459">
              <w:rPr>
                <w:rStyle w:val="Hyperlink"/>
                <w:b/>
                <w:bCs/>
                <w:noProof/>
              </w:rPr>
              <w:t>Technical Systems Theory</w:t>
            </w:r>
            <w:r>
              <w:rPr>
                <w:noProof/>
                <w:webHidden/>
              </w:rPr>
              <w:tab/>
            </w:r>
            <w:r>
              <w:rPr>
                <w:noProof/>
                <w:webHidden/>
              </w:rPr>
              <w:fldChar w:fldCharType="begin"/>
            </w:r>
            <w:r>
              <w:rPr>
                <w:noProof/>
                <w:webHidden/>
              </w:rPr>
              <w:instrText xml:space="preserve"> PAGEREF _Toc240996966 \h </w:instrText>
            </w:r>
            <w:r>
              <w:rPr>
                <w:noProof/>
                <w:webHidden/>
              </w:rPr>
            </w:r>
            <w:r>
              <w:rPr>
                <w:noProof/>
                <w:webHidden/>
              </w:rPr>
              <w:fldChar w:fldCharType="separate"/>
            </w:r>
            <w:r>
              <w:rPr>
                <w:noProof/>
                <w:webHidden/>
              </w:rPr>
              <w:t>20</w:t>
            </w:r>
            <w:r>
              <w:rPr>
                <w:noProof/>
                <w:webHidden/>
              </w:rPr>
              <w:fldChar w:fldCharType="end"/>
            </w:r>
          </w:hyperlink>
        </w:p>
        <w:p w14:paraId="7EF2F28A" w14:textId="71E0D3F1" w:rsidR="001D2DB6" w:rsidRDefault="001D2DB6">
          <w:pPr>
            <w:pStyle w:val="TOC3"/>
            <w:tabs>
              <w:tab w:val="right" w:leader="dot" w:pos="10450"/>
            </w:tabs>
            <w:rPr>
              <w:i w:val="0"/>
              <w:iCs w:val="0"/>
              <w:noProof/>
              <w:sz w:val="24"/>
              <w:szCs w:val="24"/>
              <w:lang w:eastAsia="en-GB"/>
            </w:rPr>
          </w:pPr>
          <w:hyperlink w:anchor="_Toc240996967" w:history="1">
            <w:r w:rsidRPr="00A44459">
              <w:rPr>
                <w:rStyle w:val="Hyperlink"/>
                <w:b/>
                <w:bCs/>
                <w:noProof/>
              </w:rPr>
              <w:t>2.8.2 Organisational Governance Theory</w:t>
            </w:r>
            <w:r>
              <w:rPr>
                <w:noProof/>
                <w:webHidden/>
              </w:rPr>
              <w:tab/>
            </w:r>
            <w:r>
              <w:rPr>
                <w:noProof/>
                <w:webHidden/>
              </w:rPr>
              <w:fldChar w:fldCharType="begin"/>
            </w:r>
            <w:r>
              <w:rPr>
                <w:noProof/>
                <w:webHidden/>
              </w:rPr>
              <w:instrText xml:space="preserve"> PAGEREF _Toc240996967 \h </w:instrText>
            </w:r>
            <w:r>
              <w:rPr>
                <w:noProof/>
                <w:webHidden/>
              </w:rPr>
            </w:r>
            <w:r>
              <w:rPr>
                <w:noProof/>
                <w:webHidden/>
              </w:rPr>
              <w:fldChar w:fldCharType="separate"/>
            </w:r>
            <w:r>
              <w:rPr>
                <w:noProof/>
                <w:webHidden/>
              </w:rPr>
              <w:t>21</w:t>
            </w:r>
            <w:r>
              <w:rPr>
                <w:noProof/>
                <w:webHidden/>
              </w:rPr>
              <w:fldChar w:fldCharType="end"/>
            </w:r>
          </w:hyperlink>
        </w:p>
        <w:p w14:paraId="494F8E38" w14:textId="16B067E7" w:rsidR="001D2DB6" w:rsidRDefault="001D2DB6">
          <w:pPr>
            <w:pStyle w:val="TOC3"/>
            <w:tabs>
              <w:tab w:val="right" w:leader="dot" w:pos="10450"/>
            </w:tabs>
            <w:rPr>
              <w:i w:val="0"/>
              <w:iCs w:val="0"/>
              <w:noProof/>
              <w:sz w:val="24"/>
              <w:szCs w:val="24"/>
              <w:lang w:eastAsia="en-GB"/>
            </w:rPr>
          </w:pPr>
          <w:hyperlink w:anchor="_Toc240996968" w:history="1">
            <w:r w:rsidRPr="00A44459">
              <w:rPr>
                <w:rStyle w:val="Hyperlink"/>
                <w:b/>
                <w:bCs/>
                <w:noProof/>
              </w:rPr>
              <w:t>2.8.3 Institutional Theory</w:t>
            </w:r>
            <w:r>
              <w:rPr>
                <w:noProof/>
                <w:webHidden/>
              </w:rPr>
              <w:tab/>
            </w:r>
            <w:r>
              <w:rPr>
                <w:noProof/>
                <w:webHidden/>
              </w:rPr>
              <w:fldChar w:fldCharType="begin"/>
            </w:r>
            <w:r>
              <w:rPr>
                <w:noProof/>
                <w:webHidden/>
              </w:rPr>
              <w:instrText xml:space="preserve"> PAGEREF _Toc240996968 \h </w:instrText>
            </w:r>
            <w:r>
              <w:rPr>
                <w:noProof/>
                <w:webHidden/>
              </w:rPr>
            </w:r>
            <w:r>
              <w:rPr>
                <w:noProof/>
                <w:webHidden/>
              </w:rPr>
              <w:fldChar w:fldCharType="separate"/>
            </w:r>
            <w:r>
              <w:rPr>
                <w:noProof/>
                <w:webHidden/>
              </w:rPr>
              <w:t>21</w:t>
            </w:r>
            <w:r>
              <w:rPr>
                <w:noProof/>
                <w:webHidden/>
              </w:rPr>
              <w:fldChar w:fldCharType="end"/>
            </w:r>
          </w:hyperlink>
        </w:p>
        <w:p w14:paraId="0C0FDE60" w14:textId="68EC48B2" w:rsidR="001D2DB6" w:rsidRDefault="001D2DB6">
          <w:pPr>
            <w:pStyle w:val="TOC2"/>
            <w:rPr>
              <w:b w:val="0"/>
              <w:smallCaps w:val="0"/>
              <w:color w:val="auto"/>
              <w:sz w:val="24"/>
              <w:szCs w:val="24"/>
              <w:lang w:eastAsia="en-GB"/>
            </w:rPr>
          </w:pPr>
          <w:hyperlink w:anchor="_Toc240996969" w:history="1">
            <w:r w:rsidRPr="00A44459">
              <w:rPr>
                <w:rStyle w:val="Hyperlink"/>
                <w:bCs/>
              </w:rPr>
              <w:t>2.9 Critical Synthesis</w:t>
            </w:r>
            <w:r>
              <w:rPr>
                <w:webHidden/>
              </w:rPr>
              <w:tab/>
            </w:r>
            <w:r>
              <w:rPr>
                <w:webHidden/>
              </w:rPr>
              <w:fldChar w:fldCharType="begin"/>
            </w:r>
            <w:r>
              <w:rPr>
                <w:webHidden/>
              </w:rPr>
              <w:instrText xml:space="preserve"> PAGEREF _Toc240996969 \h </w:instrText>
            </w:r>
            <w:r>
              <w:rPr>
                <w:webHidden/>
              </w:rPr>
            </w:r>
            <w:r>
              <w:rPr>
                <w:webHidden/>
              </w:rPr>
              <w:fldChar w:fldCharType="separate"/>
            </w:r>
            <w:r>
              <w:rPr>
                <w:webHidden/>
              </w:rPr>
              <w:t>21</w:t>
            </w:r>
            <w:r>
              <w:rPr>
                <w:webHidden/>
              </w:rPr>
              <w:fldChar w:fldCharType="end"/>
            </w:r>
          </w:hyperlink>
        </w:p>
        <w:p w14:paraId="57D2CF28" w14:textId="62F226AD" w:rsidR="001D2DB6" w:rsidRDefault="001D2DB6">
          <w:pPr>
            <w:pStyle w:val="TOC2"/>
            <w:rPr>
              <w:b w:val="0"/>
              <w:smallCaps w:val="0"/>
              <w:color w:val="auto"/>
              <w:sz w:val="24"/>
              <w:szCs w:val="24"/>
              <w:lang w:eastAsia="en-GB"/>
            </w:rPr>
          </w:pPr>
          <w:hyperlink w:anchor="_Toc240996970" w:history="1">
            <w:r w:rsidRPr="00A44459">
              <w:rPr>
                <w:rStyle w:val="Hyperlink"/>
                <w:bCs/>
              </w:rPr>
              <w:t>2.10 Conceptual Framework</w:t>
            </w:r>
            <w:r>
              <w:rPr>
                <w:webHidden/>
              </w:rPr>
              <w:tab/>
            </w:r>
            <w:r>
              <w:rPr>
                <w:webHidden/>
              </w:rPr>
              <w:fldChar w:fldCharType="begin"/>
            </w:r>
            <w:r>
              <w:rPr>
                <w:webHidden/>
              </w:rPr>
              <w:instrText xml:space="preserve"> PAGEREF _Toc240996970 \h </w:instrText>
            </w:r>
            <w:r>
              <w:rPr>
                <w:webHidden/>
              </w:rPr>
            </w:r>
            <w:r>
              <w:rPr>
                <w:webHidden/>
              </w:rPr>
              <w:fldChar w:fldCharType="separate"/>
            </w:r>
            <w:r>
              <w:rPr>
                <w:webHidden/>
              </w:rPr>
              <w:t>22</w:t>
            </w:r>
            <w:r>
              <w:rPr>
                <w:webHidden/>
              </w:rPr>
              <w:fldChar w:fldCharType="end"/>
            </w:r>
          </w:hyperlink>
        </w:p>
        <w:p w14:paraId="4D6219E8" w14:textId="0E9A5E64" w:rsidR="001D2DB6" w:rsidRDefault="001D2DB6">
          <w:pPr>
            <w:pStyle w:val="TOC2"/>
            <w:rPr>
              <w:b w:val="0"/>
              <w:smallCaps w:val="0"/>
              <w:color w:val="auto"/>
              <w:sz w:val="24"/>
              <w:szCs w:val="24"/>
              <w:lang w:eastAsia="en-GB"/>
            </w:rPr>
          </w:pPr>
          <w:hyperlink w:anchor="_Toc240996971" w:history="1">
            <w:r w:rsidRPr="00A44459">
              <w:rPr>
                <w:rStyle w:val="Hyperlink"/>
                <w:bCs/>
              </w:rPr>
              <w:t>2.11 Research Gap</w:t>
            </w:r>
            <w:r>
              <w:rPr>
                <w:webHidden/>
              </w:rPr>
              <w:tab/>
            </w:r>
            <w:r>
              <w:rPr>
                <w:webHidden/>
              </w:rPr>
              <w:fldChar w:fldCharType="begin"/>
            </w:r>
            <w:r>
              <w:rPr>
                <w:webHidden/>
              </w:rPr>
              <w:instrText xml:space="preserve"> PAGEREF _Toc240996971 \h </w:instrText>
            </w:r>
            <w:r>
              <w:rPr>
                <w:webHidden/>
              </w:rPr>
            </w:r>
            <w:r>
              <w:rPr>
                <w:webHidden/>
              </w:rPr>
              <w:fldChar w:fldCharType="separate"/>
            </w:r>
            <w:r>
              <w:rPr>
                <w:webHidden/>
              </w:rPr>
              <w:t>23</w:t>
            </w:r>
            <w:r>
              <w:rPr>
                <w:webHidden/>
              </w:rPr>
              <w:fldChar w:fldCharType="end"/>
            </w:r>
          </w:hyperlink>
        </w:p>
        <w:p w14:paraId="4788B418" w14:textId="2180497E" w:rsidR="001D2DB6" w:rsidRDefault="001D2DB6">
          <w:pPr>
            <w:pStyle w:val="TOC2"/>
            <w:rPr>
              <w:b w:val="0"/>
              <w:smallCaps w:val="0"/>
              <w:color w:val="auto"/>
              <w:sz w:val="24"/>
              <w:szCs w:val="24"/>
              <w:lang w:eastAsia="en-GB"/>
            </w:rPr>
          </w:pPr>
          <w:hyperlink w:anchor="_Toc240996972" w:history="1">
            <w:r w:rsidRPr="00A44459">
              <w:rPr>
                <w:rStyle w:val="Hyperlink"/>
                <w:bCs/>
              </w:rPr>
              <w:t>2.12 Summary</w:t>
            </w:r>
            <w:r>
              <w:rPr>
                <w:webHidden/>
              </w:rPr>
              <w:tab/>
            </w:r>
            <w:r>
              <w:rPr>
                <w:webHidden/>
              </w:rPr>
              <w:fldChar w:fldCharType="begin"/>
            </w:r>
            <w:r>
              <w:rPr>
                <w:webHidden/>
              </w:rPr>
              <w:instrText xml:space="preserve"> PAGEREF _Toc240996972 \h </w:instrText>
            </w:r>
            <w:r>
              <w:rPr>
                <w:webHidden/>
              </w:rPr>
            </w:r>
            <w:r>
              <w:rPr>
                <w:webHidden/>
              </w:rPr>
              <w:fldChar w:fldCharType="separate"/>
            </w:r>
            <w:r>
              <w:rPr>
                <w:webHidden/>
              </w:rPr>
              <w:t>23</w:t>
            </w:r>
            <w:r>
              <w:rPr>
                <w:webHidden/>
              </w:rPr>
              <w:fldChar w:fldCharType="end"/>
            </w:r>
          </w:hyperlink>
        </w:p>
        <w:p w14:paraId="6271DC40" w14:textId="222EC532" w:rsidR="001D2DB6" w:rsidRDefault="001D2DB6">
          <w:pPr>
            <w:pStyle w:val="TOC1"/>
            <w:tabs>
              <w:tab w:val="right" w:leader="dot" w:pos="10450"/>
            </w:tabs>
            <w:rPr>
              <w:b w:val="0"/>
              <w:bCs w:val="0"/>
              <w:caps w:val="0"/>
              <w:noProof/>
              <w:sz w:val="24"/>
              <w:szCs w:val="24"/>
              <w:lang w:eastAsia="en-GB"/>
            </w:rPr>
          </w:pPr>
          <w:hyperlink w:anchor="_Toc240996973" w:history="1">
            <w:r w:rsidRPr="00A44459">
              <w:rPr>
                <w:rStyle w:val="Hyperlink"/>
                <w:noProof/>
              </w:rPr>
              <w:t>CHAPTER 3: RESEARCH METHODOLOGY</w:t>
            </w:r>
            <w:r>
              <w:rPr>
                <w:noProof/>
                <w:webHidden/>
              </w:rPr>
              <w:tab/>
            </w:r>
            <w:r>
              <w:rPr>
                <w:noProof/>
                <w:webHidden/>
              </w:rPr>
              <w:fldChar w:fldCharType="begin"/>
            </w:r>
            <w:r>
              <w:rPr>
                <w:noProof/>
                <w:webHidden/>
              </w:rPr>
              <w:instrText xml:space="preserve"> PAGEREF _Toc240996973 \h </w:instrText>
            </w:r>
            <w:r>
              <w:rPr>
                <w:noProof/>
                <w:webHidden/>
              </w:rPr>
            </w:r>
            <w:r>
              <w:rPr>
                <w:noProof/>
                <w:webHidden/>
              </w:rPr>
              <w:fldChar w:fldCharType="separate"/>
            </w:r>
            <w:r>
              <w:rPr>
                <w:noProof/>
                <w:webHidden/>
              </w:rPr>
              <w:t>24</w:t>
            </w:r>
            <w:r>
              <w:rPr>
                <w:noProof/>
                <w:webHidden/>
              </w:rPr>
              <w:fldChar w:fldCharType="end"/>
            </w:r>
          </w:hyperlink>
        </w:p>
        <w:p w14:paraId="451B73CB" w14:textId="4F5460EA" w:rsidR="001D2DB6" w:rsidRDefault="001D2DB6">
          <w:pPr>
            <w:pStyle w:val="TOC2"/>
            <w:rPr>
              <w:b w:val="0"/>
              <w:smallCaps w:val="0"/>
              <w:color w:val="auto"/>
              <w:sz w:val="24"/>
              <w:szCs w:val="24"/>
              <w:lang w:eastAsia="en-GB"/>
            </w:rPr>
          </w:pPr>
          <w:hyperlink w:anchor="_Toc240996974" w:history="1">
            <w:r w:rsidRPr="00A44459">
              <w:rPr>
                <w:rStyle w:val="Hyperlink"/>
                <w:bCs/>
              </w:rPr>
              <w:t>3.1 Introduction</w:t>
            </w:r>
            <w:r>
              <w:rPr>
                <w:webHidden/>
              </w:rPr>
              <w:tab/>
            </w:r>
            <w:r>
              <w:rPr>
                <w:webHidden/>
              </w:rPr>
              <w:fldChar w:fldCharType="begin"/>
            </w:r>
            <w:r>
              <w:rPr>
                <w:webHidden/>
              </w:rPr>
              <w:instrText xml:space="preserve"> PAGEREF _Toc240996974 \h </w:instrText>
            </w:r>
            <w:r>
              <w:rPr>
                <w:webHidden/>
              </w:rPr>
            </w:r>
            <w:r>
              <w:rPr>
                <w:webHidden/>
              </w:rPr>
              <w:fldChar w:fldCharType="separate"/>
            </w:r>
            <w:r>
              <w:rPr>
                <w:webHidden/>
              </w:rPr>
              <w:t>24</w:t>
            </w:r>
            <w:r>
              <w:rPr>
                <w:webHidden/>
              </w:rPr>
              <w:fldChar w:fldCharType="end"/>
            </w:r>
          </w:hyperlink>
        </w:p>
        <w:p w14:paraId="493605D7" w14:textId="4DA72A89" w:rsidR="001D2DB6" w:rsidRDefault="001D2DB6">
          <w:pPr>
            <w:pStyle w:val="TOC2"/>
            <w:rPr>
              <w:b w:val="0"/>
              <w:smallCaps w:val="0"/>
              <w:color w:val="auto"/>
              <w:sz w:val="24"/>
              <w:szCs w:val="24"/>
              <w:lang w:eastAsia="en-GB"/>
            </w:rPr>
          </w:pPr>
          <w:hyperlink w:anchor="_Toc240996975" w:history="1">
            <w:r w:rsidRPr="00A44459">
              <w:rPr>
                <w:rStyle w:val="Hyperlink"/>
                <w:bCs/>
              </w:rPr>
              <w:t>3.2 Research Philosophy and Approach</w:t>
            </w:r>
            <w:r>
              <w:rPr>
                <w:webHidden/>
              </w:rPr>
              <w:tab/>
            </w:r>
            <w:r>
              <w:rPr>
                <w:webHidden/>
              </w:rPr>
              <w:fldChar w:fldCharType="begin"/>
            </w:r>
            <w:r>
              <w:rPr>
                <w:webHidden/>
              </w:rPr>
              <w:instrText xml:space="preserve"> PAGEREF _Toc240996975 \h </w:instrText>
            </w:r>
            <w:r>
              <w:rPr>
                <w:webHidden/>
              </w:rPr>
            </w:r>
            <w:r>
              <w:rPr>
                <w:webHidden/>
              </w:rPr>
              <w:fldChar w:fldCharType="separate"/>
            </w:r>
            <w:r>
              <w:rPr>
                <w:webHidden/>
              </w:rPr>
              <w:t>24</w:t>
            </w:r>
            <w:r>
              <w:rPr>
                <w:webHidden/>
              </w:rPr>
              <w:fldChar w:fldCharType="end"/>
            </w:r>
          </w:hyperlink>
        </w:p>
        <w:p w14:paraId="388AF3CE" w14:textId="252B4F7B" w:rsidR="001D2DB6" w:rsidRDefault="001D2DB6">
          <w:pPr>
            <w:pStyle w:val="TOC2"/>
            <w:rPr>
              <w:b w:val="0"/>
              <w:smallCaps w:val="0"/>
              <w:color w:val="auto"/>
              <w:sz w:val="24"/>
              <w:szCs w:val="24"/>
              <w:lang w:eastAsia="en-GB"/>
            </w:rPr>
          </w:pPr>
          <w:hyperlink w:anchor="_Toc240996976" w:history="1">
            <w:r w:rsidRPr="00A44459">
              <w:rPr>
                <w:rStyle w:val="Hyperlink"/>
                <w:bCs/>
              </w:rPr>
              <w:t>3.3 Research Design</w:t>
            </w:r>
            <w:r>
              <w:rPr>
                <w:webHidden/>
              </w:rPr>
              <w:tab/>
            </w:r>
            <w:r>
              <w:rPr>
                <w:webHidden/>
              </w:rPr>
              <w:fldChar w:fldCharType="begin"/>
            </w:r>
            <w:r>
              <w:rPr>
                <w:webHidden/>
              </w:rPr>
              <w:instrText xml:space="preserve"> PAGEREF _Toc240996976 \h </w:instrText>
            </w:r>
            <w:r>
              <w:rPr>
                <w:webHidden/>
              </w:rPr>
            </w:r>
            <w:r>
              <w:rPr>
                <w:webHidden/>
              </w:rPr>
              <w:fldChar w:fldCharType="separate"/>
            </w:r>
            <w:r>
              <w:rPr>
                <w:webHidden/>
              </w:rPr>
              <w:t>25</w:t>
            </w:r>
            <w:r>
              <w:rPr>
                <w:webHidden/>
              </w:rPr>
              <w:fldChar w:fldCharType="end"/>
            </w:r>
          </w:hyperlink>
        </w:p>
        <w:p w14:paraId="45B7F27D" w14:textId="30A7F634" w:rsidR="001D2DB6" w:rsidRDefault="001D2DB6">
          <w:pPr>
            <w:pStyle w:val="TOC2"/>
            <w:rPr>
              <w:b w:val="0"/>
              <w:smallCaps w:val="0"/>
              <w:color w:val="auto"/>
              <w:sz w:val="24"/>
              <w:szCs w:val="24"/>
              <w:lang w:eastAsia="en-GB"/>
            </w:rPr>
          </w:pPr>
          <w:hyperlink w:anchor="_Toc240996977" w:history="1">
            <w:r w:rsidRPr="00A44459">
              <w:rPr>
                <w:rStyle w:val="Hyperlink"/>
                <w:bCs/>
              </w:rPr>
              <w:t>3.4 Literature Search Strategy</w:t>
            </w:r>
            <w:r>
              <w:rPr>
                <w:webHidden/>
              </w:rPr>
              <w:tab/>
            </w:r>
            <w:r>
              <w:rPr>
                <w:webHidden/>
              </w:rPr>
              <w:fldChar w:fldCharType="begin"/>
            </w:r>
            <w:r>
              <w:rPr>
                <w:webHidden/>
              </w:rPr>
              <w:instrText xml:space="preserve"> PAGEREF _Toc240996977 \h </w:instrText>
            </w:r>
            <w:r>
              <w:rPr>
                <w:webHidden/>
              </w:rPr>
            </w:r>
            <w:r>
              <w:rPr>
                <w:webHidden/>
              </w:rPr>
              <w:fldChar w:fldCharType="separate"/>
            </w:r>
            <w:r>
              <w:rPr>
                <w:webHidden/>
              </w:rPr>
              <w:t>26</w:t>
            </w:r>
            <w:r>
              <w:rPr>
                <w:webHidden/>
              </w:rPr>
              <w:fldChar w:fldCharType="end"/>
            </w:r>
          </w:hyperlink>
        </w:p>
        <w:p w14:paraId="3CDE7848" w14:textId="3C5141B7" w:rsidR="001D2DB6" w:rsidRDefault="001D2DB6">
          <w:pPr>
            <w:pStyle w:val="TOC2"/>
            <w:rPr>
              <w:b w:val="0"/>
              <w:smallCaps w:val="0"/>
              <w:color w:val="auto"/>
              <w:sz w:val="24"/>
              <w:szCs w:val="24"/>
              <w:lang w:eastAsia="en-GB"/>
            </w:rPr>
          </w:pPr>
          <w:hyperlink w:anchor="_Toc240996978" w:history="1">
            <w:r w:rsidRPr="00A44459">
              <w:rPr>
                <w:rStyle w:val="Hyperlink"/>
                <w:bCs/>
              </w:rPr>
              <w:t>3.5 Inclusion, Exclusion and Study Selection</w:t>
            </w:r>
            <w:r>
              <w:rPr>
                <w:webHidden/>
              </w:rPr>
              <w:tab/>
            </w:r>
            <w:r>
              <w:rPr>
                <w:webHidden/>
              </w:rPr>
              <w:fldChar w:fldCharType="begin"/>
            </w:r>
            <w:r>
              <w:rPr>
                <w:webHidden/>
              </w:rPr>
              <w:instrText xml:space="preserve"> PAGEREF _Toc240996978 \h </w:instrText>
            </w:r>
            <w:r>
              <w:rPr>
                <w:webHidden/>
              </w:rPr>
            </w:r>
            <w:r>
              <w:rPr>
                <w:webHidden/>
              </w:rPr>
              <w:fldChar w:fldCharType="separate"/>
            </w:r>
            <w:r>
              <w:rPr>
                <w:webHidden/>
              </w:rPr>
              <w:t>27</w:t>
            </w:r>
            <w:r>
              <w:rPr>
                <w:webHidden/>
              </w:rPr>
              <w:fldChar w:fldCharType="end"/>
            </w:r>
          </w:hyperlink>
        </w:p>
        <w:p w14:paraId="3DB937F3" w14:textId="4A9CD5D3" w:rsidR="001D2DB6" w:rsidRDefault="001D2DB6">
          <w:pPr>
            <w:pStyle w:val="TOC2"/>
            <w:rPr>
              <w:b w:val="0"/>
              <w:smallCaps w:val="0"/>
              <w:color w:val="auto"/>
              <w:sz w:val="24"/>
              <w:szCs w:val="24"/>
              <w:lang w:eastAsia="en-GB"/>
            </w:rPr>
          </w:pPr>
          <w:hyperlink w:anchor="_Toc240996979" w:history="1">
            <w:r w:rsidRPr="00A44459">
              <w:rPr>
                <w:rStyle w:val="Hyperlink"/>
                <w:bCs/>
              </w:rPr>
              <w:t>3.6 Quality Appraisal and Data Extraction</w:t>
            </w:r>
            <w:r>
              <w:rPr>
                <w:webHidden/>
              </w:rPr>
              <w:tab/>
            </w:r>
            <w:r>
              <w:rPr>
                <w:webHidden/>
              </w:rPr>
              <w:fldChar w:fldCharType="begin"/>
            </w:r>
            <w:r>
              <w:rPr>
                <w:webHidden/>
              </w:rPr>
              <w:instrText xml:space="preserve"> PAGEREF _Toc240996979 \h </w:instrText>
            </w:r>
            <w:r>
              <w:rPr>
                <w:webHidden/>
              </w:rPr>
            </w:r>
            <w:r>
              <w:rPr>
                <w:webHidden/>
              </w:rPr>
              <w:fldChar w:fldCharType="separate"/>
            </w:r>
            <w:r>
              <w:rPr>
                <w:webHidden/>
              </w:rPr>
              <w:t>28</w:t>
            </w:r>
            <w:r>
              <w:rPr>
                <w:webHidden/>
              </w:rPr>
              <w:fldChar w:fldCharType="end"/>
            </w:r>
          </w:hyperlink>
        </w:p>
        <w:p w14:paraId="05A43E4C" w14:textId="5C3996EE" w:rsidR="001D2DB6" w:rsidRDefault="001D2DB6">
          <w:pPr>
            <w:pStyle w:val="TOC2"/>
            <w:rPr>
              <w:b w:val="0"/>
              <w:smallCaps w:val="0"/>
              <w:color w:val="auto"/>
              <w:sz w:val="24"/>
              <w:szCs w:val="24"/>
              <w:lang w:eastAsia="en-GB"/>
            </w:rPr>
          </w:pPr>
          <w:hyperlink w:anchor="_Toc240996980" w:history="1">
            <w:r w:rsidRPr="00A44459">
              <w:rPr>
                <w:rStyle w:val="Hyperlink"/>
                <w:bCs/>
              </w:rPr>
              <w:t>3.7 Data Analysis and Synthesis</w:t>
            </w:r>
            <w:r>
              <w:rPr>
                <w:webHidden/>
              </w:rPr>
              <w:tab/>
            </w:r>
            <w:r>
              <w:rPr>
                <w:webHidden/>
              </w:rPr>
              <w:fldChar w:fldCharType="begin"/>
            </w:r>
            <w:r>
              <w:rPr>
                <w:webHidden/>
              </w:rPr>
              <w:instrText xml:space="preserve"> PAGEREF _Toc240996980 \h </w:instrText>
            </w:r>
            <w:r>
              <w:rPr>
                <w:webHidden/>
              </w:rPr>
            </w:r>
            <w:r>
              <w:rPr>
                <w:webHidden/>
              </w:rPr>
              <w:fldChar w:fldCharType="separate"/>
            </w:r>
            <w:r>
              <w:rPr>
                <w:webHidden/>
              </w:rPr>
              <w:t>29</w:t>
            </w:r>
            <w:r>
              <w:rPr>
                <w:webHidden/>
              </w:rPr>
              <w:fldChar w:fldCharType="end"/>
            </w:r>
          </w:hyperlink>
        </w:p>
        <w:p w14:paraId="08F694FF" w14:textId="06679419" w:rsidR="001D2DB6" w:rsidRDefault="001D2DB6">
          <w:pPr>
            <w:pStyle w:val="TOC2"/>
            <w:rPr>
              <w:b w:val="0"/>
              <w:smallCaps w:val="0"/>
              <w:color w:val="auto"/>
              <w:sz w:val="24"/>
              <w:szCs w:val="24"/>
              <w:lang w:eastAsia="en-GB"/>
            </w:rPr>
          </w:pPr>
          <w:hyperlink w:anchor="_Toc240996981" w:history="1">
            <w:r w:rsidRPr="00A44459">
              <w:rPr>
                <w:rStyle w:val="Hyperlink"/>
                <w:bCs/>
              </w:rPr>
              <w:t>3.8 Ethical Considerations, Rigour and Limitations</w:t>
            </w:r>
            <w:r>
              <w:rPr>
                <w:webHidden/>
              </w:rPr>
              <w:tab/>
            </w:r>
            <w:r>
              <w:rPr>
                <w:webHidden/>
              </w:rPr>
              <w:fldChar w:fldCharType="begin"/>
            </w:r>
            <w:r>
              <w:rPr>
                <w:webHidden/>
              </w:rPr>
              <w:instrText xml:space="preserve"> PAGEREF _Toc240996981 \h </w:instrText>
            </w:r>
            <w:r>
              <w:rPr>
                <w:webHidden/>
              </w:rPr>
            </w:r>
            <w:r>
              <w:rPr>
                <w:webHidden/>
              </w:rPr>
              <w:fldChar w:fldCharType="separate"/>
            </w:r>
            <w:r>
              <w:rPr>
                <w:webHidden/>
              </w:rPr>
              <w:t>30</w:t>
            </w:r>
            <w:r>
              <w:rPr>
                <w:webHidden/>
              </w:rPr>
              <w:fldChar w:fldCharType="end"/>
            </w:r>
          </w:hyperlink>
        </w:p>
        <w:p w14:paraId="76BEB4A1" w14:textId="4AE43189" w:rsidR="001D2DB6" w:rsidRDefault="001D2DB6">
          <w:pPr>
            <w:pStyle w:val="TOC2"/>
            <w:rPr>
              <w:b w:val="0"/>
              <w:smallCaps w:val="0"/>
              <w:color w:val="auto"/>
              <w:sz w:val="24"/>
              <w:szCs w:val="24"/>
              <w:lang w:eastAsia="en-GB"/>
            </w:rPr>
          </w:pPr>
          <w:hyperlink w:anchor="_Toc240996982" w:history="1">
            <w:r w:rsidRPr="00A44459">
              <w:rPr>
                <w:rStyle w:val="Hyperlink"/>
                <w:bCs/>
              </w:rPr>
              <w:t>3.9 Chapter Summary</w:t>
            </w:r>
            <w:r>
              <w:rPr>
                <w:webHidden/>
              </w:rPr>
              <w:tab/>
            </w:r>
            <w:r>
              <w:rPr>
                <w:webHidden/>
              </w:rPr>
              <w:fldChar w:fldCharType="begin"/>
            </w:r>
            <w:r>
              <w:rPr>
                <w:webHidden/>
              </w:rPr>
              <w:instrText xml:space="preserve"> PAGEREF _Toc240996982 \h </w:instrText>
            </w:r>
            <w:r>
              <w:rPr>
                <w:webHidden/>
              </w:rPr>
            </w:r>
            <w:r>
              <w:rPr>
                <w:webHidden/>
              </w:rPr>
              <w:fldChar w:fldCharType="separate"/>
            </w:r>
            <w:r>
              <w:rPr>
                <w:webHidden/>
              </w:rPr>
              <w:t>31</w:t>
            </w:r>
            <w:r>
              <w:rPr>
                <w:webHidden/>
              </w:rPr>
              <w:fldChar w:fldCharType="end"/>
            </w:r>
          </w:hyperlink>
        </w:p>
        <w:p w14:paraId="0D2474F6" w14:textId="420FC52B" w:rsidR="001D2DB6" w:rsidRDefault="001D2DB6">
          <w:pPr>
            <w:pStyle w:val="TOC1"/>
            <w:tabs>
              <w:tab w:val="right" w:leader="dot" w:pos="10450"/>
            </w:tabs>
            <w:rPr>
              <w:b w:val="0"/>
              <w:bCs w:val="0"/>
              <w:caps w:val="0"/>
              <w:noProof/>
              <w:sz w:val="24"/>
              <w:szCs w:val="24"/>
              <w:lang w:eastAsia="en-GB"/>
            </w:rPr>
          </w:pPr>
          <w:hyperlink w:anchor="_Toc240996983" w:history="1">
            <w:r w:rsidRPr="00A44459">
              <w:rPr>
                <w:rStyle w:val="Hyperlink"/>
                <w:noProof/>
              </w:rPr>
              <w:t>CHAPTER 4: DATA ANALYSIS AND FINDINGS</w:t>
            </w:r>
            <w:r>
              <w:rPr>
                <w:noProof/>
                <w:webHidden/>
              </w:rPr>
              <w:tab/>
            </w:r>
            <w:r>
              <w:rPr>
                <w:noProof/>
                <w:webHidden/>
              </w:rPr>
              <w:fldChar w:fldCharType="begin"/>
            </w:r>
            <w:r>
              <w:rPr>
                <w:noProof/>
                <w:webHidden/>
              </w:rPr>
              <w:instrText xml:space="preserve"> PAGEREF _Toc240996983 \h </w:instrText>
            </w:r>
            <w:r>
              <w:rPr>
                <w:noProof/>
                <w:webHidden/>
              </w:rPr>
            </w:r>
            <w:r>
              <w:rPr>
                <w:noProof/>
                <w:webHidden/>
              </w:rPr>
              <w:fldChar w:fldCharType="separate"/>
            </w:r>
            <w:r>
              <w:rPr>
                <w:noProof/>
                <w:webHidden/>
              </w:rPr>
              <w:t>32</w:t>
            </w:r>
            <w:r>
              <w:rPr>
                <w:noProof/>
                <w:webHidden/>
              </w:rPr>
              <w:fldChar w:fldCharType="end"/>
            </w:r>
          </w:hyperlink>
        </w:p>
        <w:p w14:paraId="4AA7A735" w14:textId="4AC23BCD" w:rsidR="001D2DB6" w:rsidRDefault="001D2DB6">
          <w:pPr>
            <w:pStyle w:val="TOC2"/>
            <w:rPr>
              <w:b w:val="0"/>
              <w:smallCaps w:val="0"/>
              <w:color w:val="auto"/>
              <w:sz w:val="24"/>
              <w:szCs w:val="24"/>
              <w:lang w:eastAsia="en-GB"/>
            </w:rPr>
          </w:pPr>
          <w:hyperlink w:anchor="_Toc240996984" w:history="1">
            <w:r w:rsidRPr="00A44459">
              <w:rPr>
                <w:rStyle w:val="Hyperlink"/>
                <w:bCs/>
              </w:rPr>
              <w:t>4.1 Introduction</w:t>
            </w:r>
            <w:r>
              <w:rPr>
                <w:webHidden/>
              </w:rPr>
              <w:tab/>
            </w:r>
            <w:r>
              <w:rPr>
                <w:webHidden/>
              </w:rPr>
              <w:fldChar w:fldCharType="begin"/>
            </w:r>
            <w:r>
              <w:rPr>
                <w:webHidden/>
              </w:rPr>
              <w:instrText xml:space="preserve"> PAGEREF _Toc240996984 \h </w:instrText>
            </w:r>
            <w:r>
              <w:rPr>
                <w:webHidden/>
              </w:rPr>
            </w:r>
            <w:r>
              <w:rPr>
                <w:webHidden/>
              </w:rPr>
              <w:fldChar w:fldCharType="separate"/>
            </w:r>
            <w:r>
              <w:rPr>
                <w:webHidden/>
              </w:rPr>
              <w:t>32</w:t>
            </w:r>
            <w:r>
              <w:rPr>
                <w:webHidden/>
              </w:rPr>
              <w:fldChar w:fldCharType="end"/>
            </w:r>
          </w:hyperlink>
        </w:p>
        <w:p w14:paraId="1CC66BAE" w14:textId="0CB9C1FB" w:rsidR="001D2DB6" w:rsidRDefault="001D2DB6">
          <w:pPr>
            <w:pStyle w:val="TOC2"/>
            <w:rPr>
              <w:b w:val="0"/>
              <w:smallCaps w:val="0"/>
              <w:color w:val="auto"/>
              <w:sz w:val="24"/>
              <w:szCs w:val="24"/>
              <w:lang w:eastAsia="en-GB"/>
            </w:rPr>
          </w:pPr>
          <w:hyperlink w:anchor="_Toc240996985" w:history="1">
            <w:r w:rsidRPr="00A44459">
              <w:rPr>
                <w:rStyle w:val="Hyperlink"/>
                <w:bCs/>
              </w:rPr>
              <w:t>4.2 Overview of the Reviewed Literature</w:t>
            </w:r>
            <w:r>
              <w:rPr>
                <w:webHidden/>
              </w:rPr>
              <w:tab/>
            </w:r>
            <w:r>
              <w:rPr>
                <w:webHidden/>
              </w:rPr>
              <w:fldChar w:fldCharType="begin"/>
            </w:r>
            <w:r>
              <w:rPr>
                <w:webHidden/>
              </w:rPr>
              <w:instrText xml:space="preserve"> PAGEREF _Toc240996985 \h </w:instrText>
            </w:r>
            <w:r>
              <w:rPr>
                <w:webHidden/>
              </w:rPr>
            </w:r>
            <w:r>
              <w:rPr>
                <w:webHidden/>
              </w:rPr>
              <w:fldChar w:fldCharType="separate"/>
            </w:r>
            <w:r>
              <w:rPr>
                <w:webHidden/>
              </w:rPr>
              <w:t>32</w:t>
            </w:r>
            <w:r>
              <w:rPr>
                <w:webHidden/>
              </w:rPr>
              <w:fldChar w:fldCharType="end"/>
            </w:r>
          </w:hyperlink>
        </w:p>
        <w:p w14:paraId="031DBA5F" w14:textId="174EDF4A" w:rsidR="001D2DB6" w:rsidRDefault="001D2DB6">
          <w:pPr>
            <w:pStyle w:val="TOC2"/>
            <w:rPr>
              <w:b w:val="0"/>
              <w:smallCaps w:val="0"/>
              <w:color w:val="auto"/>
              <w:sz w:val="24"/>
              <w:szCs w:val="24"/>
              <w:lang w:eastAsia="en-GB"/>
            </w:rPr>
          </w:pPr>
          <w:hyperlink w:anchor="_Toc240996986" w:history="1">
            <w:r w:rsidRPr="00A44459">
              <w:rPr>
                <w:rStyle w:val="Hyperlink"/>
                <w:bCs/>
              </w:rPr>
              <w:t>4.3 Bibliometric and Thematic Overview</w:t>
            </w:r>
            <w:r>
              <w:rPr>
                <w:webHidden/>
              </w:rPr>
              <w:tab/>
            </w:r>
            <w:r>
              <w:rPr>
                <w:webHidden/>
              </w:rPr>
              <w:fldChar w:fldCharType="begin"/>
            </w:r>
            <w:r>
              <w:rPr>
                <w:webHidden/>
              </w:rPr>
              <w:instrText xml:space="preserve"> PAGEREF _Toc240996986 \h </w:instrText>
            </w:r>
            <w:r>
              <w:rPr>
                <w:webHidden/>
              </w:rPr>
            </w:r>
            <w:r>
              <w:rPr>
                <w:webHidden/>
              </w:rPr>
              <w:fldChar w:fldCharType="separate"/>
            </w:r>
            <w:r>
              <w:rPr>
                <w:webHidden/>
              </w:rPr>
              <w:t>33</w:t>
            </w:r>
            <w:r>
              <w:rPr>
                <w:webHidden/>
              </w:rPr>
              <w:fldChar w:fldCharType="end"/>
            </w:r>
          </w:hyperlink>
        </w:p>
        <w:p w14:paraId="26837EEB" w14:textId="65B7F828" w:rsidR="001D2DB6" w:rsidRDefault="001D2DB6">
          <w:pPr>
            <w:pStyle w:val="TOC2"/>
            <w:rPr>
              <w:b w:val="0"/>
              <w:smallCaps w:val="0"/>
              <w:color w:val="auto"/>
              <w:sz w:val="24"/>
              <w:szCs w:val="24"/>
              <w:lang w:eastAsia="en-GB"/>
            </w:rPr>
          </w:pPr>
          <w:hyperlink w:anchor="_Toc240996987" w:history="1">
            <w:r w:rsidRPr="00A44459">
              <w:rPr>
                <w:rStyle w:val="Hyperlink"/>
                <w:bCs/>
              </w:rPr>
              <w:t>4.4 Technical Dimension</w:t>
            </w:r>
            <w:r>
              <w:rPr>
                <w:webHidden/>
              </w:rPr>
              <w:tab/>
            </w:r>
            <w:r>
              <w:rPr>
                <w:webHidden/>
              </w:rPr>
              <w:fldChar w:fldCharType="begin"/>
            </w:r>
            <w:r>
              <w:rPr>
                <w:webHidden/>
              </w:rPr>
              <w:instrText xml:space="preserve"> PAGEREF _Toc240996987 \h </w:instrText>
            </w:r>
            <w:r>
              <w:rPr>
                <w:webHidden/>
              </w:rPr>
            </w:r>
            <w:r>
              <w:rPr>
                <w:webHidden/>
              </w:rPr>
              <w:fldChar w:fldCharType="separate"/>
            </w:r>
            <w:r>
              <w:rPr>
                <w:webHidden/>
              </w:rPr>
              <w:t>35</w:t>
            </w:r>
            <w:r>
              <w:rPr>
                <w:webHidden/>
              </w:rPr>
              <w:fldChar w:fldCharType="end"/>
            </w:r>
          </w:hyperlink>
        </w:p>
        <w:p w14:paraId="1DA8BDE4" w14:textId="7910CA31" w:rsidR="001D2DB6" w:rsidRDefault="001D2DB6">
          <w:pPr>
            <w:pStyle w:val="TOC3"/>
            <w:tabs>
              <w:tab w:val="right" w:leader="dot" w:pos="10450"/>
            </w:tabs>
            <w:rPr>
              <w:i w:val="0"/>
              <w:iCs w:val="0"/>
              <w:noProof/>
              <w:sz w:val="24"/>
              <w:szCs w:val="24"/>
              <w:lang w:eastAsia="en-GB"/>
            </w:rPr>
          </w:pPr>
          <w:hyperlink w:anchor="_Toc240996988" w:history="1">
            <w:r w:rsidRPr="00A44459">
              <w:rPr>
                <w:rStyle w:val="Hyperlink"/>
                <w:b/>
                <w:bCs/>
                <w:noProof/>
              </w:rPr>
              <w:t>4.4.1 Algorithm Design</w:t>
            </w:r>
            <w:r>
              <w:rPr>
                <w:noProof/>
                <w:webHidden/>
              </w:rPr>
              <w:tab/>
            </w:r>
            <w:r>
              <w:rPr>
                <w:noProof/>
                <w:webHidden/>
              </w:rPr>
              <w:fldChar w:fldCharType="begin"/>
            </w:r>
            <w:r>
              <w:rPr>
                <w:noProof/>
                <w:webHidden/>
              </w:rPr>
              <w:instrText xml:space="preserve"> PAGEREF _Toc240996988 \h </w:instrText>
            </w:r>
            <w:r>
              <w:rPr>
                <w:noProof/>
                <w:webHidden/>
              </w:rPr>
            </w:r>
            <w:r>
              <w:rPr>
                <w:noProof/>
                <w:webHidden/>
              </w:rPr>
              <w:fldChar w:fldCharType="separate"/>
            </w:r>
            <w:r>
              <w:rPr>
                <w:noProof/>
                <w:webHidden/>
              </w:rPr>
              <w:t>35</w:t>
            </w:r>
            <w:r>
              <w:rPr>
                <w:noProof/>
                <w:webHidden/>
              </w:rPr>
              <w:fldChar w:fldCharType="end"/>
            </w:r>
          </w:hyperlink>
        </w:p>
        <w:p w14:paraId="6D898700" w14:textId="1EB2170C" w:rsidR="001D2DB6" w:rsidRDefault="001D2DB6">
          <w:pPr>
            <w:pStyle w:val="TOC3"/>
            <w:tabs>
              <w:tab w:val="right" w:leader="dot" w:pos="10450"/>
            </w:tabs>
            <w:rPr>
              <w:i w:val="0"/>
              <w:iCs w:val="0"/>
              <w:noProof/>
              <w:sz w:val="24"/>
              <w:szCs w:val="24"/>
              <w:lang w:eastAsia="en-GB"/>
            </w:rPr>
          </w:pPr>
          <w:hyperlink w:anchor="_Toc240996989" w:history="1">
            <w:r w:rsidRPr="00A44459">
              <w:rPr>
                <w:rStyle w:val="Hyperlink"/>
                <w:b/>
                <w:bCs/>
                <w:noProof/>
              </w:rPr>
              <w:t>4.4.2 Data Practices</w:t>
            </w:r>
            <w:r>
              <w:rPr>
                <w:noProof/>
                <w:webHidden/>
              </w:rPr>
              <w:tab/>
            </w:r>
            <w:r>
              <w:rPr>
                <w:noProof/>
                <w:webHidden/>
              </w:rPr>
              <w:fldChar w:fldCharType="begin"/>
            </w:r>
            <w:r>
              <w:rPr>
                <w:noProof/>
                <w:webHidden/>
              </w:rPr>
              <w:instrText xml:space="preserve"> PAGEREF _Toc240996989 \h </w:instrText>
            </w:r>
            <w:r>
              <w:rPr>
                <w:noProof/>
                <w:webHidden/>
              </w:rPr>
            </w:r>
            <w:r>
              <w:rPr>
                <w:noProof/>
                <w:webHidden/>
              </w:rPr>
              <w:fldChar w:fldCharType="separate"/>
            </w:r>
            <w:r>
              <w:rPr>
                <w:noProof/>
                <w:webHidden/>
              </w:rPr>
              <w:t>36</w:t>
            </w:r>
            <w:r>
              <w:rPr>
                <w:noProof/>
                <w:webHidden/>
              </w:rPr>
              <w:fldChar w:fldCharType="end"/>
            </w:r>
          </w:hyperlink>
        </w:p>
        <w:p w14:paraId="500D0D86" w14:textId="5398BB3C" w:rsidR="001D2DB6" w:rsidRDefault="001D2DB6">
          <w:pPr>
            <w:pStyle w:val="TOC3"/>
            <w:tabs>
              <w:tab w:val="right" w:leader="dot" w:pos="10450"/>
            </w:tabs>
            <w:rPr>
              <w:i w:val="0"/>
              <w:iCs w:val="0"/>
              <w:noProof/>
              <w:sz w:val="24"/>
              <w:szCs w:val="24"/>
              <w:lang w:eastAsia="en-GB"/>
            </w:rPr>
          </w:pPr>
          <w:hyperlink w:anchor="_Toc240996990" w:history="1">
            <w:r w:rsidRPr="00A44459">
              <w:rPr>
                <w:rStyle w:val="Hyperlink"/>
                <w:b/>
                <w:bCs/>
                <w:noProof/>
              </w:rPr>
              <w:t>4.4.3 Algorithmic Bias</w:t>
            </w:r>
            <w:r>
              <w:rPr>
                <w:noProof/>
                <w:webHidden/>
              </w:rPr>
              <w:tab/>
            </w:r>
            <w:r>
              <w:rPr>
                <w:noProof/>
                <w:webHidden/>
              </w:rPr>
              <w:fldChar w:fldCharType="begin"/>
            </w:r>
            <w:r>
              <w:rPr>
                <w:noProof/>
                <w:webHidden/>
              </w:rPr>
              <w:instrText xml:space="preserve"> PAGEREF _Toc240996990 \h </w:instrText>
            </w:r>
            <w:r>
              <w:rPr>
                <w:noProof/>
                <w:webHidden/>
              </w:rPr>
            </w:r>
            <w:r>
              <w:rPr>
                <w:noProof/>
                <w:webHidden/>
              </w:rPr>
              <w:fldChar w:fldCharType="separate"/>
            </w:r>
            <w:r>
              <w:rPr>
                <w:noProof/>
                <w:webHidden/>
              </w:rPr>
              <w:t>36</w:t>
            </w:r>
            <w:r>
              <w:rPr>
                <w:noProof/>
                <w:webHidden/>
              </w:rPr>
              <w:fldChar w:fldCharType="end"/>
            </w:r>
          </w:hyperlink>
        </w:p>
        <w:p w14:paraId="1FCCB7B5" w14:textId="18F298A8" w:rsidR="001D2DB6" w:rsidRDefault="001D2DB6">
          <w:pPr>
            <w:pStyle w:val="TOC3"/>
            <w:tabs>
              <w:tab w:val="right" w:leader="dot" w:pos="10450"/>
            </w:tabs>
            <w:rPr>
              <w:i w:val="0"/>
              <w:iCs w:val="0"/>
              <w:noProof/>
              <w:sz w:val="24"/>
              <w:szCs w:val="24"/>
              <w:lang w:eastAsia="en-GB"/>
            </w:rPr>
          </w:pPr>
          <w:hyperlink w:anchor="_Toc240996991" w:history="1">
            <w:r w:rsidRPr="00A44459">
              <w:rPr>
                <w:rStyle w:val="Hyperlink"/>
                <w:b/>
                <w:bCs/>
                <w:noProof/>
              </w:rPr>
              <w:t>4.4.4 Bias</w:t>
            </w:r>
            <w:r w:rsidRPr="00A44459">
              <w:rPr>
                <w:rStyle w:val="Hyperlink"/>
                <w:rFonts w:ascii="Cambria Math" w:hAnsi="Cambria Math" w:cs="Cambria Math"/>
                <w:b/>
                <w:bCs/>
                <w:noProof/>
              </w:rPr>
              <w:t>‑</w:t>
            </w:r>
            <w:r w:rsidRPr="00A44459">
              <w:rPr>
                <w:rStyle w:val="Hyperlink"/>
                <w:b/>
                <w:bCs/>
                <w:noProof/>
              </w:rPr>
              <w:t>Mitigation Approaches</w:t>
            </w:r>
            <w:r>
              <w:rPr>
                <w:noProof/>
                <w:webHidden/>
              </w:rPr>
              <w:tab/>
            </w:r>
            <w:r>
              <w:rPr>
                <w:noProof/>
                <w:webHidden/>
              </w:rPr>
              <w:fldChar w:fldCharType="begin"/>
            </w:r>
            <w:r>
              <w:rPr>
                <w:noProof/>
                <w:webHidden/>
              </w:rPr>
              <w:instrText xml:space="preserve"> PAGEREF _Toc240996991 \h </w:instrText>
            </w:r>
            <w:r>
              <w:rPr>
                <w:noProof/>
                <w:webHidden/>
              </w:rPr>
            </w:r>
            <w:r>
              <w:rPr>
                <w:noProof/>
                <w:webHidden/>
              </w:rPr>
              <w:fldChar w:fldCharType="separate"/>
            </w:r>
            <w:r>
              <w:rPr>
                <w:noProof/>
                <w:webHidden/>
              </w:rPr>
              <w:t>36</w:t>
            </w:r>
            <w:r>
              <w:rPr>
                <w:noProof/>
                <w:webHidden/>
              </w:rPr>
              <w:fldChar w:fldCharType="end"/>
            </w:r>
          </w:hyperlink>
        </w:p>
        <w:p w14:paraId="0BB04F0F" w14:textId="3437F255" w:rsidR="001D2DB6" w:rsidRDefault="001D2DB6">
          <w:pPr>
            <w:pStyle w:val="TOC3"/>
            <w:tabs>
              <w:tab w:val="right" w:leader="dot" w:pos="10450"/>
            </w:tabs>
            <w:rPr>
              <w:i w:val="0"/>
              <w:iCs w:val="0"/>
              <w:noProof/>
              <w:sz w:val="24"/>
              <w:szCs w:val="24"/>
              <w:lang w:eastAsia="en-GB"/>
            </w:rPr>
          </w:pPr>
          <w:hyperlink w:anchor="_Toc240996992" w:history="1">
            <w:r w:rsidRPr="00A44459">
              <w:rPr>
                <w:rStyle w:val="Hyperlink"/>
                <w:b/>
                <w:bCs/>
                <w:noProof/>
              </w:rPr>
              <w:t>4.4.5 Transparency and Explainability</w:t>
            </w:r>
            <w:r>
              <w:rPr>
                <w:noProof/>
                <w:webHidden/>
              </w:rPr>
              <w:tab/>
            </w:r>
            <w:r>
              <w:rPr>
                <w:noProof/>
                <w:webHidden/>
              </w:rPr>
              <w:fldChar w:fldCharType="begin"/>
            </w:r>
            <w:r>
              <w:rPr>
                <w:noProof/>
                <w:webHidden/>
              </w:rPr>
              <w:instrText xml:space="preserve"> PAGEREF _Toc240996992 \h </w:instrText>
            </w:r>
            <w:r>
              <w:rPr>
                <w:noProof/>
                <w:webHidden/>
              </w:rPr>
            </w:r>
            <w:r>
              <w:rPr>
                <w:noProof/>
                <w:webHidden/>
              </w:rPr>
              <w:fldChar w:fldCharType="separate"/>
            </w:r>
            <w:r>
              <w:rPr>
                <w:noProof/>
                <w:webHidden/>
              </w:rPr>
              <w:t>37</w:t>
            </w:r>
            <w:r>
              <w:rPr>
                <w:noProof/>
                <w:webHidden/>
              </w:rPr>
              <w:fldChar w:fldCharType="end"/>
            </w:r>
          </w:hyperlink>
        </w:p>
        <w:p w14:paraId="05D59DB0" w14:textId="1B3AC56C" w:rsidR="001D2DB6" w:rsidRDefault="001D2DB6">
          <w:pPr>
            <w:pStyle w:val="TOC2"/>
            <w:rPr>
              <w:b w:val="0"/>
              <w:smallCaps w:val="0"/>
              <w:color w:val="auto"/>
              <w:sz w:val="24"/>
              <w:szCs w:val="24"/>
              <w:lang w:eastAsia="en-GB"/>
            </w:rPr>
          </w:pPr>
          <w:hyperlink w:anchor="_Toc240996993" w:history="1">
            <w:r w:rsidRPr="00A44459">
              <w:rPr>
                <w:rStyle w:val="Hyperlink"/>
                <w:bCs/>
              </w:rPr>
              <w:t>4.5 Organisational Governance Dimension</w:t>
            </w:r>
            <w:r>
              <w:rPr>
                <w:webHidden/>
              </w:rPr>
              <w:tab/>
            </w:r>
            <w:r>
              <w:rPr>
                <w:webHidden/>
              </w:rPr>
              <w:fldChar w:fldCharType="begin"/>
            </w:r>
            <w:r>
              <w:rPr>
                <w:webHidden/>
              </w:rPr>
              <w:instrText xml:space="preserve"> PAGEREF _Toc240996993 \h </w:instrText>
            </w:r>
            <w:r>
              <w:rPr>
                <w:webHidden/>
              </w:rPr>
            </w:r>
            <w:r>
              <w:rPr>
                <w:webHidden/>
              </w:rPr>
              <w:fldChar w:fldCharType="separate"/>
            </w:r>
            <w:r>
              <w:rPr>
                <w:webHidden/>
              </w:rPr>
              <w:t>37</w:t>
            </w:r>
            <w:r>
              <w:rPr>
                <w:webHidden/>
              </w:rPr>
              <w:fldChar w:fldCharType="end"/>
            </w:r>
          </w:hyperlink>
        </w:p>
        <w:p w14:paraId="6F0F14FE" w14:textId="02094DC7" w:rsidR="001D2DB6" w:rsidRDefault="001D2DB6">
          <w:pPr>
            <w:pStyle w:val="TOC3"/>
            <w:tabs>
              <w:tab w:val="right" w:leader="dot" w:pos="10450"/>
            </w:tabs>
            <w:rPr>
              <w:i w:val="0"/>
              <w:iCs w:val="0"/>
              <w:noProof/>
              <w:sz w:val="24"/>
              <w:szCs w:val="24"/>
              <w:lang w:eastAsia="en-GB"/>
            </w:rPr>
          </w:pPr>
          <w:hyperlink w:anchor="_Toc240996994" w:history="1">
            <w:r w:rsidRPr="00A44459">
              <w:rPr>
                <w:rStyle w:val="Hyperlink"/>
                <w:b/>
                <w:bCs/>
                <w:noProof/>
              </w:rPr>
              <w:t>4.5.1 Decision Authority</w:t>
            </w:r>
            <w:r>
              <w:rPr>
                <w:noProof/>
                <w:webHidden/>
              </w:rPr>
              <w:tab/>
            </w:r>
            <w:r>
              <w:rPr>
                <w:noProof/>
                <w:webHidden/>
              </w:rPr>
              <w:fldChar w:fldCharType="begin"/>
            </w:r>
            <w:r>
              <w:rPr>
                <w:noProof/>
                <w:webHidden/>
              </w:rPr>
              <w:instrText xml:space="preserve"> PAGEREF _Toc240996994 \h </w:instrText>
            </w:r>
            <w:r>
              <w:rPr>
                <w:noProof/>
                <w:webHidden/>
              </w:rPr>
            </w:r>
            <w:r>
              <w:rPr>
                <w:noProof/>
                <w:webHidden/>
              </w:rPr>
              <w:fldChar w:fldCharType="separate"/>
            </w:r>
            <w:r>
              <w:rPr>
                <w:noProof/>
                <w:webHidden/>
              </w:rPr>
              <w:t>37</w:t>
            </w:r>
            <w:r>
              <w:rPr>
                <w:noProof/>
                <w:webHidden/>
              </w:rPr>
              <w:fldChar w:fldCharType="end"/>
            </w:r>
          </w:hyperlink>
        </w:p>
        <w:p w14:paraId="30A54CFC" w14:textId="35166B02" w:rsidR="001D2DB6" w:rsidRDefault="001D2DB6">
          <w:pPr>
            <w:pStyle w:val="TOC3"/>
            <w:tabs>
              <w:tab w:val="right" w:leader="dot" w:pos="10450"/>
            </w:tabs>
            <w:rPr>
              <w:i w:val="0"/>
              <w:iCs w:val="0"/>
              <w:noProof/>
              <w:sz w:val="24"/>
              <w:szCs w:val="24"/>
              <w:lang w:eastAsia="en-GB"/>
            </w:rPr>
          </w:pPr>
          <w:hyperlink w:anchor="_Toc240996995" w:history="1">
            <w:r w:rsidRPr="00A44459">
              <w:rPr>
                <w:rStyle w:val="Hyperlink"/>
                <w:b/>
                <w:bCs/>
                <w:noProof/>
              </w:rPr>
              <w:t>4.5.2 Accountability</w:t>
            </w:r>
            <w:r>
              <w:rPr>
                <w:noProof/>
                <w:webHidden/>
              </w:rPr>
              <w:tab/>
            </w:r>
            <w:r>
              <w:rPr>
                <w:noProof/>
                <w:webHidden/>
              </w:rPr>
              <w:fldChar w:fldCharType="begin"/>
            </w:r>
            <w:r>
              <w:rPr>
                <w:noProof/>
                <w:webHidden/>
              </w:rPr>
              <w:instrText xml:space="preserve"> PAGEREF _Toc240996995 \h </w:instrText>
            </w:r>
            <w:r>
              <w:rPr>
                <w:noProof/>
                <w:webHidden/>
              </w:rPr>
            </w:r>
            <w:r>
              <w:rPr>
                <w:noProof/>
                <w:webHidden/>
              </w:rPr>
              <w:fldChar w:fldCharType="separate"/>
            </w:r>
            <w:r>
              <w:rPr>
                <w:noProof/>
                <w:webHidden/>
              </w:rPr>
              <w:t>37</w:t>
            </w:r>
            <w:r>
              <w:rPr>
                <w:noProof/>
                <w:webHidden/>
              </w:rPr>
              <w:fldChar w:fldCharType="end"/>
            </w:r>
          </w:hyperlink>
        </w:p>
        <w:p w14:paraId="50872B00" w14:textId="6FF04255" w:rsidR="001D2DB6" w:rsidRDefault="001D2DB6">
          <w:pPr>
            <w:pStyle w:val="TOC3"/>
            <w:tabs>
              <w:tab w:val="right" w:leader="dot" w:pos="10450"/>
            </w:tabs>
            <w:rPr>
              <w:i w:val="0"/>
              <w:iCs w:val="0"/>
              <w:noProof/>
              <w:sz w:val="24"/>
              <w:szCs w:val="24"/>
              <w:lang w:eastAsia="en-GB"/>
            </w:rPr>
          </w:pPr>
          <w:hyperlink w:anchor="_Toc240996996" w:history="1">
            <w:r w:rsidRPr="00A44459">
              <w:rPr>
                <w:rStyle w:val="Hyperlink"/>
                <w:b/>
                <w:bCs/>
                <w:noProof/>
              </w:rPr>
              <w:t>4.5.3 Human Oversight</w:t>
            </w:r>
            <w:r>
              <w:rPr>
                <w:noProof/>
                <w:webHidden/>
              </w:rPr>
              <w:tab/>
            </w:r>
            <w:r>
              <w:rPr>
                <w:noProof/>
                <w:webHidden/>
              </w:rPr>
              <w:fldChar w:fldCharType="begin"/>
            </w:r>
            <w:r>
              <w:rPr>
                <w:noProof/>
                <w:webHidden/>
              </w:rPr>
              <w:instrText xml:space="preserve"> PAGEREF _Toc240996996 \h </w:instrText>
            </w:r>
            <w:r>
              <w:rPr>
                <w:noProof/>
                <w:webHidden/>
              </w:rPr>
            </w:r>
            <w:r>
              <w:rPr>
                <w:noProof/>
                <w:webHidden/>
              </w:rPr>
              <w:fldChar w:fldCharType="separate"/>
            </w:r>
            <w:r>
              <w:rPr>
                <w:noProof/>
                <w:webHidden/>
              </w:rPr>
              <w:t>38</w:t>
            </w:r>
            <w:r>
              <w:rPr>
                <w:noProof/>
                <w:webHidden/>
              </w:rPr>
              <w:fldChar w:fldCharType="end"/>
            </w:r>
          </w:hyperlink>
        </w:p>
        <w:p w14:paraId="6C897577" w14:textId="462C0584" w:rsidR="001D2DB6" w:rsidRDefault="001D2DB6">
          <w:pPr>
            <w:pStyle w:val="TOC3"/>
            <w:tabs>
              <w:tab w:val="right" w:leader="dot" w:pos="10450"/>
            </w:tabs>
            <w:rPr>
              <w:i w:val="0"/>
              <w:iCs w:val="0"/>
              <w:noProof/>
              <w:sz w:val="24"/>
              <w:szCs w:val="24"/>
              <w:lang w:eastAsia="en-GB"/>
            </w:rPr>
          </w:pPr>
          <w:hyperlink w:anchor="_Toc240996997" w:history="1">
            <w:r w:rsidRPr="00A44459">
              <w:rPr>
                <w:rStyle w:val="Hyperlink"/>
                <w:b/>
                <w:bCs/>
                <w:noProof/>
              </w:rPr>
              <w:t>4.5.4 Human–Algorithm Interaction</w:t>
            </w:r>
            <w:r>
              <w:rPr>
                <w:noProof/>
                <w:webHidden/>
              </w:rPr>
              <w:tab/>
            </w:r>
            <w:r>
              <w:rPr>
                <w:noProof/>
                <w:webHidden/>
              </w:rPr>
              <w:fldChar w:fldCharType="begin"/>
            </w:r>
            <w:r>
              <w:rPr>
                <w:noProof/>
                <w:webHidden/>
              </w:rPr>
              <w:instrText xml:space="preserve"> PAGEREF _Toc240996997 \h </w:instrText>
            </w:r>
            <w:r>
              <w:rPr>
                <w:noProof/>
                <w:webHidden/>
              </w:rPr>
            </w:r>
            <w:r>
              <w:rPr>
                <w:noProof/>
                <w:webHidden/>
              </w:rPr>
              <w:fldChar w:fldCharType="separate"/>
            </w:r>
            <w:r>
              <w:rPr>
                <w:noProof/>
                <w:webHidden/>
              </w:rPr>
              <w:t>38</w:t>
            </w:r>
            <w:r>
              <w:rPr>
                <w:noProof/>
                <w:webHidden/>
              </w:rPr>
              <w:fldChar w:fldCharType="end"/>
            </w:r>
          </w:hyperlink>
        </w:p>
        <w:p w14:paraId="706C4798" w14:textId="219422C4" w:rsidR="001D2DB6" w:rsidRDefault="001D2DB6">
          <w:pPr>
            <w:pStyle w:val="TOC3"/>
            <w:tabs>
              <w:tab w:val="right" w:leader="dot" w:pos="10450"/>
            </w:tabs>
            <w:rPr>
              <w:i w:val="0"/>
              <w:iCs w:val="0"/>
              <w:noProof/>
              <w:sz w:val="24"/>
              <w:szCs w:val="24"/>
              <w:lang w:eastAsia="en-GB"/>
            </w:rPr>
          </w:pPr>
          <w:hyperlink w:anchor="_Toc240996998" w:history="1">
            <w:r w:rsidRPr="00A44459">
              <w:rPr>
                <w:rStyle w:val="Hyperlink"/>
                <w:b/>
                <w:bCs/>
                <w:noProof/>
              </w:rPr>
              <w:t>4.5.5 Governance Challenges in MNCs</w:t>
            </w:r>
            <w:r>
              <w:rPr>
                <w:noProof/>
                <w:webHidden/>
              </w:rPr>
              <w:tab/>
            </w:r>
            <w:r>
              <w:rPr>
                <w:noProof/>
                <w:webHidden/>
              </w:rPr>
              <w:fldChar w:fldCharType="begin"/>
            </w:r>
            <w:r>
              <w:rPr>
                <w:noProof/>
                <w:webHidden/>
              </w:rPr>
              <w:instrText xml:space="preserve"> PAGEREF _Toc240996998 \h </w:instrText>
            </w:r>
            <w:r>
              <w:rPr>
                <w:noProof/>
                <w:webHidden/>
              </w:rPr>
            </w:r>
            <w:r>
              <w:rPr>
                <w:noProof/>
                <w:webHidden/>
              </w:rPr>
              <w:fldChar w:fldCharType="separate"/>
            </w:r>
            <w:r>
              <w:rPr>
                <w:noProof/>
                <w:webHidden/>
              </w:rPr>
              <w:t>38</w:t>
            </w:r>
            <w:r>
              <w:rPr>
                <w:noProof/>
                <w:webHidden/>
              </w:rPr>
              <w:fldChar w:fldCharType="end"/>
            </w:r>
          </w:hyperlink>
        </w:p>
        <w:p w14:paraId="05038BAE" w14:textId="513658DD" w:rsidR="001D2DB6" w:rsidRDefault="001D2DB6">
          <w:pPr>
            <w:pStyle w:val="TOC2"/>
            <w:rPr>
              <w:b w:val="0"/>
              <w:smallCaps w:val="0"/>
              <w:color w:val="auto"/>
              <w:sz w:val="24"/>
              <w:szCs w:val="24"/>
              <w:lang w:eastAsia="en-GB"/>
            </w:rPr>
          </w:pPr>
          <w:hyperlink w:anchor="_Toc240996999" w:history="1">
            <w:r w:rsidRPr="00A44459">
              <w:rPr>
                <w:rStyle w:val="Hyperlink"/>
                <w:bCs/>
              </w:rPr>
              <w:t>4.6 Institutional Dimension</w:t>
            </w:r>
            <w:r>
              <w:rPr>
                <w:webHidden/>
              </w:rPr>
              <w:tab/>
            </w:r>
            <w:r>
              <w:rPr>
                <w:webHidden/>
              </w:rPr>
              <w:fldChar w:fldCharType="begin"/>
            </w:r>
            <w:r>
              <w:rPr>
                <w:webHidden/>
              </w:rPr>
              <w:instrText xml:space="preserve"> PAGEREF _Toc240996999 \h </w:instrText>
            </w:r>
            <w:r>
              <w:rPr>
                <w:webHidden/>
              </w:rPr>
            </w:r>
            <w:r>
              <w:rPr>
                <w:webHidden/>
              </w:rPr>
              <w:fldChar w:fldCharType="separate"/>
            </w:r>
            <w:r>
              <w:rPr>
                <w:webHidden/>
              </w:rPr>
              <w:t>38</w:t>
            </w:r>
            <w:r>
              <w:rPr>
                <w:webHidden/>
              </w:rPr>
              <w:fldChar w:fldCharType="end"/>
            </w:r>
          </w:hyperlink>
        </w:p>
        <w:p w14:paraId="7412569E" w14:textId="5A1AB792" w:rsidR="001D2DB6" w:rsidRDefault="001D2DB6">
          <w:pPr>
            <w:pStyle w:val="TOC3"/>
            <w:tabs>
              <w:tab w:val="right" w:leader="dot" w:pos="10450"/>
            </w:tabs>
            <w:rPr>
              <w:i w:val="0"/>
              <w:iCs w:val="0"/>
              <w:noProof/>
              <w:sz w:val="24"/>
              <w:szCs w:val="24"/>
              <w:lang w:eastAsia="en-GB"/>
            </w:rPr>
          </w:pPr>
          <w:hyperlink w:anchor="_Toc240997000" w:history="1">
            <w:r w:rsidRPr="00A44459">
              <w:rPr>
                <w:rStyle w:val="Hyperlink"/>
                <w:b/>
                <w:bCs/>
                <w:noProof/>
              </w:rPr>
              <w:t>4.6.1 Regulation and Policy</w:t>
            </w:r>
            <w:r>
              <w:rPr>
                <w:noProof/>
                <w:webHidden/>
              </w:rPr>
              <w:tab/>
            </w:r>
            <w:r>
              <w:rPr>
                <w:noProof/>
                <w:webHidden/>
              </w:rPr>
              <w:fldChar w:fldCharType="begin"/>
            </w:r>
            <w:r>
              <w:rPr>
                <w:noProof/>
                <w:webHidden/>
              </w:rPr>
              <w:instrText xml:space="preserve"> PAGEREF _Toc240997000 \h </w:instrText>
            </w:r>
            <w:r>
              <w:rPr>
                <w:noProof/>
                <w:webHidden/>
              </w:rPr>
            </w:r>
            <w:r>
              <w:rPr>
                <w:noProof/>
                <w:webHidden/>
              </w:rPr>
              <w:fldChar w:fldCharType="separate"/>
            </w:r>
            <w:r>
              <w:rPr>
                <w:noProof/>
                <w:webHidden/>
              </w:rPr>
              <w:t>38</w:t>
            </w:r>
            <w:r>
              <w:rPr>
                <w:noProof/>
                <w:webHidden/>
              </w:rPr>
              <w:fldChar w:fldCharType="end"/>
            </w:r>
          </w:hyperlink>
        </w:p>
        <w:p w14:paraId="7E91E561" w14:textId="1F268E4B" w:rsidR="001D2DB6" w:rsidRDefault="001D2DB6">
          <w:pPr>
            <w:pStyle w:val="TOC3"/>
            <w:tabs>
              <w:tab w:val="right" w:leader="dot" w:pos="10450"/>
            </w:tabs>
            <w:rPr>
              <w:i w:val="0"/>
              <w:iCs w:val="0"/>
              <w:noProof/>
              <w:sz w:val="24"/>
              <w:szCs w:val="24"/>
              <w:lang w:eastAsia="en-GB"/>
            </w:rPr>
          </w:pPr>
          <w:hyperlink w:anchor="_Toc240997001" w:history="1">
            <w:r w:rsidRPr="00A44459">
              <w:rPr>
                <w:rStyle w:val="Hyperlink"/>
                <w:b/>
                <w:bCs/>
                <w:noProof/>
              </w:rPr>
              <w:t>4.6.2 Regulatory Developments in East and Southeast Asia</w:t>
            </w:r>
            <w:r>
              <w:rPr>
                <w:noProof/>
                <w:webHidden/>
              </w:rPr>
              <w:tab/>
            </w:r>
            <w:r>
              <w:rPr>
                <w:noProof/>
                <w:webHidden/>
              </w:rPr>
              <w:fldChar w:fldCharType="begin"/>
            </w:r>
            <w:r>
              <w:rPr>
                <w:noProof/>
                <w:webHidden/>
              </w:rPr>
              <w:instrText xml:space="preserve"> PAGEREF _Toc240997001 \h </w:instrText>
            </w:r>
            <w:r>
              <w:rPr>
                <w:noProof/>
                <w:webHidden/>
              </w:rPr>
            </w:r>
            <w:r>
              <w:rPr>
                <w:noProof/>
                <w:webHidden/>
              </w:rPr>
              <w:fldChar w:fldCharType="separate"/>
            </w:r>
            <w:r>
              <w:rPr>
                <w:noProof/>
                <w:webHidden/>
              </w:rPr>
              <w:t>39</w:t>
            </w:r>
            <w:r>
              <w:rPr>
                <w:noProof/>
                <w:webHidden/>
              </w:rPr>
              <w:fldChar w:fldCharType="end"/>
            </w:r>
          </w:hyperlink>
        </w:p>
        <w:p w14:paraId="3E19AF5A" w14:textId="5FCCAAE9" w:rsidR="001D2DB6" w:rsidRDefault="001D2DB6">
          <w:pPr>
            <w:pStyle w:val="TOC3"/>
            <w:tabs>
              <w:tab w:val="right" w:leader="dot" w:pos="10450"/>
            </w:tabs>
            <w:rPr>
              <w:i w:val="0"/>
              <w:iCs w:val="0"/>
              <w:noProof/>
              <w:sz w:val="24"/>
              <w:szCs w:val="24"/>
              <w:lang w:eastAsia="en-GB"/>
            </w:rPr>
          </w:pPr>
          <w:hyperlink w:anchor="_Toc240997002" w:history="1">
            <w:r w:rsidRPr="00A44459">
              <w:rPr>
                <w:rStyle w:val="Hyperlink"/>
                <w:b/>
                <w:bCs/>
                <w:noProof/>
              </w:rPr>
              <w:t>4.6.3 Cultural Norms and Expectations</w:t>
            </w:r>
            <w:r>
              <w:rPr>
                <w:noProof/>
                <w:webHidden/>
              </w:rPr>
              <w:tab/>
            </w:r>
            <w:r>
              <w:rPr>
                <w:noProof/>
                <w:webHidden/>
              </w:rPr>
              <w:fldChar w:fldCharType="begin"/>
            </w:r>
            <w:r>
              <w:rPr>
                <w:noProof/>
                <w:webHidden/>
              </w:rPr>
              <w:instrText xml:space="preserve"> PAGEREF _Toc240997002 \h </w:instrText>
            </w:r>
            <w:r>
              <w:rPr>
                <w:noProof/>
                <w:webHidden/>
              </w:rPr>
            </w:r>
            <w:r>
              <w:rPr>
                <w:noProof/>
                <w:webHidden/>
              </w:rPr>
              <w:fldChar w:fldCharType="separate"/>
            </w:r>
            <w:r>
              <w:rPr>
                <w:noProof/>
                <w:webHidden/>
              </w:rPr>
              <w:t>39</w:t>
            </w:r>
            <w:r>
              <w:rPr>
                <w:noProof/>
                <w:webHidden/>
              </w:rPr>
              <w:fldChar w:fldCharType="end"/>
            </w:r>
          </w:hyperlink>
        </w:p>
        <w:p w14:paraId="7A68E5EF" w14:textId="3BFE3B1D" w:rsidR="001D2DB6" w:rsidRDefault="001D2DB6">
          <w:pPr>
            <w:pStyle w:val="TOC3"/>
            <w:tabs>
              <w:tab w:val="right" w:leader="dot" w:pos="10450"/>
            </w:tabs>
            <w:rPr>
              <w:i w:val="0"/>
              <w:iCs w:val="0"/>
              <w:noProof/>
              <w:sz w:val="24"/>
              <w:szCs w:val="24"/>
              <w:lang w:eastAsia="en-GB"/>
            </w:rPr>
          </w:pPr>
          <w:hyperlink w:anchor="_Toc240997003" w:history="1">
            <w:r w:rsidRPr="00A44459">
              <w:rPr>
                <w:rStyle w:val="Hyperlink"/>
                <w:b/>
                <w:bCs/>
                <w:noProof/>
              </w:rPr>
              <w:t>4.6.4 Labour</w:t>
            </w:r>
            <w:r w:rsidRPr="00A44459">
              <w:rPr>
                <w:rStyle w:val="Hyperlink"/>
                <w:rFonts w:ascii="Cambria Math" w:hAnsi="Cambria Math" w:cs="Cambria Math"/>
                <w:b/>
                <w:bCs/>
                <w:noProof/>
              </w:rPr>
              <w:t>‑</w:t>
            </w:r>
            <w:r w:rsidRPr="00A44459">
              <w:rPr>
                <w:rStyle w:val="Hyperlink"/>
                <w:b/>
                <w:bCs/>
                <w:noProof/>
              </w:rPr>
              <w:t>Market Institutions</w:t>
            </w:r>
            <w:r>
              <w:rPr>
                <w:noProof/>
                <w:webHidden/>
              </w:rPr>
              <w:tab/>
            </w:r>
            <w:r>
              <w:rPr>
                <w:noProof/>
                <w:webHidden/>
              </w:rPr>
              <w:fldChar w:fldCharType="begin"/>
            </w:r>
            <w:r>
              <w:rPr>
                <w:noProof/>
                <w:webHidden/>
              </w:rPr>
              <w:instrText xml:space="preserve"> PAGEREF _Toc240997003 \h </w:instrText>
            </w:r>
            <w:r>
              <w:rPr>
                <w:noProof/>
                <w:webHidden/>
              </w:rPr>
            </w:r>
            <w:r>
              <w:rPr>
                <w:noProof/>
                <w:webHidden/>
              </w:rPr>
              <w:fldChar w:fldCharType="separate"/>
            </w:r>
            <w:r>
              <w:rPr>
                <w:noProof/>
                <w:webHidden/>
              </w:rPr>
              <w:t>39</w:t>
            </w:r>
            <w:r>
              <w:rPr>
                <w:noProof/>
                <w:webHidden/>
              </w:rPr>
              <w:fldChar w:fldCharType="end"/>
            </w:r>
          </w:hyperlink>
        </w:p>
        <w:p w14:paraId="254A04A7" w14:textId="4D53C42B" w:rsidR="001D2DB6" w:rsidRDefault="001D2DB6">
          <w:pPr>
            <w:pStyle w:val="TOC3"/>
            <w:tabs>
              <w:tab w:val="right" w:leader="dot" w:pos="10450"/>
            </w:tabs>
            <w:rPr>
              <w:i w:val="0"/>
              <w:iCs w:val="0"/>
              <w:noProof/>
              <w:sz w:val="24"/>
              <w:szCs w:val="24"/>
              <w:lang w:eastAsia="en-GB"/>
            </w:rPr>
          </w:pPr>
          <w:hyperlink w:anchor="_Toc240997004" w:history="1">
            <w:r w:rsidRPr="00A44459">
              <w:rPr>
                <w:rStyle w:val="Hyperlink"/>
                <w:b/>
                <w:bCs/>
                <w:noProof/>
              </w:rPr>
              <w:t>4.6.5 Institutional Pressures</w:t>
            </w:r>
            <w:r>
              <w:rPr>
                <w:noProof/>
                <w:webHidden/>
              </w:rPr>
              <w:tab/>
            </w:r>
            <w:r>
              <w:rPr>
                <w:noProof/>
                <w:webHidden/>
              </w:rPr>
              <w:fldChar w:fldCharType="begin"/>
            </w:r>
            <w:r>
              <w:rPr>
                <w:noProof/>
                <w:webHidden/>
              </w:rPr>
              <w:instrText xml:space="preserve"> PAGEREF _Toc240997004 \h </w:instrText>
            </w:r>
            <w:r>
              <w:rPr>
                <w:noProof/>
                <w:webHidden/>
              </w:rPr>
            </w:r>
            <w:r>
              <w:rPr>
                <w:noProof/>
                <w:webHidden/>
              </w:rPr>
              <w:fldChar w:fldCharType="separate"/>
            </w:r>
            <w:r>
              <w:rPr>
                <w:noProof/>
                <w:webHidden/>
              </w:rPr>
              <w:t>40</w:t>
            </w:r>
            <w:r>
              <w:rPr>
                <w:noProof/>
                <w:webHidden/>
              </w:rPr>
              <w:fldChar w:fldCharType="end"/>
            </w:r>
          </w:hyperlink>
        </w:p>
        <w:p w14:paraId="23A133D7" w14:textId="1B5C4548" w:rsidR="001D2DB6" w:rsidRDefault="001D2DB6">
          <w:pPr>
            <w:pStyle w:val="TOC2"/>
            <w:rPr>
              <w:b w:val="0"/>
              <w:smallCaps w:val="0"/>
              <w:color w:val="auto"/>
              <w:sz w:val="24"/>
              <w:szCs w:val="24"/>
              <w:lang w:eastAsia="en-GB"/>
            </w:rPr>
          </w:pPr>
          <w:hyperlink w:anchor="_Toc240997005" w:history="1">
            <w:r w:rsidRPr="00A44459">
              <w:rPr>
                <w:rStyle w:val="Hyperlink"/>
                <w:bCs/>
              </w:rPr>
              <w:t>4.7 Comparative Findings: Europe and East/Southeast Asia</w:t>
            </w:r>
            <w:r>
              <w:rPr>
                <w:webHidden/>
              </w:rPr>
              <w:tab/>
            </w:r>
            <w:r>
              <w:rPr>
                <w:webHidden/>
              </w:rPr>
              <w:fldChar w:fldCharType="begin"/>
            </w:r>
            <w:r>
              <w:rPr>
                <w:webHidden/>
              </w:rPr>
              <w:instrText xml:space="preserve"> PAGEREF _Toc240997005 \h </w:instrText>
            </w:r>
            <w:r>
              <w:rPr>
                <w:webHidden/>
              </w:rPr>
            </w:r>
            <w:r>
              <w:rPr>
                <w:webHidden/>
              </w:rPr>
              <w:fldChar w:fldCharType="separate"/>
            </w:r>
            <w:r>
              <w:rPr>
                <w:webHidden/>
              </w:rPr>
              <w:t>40</w:t>
            </w:r>
            <w:r>
              <w:rPr>
                <w:webHidden/>
              </w:rPr>
              <w:fldChar w:fldCharType="end"/>
            </w:r>
          </w:hyperlink>
        </w:p>
        <w:p w14:paraId="7A4E8948" w14:textId="03C4385B" w:rsidR="001D2DB6" w:rsidRDefault="001D2DB6">
          <w:pPr>
            <w:pStyle w:val="TOC2"/>
            <w:rPr>
              <w:b w:val="0"/>
              <w:smallCaps w:val="0"/>
              <w:color w:val="auto"/>
              <w:sz w:val="24"/>
              <w:szCs w:val="24"/>
              <w:lang w:eastAsia="en-GB"/>
            </w:rPr>
          </w:pPr>
          <w:hyperlink w:anchor="_Toc240997006" w:history="1">
            <w:r w:rsidRPr="00A44459">
              <w:rPr>
                <w:rStyle w:val="Hyperlink"/>
                <w:bCs/>
              </w:rPr>
              <w:t>4.8 Integrated Findings and Key Patterns</w:t>
            </w:r>
            <w:r>
              <w:rPr>
                <w:webHidden/>
              </w:rPr>
              <w:tab/>
            </w:r>
            <w:r>
              <w:rPr>
                <w:webHidden/>
              </w:rPr>
              <w:fldChar w:fldCharType="begin"/>
            </w:r>
            <w:r>
              <w:rPr>
                <w:webHidden/>
              </w:rPr>
              <w:instrText xml:space="preserve"> PAGEREF _Toc240997006 \h </w:instrText>
            </w:r>
            <w:r>
              <w:rPr>
                <w:webHidden/>
              </w:rPr>
            </w:r>
            <w:r>
              <w:rPr>
                <w:webHidden/>
              </w:rPr>
              <w:fldChar w:fldCharType="separate"/>
            </w:r>
            <w:r>
              <w:rPr>
                <w:webHidden/>
              </w:rPr>
              <w:t>41</w:t>
            </w:r>
            <w:r>
              <w:rPr>
                <w:webHidden/>
              </w:rPr>
              <w:fldChar w:fldCharType="end"/>
            </w:r>
          </w:hyperlink>
        </w:p>
        <w:p w14:paraId="31F5889E" w14:textId="77BEC55A" w:rsidR="001D2DB6" w:rsidRDefault="001D2DB6">
          <w:pPr>
            <w:pStyle w:val="TOC2"/>
            <w:rPr>
              <w:b w:val="0"/>
              <w:smallCaps w:val="0"/>
              <w:color w:val="auto"/>
              <w:sz w:val="24"/>
              <w:szCs w:val="24"/>
              <w:lang w:eastAsia="en-GB"/>
            </w:rPr>
          </w:pPr>
          <w:hyperlink w:anchor="_Toc240997007" w:history="1">
            <w:r w:rsidRPr="00A44459">
              <w:rPr>
                <w:rStyle w:val="Hyperlink"/>
                <w:bCs/>
              </w:rPr>
              <w:t>4.9 Chapter Summary</w:t>
            </w:r>
            <w:r>
              <w:rPr>
                <w:webHidden/>
              </w:rPr>
              <w:tab/>
            </w:r>
            <w:r>
              <w:rPr>
                <w:webHidden/>
              </w:rPr>
              <w:fldChar w:fldCharType="begin"/>
            </w:r>
            <w:r>
              <w:rPr>
                <w:webHidden/>
              </w:rPr>
              <w:instrText xml:space="preserve"> PAGEREF _Toc240997007 \h </w:instrText>
            </w:r>
            <w:r>
              <w:rPr>
                <w:webHidden/>
              </w:rPr>
            </w:r>
            <w:r>
              <w:rPr>
                <w:webHidden/>
              </w:rPr>
              <w:fldChar w:fldCharType="separate"/>
            </w:r>
            <w:r>
              <w:rPr>
                <w:webHidden/>
              </w:rPr>
              <w:t>42</w:t>
            </w:r>
            <w:r>
              <w:rPr>
                <w:webHidden/>
              </w:rPr>
              <w:fldChar w:fldCharType="end"/>
            </w:r>
          </w:hyperlink>
        </w:p>
        <w:p w14:paraId="3386D9CF" w14:textId="37311C2B" w:rsidR="001D2DB6" w:rsidRDefault="001D2DB6">
          <w:pPr>
            <w:pStyle w:val="TOC1"/>
            <w:tabs>
              <w:tab w:val="right" w:leader="dot" w:pos="10450"/>
            </w:tabs>
            <w:rPr>
              <w:b w:val="0"/>
              <w:bCs w:val="0"/>
              <w:caps w:val="0"/>
              <w:noProof/>
              <w:sz w:val="24"/>
              <w:szCs w:val="24"/>
              <w:lang w:eastAsia="en-GB"/>
            </w:rPr>
          </w:pPr>
          <w:hyperlink w:anchor="_Toc240997008" w:history="1">
            <w:r w:rsidRPr="00A44459">
              <w:rPr>
                <w:rStyle w:val="Hyperlink"/>
                <w:rFonts w:eastAsia="Times New Roman"/>
                <w:noProof/>
              </w:rPr>
              <w:t>CHAPTER 5: DISCUSSION</w:t>
            </w:r>
            <w:r>
              <w:rPr>
                <w:noProof/>
                <w:webHidden/>
              </w:rPr>
              <w:tab/>
            </w:r>
            <w:r>
              <w:rPr>
                <w:noProof/>
                <w:webHidden/>
              </w:rPr>
              <w:fldChar w:fldCharType="begin"/>
            </w:r>
            <w:r>
              <w:rPr>
                <w:noProof/>
                <w:webHidden/>
              </w:rPr>
              <w:instrText xml:space="preserve"> PAGEREF _Toc240997008 \h </w:instrText>
            </w:r>
            <w:r>
              <w:rPr>
                <w:noProof/>
                <w:webHidden/>
              </w:rPr>
            </w:r>
            <w:r>
              <w:rPr>
                <w:noProof/>
                <w:webHidden/>
              </w:rPr>
              <w:fldChar w:fldCharType="separate"/>
            </w:r>
            <w:r>
              <w:rPr>
                <w:noProof/>
                <w:webHidden/>
              </w:rPr>
              <w:t>43</w:t>
            </w:r>
            <w:r>
              <w:rPr>
                <w:noProof/>
                <w:webHidden/>
              </w:rPr>
              <w:fldChar w:fldCharType="end"/>
            </w:r>
          </w:hyperlink>
        </w:p>
        <w:p w14:paraId="575EADD1" w14:textId="4783D24D" w:rsidR="001D2DB6" w:rsidRDefault="001D2DB6">
          <w:pPr>
            <w:pStyle w:val="TOC2"/>
            <w:rPr>
              <w:b w:val="0"/>
              <w:smallCaps w:val="0"/>
              <w:color w:val="auto"/>
              <w:sz w:val="24"/>
              <w:szCs w:val="24"/>
              <w:lang w:eastAsia="en-GB"/>
            </w:rPr>
          </w:pPr>
          <w:hyperlink w:anchor="_Toc240997009" w:history="1">
            <w:r w:rsidRPr="00A44459">
              <w:rPr>
                <w:rStyle w:val="Hyperlink"/>
                <w:rFonts w:eastAsia="Times New Roman"/>
                <w:bCs/>
              </w:rPr>
              <w:t>5.1 Introduction</w:t>
            </w:r>
            <w:r>
              <w:rPr>
                <w:webHidden/>
              </w:rPr>
              <w:tab/>
            </w:r>
            <w:r>
              <w:rPr>
                <w:webHidden/>
              </w:rPr>
              <w:fldChar w:fldCharType="begin"/>
            </w:r>
            <w:r>
              <w:rPr>
                <w:webHidden/>
              </w:rPr>
              <w:instrText xml:space="preserve"> PAGEREF _Toc240997009 \h </w:instrText>
            </w:r>
            <w:r>
              <w:rPr>
                <w:webHidden/>
              </w:rPr>
            </w:r>
            <w:r>
              <w:rPr>
                <w:webHidden/>
              </w:rPr>
              <w:fldChar w:fldCharType="separate"/>
            </w:r>
            <w:r>
              <w:rPr>
                <w:webHidden/>
              </w:rPr>
              <w:t>43</w:t>
            </w:r>
            <w:r>
              <w:rPr>
                <w:webHidden/>
              </w:rPr>
              <w:fldChar w:fldCharType="end"/>
            </w:r>
          </w:hyperlink>
        </w:p>
        <w:p w14:paraId="663F2009" w14:textId="37AE5CF6" w:rsidR="001D2DB6" w:rsidRDefault="001D2DB6">
          <w:pPr>
            <w:pStyle w:val="TOC2"/>
            <w:rPr>
              <w:b w:val="0"/>
              <w:smallCaps w:val="0"/>
              <w:color w:val="auto"/>
              <w:sz w:val="24"/>
              <w:szCs w:val="24"/>
              <w:lang w:eastAsia="en-GB"/>
            </w:rPr>
          </w:pPr>
          <w:hyperlink w:anchor="_Toc240997010" w:history="1">
            <w:r w:rsidRPr="00A44459">
              <w:rPr>
                <w:rStyle w:val="Hyperlink"/>
                <w:rFonts w:eastAsia="Times New Roman"/>
                <w:bCs/>
              </w:rPr>
              <w:t>5.2 Summary of Key Findings</w:t>
            </w:r>
            <w:r>
              <w:rPr>
                <w:webHidden/>
              </w:rPr>
              <w:tab/>
            </w:r>
            <w:r>
              <w:rPr>
                <w:webHidden/>
              </w:rPr>
              <w:fldChar w:fldCharType="begin"/>
            </w:r>
            <w:r>
              <w:rPr>
                <w:webHidden/>
              </w:rPr>
              <w:instrText xml:space="preserve"> PAGEREF _Toc240997010 \h </w:instrText>
            </w:r>
            <w:r>
              <w:rPr>
                <w:webHidden/>
              </w:rPr>
            </w:r>
            <w:r>
              <w:rPr>
                <w:webHidden/>
              </w:rPr>
              <w:fldChar w:fldCharType="separate"/>
            </w:r>
            <w:r>
              <w:rPr>
                <w:webHidden/>
              </w:rPr>
              <w:t>43</w:t>
            </w:r>
            <w:r>
              <w:rPr>
                <w:webHidden/>
              </w:rPr>
              <w:fldChar w:fldCharType="end"/>
            </w:r>
          </w:hyperlink>
        </w:p>
        <w:p w14:paraId="1EBCF5CD" w14:textId="70ADD61E" w:rsidR="001D2DB6" w:rsidRDefault="001D2DB6">
          <w:pPr>
            <w:pStyle w:val="TOC2"/>
            <w:rPr>
              <w:b w:val="0"/>
              <w:smallCaps w:val="0"/>
              <w:color w:val="auto"/>
              <w:sz w:val="24"/>
              <w:szCs w:val="24"/>
              <w:lang w:eastAsia="en-GB"/>
            </w:rPr>
          </w:pPr>
          <w:hyperlink w:anchor="_Toc240997011" w:history="1">
            <w:r w:rsidRPr="00A44459">
              <w:rPr>
                <w:rStyle w:val="Hyperlink"/>
                <w:bCs/>
              </w:rPr>
              <w:t>5.3 Discussion of the Technical Dimension</w:t>
            </w:r>
            <w:r>
              <w:rPr>
                <w:webHidden/>
              </w:rPr>
              <w:tab/>
            </w:r>
            <w:r>
              <w:rPr>
                <w:webHidden/>
              </w:rPr>
              <w:fldChar w:fldCharType="begin"/>
            </w:r>
            <w:r>
              <w:rPr>
                <w:webHidden/>
              </w:rPr>
              <w:instrText xml:space="preserve"> PAGEREF _Toc240997011 \h </w:instrText>
            </w:r>
            <w:r>
              <w:rPr>
                <w:webHidden/>
              </w:rPr>
            </w:r>
            <w:r>
              <w:rPr>
                <w:webHidden/>
              </w:rPr>
              <w:fldChar w:fldCharType="separate"/>
            </w:r>
            <w:r>
              <w:rPr>
                <w:webHidden/>
              </w:rPr>
              <w:t>43</w:t>
            </w:r>
            <w:r>
              <w:rPr>
                <w:webHidden/>
              </w:rPr>
              <w:fldChar w:fldCharType="end"/>
            </w:r>
          </w:hyperlink>
        </w:p>
        <w:p w14:paraId="522E8EF7" w14:textId="7F570781" w:rsidR="001D2DB6" w:rsidRDefault="001D2DB6">
          <w:pPr>
            <w:pStyle w:val="TOC2"/>
            <w:rPr>
              <w:b w:val="0"/>
              <w:smallCaps w:val="0"/>
              <w:color w:val="auto"/>
              <w:sz w:val="24"/>
              <w:szCs w:val="24"/>
              <w:lang w:eastAsia="en-GB"/>
            </w:rPr>
          </w:pPr>
          <w:hyperlink w:anchor="_Toc240997012" w:history="1">
            <w:r w:rsidRPr="00A44459">
              <w:rPr>
                <w:rStyle w:val="Hyperlink"/>
                <w:rFonts w:eastAsia="Times New Roman"/>
                <w:bCs/>
              </w:rPr>
              <w:t>5.4 Discussion of Organisational Governance</w:t>
            </w:r>
            <w:r>
              <w:rPr>
                <w:webHidden/>
              </w:rPr>
              <w:tab/>
            </w:r>
            <w:r>
              <w:rPr>
                <w:webHidden/>
              </w:rPr>
              <w:fldChar w:fldCharType="begin"/>
            </w:r>
            <w:r>
              <w:rPr>
                <w:webHidden/>
              </w:rPr>
              <w:instrText xml:space="preserve"> PAGEREF _Toc240997012 \h </w:instrText>
            </w:r>
            <w:r>
              <w:rPr>
                <w:webHidden/>
              </w:rPr>
            </w:r>
            <w:r>
              <w:rPr>
                <w:webHidden/>
              </w:rPr>
              <w:fldChar w:fldCharType="separate"/>
            </w:r>
            <w:r>
              <w:rPr>
                <w:webHidden/>
              </w:rPr>
              <w:t>44</w:t>
            </w:r>
            <w:r>
              <w:rPr>
                <w:webHidden/>
              </w:rPr>
              <w:fldChar w:fldCharType="end"/>
            </w:r>
          </w:hyperlink>
        </w:p>
        <w:p w14:paraId="5F2F7D3C" w14:textId="35EBE982" w:rsidR="001D2DB6" w:rsidRDefault="001D2DB6">
          <w:pPr>
            <w:pStyle w:val="TOC2"/>
            <w:rPr>
              <w:b w:val="0"/>
              <w:smallCaps w:val="0"/>
              <w:color w:val="auto"/>
              <w:sz w:val="24"/>
              <w:szCs w:val="24"/>
              <w:lang w:eastAsia="en-GB"/>
            </w:rPr>
          </w:pPr>
          <w:hyperlink w:anchor="_Toc240997013" w:history="1">
            <w:r w:rsidRPr="00A44459">
              <w:rPr>
                <w:rStyle w:val="Hyperlink"/>
                <w:rFonts w:eastAsia="Times New Roman"/>
                <w:bCs/>
              </w:rPr>
              <w:t>5.5 Discussion of Institutional Context</w:t>
            </w:r>
            <w:r>
              <w:rPr>
                <w:webHidden/>
              </w:rPr>
              <w:tab/>
            </w:r>
            <w:r>
              <w:rPr>
                <w:webHidden/>
              </w:rPr>
              <w:fldChar w:fldCharType="begin"/>
            </w:r>
            <w:r>
              <w:rPr>
                <w:webHidden/>
              </w:rPr>
              <w:instrText xml:space="preserve"> PAGEREF _Toc240997013 \h </w:instrText>
            </w:r>
            <w:r>
              <w:rPr>
                <w:webHidden/>
              </w:rPr>
            </w:r>
            <w:r>
              <w:rPr>
                <w:webHidden/>
              </w:rPr>
              <w:fldChar w:fldCharType="separate"/>
            </w:r>
            <w:r>
              <w:rPr>
                <w:webHidden/>
              </w:rPr>
              <w:t>44</w:t>
            </w:r>
            <w:r>
              <w:rPr>
                <w:webHidden/>
              </w:rPr>
              <w:fldChar w:fldCharType="end"/>
            </w:r>
          </w:hyperlink>
        </w:p>
        <w:p w14:paraId="3BE44907" w14:textId="1A29D5AB" w:rsidR="001D2DB6" w:rsidRDefault="001D2DB6">
          <w:pPr>
            <w:pStyle w:val="TOC2"/>
            <w:rPr>
              <w:b w:val="0"/>
              <w:smallCaps w:val="0"/>
              <w:color w:val="auto"/>
              <w:sz w:val="24"/>
              <w:szCs w:val="24"/>
              <w:lang w:eastAsia="en-GB"/>
            </w:rPr>
          </w:pPr>
          <w:hyperlink w:anchor="_Toc240997014" w:history="1">
            <w:r w:rsidRPr="00A44459">
              <w:rPr>
                <w:rStyle w:val="Hyperlink"/>
              </w:rPr>
              <w:t>5.6 Comparative Discussion: Europe and East Asia</w:t>
            </w:r>
            <w:r>
              <w:rPr>
                <w:webHidden/>
              </w:rPr>
              <w:tab/>
            </w:r>
            <w:r>
              <w:rPr>
                <w:webHidden/>
              </w:rPr>
              <w:fldChar w:fldCharType="begin"/>
            </w:r>
            <w:r>
              <w:rPr>
                <w:webHidden/>
              </w:rPr>
              <w:instrText xml:space="preserve"> PAGEREF _Toc240997014 \h </w:instrText>
            </w:r>
            <w:r>
              <w:rPr>
                <w:webHidden/>
              </w:rPr>
            </w:r>
            <w:r>
              <w:rPr>
                <w:webHidden/>
              </w:rPr>
              <w:fldChar w:fldCharType="separate"/>
            </w:r>
            <w:r>
              <w:rPr>
                <w:webHidden/>
              </w:rPr>
              <w:t>45</w:t>
            </w:r>
            <w:r>
              <w:rPr>
                <w:webHidden/>
              </w:rPr>
              <w:fldChar w:fldCharType="end"/>
            </w:r>
          </w:hyperlink>
        </w:p>
        <w:p w14:paraId="3FD27067" w14:textId="05354CD0" w:rsidR="001D2DB6" w:rsidRDefault="001D2DB6">
          <w:pPr>
            <w:pStyle w:val="TOC2"/>
            <w:rPr>
              <w:b w:val="0"/>
              <w:smallCaps w:val="0"/>
              <w:color w:val="auto"/>
              <w:sz w:val="24"/>
              <w:szCs w:val="24"/>
              <w:lang w:eastAsia="en-GB"/>
            </w:rPr>
          </w:pPr>
          <w:hyperlink w:anchor="_Toc240997015" w:history="1">
            <w:r w:rsidRPr="00A44459">
              <w:rPr>
                <w:rStyle w:val="Hyperlink"/>
                <w:rFonts w:eastAsia="Times New Roman"/>
                <w:bCs/>
              </w:rPr>
              <w:t>5.9 Research Gap, Discussion Summary and Conclusion</w:t>
            </w:r>
            <w:r>
              <w:rPr>
                <w:webHidden/>
              </w:rPr>
              <w:tab/>
            </w:r>
            <w:r>
              <w:rPr>
                <w:webHidden/>
              </w:rPr>
              <w:fldChar w:fldCharType="begin"/>
            </w:r>
            <w:r>
              <w:rPr>
                <w:webHidden/>
              </w:rPr>
              <w:instrText xml:space="preserve"> PAGEREF _Toc240997015 \h </w:instrText>
            </w:r>
            <w:r>
              <w:rPr>
                <w:webHidden/>
              </w:rPr>
            </w:r>
            <w:r>
              <w:rPr>
                <w:webHidden/>
              </w:rPr>
              <w:fldChar w:fldCharType="separate"/>
            </w:r>
            <w:r>
              <w:rPr>
                <w:webHidden/>
              </w:rPr>
              <w:t>46</w:t>
            </w:r>
            <w:r>
              <w:rPr>
                <w:webHidden/>
              </w:rPr>
              <w:fldChar w:fldCharType="end"/>
            </w:r>
          </w:hyperlink>
        </w:p>
        <w:p w14:paraId="072EF79D" w14:textId="1FB12FF5" w:rsidR="001D2DB6" w:rsidRDefault="001D2DB6">
          <w:pPr>
            <w:pStyle w:val="TOC1"/>
            <w:tabs>
              <w:tab w:val="right" w:leader="dot" w:pos="10450"/>
            </w:tabs>
            <w:rPr>
              <w:b w:val="0"/>
              <w:bCs w:val="0"/>
              <w:caps w:val="0"/>
              <w:noProof/>
              <w:sz w:val="24"/>
              <w:szCs w:val="24"/>
              <w:lang w:eastAsia="en-GB"/>
            </w:rPr>
          </w:pPr>
          <w:hyperlink w:anchor="_Toc240997016" w:history="1">
            <w:r w:rsidRPr="00A44459">
              <w:rPr>
                <w:rStyle w:val="Hyperlink"/>
                <w:rFonts w:eastAsia="Times New Roman"/>
                <w:noProof/>
              </w:rPr>
              <w:t>CHAPTER 6: CONCLUSION</w:t>
            </w:r>
            <w:r>
              <w:rPr>
                <w:noProof/>
                <w:webHidden/>
              </w:rPr>
              <w:tab/>
            </w:r>
            <w:r>
              <w:rPr>
                <w:noProof/>
                <w:webHidden/>
              </w:rPr>
              <w:fldChar w:fldCharType="begin"/>
            </w:r>
            <w:r>
              <w:rPr>
                <w:noProof/>
                <w:webHidden/>
              </w:rPr>
              <w:instrText xml:space="preserve"> PAGEREF _Toc240997016 \h </w:instrText>
            </w:r>
            <w:r>
              <w:rPr>
                <w:noProof/>
                <w:webHidden/>
              </w:rPr>
            </w:r>
            <w:r>
              <w:rPr>
                <w:noProof/>
                <w:webHidden/>
              </w:rPr>
              <w:fldChar w:fldCharType="separate"/>
            </w:r>
            <w:r>
              <w:rPr>
                <w:noProof/>
                <w:webHidden/>
              </w:rPr>
              <w:t>47</w:t>
            </w:r>
            <w:r>
              <w:rPr>
                <w:noProof/>
                <w:webHidden/>
              </w:rPr>
              <w:fldChar w:fldCharType="end"/>
            </w:r>
          </w:hyperlink>
        </w:p>
        <w:p w14:paraId="2FDDED7F" w14:textId="148B8A44" w:rsidR="001D2DB6" w:rsidRDefault="001D2DB6">
          <w:pPr>
            <w:pStyle w:val="TOC2"/>
            <w:rPr>
              <w:b w:val="0"/>
              <w:smallCaps w:val="0"/>
              <w:color w:val="auto"/>
              <w:sz w:val="24"/>
              <w:szCs w:val="24"/>
              <w:lang w:eastAsia="en-GB"/>
            </w:rPr>
          </w:pPr>
          <w:hyperlink w:anchor="_Toc240997017" w:history="1">
            <w:r w:rsidRPr="00A44459">
              <w:rPr>
                <w:rStyle w:val="Hyperlink"/>
                <w:rFonts w:eastAsia="Times New Roman"/>
                <w:bCs/>
              </w:rPr>
              <w:t>6.1 Introduction</w:t>
            </w:r>
            <w:r>
              <w:rPr>
                <w:webHidden/>
              </w:rPr>
              <w:tab/>
            </w:r>
            <w:r>
              <w:rPr>
                <w:webHidden/>
              </w:rPr>
              <w:fldChar w:fldCharType="begin"/>
            </w:r>
            <w:r>
              <w:rPr>
                <w:webHidden/>
              </w:rPr>
              <w:instrText xml:space="preserve"> PAGEREF _Toc240997017 \h </w:instrText>
            </w:r>
            <w:r>
              <w:rPr>
                <w:webHidden/>
              </w:rPr>
            </w:r>
            <w:r>
              <w:rPr>
                <w:webHidden/>
              </w:rPr>
              <w:fldChar w:fldCharType="separate"/>
            </w:r>
            <w:r>
              <w:rPr>
                <w:webHidden/>
              </w:rPr>
              <w:t>47</w:t>
            </w:r>
            <w:r>
              <w:rPr>
                <w:webHidden/>
              </w:rPr>
              <w:fldChar w:fldCharType="end"/>
            </w:r>
          </w:hyperlink>
        </w:p>
        <w:p w14:paraId="6FECE219" w14:textId="73327573" w:rsidR="001D2DB6" w:rsidRDefault="001D2DB6">
          <w:pPr>
            <w:pStyle w:val="TOC2"/>
            <w:rPr>
              <w:b w:val="0"/>
              <w:smallCaps w:val="0"/>
              <w:color w:val="auto"/>
              <w:sz w:val="24"/>
              <w:szCs w:val="24"/>
              <w:lang w:eastAsia="en-GB"/>
            </w:rPr>
          </w:pPr>
          <w:hyperlink w:anchor="_Toc240997018" w:history="1">
            <w:r w:rsidRPr="00A44459">
              <w:rPr>
                <w:rStyle w:val="Hyperlink"/>
                <w:rFonts w:eastAsia="Times New Roman"/>
                <w:bCs/>
              </w:rPr>
              <w:t>6.2 Summary of Key Findings</w:t>
            </w:r>
            <w:r>
              <w:rPr>
                <w:webHidden/>
              </w:rPr>
              <w:tab/>
            </w:r>
            <w:r>
              <w:rPr>
                <w:webHidden/>
              </w:rPr>
              <w:fldChar w:fldCharType="begin"/>
            </w:r>
            <w:r>
              <w:rPr>
                <w:webHidden/>
              </w:rPr>
              <w:instrText xml:space="preserve"> PAGEREF _Toc240997018 \h </w:instrText>
            </w:r>
            <w:r>
              <w:rPr>
                <w:webHidden/>
              </w:rPr>
            </w:r>
            <w:r>
              <w:rPr>
                <w:webHidden/>
              </w:rPr>
              <w:fldChar w:fldCharType="separate"/>
            </w:r>
            <w:r>
              <w:rPr>
                <w:webHidden/>
              </w:rPr>
              <w:t>47</w:t>
            </w:r>
            <w:r>
              <w:rPr>
                <w:webHidden/>
              </w:rPr>
              <w:fldChar w:fldCharType="end"/>
            </w:r>
          </w:hyperlink>
        </w:p>
        <w:p w14:paraId="6DAAC56D" w14:textId="70E5EFCE" w:rsidR="001D2DB6" w:rsidRDefault="001D2DB6">
          <w:pPr>
            <w:pStyle w:val="TOC2"/>
            <w:rPr>
              <w:b w:val="0"/>
              <w:smallCaps w:val="0"/>
              <w:color w:val="auto"/>
              <w:sz w:val="24"/>
              <w:szCs w:val="24"/>
              <w:lang w:eastAsia="en-GB"/>
            </w:rPr>
          </w:pPr>
          <w:hyperlink w:anchor="_Toc240997019" w:history="1">
            <w:r w:rsidRPr="00A44459">
              <w:rPr>
                <w:rStyle w:val="Hyperlink"/>
                <w:rFonts w:eastAsia="Times New Roman"/>
                <w:bCs/>
              </w:rPr>
              <w:t>6.3 Answering the Research Objectives</w:t>
            </w:r>
            <w:r>
              <w:rPr>
                <w:webHidden/>
              </w:rPr>
              <w:tab/>
            </w:r>
            <w:r>
              <w:rPr>
                <w:webHidden/>
              </w:rPr>
              <w:fldChar w:fldCharType="begin"/>
            </w:r>
            <w:r>
              <w:rPr>
                <w:webHidden/>
              </w:rPr>
              <w:instrText xml:space="preserve"> PAGEREF _Toc240997019 \h </w:instrText>
            </w:r>
            <w:r>
              <w:rPr>
                <w:webHidden/>
              </w:rPr>
            </w:r>
            <w:r>
              <w:rPr>
                <w:webHidden/>
              </w:rPr>
              <w:fldChar w:fldCharType="separate"/>
            </w:r>
            <w:r>
              <w:rPr>
                <w:webHidden/>
              </w:rPr>
              <w:t>48</w:t>
            </w:r>
            <w:r>
              <w:rPr>
                <w:webHidden/>
              </w:rPr>
              <w:fldChar w:fldCharType="end"/>
            </w:r>
          </w:hyperlink>
        </w:p>
        <w:p w14:paraId="4B64D99D" w14:textId="33B23FC7" w:rsidR="001D2DB6" w:rsidRDefault="001D2DB6">
          <w:pPr>
            <w:pStyle w:val="TOC2"/>
            <w:rPr>
              <w:b w:val="0"/>
              <w:smallCaps w:val="0"/>
              <w:color w:val="auto"/>
              <w:sz w:val="24"/>
              <w:szCs w:val="24"/>
              <w:lang w:eastAsia="en-GB"/>
            </w:rPr>
          </w:pPr>
          <w:hyperlink w:anchor="_Toc240997020" w:history="1">
            <w:r w:rsidRPr="00A44459">
              <w:rPr>
                <w:rStyle w:val="Hyperlink"/>
                <w:bCs/>
              </w:rPr>
              <w:t>6.4 Contribution to the Literature and Research Gap</w:t>
            </w:r>
            <w:r>
              <w:rPr>
                <w:webHidden/>
              </w:rPr>
              <w:tab/>
            </w:r>
            <w:r>
              <w:rPr>
                <w:webHidden/>
              </w:rPr>
              <w:fldChar w:fldCharType="begin"/>
            </w:r>
            <w:r>
              <w:rPr>
                <w:webHidden/>
              </w:rPr>
              <w:instrText xml:space="preserve"> PAGEREF _Toc240997020 \h </w:instrText>
            </w:r>
            <w:r>
              <w:rPr>
                <w:webHidden/>
              </w:rPr>
            </w:r>
            <w:r>
              <w:rPr>
                <w:webHidden/>
              </w:rPr>
              <w:fldChar w:fldCharType="separate"/>
            </w:r>
            <w:r>
              <w:rPr>
                <w:webHidden/>
              </w:rPr>
              <w:t>49</w:t>
            </w:r>
            <w:r>
              <w:rPr>
                <w:webHidden/>
              </w:rPr>
              <w:fldChar w:fldCharType="end"/>
            </w:r>
          </w:hyperlink>
        </w:p>
        <w:p w14:paraId="76FD2EFA" w14:textId="7E8B48CA" w:rsidR="001D2DB6" w:rsidRDefault="001D2DB6">
          <w:pPr>
            <w:pStyle w:val="TOC2"/>
            <w:rPr>
              <w:b w:val="0"/>
              <w:smallCaps w:val="0"/>
              <w:color w:val="auto"/>
              <w:sz w:val="24"/>
              <w:szCs w:val="24"/>
              <w:lang w:eastAsia="en-GB"/>
            </w:rPr>
          </w:pPr>
          <w:hyperlink w:anchor="_Toc240997021" w:history="1">
            <w:r w:rsidRPr="00A44459">
              <w:rPr>
                <w:rStyle w:val="Hyperlink"/>
                <w:bCs/>
              </w:rPr>
              <w:t>6.5 Theoretical Contribution</w:t>
            </w:r>
            <w:r>
              <w:rPr>
                <w:webHidden/>
              </w:rPr>
              <w:tab/>
            </w:r>
            <w:r>
              <w:rPr>
                <w:webHidden/>
              </w:rPr>
              <w:fldChar w:fldCharType="begin"/>
            </w:r>
            <w:r>
              <w:rPr>
                <w:webHidden/>
              </w:rPr>
              <w:instrText xml:space="preserve"> PAGEREF _Toc240997021 \h </w:instrText>
            </w:r>
            <w:r>
              <w:rPr>
                <w:webHidden/>
              </w:rPr>
            </w:r>
            <w:r>
              <w:rPr>
                <w:webHidden/>
              </w:rPr>
              <w:fldChar w:fldCharType="separate"/>
            </w:r>
            <w:r>
              <w:rPr>
                <w:webHidden/>
              </w:rPr>
              <w:t>49</w:t>
            </w:r>
            <w:r>
              <w:rPr>
                <w:webHidden/>
              </w:rPr>
              <w:fldChar w:fldCharType="end"/>
            </w:r>
          </w:hyperlink>
        </w:p>
        <w:p w14:paraId="6A002FF1" w14:textId="4C4114F6" w:rsidR="001D2DB6" w:rsidRDefault="001D2DB6">
          <w:pPr>
            <w:pStyle w:val="TOC2"/>
            <w:rPr>
              <w:b w:val="0"/>
              <w:smallCaps w:val="0"/>
              <w:color w:val="auto"/>
              <w:sz w:val="24"/>
              <w:szCs w:val="24"/>
              <w:lang w:eastAsia="en-GB"/>
            </w:rPr>
          </w:pPr>
          <w:hyperlink w:anchor="_Toc240997022" w:history="1">
            <w:r w:rsidRPr="00A44459">
              <w:rPr>
                <w:rStyle w:val="Hyperlink"/>
                <w:bCs/>
              </w:rPr>
              <w:t>6.6 Practical and Policy Implications</w:t>
            </w:r>
            <w:r>
              <w:rPr>
                <w:webHidden/>
              </w:rPr>
              <w:tab/>
            </w:r>
            <w:r>
              <w:rPr>
                <w:webHidden/>
              </w:rPr>
              <w:fldChar w:fldCharType="begin"/>
            </w:r>
            <w:r>
              <w:rPr>
                <w:webHidden/>
              </w:rPr>
              <w:instrText xml:space="preserve"> PAGEREF _Toc240997022 \h </w:instrText>
            </w:r>
            <w:r>
              <w:rPr>
                <w:webHidden/>
              </w:rPr>
            </w:r>
            <w:r>
              <w:rPr>
                <w:webHidden/>
              </w:rPr>
              <w:fldChar w:fldCharType="separate"/>
            </w:r>
            <w:r>
              <w:rPr>
                <w:webHidden/>
              </w:rPr>
              <w:t>50</w:t>
            </w:r>
            <w:r>
              <w:rPr>
                <w:webHidden/>
              </w:rPr>
              <w:fldChar w:fldCharType="end"/>
            </w:r>
          </w:hyperlink>
        </w:p>
        <w:p w14:paraId="243C2BF6" w14:textId="362D7AC7" w:rsidR="001D2DB6" w:rsidRDefault="001D2DB6">
          <w:pPr>
            <w:pStyle w:val="TOC2"/>
            <w:rPr>
              <w:b w:val="0"/>
              <w:smallCaps w:val="0"/>
              <w:color w:val="auto"/>
              <w:sz w:val="24"/>
              <w:szCs w:val="24"/>
              <w:lang w:eastAsia="en-GB"/>
            </w:rPr>
          </w:pPr>
          <w:hyperlink w:anchor="_Toc240997023" w:history="1">
            <w:r w:rsidRPr="00A44459">
              <w:rPr>
                <w:rStyle w:val="Hyperlink"/>
                <w:bCs/>
              </w:rPr>
              <w:t>6.7 Limitations</w:t>
            </w:r>
            <w:r>
              <w:rPr>
                <w:webHidden/>
              </w:rPr>
              <w:tab/>
            </w:r>
            <w:r>
              <w:rPr>
                <w:webHidden/>
              </w:rPr>
              <w:fldChar w:fldCharType="begin"/>
            </w:r>
            <w:r>
              <w:rPr>
                <w:webHidden/>
              </w:rPr>
              <w:instrText xml:space="preserve"> PAGEREF _Toc240997023 \h </w:instrText>
            </w:r>
            <w:r>
              <w:rPr>
                <w:webHidden/>
              </w:rPr>
            </w:r>
            <w:r>
              <w:rPr>
                <w:webHidden/>
              </w:rPr>
              <w:fldChar w:fldCharType="separate"/>
            </w:r>
            <w:r>
              <w:rPr>
                <w:webHidden/>
              </w:rPr>
              <w:t>51</w:t>
            </w:r>
            <w:r>
              <w:rPr>
                <w:webHidden/>
              </w:rPr>
              <w:fldChar w:fldCharType="end"/>
            </w:r>
          </w:hyperlink>
        </w:p>
        <w:p w14:paraId="336F3610" w14:textId="70827FCC" w:rsidR="001D2DB6" w:rsidRDefault="001D2DB6">
          <w:pPr>
            <w:pStyle w:val="TOC2"/>
            <w:rPr>
              <w:b w:val="0"/>
              <w:smallCaps w:val="0"/>
              <w:color w:val="auto"/>
              <w:sz w:val="24"/>
              <w:szCs w:val="24"/>
              <w:lang w:eastAsia="en-GB"/>
            </w:rPr>
          </w:pPr>
          <w:hyperlink w:anchor="_Toc240997024" w:history="1">
            <w:r w:rsidRPr="00A44459">
              <w:rPr>
                <w:rStyle w:val="Hyperlink"/>
                <w:bCs/>
              </w:rPr>
              <w:t>6.8 Recommendations and Future Research</w:t>
            </w:r>
            <w:r>
              <w:rPr>
                <w:webHidden/>
              </w:rPr>
              <w:tab/>
            </w:r>
            <w:r>
              <w:rPr>
                <w:webHidden/>
              </w:rPr>
              <w:fldChar w:fldCharType="begin"/>
            </w:r>
            <w:r>
              <w:rPr>
                <w:webHidden/>
              </w:rPr>
              <w:instrText xml:space="preserve"> PAGEREF _Toc240997024 \h </w:instrText>
            </w:r>
            <w:r>
              <w:rPr>
                <w:webHidden/>
              </w:rPr>
            </w:r>
            <w:r>
              <w:rPr>
                <w:webHidden/>
              </w:rPr>
              <w:fldChar w:fldCharType="separate"/>
            </w:r>
            <w:r>
              <w:rPr>
                <w:webHidden/>
              </w:rPr>
              <w:t>51</w:t>
            </w:r>
            <w:r>
              <w:rPr>
                <w:webHidden/>
              </w:rPr>
              <w:fldChar w:fldCharType="end"/>
            </w:r>
          </w:hyperlink>
        </w:p>
        <w:p w14:paraId="4C79D868" w14:textId="615B899A" w:rsidR="001D2DB6" w:rsidRDefault="001D2DB6">
          <w:pPr>
            <w:pStyle w:val="TOC2"/>
            <w:rPr>
              <w:b w:val="0"/>
              <w:smallCaps w:val="0"/>
              <w:color w:val="auto"/>
              <w:sz w:val="24"/>
              <w:szCs w:val="24"/>
              <w:lang w:eastAsia="en-GB"/>
            </w:rPr>
          </w:pPr>
          <w:hyperlink w:anchor="_Toc240997025" w:history="1">
            <w:r w:rsidRPr="00A44459">
              <w:rPr>
                <w:rStyle w:val="Hyperlink"/>
                <w:bCs/>
              </w:rPr>
              <w:t>6.9 Final Conclusion</w:t>
            </w:r>
            <w:r>
              <w:rPr>
                <w:webHidden/>
              </w:rPr>
              <w:tab/>
            </w:r>
            <w:r>
              <w:rPr>
                <w:webHidden/>
              </w:rPr>
              <w:fldChar w:fldCharType="begin"/>
            </w:r>
            <w:r>
              <w:rPr>
                <w:webHidden/>
              </w:rPr>
              <w:instrText xml:space="preserve"> PAGEREF _Toc240997025 \h </w:instrText>
            </w:r>
            <w:r>
              <w:rPr>
                <w:webHidden/>
              </w:rPr>
            </w:r>
            <w:r>
              <w:rPr>
                <w:webHidden/>
              </w:rPr>
              <w:fldChar w:fldCharType="separate"/>
            </w:r>
            <w:r>
              <w:rPr>
                <w:webHidden/>
              </w:rPr>
              <w:t>52</w:t>
            </w:r>
            <w:r>
              <w:rPr>
                <w:webHidden/>
              </w:rPr>
              <w:fldChar w:fldCharType="end"/>
            </w:r>
          </w:hyperlink>
        </w:p>
        <w:p w14:paraId="796FEA64" w14:textId="087DB9CA" w:rsidR="001D2DB6" w:rsidRDefault="001D2DB6">
          <w:pPr>
            <w:pStyle w:val="TOC1"/>
            <w:tabs>
              <w:tab w:val="right" w:leader="dot" w:pos="10450"/>
            </w:tabs>
            <w:rPr>
              <w:b w:val="0"/>
              <w:bCs w:val="0"/>
              <w:caps w:val="0"/>
              <w:noProof/>
              <w:sz w:val="24"/>
              <w:szCs w:val="24"/>
              <w:lang w:eastAsia="en-GB"/>
            </w:rPr>
          </w:pPr>
          <w:hyperlink w:anchor="_Toc240997026" w:history="1">
            <w:r w:rsidRPr="00A44459">
              <w:rPr>
                <w:rStyle w:val="Hyperlink"/>
                <w:noProof/>
              </w:rPr>
              <w:t>7. Reference</w:t>
            </w:r>
            <w:r>
              <w:rPr>
                <w:noProof/>
                <w:webHidden/>
              </w:rPr>
              <w:tab/>
            </w:r>
            <w:r>
              <w:rPr>
                <w:noProof/>
                <w:webHidden/>
              </w:rPr>
              <w:fldChar w:fldCharType="begin"/>
            </w:r>
            <w:r>
              <w:rPr>
                <w:noProof/>
                <w:webHidden/>
              </w:rPr>
              <w:instrText xml:space="preserve"> PAGEREF _Toc240997026 \h </w:instrText>
            </w:r>
            <w:r>
              <w:rPr>
                <w:noProof/>
                <w:webHidden/>
              </w:rPr>
            </w:r>
            <w:r>
              <w:rPr>
                <w:noProof/>
                <w:webHidden/>
              </w:rPr>
              <w:fldChar w:fldCharType="separate"/>
            </w:r>
            <w:r>
              <w:rPr>
                <w:noProof/>
                <w:webHidden/>
              </w:rPr>
              <w:t>54</w:t>
            </w:r>
            <w:r>
              <w:rPr>
                <w:noProof/>
                <w:webHidden/>
              </w:rPr>
              <w:fldChar w:fldCharType="end"/>
            </w:r>
          </w:hyperlink>
        </w:p>
        <w:p w14:paraId="557FEBA6" w14:textId="5F40F2F2" w:rsidR="001D2DB6" w:rsidRDefault="001D2DB6">
          <w:pPr>
            <w:pStyle w:val="TOC1"/>
            <w:tabs>
              <w:tab w:val="right" w:leader="dot" w:pos="10450"/>
            </w:tabs>
            <w:rPr>
              <w:b w:val="0"/>
              <w:bCs w:val="0"/>
              <w:caps w:val="0"/>
              <w:noProof/>
              <w:sz w:val="24"/>
              <w:szCs w:val="24"/>
              <w:lang w:eastAsia="en-GB"/>
            </w:rPr>
          </w:pPr>
          <w:hyperlink w:anchor="_Toc240997027" w:history="1">
            <w:r w:rsidRPr="00A44459">
              <w:rPr>
                <w:rStyle w:val="Hyperlink"/>
                <w:noProof/>
              </w:rPr>
              <w:t>8. APPENDICES</w:t>
            </w:r>
            <w:r>
              <w:rPr>
                <w:noProof/>
                <w:webHidden/>
              </w:rPr>
              <w:tab/>
            </w:r>
            <w:r>
              <w:rPr>
                <w:noProof/>
                <w:webHidden/>
              </w:rPr>
              <w:fldChar w:fldCharType="begin"/>
            </w:r>
            <w:r>
              <w:rPr>
                <w:noProof/>
                <w:webHidden/>
              </w:rPr>
              <w:instrText xml:space="preserve"> PAGEREF _Toc240997027 \h </w:instrText>
            </w:r>
            <w:r>
              <w:rPr>
                <w:noProof/>
                <w:webHidden/>
              </w:rPr>
            </w:r>
            <w:r>
              <w:rPr>
                <w:noProof/>
                <w:webHidden/>
              </w:rPr>
              <w:fldChar w:fldCharType="separate"/>
            </w:r>
            <w:r>
              <w:rPr>
                <w:noProof/>
                <w:webHidden/>
              </w:rPr>
              <w:t>58</w:t>
            </w:r>
            <w:r>
              <w:rPr>
                <w:noProof/>
                <w:webHidden/>
              </w:rPr>
              <w:fldChar w:fldCharType="end"/>
            </w:r>
          </w:hyperlink>
        </w:p>
        <w:p w14:paraId="278019BF" w14:textId="10E8E96F" w:rsidR="001D2DB6" w:rsidRDefault="001D2DB6">
          <w:pPr>
            <w:pStyle w:val="TOC2"/>
            <w:rPr>
              <w:b w:val="0"/>
              <w:smallCaps w:val="0"/>
              <w:color w:val="auto"/>
              <w:sz w:val="24"/>
              <w:szCs w:val="24"/>
              <w:lang w:eastAsia="en-GB"/>
            </w:rPr>
          </w:pPr>
          <w:hyperlink w:anchor="_Toc240997028" w:history="1">
            <w:r w:rsidRPr="00A44459">
              <w:rPr>
                <w:rStyle w:val="Hyperlink"/>
              </w:rPr>
              <w:t>APPENDIX A: SEARCH STRATEGY AND SEARCH STRINGS</w:t>
            </w:r>
            <w:r>
              <w:rPr>
                <w:webHidden/>
              </w:rPr>
              <w:tab/>
            </w:r>
            <w:r>
              <w:rPr>
                <w:webHidden/>
              </w:rPr>
              <w:fldChar w:fldCharType="begin"/>
            </w:r>
            <w:r>
              <w:rPr>
                <w:webHidden/>
              </w:rPr>
              <w:instrText xml:space="preserve"> PAGEREF _Toc240997028 \h </w:instrText>
            </w:r>
            <w:r>
              <w:rPr>
                <w:webHidden/>
              </w:rPr>
            </w:r>
            <w:r>
              <w:rPr>
                <w:webHidden/>
              </w:rPr>
              <w:fldChar w:fldCharType="separate"/>
            </w:r>
            <w:r>
              <w:rPr>
                <w:webHidden/>
              </w:rPr>
              <w:t>58</w:t>
            </w:r>
            <w:r>
              <w:rPr>
                <w:webHidden/>
              </w:rPr>
              <w:fldChar w:fldCharType="end"/>
            </w:r>
          </w:hyperlink>
        </w:p>
        <w:p w14:paraId="78687113" w14:textId="645A995B" w:rsidR="001D2DB6" w:rsidRDefault="001D2DB6">
          <w:pPr>
            <w:pStyle w:val="TOC2"/>
            <w:rPr>
              <w:b w:val="0"/>
              <w:smallCaps w:val="0"/>
              <w:color w:val="auto"/>
              <w:sz w:val="24"/>
              <w:szCs w:val="24"/>
              <w:lang w:eastAsia="en-GB"/>
            </w:rPr>
          </w:pPr>
          <w:hyperlink w:anchor="_Toc240997029" w:history="1">
            <w:r w:rsidRPr="00A44459">
              <w:rPr>
                <w:rStyle w:val="Hyperlink"/>
                <w:bCs/>
              </w:rPr>
              <w:t>APPENDIX B: INCLUSION AND EXCLUSION CRITERIA</w:t>
            </w:r>
            <w:r>
              <w:rPr>
                <w:webHidden/>
              </w:rPr>
              <w:tab/>
            </w:r>
            <w:r>
              <w:rPr>
                <w:webHidden/>
              </w:rPr>
              <w:fldChar w:fldCharType="begin"/>
            </w:r>
            <w:r>
              <w:rPr>
                <w:webHidden/>
              </w:rPr>
              <w:instrText xml:space="preserve"> PAGEREF _Toc240997029 \h </w:instrText>
            </w:r>
            <w:r>
              <w:rPr>
                <w:webHidden/>
              </w:rPr>
            </w:r>
            <w:r>
              <w:rPr>
                <w:webHidden/>
              </w:rPr>
              <w:fldChar w:fldCharType="separate"/>
            </w:r>
            <w:r>
              <w:rPr>
                <w:webHidden/>
              </w:rPr>
              <w:t>59</w:t>
            </w:r>
            <w:r>
              <w:rPr>
                <w:webHidden/>
              </w:rPr>
              <w:fldChar w:fldCharType="end"/>
            </w:r>
          </w:hyperlink>
        </w:p>
        <w:p w14:paraId="59C6EB0C" w14:textId="37D49026" w:rsidR="001D2DB6" w:rsidRDefault="001D2DB6">
          <w:pPr>
            <w:pStyle w:val="TOC2"/>
            <w:rPr>
              <w:b w:val="0"/>
              <w:smallCaps w:val="0"/>
              <w:color w:val="auto"/>
              <w:sz w:val="24"/>
              <w:szCs w:val="24"/>
              <w:lang w:eastAsia="en-GB"/>
            </w:rPr>
          </w:pPr>
          <w:hyperlink w:anchor="_Toc240997030" w:history="1">
            <w:r w:rsidRPr="00A44459">
              <w:rPr>
                <w:rStyle w:val="Hyperlink"/>
                <w:bCs/>
              </w:rPr>
              <w:t>APPENDIX C: QUALITY APPRAISAL FRAMEWORK AND SCORING MATRIX</w:t>
            </w:r>
            <w:r>
              <w:rPr>
                <w:webHidden/>
              </w:rPr>
              <w:tab/>
            </w:r>
            <w:r>
              <w:rPr>
                <w:webHidden/>
              </w:rPr>
              <w:fldChar w:fldCharType="begin"/>
            </w:r>
            <w:r>
              <w:rPr>
                <w:webHidden/>
              </w:rPr>
              <w:instrText xml:space="preserve"> PAGEREF _Toc240997030 \h </w:instrText>
            </w:r>
            <w:r>
              <w:rPr>
                <w:webHidden/>
              </w:rPr>
            </w:r>
            <w:r>
              <w:rPr>
                <w:webHidden/>
              </w:rPr>
              <w:fldChar w:fldCharType="separate"/>
            </w:r>
            <w:r>
              <w:rPr>
                <w:webHidden/>
              </w:rPr>
              <w:t>60</w:t>
            </w:r>
            <w:r>
              <w:rPr>
                <w:webHidden/>
              </w:rPr>
              <w:fldChar w:fldCharType="end"/>
            </w:r>
          </w:hyperlink>
        </w:p>
        <w:p w14:paraId="3F342305" w14:textId="656015A0" w:rsidR="001D2DB6" w:rsidRDefault="001D2DB6">
          <w:pPr>
            <w:pStyle w:val="TOC2"/>
            <w:rPr>
              <w:b w:val="0"/>
              <w:smallCaps w:val="0"/>
              <w:color w:val="auto"/>
              <w:sz w:val="24"/>
              <w:szCs w:val="24"/>
              <w:lang w:eastAsia="en-GB"/>
            </w:rPr>
          </w:pPr>
          <w:hyperlink w:anchor="_Toc240997031" w:history="1">
            <w:r w:rsidRPr="00A44459">
              <w:rPr>
                <w:rStyle w:val="Hyperlink"/>
                <w:bCs/>
              </w:rPr>
              <w:t>APPENDIX D: FINAL INCLUDED STUDIES (HIGH-WEIGHT CORPUS)</w:t>
            </w:r>
            <w:r>
              <w:rPr>
                <w:webHidden/>
              </w:rPr>
              <w:tab/>
            </w:r>
            <w:r>
              <w:rPr>
                <w:webHidden/>
              </w:rPr>
              <w:fldChar w:fldCharType="begin"/>
            </w:r>
            <w:r>
              <w:rPr>
                <w:webHidden/>
              </w:rPr>
              <w:instrText xml:space="preserve"> PAGEREF _Toc240997031 \h </w:instrText>
            </w:r>
            <w:r>
              <w:rPr>
                <w:webHidden/>
              </w:rPr>
            </w:r>
            <w:r>
              <w:rPr>
                <w:webHidden/>
              </w:rPr>
              <w:fldChar w:fldCharType="separate"/>
            </w:r>
            <w:r>
              <w:rPr>
                <w:webHidden/>
              </w:rPr>
              <w:t>60</w:t>
            </w:r>
            <w:r>
              <w:rPr>
                <w:webHidden/>
              </w:rPr>
              <w:fldChar w:fldCharType="end"/>
            </w:r>
          </w:hyperlink>
        </w:p>
        <w:p w14:paraId="327D4B88" w14:textId="4E3053BA" w:rsidR="00833FA9" w:rsidRPr="002B7BDC" w:rsidRDefault="00833FA9" w:rsidP="004F36D3">
          <w:pPr>
            <w:rPr>
              <w:color w:val="153D63" w:themeColor="text2" w:themeTint="E6"/>
            </w:rPr>
          </w:pPr>
          <w:r w:rsidRPr="00B12EC0">
            <w:rPr>
              <w:b/>
              <w:bCs/>
              <w:noProof/>
              <w:color w:val="000000" w:themeColor="text1"/>
            </w:rPr>
            <w:fldChar w:fldCharType="end"/>
          </w:r>
        </w:p>
      </w:sdtContent>
    </w:sdt>
    <w:p w14:paraId="400516A7" w14:textId="77777777" w:rsidR="00836F81" w:rsidRDefault="00836F81" w:rsidP="00836F81">
      <w:pPr>
        <w:spacing w:after="0"/>
        <w:rPr>
          <w:b/>
          <w:color w:val="153D63" w:themeColor="text2" w:themeTint="E6"/>
          <w:sz w:val="32"/>
          <w:szCs w:val="32"/>
        </w:rPr>
      </w:pPr>
    </w:p>
    <w:p w14:paraId="075627C8" w14:textId="77777777" w:rsidR="00836F81" w:rsidRDefault="00836F81" w:rsidP="00836F81">
      <w:pPr>
        <w:spacing w:after="0"/>
        <w:rPr>
          <w:b/>
          <w:color w:val="153D63" w:themeColor="text2" w:themeTint="E6"/>
          <w:sz w:val="32"/>
          <w:szCs w:val="32"/>
        </w:rPr>
      </w:pPr>
    </w:p>
    <w:p w14:paraId="441A1594" w14:textId="77777777" w:rsidR="00836F81" w:rsidRDefault="00836F81" w:rsidP="00836F81">
      <w:pPr>
        <w:spacing w:after="0"/>
        <w:rPr>
          <w:b/>
          <w:color w:val="153D63" w:themeColor="text2" w:themeTint="E6"/>
          <w:sz w:val="32"/>
          <w:szCs w:val="32"/>
        </w:rPr>
      </w:pPr>
    </w:p>
    <w:p w14:paraId="0D61E550" w14:textId="77777777" w:rsidR="00836F81" w:rsidRDefault="00836F81" w:rsidP="00836F81">
      <w:pPr>
        <w:spacing w:after="0"/>
        <w:rPr>
          <w:b/>
          <w:color w:val="153D63" w:themeColor="text2" w:themeTint="E6"/>
          <w:sz w:val="32"/>
          <w:szCs w:val="32"/>
        </w:rPr>
      </w:pPr>
    </w:p>
    <w:p w14:paraId="425AA375" w14:textId="77777777" w:rsidR="00836F81" w:rsidRDefault="00836F81" w:rsidP="00836F81">
      <w:pPr>
        <w:spacing w:after="0"/>
        <w:rPr>
          <w:b/>
          <w:color w:val="153D63" w:themeColor="text2" w:themeTint="E6"/>
          <w:sz w:val="32"/>
          <w:szCs w:val="32"/>
        </w:rPr>
      </w:pPr>
    </w:p>
    <w:p w14:paraId="27638D09" w14:textId="2A3D96F2" w:rsidR="00E505F8" w:rsidRPr="00E82924" w:rsidRDefault="00443225" w:rsidP="00836F81">
      <w:pPr>
        <w:spacing w:after="0"/>
        <w:rPr>
          <w:b/>
          <w:color w:val="153D63" w:themeColor="text2" w:themeTint="E6"/>
          <w:sz w:val="32"/>
          <w:szCs w:val="32"/>
        </w:rPr>
      </w:pPr>
      <w:r w:rsidRPr="00E82924">
        <w:rPr>
          <w:b/>
          <w:color w:val="153D63" w:themeColor="text2" w:themeTint="E6"/>
          <w:sz w:val="32"/>
          <w:szCs w:val="32"/>
        </w:rPr>
        <w:lastRenderedPageBreak/>
        <w:t xml:space="preserve">List of Figures </w:t>
      </w:r>
    </w:p>
    <w:p w14:paraId="43689968" w14:textId="7664AA45" w:rsidR="00E505F8" w:rsidRPr="00B12EC0" w:rsidRDefault="00E505F8" w:rsidP="00836F81">
      <w:pPr>
        <w:pStyle w:val="TableofFigures"/>
        <w:tabs>
          <w:tab w:val="right" w:pos="10450"/>
        </w:tabs>
        <w:rPr>
          <w:b w:val="0"/>
          <w:bCs w:val="0"/>
          <w:noProof/>
          <w:color w:val="000000" w:themeColor="text1"/>
          <w:sz w:val="24"/>
          <w:szCs w:val="24"/>
          <w:lang w:eastAsia="en-GB"/>
        </w:rPr>
      </w:pPr>
      <w:r w:rsidRPr="00B12EC0">
        <w:rPr>
          <w:color w:val="000000" w:themeColor="text1"/>
        </w:rPr>
        <w:fldChar w:fldCharType="begin"/>
      </w:r>
      <w:r w:rsidRPr="00B12EC0">
        <w:rPr>
          <w:color w:val="000000" w:themeColor="text1"/>
        </w:rPr>
        <w:instrText xml:space="preserve"> TOC \h \z \c "Figure" </w:instrText>
      </w:r>
      <w:r w:rsidRPr="00B12EC0">
        <w:rPr>
          <w:color w:val="000000" w:themeColor="text1"/>
        </w:rPr>
        <w:fldChar w:fldCharType="separate"/>
      </w:r>
      <w:hyperlink w:anchor="_Toc240978778" w:history="1">
        <w:r w:rsidRPr="00B12EC0">
          <w:rPr>
            <w:rStyle w:val="Hyperlink"/>
            <w:noProof/>
            <w:color w:val="000000" w:themeColor="text1"/>
          </w:rPr>
          <w:t>Figure 1-Theoretical Framework for AI-Mediated Recruitment in MNCs</w:t>
        </w:r>
        <w:r w:rsidRPr="00B12EC0">
          <w:rPr>
            <w:noProof/>
            <w:webHidden/>
            <w:color w:val="000000" w:themeColor="text1"/>
          </w:rPr>
          <w:tab/>
        </w:r>
        <w:r w:rsidRPr="00B12EC0">
          <w:rPr>
            <w:noProof/>
            <w:webHidden/>
            <w:color w:val="000000" w:themeColor="text1"/>
          </w:rPr>
          <w:fldChar w:fldCharType="begin"/>
        </w:r>
        <w:r w:rsidRPr="00B12EC0">
          <w:rPr>
            <w:noProof/>
            <w:webHidden/>
            <w:color w:val="000000" w:themeColor="text1"/>
          </w:rPr>
          <w:instrText xml:space="preserve"> PAGEREF _Toc240978778 \h </w:instrText>
        </w:r>
        <w:r w:rsidRPr="00B12EC0">
          <w:rPr>
            <w:noProof/>
            <w:webHidden/>
            <w:color w:val="000000" w:themeColor="text1"/>
          </w:rPr>
        </w:r>
        <w:r w:rsidRPr="00B12EC0">
          <w:rPr>
            <w:noProof/>
            <w:webHidden/>
            <w:color w:val="000000" w:themeColor="text1"/>
          </w:rPr>
          <w:fldChar w:fldCharType="separate"/>
        </w:r>
        <w:r w:rsidRPr="00B12EC0">
          <w:rPr>
            <w:noProof/>
            <w:webHidden/>
            <w:color w:val="000000" w:themeColor="text1"/>
          </w:rPr>
          <w:t>17</w:t>
        </w:r>
        <w:r w:rsidRPr="00B12EC0">
          <w:rPr>
            <w:noProof/>
            <w:webHidden/>
            <w:color w:val="000000" w:themeColor="text1"/>
          </w:rPr>
          <w:fldChar w:fldCharType="end"/>
        </w:r>
      </w:hyperlink>
    </w:p>
    <w:p w14:paraId="1ED1F856" w14:textId="0720F125" w:rsidR="00E505F8" w:rsidRPr="00B12EC0" w:rsidRDefault="00E505F8" w:rsidP="00836F81">
      <w:pPr>
        <w:pStyle w:val="TableofFigures"/>
        <w:tabs>
          <w:tab w:val="right" w:pos="10450"/>
        </w:tabs>
        <w:rPr>
          <w:b w:val="0"/>
          <w:bCs w:val="0"/>
          <w:noProof/>
          <w:color w:val="000000" w:themeColor="text1"/>
          <w:sz w:val="24"/>
          <w:szCs w:val="24"/>
          <w:lang w:eastAsia="en-GB"/>
        </w:rPr>
      </w:pPr>
      <w:hyperlink w:anchor="_Toc240978779" w:history="1">
        <w:r w:rsidRPr="00B12EC0">
          <w:rPr>
            <w:rStyle w:val="Hyperlink"/>
            <w:noProof/>
            <w:color w:val="000000" w:themeColor="text1"/>
          </w:rPr>
          <w:t>Figure 2-Conceptual Framework for AI</w:t>
        </w:r>
        <w:r w:rsidRPr="00B12EC0">
          <w:rPr>
            <w:rStyle w:val="Hyperlink"/>
            <w:rFonts w:ascii="Cambria Math" w:hAnsi="Cambria Math" w:cs="Cambria Math"/>
            <w:noProof/>
            <w:color w:val="000000" w:themeColor="text1"/>
          </w:rPr>
          <w:t>‑</w:t>
        </w:r>
        <w:r w:rsidRPr="00B12EC0">
          <w:rPr>
            <w:rStyle w:val="Hyperlink"/>
            <w:noProof/>
            <w:color w:val="000000" w:themeColor="text1"/>
          </w:rPr>
          <w:t>Mediated Recruitment Governance in MNCs</w:t>
        </w:r>
        <w:r w:rsidRPr="00B12EC0">
          <w:rPr>
            <w:noProof/>
            <w:webHidden/>
            <w:color w:val="000000" w:themeColor="text1"/>
          </w:rPr>
          <w:tab/>
        </w:r>
        <w:r w:rsidRPr="00B12EC0">
          <w:rPr>
            <w:noProof/>
            <w:webHidden/>
            <w:color w:val="000000" w:themeColor="text1"/>
          </w:rPr>
          <w:fldChar w:fldCharType="begin"/>
        </w:r>
        <w:r w:rsidRPr="00B12EC0">
          <w:rPr>
            <w:noProof/>
            <w:webHidden/>
            <w:color w:val="000000" w:themeColor="text1"/>
          </w:rPr>
          <w:instrText xml:space="preserve"> PAGEREF _Toc240978779 \h </w:instrText>
        </w:r>
        <w:r w:rsidRPr="00B12EC0">
          <w:rPr>
            <w:noProof/>
            <w:webHidden/>
            <w:color w:val="000000" w:themeColor="text1"/>
          </w:rPr>
        </w:r>
        <w:r w:rsidRPr="00B12EC0">
          <w:rPr>
            <w:noProof/>
            <w:webHidden/>
            <w:color w:val="000000" w:themeColor="text1"/>
          </w:rPr>
          <w:fldChar w:fldCharType="separate"/>
        </w:r>
        <w:r w:rsidRPr="00B12EC0">
          <w:rPr>
            <w:noProof/>
            <w:webHidden/>
            <w:color w:val="000000" w:themeColor="text1"/>
          </w:rPr>
          <w:t>19</w:t>
        </w:r>
        <w:r w:rsidRPr="00B12EC0">
          <w:rPr>
            <w:noProof/>
            <w:webHidden/>
            <w:color w:val="000000" w:themeColor="text1"/>
          </w:rPr>
          <w:fldChar w:fldCharType="end"/>
        </w:r>
      </w:hyperlink>
    </w:p>
    <w:p w14:paraId="7830AEA4" w14:textId="5DC0BFB5" w:rsidR="00E505F8" w:rsidRPr="00B12EC0" w:rsidRDefault="00E505F8" w:rsidP="00836F81">
      <w:pPr>
        <w:pStyle w:val="TableofFigures"/>
        <w:tabs>
          <w:tab w:val="right" w:pos="10450"/>
        </w:tabs>
        <w:rPr>
          <w:b w:val="0"/>
          <w:bCs w:val="0"/>
          <w:noProof/>
          <w:color w:val="000000" w:themeColor="text1"/>
          <w:sz w:val="24"/>
          <w:szCs w:val="24"/>
          <w:lang w:eastAsia="en-GB"/>
        </w:rPr>
      </w:pPr>
      <w:hyperlink w:anchor="_Toc240978780" w:history="1">
        <w:r w:rsidRPr="00B12EC0">
          <w:rPr>
            <w:rStyle w:val="Hyperlink"/>
            <w:noProof/>
            <w:color w:val="000000" w:themeColor="text1"/>
          </w:rPr>
          <w:t>Figure 3 - Technical Dimension of AI-Mediated Recruitment</w:t>
        </w:r>
        <w:r w:rsidRPr="00B12EC0">
          <w:rPr>
            <w:noProof/>
            <w:webHidden/>
            <w:color w:val="000000" w:themeColor="text1"/>
          </w:rPr>
          <w:tab/>
        </w:r>
        <w:r w:rsidRPr="00B12EC0">
          <w:rPr>
            <w:noProof/>
            <w:webHidden/>
            <w:color w:val="000000" w:themeColor="text1"/>
          </w:rPr>
          <w:fldChar w:fldCharType="begin"/>
        </w:r>
        <w:r w:rsidRPr="00B12EC0">
          <w:rPr>
            <w:noProof/>
            <w:webHidden/>
            <w:color w:val="000000" w:themeColor="text1"/>
          </w:rPr>
          <w:instrText xml:space="preserve"> PAGEREF _Toc240978780 \h </w:instrText>
        </w:r>
        <w:r w:rsidRPr="00B12EC0">
          <w:rPr>
            <w:noProof/>
            <w:webHidden/>
            <w:color w:val="000000" w:themeColor="text1"/>
          </w:rPr>
        </w:r>
        <w:r w:rsidRPr="00B12EC0">
          <w:rPr>
            <w:noProof/>
            <w:webHidden/>
            <w:color w:val="000000" w:themeColor="text1"/>
          </w:rPr>
          <w:fldChar w:fldCharType="separate"/>
        </w:r>
        <w:r w:rsidRPr="00B12EC0">
          <w:rPr>
            <w:noProof/>
            <w:webHidden/>
            <w:color w:val="000000" w:themeColor="text1"/>
          </w:rPr>
          <w:t>32</w:t>
        </w:r>
        <w:r w:rsidRPr="00B12EC0">
          <w:rPr>
            <w:noProof/>
            <w:webHidden/>
            <w:color w:val="000000" w:themeColor="text1"/>
          </w:rPr>
          <w:fldChar w:fldCharType="end"/>
        </w:r>
      </w:hyperlink>
    </w:p>
    <w:p w14:paraId="20ECFEEC" w14:textId="7EA8BAA4" w:rsidR="008B1C98" w:rsidRPr="00E82924" w:rsidRDefault="00E505F8" w:rsidP="00836F81">
      <w:pPr>
        <w:spacing w:after="0"/>
        <w:rPr>
          <w:b/>
          <w:color w:val="153D63" w:themeColor="text2" w:themeTint="E6"/>
          <w:sz w:val="32"/>
          <w:szCs w:val="32"/>
        </w:rPr>
      </w:pPr>
      <w:r w:rsidRPr="00B12EC0">
        <w:rPr>
          <w:color w:val="000000" w:themeColor="text1"/>
          <w:sz w:val="20"/>
          <w:szCs w:val="20"/>
        </w:rPr>
        <w:fldChar w:fldCharType="end"/>
      </w:r>
      <w:r w:rsidR="008B1C98" w:rsidRPr="00E82924">
        <w:rPr>
          <w:b/>
          <w:color w:val="153D63" w:themeColor="text2" w:themeTint="E6"/>
          <w:sz w:val="32"/>
          <w:szCs w:val="32"/>
        </w:rPr>
        <w:t>List of Tables</w:t>
      </w:r>
    </w:p>
    <w:p w14:paraId="5F84CFEE" w14:textId="5254AB60" w:rsidR="008B1C98" w:rsidRPr="00B12EC0" w:rsidRDefault="008B1C98" w:rsidP="00836F81">
      <w:pPr>
        <w:pStyle w:val="TableofFigures"/>
        <w:tabs>
          <w:tab w:val="right" w:pos="10450"/>
        </w:tabs>
        <w:rPr>
          <w:b w:val="0"/>
          <w:bCs w:val="0"/>
          <w:noProof/>
          <w:color w:val="000000" w:themeColor="text1"/>
          <w:sz w:val="24"/>
          <w:szCs w:val="24"/>
          <w:lang w:eastAsia="en-GB"/>
        </w:rPr>
      </w:pPr>
      <w:r w:rsidRPr="00B12EC0">
        <w:rPr>
          <w:color w:val="000000" w:themeColor="text1"/>
        </w:rPr>
        <w:fldChar w:fldCharType="begin"/>
      </w:r>
      <w:r w:rsidRPr="00B12EC0">
        <w:rPr>
          <w:color w:val="000000" w:themeColor="text1"/>
        </w:rPr>
        <w:instrText xml:space="preserve"> TOC \h \z \c "Table" </w:instrText>
      </w:r>
      <w:r w:rsidRPr="00B12EC0">
        <w:rPr>
          <w:color w:val="000000" w:themeColor="text1"/>
        </w:rPr>
        <w:fldChar w:fldCharType="separate"/>
      </w:r>
      <w:hyperlink w:anchor="_Toc240978620" w:history="1">
        <w:r w:rsidRPr="00B12EC0">
          <w:rPr>
            <w:rStyle w:val="Hyperlink"/>
            <w:noProof/>
            <w:color w:val="000000" w:themeColor="text1"/>
          </w:rPr>
          <w:t>Table 1-Perspectives on Bias, Fairness and Transparency in AI</w:t>
        </w:r>
        <w:r w:rsidRPr="00B12EC0">
          <w:rPr>
            <w:rStyle w:val="Hyperlink"/>
            <w:rFonts w:ascii="Cambria Math" w:hAnsi="Cambria Math" w:cs="Cambria Math"/>
            <w:noProof/>
            <w:color w:val="000000" w:themeColor="text1"/>
          </w:rPr>
          <w:t>‑</w:t>
        </w:r>
        <w:r w:rsidRPr="00B12EC0">
          <w:rPr>
            <w:rStyle w:val="Hyperlink"/>
            <w:noProof/>
            <w:color w:val="000000" w:themeColor="text1"/>
          </w:rPr>
          <w:t>Driven Recruitment</w:t>
        </w:r>
        <w:r w:rsidRPr="00B12EC0">
          <w:rPr>
            <w:noProof/>
            <w:webHidden/>
            <w:color w:val="000000" w:themeColor="text1"/>
          </w:rPr>
          <w:tab/>
        </w:r>
        <w:r w:rsidRPr="00B12EC0">
          <w:rPr>
            <w:noProof/>
            <w:webHidden/>
            <w:color w:val="000000" w:themeColor="text1"/>
          </w:rPr>
          <w:fldChar w:fldCharType="begin"/>
        </w:r>
        <w:r w:rsidRPr="00B12EC0">
          <w:rPr>
            <w:noProof/>
            <w:webHidden/>
            <w:color w:val="000000" w:themeColor="text1"/>
          </w:rPr>
          <w:instrText xml:space="preserve"> PAGEREF _Toc240978620 \h </w:instrText>
        </w:r>
        <w:r w:rsidRPr="00B12EC0">
          <w:rPr>
            <w:noProof/>
            <w:webHidden/>
            <w:color w:val="000000" w:themeColor="text1"/>
          </w:rPr>
        </w:r>
        <w:r w:rsidRPr="00B12EC0">
          <w:rPr>
            <w:noProof/>
            <w:webHidden/>
            <w:color w:val="000000" w:themeColor="text1"/>
          </w:rPr>
          <w:fldChar w:fldCharType="separate"/>
        </w:r>
        <w:r w:rsidRPr="00B12EC0">
          <w:rPr>
            <w:noProof/>
            <w:webHidden/>
            <w:color w:val="000000" w:themeColor="text1"/>
          </w:rPr>
          <w:t>13</w:t>
        </w:r>
        <w:r w:rsidRPr="00B12EC0">
          <w:rPr>
            <w:noProof/>
            <w:webHidden/>
            <w:color w:val="000000" w:themeColor="text1"/>
          </w:rPr>
          <w:fldChar w:fldCharType="end"/>
        </w:r>
      </w:hyperlink>
    </w:p>
    <w:p w14:paraId="0529C072" w14:textId="3E0126DF" w:rsidR="008B1C98" w:rsidRPr="00B12EC0" w:rsidRDefault="008B1C98" w:rsidP="00836F81">
      <w:pPr>
        <w:pStyle w:val="TableofFigures"/>
        <w:tabs>
          <w:tab w:val="right" w:pos="10450"/>
        </w:tabs>
        <w:rPr>
          <w:b w:val="0"/>
          <w:bCs w:val="0"/>
          <w:noProof/>
          <w:color w:val="000000" w:themeColor="text1"/>
          <w:sz w:val="24"/>
          <w:szCs w:val="24"/>
          <w:lang w:eastAsia="en-GB"/>
        </w:rPr>
      </w:pPr>
      <w:hyperlink w:anchor="_Toc240978621" w:history="1">
        <w:r w:rsidRPr="00B12EC0">
          <w:rPr>
            <w:rStyle w:val="Hyperlink"/>
            <w:noProof/>
            <w:color w:val="000000" w:themeColor="text1"/>
          </w:rPr>
          <w:t>Table 2 - Literature Search Strategy for AI</w:t>
        </w:r>
        <w:r w:rsidRPr="00B12EC0">
          <w:rPr>
            <w:rStyle w:val="Hyperlink"/>
            <w:rFonts w:ascii="Cambria Math" w:hAnsi="Cambria Math" w:cs="Cambria Math"/>
            <w:noProof/>
            <w:color w:val="000000" w:themeColor="text1"/>
          </w:rPr>
          <w:t>‑</w:t>
        </w:r>
        <w:r w:rsidRPr="00B12EC0">
          <w:rPr>
            <w:rStyle w:val="Hyperlink"/>
            <w:noProof/>
            <w:color w:val="000000" w:themeColor="text1"/>
          </w:rPr>
          <w:t>Mediated Recruitment Governance</w:t>
        </w:r>
        <w:r w:rsidRPr="00B12EC0">
          <w:rPr>
            <w:noProof/>
            <w:webHidden/>
            <w:color w:val="000000" w:themeColor="text1"/>
          </w:rPr>
          <w:tab/>
        </w:r>
        <w:r w:rsidRPr="00B12EC0">
          <w:rPr>
            <w:noProof/>
            <w:webHidden/>
            <w:color w:val="000000" w:themeColor="text1"/>
          </w:rPr>
          <w:fldChar w:fldCharType="begin"/>
        </w:r>
        <w:r w:rsidRPr="00B12EC0">
          <w:rPr>
            <w:noProof/>
            <w:webHidden/>
            <w:color w:val="000000" w:themeColor="text1"/>
          </w:rPr>
          <w:instrText xml:space="preserve"> PAGEREF _Toc240978621 \h </w:instrText>
        </w:r>
        <w:r w:rsidRPr="00B12EC0">
          <w:rPr>
            <w:noProof/>
            <w:webHidden/>
            <w:color w:val="000000" w:themeColor="text1"/>
          </w:rPr>
        </w:r>
        <w:r w:rsidRPr="00B12EC0">
          <w:rPr>
            <w:noProof/>
            <w:webHidden/>
            <w:color w:val="000000" w:themeColor="text1"/>
          </w:rPr>
          <w:fldChar w:fldCharType="separate"/>
        </w:r>
        <w:r w:rsidRPr="00B12EC0">
          <w:rPr>
            <w:noProof/>
            <w:webHidden/>
            <w:color w:val="000000" w:themeColor="text1"/>
          </w:rPr>
          <w:t>23</w:t>
        </w:r>
        <w:r w:rsidRPr="00B12EC0">
          <w:rPr>
            <w:noProof/>
            <w:webHidden/>
            <w:color w:val="000000" w:themeColor="text1"/>
          </w:rPr>
          <w:fldChar w:fldCharType="end"/>
        </w:r>
      </w:hyperlink>
    </w:p>
    <w:p w14:paraId="2DC886DE" w14:textId="3C22BA32" w:rsidR="008B1C98" w:rsidRPr="00B12EC0" w:rsidRDefault="008B1C98" w:rsidP="00836F81">
      <w:pPr>
        <w:pStyle w:val="TableofFigures"/>
        <w:tabs>
          <w:tab w:val="right" w:pos="10450"/>
        </w:tabs>
        <w:rPr>
          <w:b w:val="0"/>
          <w:bCs w:val="0"/>
          <w:noProof/>
          <w:color w:val="000000" w:themeColor="text1"/>
          <w:sz w:val="24"/>
          <w:szCs w:val="24"/>
          <w:lang w:eastAsia="en-GB"/>
        </w:rPr>
      </w:pPr>
      <w:hyperlink w:anchor="_Toc240978622" w:history="1">
        <w:r w:rsidRPr="00B12EC0">
          <w:rPr>
            <w:rStyle w:val="Hyperlink"/>
            <w:noProof/>
            <w:color w:val="000000" w:themeColor="text1"/>
          </w:rPr>
          <w:t>Table 3 - Thematic coding framework</w:t>
        </w:r>
        <w:r w:rsidRPr="00B12EC0">
          <w:rPr>
            <w:noProof/>
            <w:webHidden/>
            <w:color w:val="000000" w:themeColor="text1"/>
          </w:rPr>
          <w:tab/>
        </w:r>
        <w:r w:rsidRPr="00B12EC0">
          <w:rPr>
            <w:noProof/>
            <w:webHidden/>
            <w:color w:val="000000" w:themeColor="text1"/>
          </w:rPr>
          <w:fldChar w:fldCharType="begin"/>
        </w:r>
        <w:r w:rsidRPr="00B12EC0">
          <w:rPr>
            <w:noProof/>
            <w:webHidden/>
            <w:color w:val="000000" w:themeColor="text1"/>
          </w:rPr>
          <w:instrText xml:space="preserve"> PAGEREF _Toc240978622 \h </w:instrText>
        </w:r>
        <w:r w:rsidRPr="00B12EC0">
          <w:rPr>
            <w:noProof/>
            <w:webHidden/>
            <w:color w:val="000000" w:themeColor="text1"/>
          </w:rPr>
        </w:r>
        <w:r w:rsidRPr="00B12EC0">
          <w:rPr>
            <w:noProof/>
            <w:webHidden/>
            <w:color w:val="000000" w:themeColor="text1"/>
          </w:rPr>
          <w:fldChar w:fldCharType="separate"/>
        </w:r>
        <w:r w:rsidRPr="00B12EC0">
          <w:rPr>
            <w:noProof/>
            <w:webHidden/>
            <w:color w:val="000000" w:themeColor="text1"/>
          </w:rPr>
          <w:t>30</w:t>
        </w:r>
        <w:r w:rsidRPr="00B12EC0">
          <w:rPr>
            <w:noProof/>
            <w:webHidden/>
            <w:color w:val="000000" w:themeColor="text1"/>
          </w:rPr>
          <w:fldChar w:fldCharType="end"/>
        </w:r>
      </w:hyperlink>
    </w:p>
    <w:p w14:paraId="00EAC7FF" w14:textId="13FD9DBB" w:rsidR="008B1C98" w:rsidRPr="00B12EC0" w:rsidRDefault="008B1C98" w:rsidP="00836F81">
      <w:pPr>
        <w:pStyle w:val="TableofFigures"/>
        <w:tabs>
          <w:tab w:val="right" w:pos="10450"/>
        </w:tabs>
        <w:rPr>
          <w:b w:val="0"/>
          <w:bCs w:val="0"/>
          <w:noProof/>
          <w:color w:val="000000" w:themeColor="text1"/>
          <w:sz w:val="24"/>
          <w:szCs w:val="24"/>
          <w:lang w:eastAsia="en-GB"/>
        </w:rPr>
      </w:pPr>
      <w:hyperlink w:anchor="_Toc240978623" w:history="1">
        <w:r w:rsidRPr="00B12EC0">
          <w:rPr>
            <w:rStyle w:val="Hyperlink"/>
            <w:noProof/>
            <w:color w:val="000000" w:themeColor="text1"/>
          </w:rPr>
          <w:t>Table 4 - Alignment of Research Objectives with Key Findings on AI Recruitment Governance</w:t>
        </w:r>
        <w:r w:rsidRPr="00B12EC0">
          <w:rPr>
            <w:noProof/>
            <w:webHidden/>
            <w:color w:val="000000" w:themeColor="text1"/>
          </w:rPr>
          <w:tab/>
        </w:r>
        <w:r w:rsidRPr="00B12EC0">
          <w:rPr>
            <w:noProof/>
            <w:webHidden/>
            <w:color w:val="000000" w:themeColor="text1"/>
          </w:rPr>
          <w:fldChar w:fldCharType="begin"/>
        </w:r>
        <w:r w:rsidRPr="00B12EC0">
          <w:rPr>
            <w:noProof/>
            <w:webHidden/>
            <w:color w:val="000000" w:themeColor="text1"/>
          </w:rPr>
          <w:instrText xml:space="preserve"> PAGEREF _Toc240978623 \h </w:instrText>
        </w:r>
        <w:r w:rsidRPr="00B12EC0">
          <w:rPr>
            <w:noProof/>
            <w:webHidden/>
            <w:color w:val="000000" w:themeColor="text1"/>
          </w:rPr>
        </w:r>
        <w:r w:rsidRPr="00B12EC0">
          <w:rPr>
            <w:noProof/>
            <w:webHidden/>
            <w:color w:val="000000" w:themeColor="text1"/>
          </w:rPr>
          <w:fldChar w:fldCharType="separate"/>
        </w:r>
        <w:r w:rsidRPr="00B12EC0">
          <w:rPr>
            <w:noProof/>
            <w:webHidden/>
            <w:color w:val="000000" w:themeColor="text1"/>
          </w:rPr>
          <w:t>45</w:t>
        </w:r>
        <w:r w:rsidRPr="00B12EC0">
          <w:rPr>
            <w:noProof/>
            <w:webHidden/>
            <w:color w:val="000000" w:themeColor="text1"/>
          </w:rPr>
          <w:fldChar w:fldCharType="end"/>
        </w:r>
      </w:hyperlink>
    </w:p>
    <w:p w14:paraId="1E67CCEE" w14:textId="77777777" w:rsidR="00CE269C" w:rsidRDefault="008B1C98" w:rsidP="00836F81">
      <w:pPr>
        <w:spacing w:after="0"/>
        <w:rPr>
          <w:color w:val="153D63" w:themeColor="text2" w:themeTint="E6"/>
        </w:rPr>
      </w:pPr>
      <w:r w:rsidRPr="00B12EC0">
        <w:rPr>
          <w:color w:val="000000" w:themeColor="text1"/>
        </w:rPr>
        <w:fldChar w:fldCharType="end"/>
      </w:r>
    </w:p>
    <w:p w14:paraId="020DA526" w14:textId="7DB4DBF9" w:rsidR="003D0BCF" w:rsidRPr="00CE269C" w:rsidRDefault="002E3D16" w:rsidP="001841D9">
      <w:pPr>
        <w:rPr>
          <w:color w:val="153D63" w:themeColor="text2" w:themeTint="E6"/>
        </w:rPr>
      </w:pPr>
      <w:r w:rsidRPr="001841D9">
        <w:rPr>
          <w:b/>
          <w:color w:val="153D63" w:themeColor="text2" w:themeTint="E6"/>
          <w:sz w:val="36"/>
          <w:szCs w:val="36"/>
        </w:rPr>
        <w:t xml:space="preserve">List of </w:t>
      </w:r>
      <w:r w:rsidR="001F2B89" w:rsidRPr="001841D9">
        <w:rPr>
          <w:b/>
          <w:color w:val="153D63" w:themeColor="text2" w:themeTint="E6"/>
          <w:sz w:val="36"/>
          <w:szCs w:val="36"/>
        </w:rPr>
        <w:t xml:space="preserve">Abbreviations </w:t>
      </w:r>
    </w:p>
    <w:tbl>
      <w:tblPr>
        <w:tblStyle w:val="PlainTable3"/>
        <w:tblW w:w="0" w:type="auto"/>
        <w:tblLook w:val="04A0" w:firstRow="1" w:lastRow="0" w:firstColumn="1" w:lastColumn="0" w:noHBand="0" w:noVBand="1"/>
      </w:tblPr>
      <w:tblGrid>
        <w:gridCol w:w="2547"/>
        <w:gridCol w:w="7903"/>
      </w:tblGrid>
      <w:tr w:rsidR="00586B0D" w14:paraId="592DD74C" w14:textId="77777777" w:rsidTr="00C773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47" w:type="dxa"/>
          </w:tcPr>
          <w:p w14:paraId="1A0EA812" w14:textId="4C0CB290" w:rsidR="00586B0D" w:rsidRPr="00B51E91" w:rsidRDefault="006531ED" w:rsidP="003D0BCF">
            <w:r w:rsidRPr="00B51E91">
              <w:t>Abbreviation</w:t>
            </w:r>
          </w:p>
        </w:tc>
        <w:tc>
          <w:tcPr>
            <w:tcW w:w="7903" w:type="dxa"/>
          </w:tcPr>
          <w:p w14:paraId="3F5273B6" w14:textId="3AA3310F" w:rsidR="00586B0D" w:rsidRPr="00B51E91" w:rsidRDefault="005D5270" w:rsidP="003D0BCF">
            <w:pPr>
              <w:cnfStyle w:val="100000000000" w:firstRow="1" w:lastRow="0" w:firstColumn="0" w:lastColumn="0" w:oddVBand="0" w:evenVBand="0" w:oddHBand="0" w:evenHBand="0" w:firstRowFirstColumn="0" w:firstRowLastColumn="0" w:lastRowFirstColumn="0" w:lastRowLastColumn="0"/>
            </w:pPr>
            <w:r w:rsidRPr="00B51E91">
              <w:t>Full Term</w:t>
            </w:r>
          </w:p>
        </w:tc>
      </w:tr>
      <w:tr w:rsidR="00586B0D" w14:paraId="1723AC03" w14:textId="77777777" w:rsidTr="00C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4EA951B4" w14:textId="4E7E4DA5" w:rsidR="00586B0D" w:rsidRPr="00B51E91" w:rsidRDefault="00B22075" w:rsidP="003D0BCF">
            <w:r w:rsidRPr="00B51E91">
              <w:t>AI</w:t>
            </w:r>
          </w:p>
        </w:tc>
        <w:tc>
          <w:tcPr>
            <w:tcW w:w="7903" w:type="dxa"/>
          </w:tcPr>
          <w:p w14:paraId="50B05116" w14:textId="671FBD2B" w:rsidR="00586B0D" w:rsidRPr="00B51E91" w:rsidRDefault="001A6860" w:rsidP="003D0BCF">
            <w:pPr>
              <w:cnfStyle w:val="000000100000" w:firstRow="0" w:lastRow="0" w:firstColumn="0" w:lastColumn="0" w:oddVBand="0" w:evenVBand="0" w:oddHBand="1" w:evenHBand="0" w:firstRowFirstColumn="0" w:firstRowLastColumn="0" w:lastRowFirstColumn="0" w:lastRowLastColumn="0"/>
              <w:rPr>
                <w:b/>
                <w:bCs/>
              </w:rPr>
            </w:pPr>
            <w:r w:rsidRPr="00B51E91">
              <w:rPr>
                <w:b/>
                <w:bCs/>
              </w:rPr>
              <w:t>Artificial Intelligence</w:t>
            </w:r>
          </w:p>
        </w:tc>
      </w:tr>
      <w:tr w:rsidR="00586B0D" w14:paraId="6A4DC5E3" w14:textId="77777777" w:rsidTr="00C773E4">
        <w:tc>
          <w:tcPr>
            <w:cnfStyle w:val="001000000000" w:firstRow="0" w:lastRow="0" w:firstColumn="1" w:lastColumn="0" w:oddVBand="0" w:evenVBand="0" w:oddHBand="0" w:evenHBand="0" w:firstRowFirstColumn="0" w:firstRowLastColumn="0" w:lastRowFirstColumn="0" w:lastRowLastColumn="0"/>
            <w:tcW w:w="2547" w:type="dxa"/>
          </w:tcPr>
          <w:p w14:paraId="4E8A9B99" w14:textId="58B7E9B8" w:rsidR="00586B0D" w:rsidRPr="00B51E91" w:rsidRDefault="00B22075" w:rsidP="003D0BCF">
            <w:r w:rsidRPr="00B51E91">
              <w:t>CASP</w:t>
            </w:r>
          </w:p>
        </w:tc>
        <w:tc>
          <w:tcPr>
            <w:tcW w:w="7903" w:type="dxa"/>
          </w:tcPr>
          <w:p w14:paraId="36801260" w14:textId="604D11ED" w:rsidR="00586B0D" w:rsidRPr="00B51E91" w:rsidRDefault="00054685" w:rsidP="003D0BCF">
            <w:pPr>
              <w:cnfStyle w:val="000000000000" w:firstRow="0" w:lastRow="0" w:firstColumn="0" w:lastColumn="0" w:oddVBand="0" w:evenVBand="0" w:oddHBand="0" w:evenHBand="0" w:firstRowFirstColumn="0" w:firstRowLastColumn="0" w:lastRowFirstColumn="0" w:lastRowLastColumn="0"/>
              <w:rPr>
                <w:b/>
                <w:bCs/>
              </w:rPr>
            </w:pPr>
            <w:r w:rsidRPr="00B51E91">
              <w:rPr>
                <w:b/>
                <w:bCs/>
              </w:rPr>
              <w:t>Critical Appraisal Skills Programme</w:t>
            </w:r>
          </w:p>
        </w:tc>
      </w:tr>
      <w:tr w:rsidR="00586B0D" w14:paraId="657EA2F1" w14:textId="77777777" w:rsidTr="00C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44AD8D93" w14:textId="0EAC1ECB" w:rsidR="00586B0D" w:rsidRPr="00B51E91" w:rsidRDefault="00B22075" w:rsidP="003D0BCF">
            <w:r w:rsidRPr="00B51E91">
              <w:t>DEI</w:t>
            </w:r>
          </w:p>
        </w:tc>
        <w:tc>
          <w:tcPr>
            <w:tcW w:w="7903" w:type="dxa"/>
          </w:tcPr>
          <w:p w14:paraId="511D20C2" w14:textId="66E056D9" w:rsidR="00586B0D" w:rsidRPr="00B51E91" w:rsidRDefault="00E848CC" w:rsidP="003D0BCF">
            <w:pPr>
              <w:cnfStyle w:val="000000100000" w:firstRow="0" w:lastRow="0" w:firstColumn="0" w:lastColumn="0" w:oddVBand="0" w:evenVBand="0" w:oddHBand="1" w:evenHBand="0" w:firstRowFirstColumn="0" w:firstRowLastColumn="0" w:lastRowFirstColumn="0" w:lastRowLastColumn="0"/>
              <w:rPr>
                <w:b/>
                <w:bCs/>
              </w:rPr>
            </w:pPr>
            <w:r w:rsidRPr="00B51E91">
              <w:rPr>
                <w:b/>
                <w:bCs/>
              </w:rPr>
              <w:t>Diversity, Equity, and Inclusion</w:t>
            </w:r>
          </w:p>
        </w:tc>
      </w:tr>
      <w:tr w:rsidR="00586B0D" w14:paraId="060EDE6C" w14:textId="77777777" w:rsidTr="00C773E4">
        <w:tc>
          <w:tcPr>
            <w:cnfStyle w:val="001000000000" w:firstRow="0" w:lastRow="0" w:firstColumn="1" w:lastColumn="0" w:oddVBand="0" w:evenVBand="0" w:oddHBand="0" w:evenHBand="0" w:firstRowFirstColumn="0" w:firstRowLastColumn="0" w:lastRowFirstColumn="0" w:lastRowLastColumn="0"/>
            <w:tcW w:w="2547" w:type="dxa"/>
          </w:tcPr>
          <w:p w14:paraId="463DEA0B" w14:textId="3DA6803F" w:rsidR="00586B0D" w:rsidRPr="00B51E91" w:rsidRDefault="00260683" w:rsidP="003D0BCF">
            <w:r w:rsidRPr="00B51E91">
              <w:t>EU</w:t>
            </w:r>
          </w:p>
        </w:tc>
        <w:tc>
          <w:tcPr>
            <w:tcW w:w="7903" w:type="dxa"/>
          </w:tcPr>
          <w:p w14:paraId="50487073" w14:textId="07611C5A" w:rsidR="00586B0D" w:rsidRPr="00B51E91" w:rsidRDefault="003C0AFE" w:rsidP="003D0BCF">
            <w:pPr>
              <w:cnfStyle w:val="000000000000" w:firstRow="0" w:lastRow="0" w:firstColumn="0" w:lastColumn="0" w:oddVBand="0" w:evenVBand="0" w:oddHBand="0" w:evenHBand="0" w:firstRowFirstColumn="0" w:firstRowLastColumn="0" w:lastRowFirstColumn="0" w:lastRowLastColumn="0"/>
              <w:rPr>
                <w:b/>
                <w:bCs/>
              </w:rPr>
            </w:pPr>
            <w:r w:rsidRPr="00B51E91">
              <w:rPr>
                <w:b/>
                <w:bCs/>
              </w:rPr>
              <w:t>European Union</w:t>
            </w:r>
          </w:p>
        </w:tc>
      </w:tr>
      <w:tr w:rsidR="00586B0D" w14:paraId="0BC03ACE" w14:textId="77777777" w:rsidTr="00C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3778544" w14:textId="5709EE36" w:rsidR="00586B0D" w:rsidRPr="00B51E91" w:rsidRDefault="00931237" w:rsidP="003D0BCF">
            <w:r w:rsidRPr="00B51E91">
              <w:t>GDPR</w:t>
            </w:r>
          </w:p>
        </w:tc>
        <w:tc>
          <w:tcPr>
            <w:tcW w:w="7903" w:type="dxa"/>
          </w:tcPr>
          <w:p w14:paraId="1B4045BE" w14:textId="0AEAC98D" w:rsidR="00586B0D" w:rsidRPr="00B51E91" w:rsidRDefault="00697EDB" w:rsidP="003D0BCF">
            <w:pPr>
              <w:cnfStyle w:val="000000100000" w:firstRow="0" w:lastRow="0" w:firstColumn="0" w:lastColumn="0" w:oddVBand="0" w:evenVBand="0" w:oddHBand="1" w:evenHBand="0" w:firstRowFirstColumn="0" w:firstRowLastColumn="0" w:lastRowFirstColumn="0" w:lastRowLastColumn="0"/>
              <w:rPr>
                <w:b/>
                <w:bCs/>
              </w:rPr>
            </w:pPr>
            <w:r w:rsidRPr="00B51E91">
              <w:rPr>
                <w:b/>
                <w:bCs/>
              </w:rPr>
              <w:t>General Data Protection Regulation</w:t>
            </w:r>
          </w:p>
        </w:tc>
      </w:tr>
      <w:tr w:rsidR="00586B0D" w14:paraId="7ABF27CC" w14:textId="77777777" w:rsidTr="00C773E4">
        <w:tc>
          <w:tcPr>
            <w:cnfStyle w:val="001000000000" w:firstRow="0" w:lastRow="0" w:firstColumn="1" w:lastColumn="0" w:oddVBand="0" w:evenVBand="0" w:oddHBand="0" w:evenHBand="0" w:firstRowFirstColumn="0" w:firstRowLastColumn="0" w:lastRowFirstColumn="0" w:lastRowLastColumn="0"/>
            <w:tcW w:w="2547" w:type="dxa"/>
          </w:tcPr>
          <w:p w14:paraId="689CADD3" w14:textId="05945008" w:rsidR="00586B0D" w:rsidRPr="00B51E91" w:rsidRDefault="007C4B24" w:rsidP="003D0BCF">
            <w:r w:rsidRPr="00B51E91">
              <w:t>HRM</w:t>
            </w:r>
          </w:p>
        </w:tc>
        <w:tc>
          <w:tcPr>
            <w:tcW w:w="7903" w:type="dxa"/>
          </w:tcPr>
          <w:p w14:paraId="5DC5724F" w14:textId="23325FE1" w:rsidR="00586B0D" w:rsidRPr="00B51E91" w:rsidRDefault="00CE04C8" w:rsidP="003D0BCF">
            <w:pPr>
              <w:cnfStyle w:val="000000000000" w:firstRow="0" w:lastRow="0" w:firstColumn="0" w:lastColumn="0" w:oddVBand="0" w:evenVBand="0" w:oddHBand="0" w:evenHBand="0" w:firstRowFirstColumn="0" w:firstRowLastColumn="0" w:lastRowFirstColumn="0" w:lastRowLastColumn="0"/>
              <w:rPr>
                <w:b/>
                <w:bCs/>
              </w:rPr>
            </w:pPr>
            <w:r w:rsidRPr="00B51E91">
              <w:rPr>
                <w:b/>
                <w:bCs/>
              </w:rPr>
              <w:t>Human Resource Management</w:t>
            </w:r>
          </w:p>
        </w:tc>
      </w:tr>
      <w:tr w:rsidR="00586B0D" w14:paraId="2828E40F" w14:textId="77777777" w:rsidTr="00C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266BAEB" w14:textId="090FEEA8" w:rsidR="00586B0D" w:rsidRPr="00B51E91" w:rsidRDefault="00B72E0D" w:rsidP="003D0BCF">
            <w:r w:rsidRPr="00B51E91">
              <w:t>IT</w:t>
            </w:r>
          </w:p>
        </w:tc>
        <w:tc>
          <w:tcPr>
            <w:tcW w:w="7903" w:type="dxa"/>
          </w:tcPr>
          <w:p w14:paraId="0A1D7BF4" w14:textId="2D7A6C6C" w:rsidR="00586B0D" w:rsidRPr="00B51E91" w:rsidRDefault="00DA5A0E" w:rsidP="003D0BCF">
            <w:pPr>
              <w:cnfStyle w:val="000000100000" w:firstRow="0" w:lastRow="0" w:firstColumn="0" w:lastColumn="0" w:oddVBand="0" w:evenVBand="0" w:oddHBand="1" w:evenHBand="0" w:firstRowFirstColumn="0" w:firstRowLastColumn="0" w:lastRowFirstColumn="0" w:lastRowLastColumn="0"/>
              <w:rPr>
                <w:b/>
                <w:bCs/>
              </w:rPr>
            </w:pPr>
            <w:r w:rsidRPr="00B51E91">
              <w:rPr>
                <w:b/>
                <w:bCs/>
              </w:rPr>
              <w:t>Information Technology</w:t>
            </w:r>
          </w:p>
        </w:tc>
      </w:tr>
      <w:tr w:rsidR="00586B0D" w14:paraId="4FB8726E" w14:textId="77777777" w:rsidTr="00C773E4">
        <w:tc>
          <w:tcPr>
            <w:cnfStyle w:val="001000000000" w:firstRow="0" w:lastRow="0" w:firstColumn="1" w:lastColumn="0" w:oddVBand="0" w:evenVBand="0" w:oddHBand="0" w:evenHBand="0" w:firstRowFirstColumn="0" w:firstRowLastColumn="0" w:lastRowFirstColumn="0" w:lastRowLastColumn="0"/>
            <w:tcW w:w="2547" w:type="dxa"/>
          </w:tcPr>
          <w:p w14:paraId="43C1D191" w14:textId="5856C97E" w:rsidR="00586B0D" w:rsidRPr="00B51E91" w:rsidRDefault="002F2763" w:rsidP="003D0BCF">
            <w:r w:rsidRPr="00B51E91">
              <w:t>LIME</w:t>
            </w:r>
          </w:p>
        </w:tc>
        <w:tc>
          <w:tcPr>
            <w:tcW w:w="7903" w:type="dxa"/>
          </w:tcPr>
          <w:p w14:paraId="7D917167" w14:textId="2D32B1DA" w:rsidR="00586B0D" w:rsidRPr="00B51E91" w:rsidRDefault="00FD0430" w:rsidP="003D0BCF">
            <w:pPr>
              <w:cnfStyle w:val="000000000000" w:firstRow="0" w:lastRow="0" w:firstColumn="0" w:lastColumn="0" w:oddVBand="0" w:evenVBand="0" w:oddHBand="0" w:evenHBand="0" w:firstRowFirstColumn="0" w:firstRowLastColumn="0" w:lastRowFirstColumn="0" w:lastRowLastColumn="0"/>
              <w:rPr>
                <w:b/>
                <w:bCs/>
              </w:rPr>
            </w:pPr>
            <w:r w:rsidRPr="00B51E91">
              <w:rPr>
                <w:b/>
                <w:bCs/>
              </w:rPr>
              <w:t>Local Interpretable Model-agnostic Explanations</w:t>
            </w:r>
          </w:p>
        </w:tc>
      </w:tr>
      <w:tr w:rsidR="00586B0D" w14:paraId="5EECB105" w14:textId="77777777" w:rsidTr="00C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20AC318" w14:textId="6167D52A" w:rsidR="00586B0D" w:rsidRPr="00B51E91" w:rsidRDefault="002F2763" w:rsidP="003D0BCF">
            <w:r w:rsidRPr="00B51E91">
              <w:t>MNC</w:t>
            </w:r>
          </w:p>
        </w:tc>
        <w:tc>
          <w:tcPr>
            <w:tcW w:w="7903" w:type="dxa"/>
          </w:tcPr>
          <w:p w14:paraId="21EB6775" w14:textId="2FAAE636" w:rsidR="00586B0D" w:rsidRPr="00B51E91" w:rsidRDefault="00616B95" w:rsidP="003D0BCF">
            <w:pPr>
              <w:cnfStyle w:val="000000100000" w:firstRow="0" w:lastRow="0" w:firstColumn="0" w:lastColumn="0" w:oddVBand="0" w:evenVBand="0" w:oddHBand="1" w:evenHBand="0" w:firstRowFirstColumn="0" w:firstRowLastColumn="0" w:lastRowFirstColumn="0" w:lastRowLastColumn="0"/>
              <w:rPr>
                <w:b/>
                <w:bCs/>
              </w:rPr>
            </w:pPr>
            <w:r w:rsidRPr="00B51E91">
              <w:rPr>
                <w:b/>
                <w:bCs/>
              </w:rPr>
              <w:t>Multinational Company (or Multinational Corporation)</w:t>
            </w:r>
          </w:p>
        </w:tc>
      </w:tr>
      <w:tr w:rsidR="00586B0D" w14:paraId="321391AD" w14:textId="77777777" w:rsidTr="00C773E4">
        <w:tc>
          <w:tcPr>
            <w:cnfStyle w:val="001000000000" w:firstRow="0" w:lastRow="0" w:firstColumn="1" w:lastColumn="0" w:oddVBand="0" w:evenVBand="0" w:oddHBand="0" w:evenHBand="0" w:firstRowFirstColumn="0" w:firstRowLastColumn="0" w:lastRowFirstColumn="0" w:lastRowLastColumn="0"/>
            <w:tcW w:w="2547" w:type="dxa"/>
          </w:tcPr>
          <w:p w14:paraId="394FEB87" w14:textId="208F2E71" w:rsidR="00586B0D" w:rsidRPr="00B51E91" w:rsidRDefault="00F67E6D" w:rsidP="003D0BCF">
            <w:r w:rsidRPr="00B51E91">
              <w:t>MMAT</w:t>
            </w:r>
          </w:p>
        </w:tc>
        <w:tc>
          <w:tcPr>
            <w:tcW w:w="7903" w:type="dxa"/>
          </w:tcPr>
          <w:p w14:paraId="4A0B644C" w14:textId="4236628C" w:rsidR="00586B0D" w:rsidRPr="00B51E91" w:rsidRDefault="00194A94" w:rsidP="003D0BCF">
            <w:pPr>
              <w:cnfStyle w:val="000000000000" w:firstRow="0" w:lastRow="0" w:firstColumn="0" w:lastColumn="0" w:oddVBand="0" w:evenVBand="0" w:oddHBand="0" w:evenHBand="0" w:firstRowFirstColumn="0" w:firstRowLastColumn="0" w:lastRowFirstColumn="0" w:lastRowLastColumn="0"/>
              <w:rPr>
                <w:b/>
                <w:bCs/>
              </w:rPr>
            </w:pPr>
            <w:r w:rsidRPr="00B51E91">
              <w:rPr>
                <w:b/>
                <w:bCs/>
              </w:rPr>
              <w:t>Mixed Methods Appraisal Tool</w:t>
            </w:r>
          </w:p>
        </w:tc>
      </w:tr>
      <w:tr w:rsidR="00586B0D" w14:paraId="69DEDB74" w14:textId="77777777" w:rsidTr="00C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3C85A10" w14:textId="2384148B" w:rsidR="00586B0D" w:rsidRPr="00B51E91" w:rsidRDefault="00F67E6D" w:rsidP="003D0BCF">
            <w:r w:rsidRPr="00B51E91">
              <w:t>NLP</w:t>
            </w:r>
          </w:p>
        </w:tc>
        <w:tc>
          <w:tcPr>
            <w:tcW w:w="7903" w:type="dxa"/>
          </w:tcPr>
          <w:p w14:paraId="2833E4D7" w14:textId="53327715" w:rsidR="00586B0D" w:rsidRPr="00B51E91" w:rsidRDefault="00630961" w:rsidP="003D0BCF">
            <w:pPr>
              <w:cnfStyle w:val="000000100000" w:firstRow="0" w:lastRow="0" w:firstColumn="0" w:lastColumn="0" w:oddVBand="0" w:evenVBand="0" w:oddHBand="1" w:evenHBand="0" w:firstRowFirstColumn="0" w:firstRowLastColumn="0" w:lastRowFirstColumn="0" w:lastRowLastColumn="0"/>
              <w:rPr>
                <w:b/>
                <w:bCs/>
              </w:rPr>
            </w:pPr>
            <w:r w:rsidRPr="00B51E91">
              <w:rPr>
                <w:b/>
                <w:bCs/>
              </w:rPr>
              <w:t>Natural Language Processing</w:t>
            </w:r>
          </w:p>
        </w:tc>
      </w:tr>
      <w:tr w:rsidR="00586B0D" w14:paraId="1BE6ECF1" w14:textId="77777777" w:rsidTr="00C773E4">
        <w:tc>
          <w:tcPr>
            <w:cnfStyle w:val="001000000000" w:firstRow="0" w:lastRow="0" w:firstColumn="1" w:lastColumn="0" w:oddVBand="0" w:evenVBand="0" w:oddHBand="0" w:evenHBand="0" w:firstRowFirstColumn="0" w:firstRowLastColumn="0" w:lastRowFirstColumn="0" w:lastRowLastColumn="0"/>
            <w:tcW w:w="2547" w:type="dxa"/>
          </w:tcPr>
          <w:p w14:paraId="2595D8B2" w14:textId="7B89EBCF" w:rsidR="00586B0D" w:rsidRPr="00B51E91" w:rsidRDefault="00F67E6D" w:rsidP="003D0BCF">
            <w:r w:rsidRPr="00B51E91">
              <w:t>PRISMA</w:t>
            </w:r>
          </w:p>
        </w:tc>
        <w:tc>
          <w:tcPr>
            <w:tcW w:w="7903" w:type="dxa"/>
          </w:tcPr>
          <w:p w14:paraId="00A6D931" w14:textId="300EA8B7" w:rsidR="00586B0D" w:rsidRPr="00B51E91" w:rsidRDefault="00190709" w:rsidP="003D0BCF">
            <w:pPr>
              <w:cnfStyle w:val="000000000000" w:firstRow="0" w:lastRow="0" w:firstColumn="0" w:lastColumn="0" w:oddVBand="0" w:evenVBand="0" w:oddHBand="0" w:evenHBand="0" w:firstRowFirstColumn="0" w:firstRowLastColumn="0" w:lastRowFirstColumn="0" w:lastRowLastColumn="0"/>
              <w:rPr>
                <w:b/>
                <w:bCs/>
              </w:rPr>
            </w:pPr>
            <w:r w:rsidRPr="00B51E91">
              <w:rPr>
                <w:b/>
                <w:bCs/>
              </w:rPr>
              <w:t>Preferred Reporting Items for Systematic Reviews and Meta-Analyses</w:t>
            </w:r>
          </w:p>
        </w:tc>
      </w:tr>
      <w:tr w:rsidR="00586B0D" w14:paraId="1E864368" w14:textId="77777777" w:rsidTr="00C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51C9F9D" w14:textId="61E313B7" w:rsidR="00586B0D" w:rsidRPr="00B51E91" w:rsidRDefault="006B7218" w:rsidP="003D0BCF">
            <w:r w:rsidRPr="00B51E91">
              <w:t>SHAP</w:t>
            </w:r>
          </w:p>
        </w:tc>
        <w:tc>
          <w:tcPr>
            <w:tcW w:w="7903" w:type="dxa"/>
          </w:tcPr>
          <w:p w14:paraId="362402A5" w14:textId="175896FA" w:rsidR="00586B0D" w:rsidRPr="00B51E91" w:rsidRDefault="00B84762" w:rsidP="003D0BCF">
            <w:pPr>
              <w:cnfStyle w:val="000000100000" w:firstRow="0" w:lastRow="0" w:firstColumn="0" w:lastColumn="0" w:oddVBand="0" w:evenVBand="0" w:oddHBand="1" w:evenHBand="0" w:firstRowFirstColumn="0" w:firstRowLastColumn="0" w:lastRowFirstColumn="0" w:lastRowLastColumn="0"/>
              <w:rPr>
                <w:b/>
                <w:bCs/>
              </w:rPr>
            </w:pPr>
            <w:proofErr w:type="spellStart"/>
            <w:r w:rsidRPr="00B51E91">
              <w:rPr>
                <w:b/>
                <w:bCs/>
              </w:rPr>
              <w:t>SHapley</w:t>
            </w:r>
            <w:proofErr w:type="spellEnd"/>
            <w:r w:rsidRPr="00B51E91">
              <w:rPr>
                <w:b/>
                <w:bCs/>
              </w:rPr>
              <w:t xml:space="preserve"> Additive </w:t>
            </w:r>
            <w:proofErr w:type="spellStart"/>
            <w:r w:rsidRPr="00B51E91">
              <w:rPr>
                <w:b/>
                <w:bCs/>
              </w:rPr>
              <w:t>exPlanations</w:t>
            </w:r>
            <w:proofErr w:type="spellEnd"/>
          </w:p>
        </w:tc>
      </w:tr>
      <w:tr w:rsidR="00586B0D" w14:paraId="05C2D15F" w14:textId="77777777" w:rsidTr="00C773E4">
        <w:tc>
          <w:tcPr>
            <w:cnfStyle w:val="001000000000" w:firstRow="0" w:lastRow="0" w:firstColumn="1" w:lastColumn="0" w:oddVBand="0" w:evenVBand="0" w:oddHBand="0" w:evenHBand="0" w:firstRowFirstColumn="0" w:firstRowLastColumn="0" w:lastRowFirstColumn="0" w:lastRowLastColumn="0"/>
            <w:tcW w:w="2547" w:type="dxa"/>
          </w:tcPr>
          <w:p w14:paraId="1FD4A548" w14:textId="4E82B24E" w:rsidR="00586B0D" w:rsidRPr="00B51E91" w:rsidRDefault="00826837" w:rsidP="003D0BCF">
            <w:r w:rsidRPr="00B51E91">
              <w:t>SLR</w:t>
            </w:r>
          </w:p>
        </w:tc>
        <w:tc>
          <w:tcPr>
            <w:tcW w:w="7903" w:type="dxa"/>
          </w:tcPr>
          <w:p w14:paraId="3BD56CFC" w14:textId="408C59B0" w:rsidR="00586B0D" w:rsidRPr="00B51E91" w:rsidRDefault="00A415D2" w:rsidP="003D0BCF">
            <w:pPr>
              <w:cnfStyle w:val="000000000000" w:firstRow="0" w:lastRow="0" w:firstColumn="0" w:lastColumn="0" w:oddVBand="0" w:evenVBand="0" w:oddHBand="0" w:evenHBand="0" w:firstRowFirstColumn="0" w:firstRowLastColumn="0" w:lastRowFirstColumn="0" w:lastRowLastColumn="0"/>
              <w:rPr>
                <w:b/>
                <w:bCs/>
              </w:rPr>
            </w:pPr>
            <w:r w:rsidRPr="00B51E91">
              <w:rPr>
                <w:b/>
                <w:bCs/>
              </w:rPr>
              <w:t>Systematic Literature Review</w:t>
            </w:r>
          </w:p>
        </w:tc>
      </w:tr>
      <w:tr w:rsidR="00586B0D" w14:paraId="1C844CD7" w14:textId="77777777" w:rsidTr="00C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DE6EA7A" w14:textId="2AC01CB2" w:rsidR="00586B0D" w:rsidRPr="00B51E91" w:rsidRDefault="00681909" w:rsidP="003D0BCF">
            <w:r w:rsidRPr="00B51E91">
              <w:t>STS</w:t>
            </w:r>
          </w:p>
        </w:tc>
        <w:tc>
          <w:tcPr>
            <w:tcW w:w="7903" w:type="dxa"/>
          </w:tcPr>
          <w:p w14:paraId="3EBE104E" w14:textId="390B7004" w:rsidR="00586B0D" w:rsidRPr="00B51E91" w:rsidRDefault="00D00F23" w:rsidP="003D0BCF">
            <w:pPr>
              <w:cnfStyle w:val="000000100000" w:firstRow="0" w:lastRow="0" w:firstColumn="0" w:lastColumn="0" w:oddVBand="0" w:evenVBand="0" w:oddHBand="1" w:evenHBand="0" w:firstRowFirstColumn="0" w:firstRowLastColumn="0" w:lastRowFirstColumn="0" w:lastRowLastColumn="0"/>
              <w:rPr>
                <w:b/>
                <w:bCs/>
              </w:rPr>
            </w:pPr>
            <w:r w:rsidRPr="00B51E91">
              <w:rPr>
                <w:b/>
                <w:bCs/>
              </w:rPr>
              <w:t>Socio-Technical Systems</w:t>
            </w:r>
          </w:p>
        </w:tc>
      </w:tr>
      <w:tr w:rsidR="00586B0D" w14:paraId="6F3D6262" w14:textId="77777777" w:rsidTr="00C773E4">
        <w:tc>
          <w:tcPr>
            <w:cnfStyle w:val="001000000000" w:firstRow="0" w:lastRow="0" w:firstColumn="1" w:lastColumn="0" w:oddVBand="0" w:evenVBand="0" w:oddHBand="0" w:evenHBand="0" w:firstRowFirstColumn="0" w:firstRowLastColumn="0" w:lastRowFirstColumn="0" w:lastRowLastColumn="0"/>
            <w:tcW w:w="2547" w:type="dxa"/>
          </w:tcPr>
          <w:p w14:paraId="1A84990B" w14:textId="204F0B9F" w:rsidR="00586B0D" w:rsidRPr="00B51E91" w:rsidRDefault="00681909" w:rsidP="003D0BCF">
            <w:r w:rsidRPr="00B51E91">
              <w:t>UK</w:t>
            </w:r>
          </w:p>
        </w:tc>
        <w:tc>
          <w:tcPr>
            <w:tcW w:w="7903" w:type="dxa"/>
          </w:tcPr>
          <w:p w14:paraId="6BEFF2AA" w14:textId="3910950E" w:rsidR="00586B0D" w:rsidRPr="00B51E91" w:rsidRDefault="004B6728" w:rsidP="003D0BCF">
            <w:pPr>
              <w:cnfStyle w:val="000000000000" w:firstRow="0" w:lastRow="0" w:firstColumn="0" w:lastColumn="0" w:oddVBand="0" w:evenVBand="0" w:oddHBand="0" w:evenHBand="0" w:firstRowFirstColumn="0" w:firstRowLastColumn="0" w:lastRowFirstColumn="0" w:lastRowLastColumn="0"/>
              <w:rPr>
                <w:b/>
                <w:bCs/>
              </w:rPr>
            </w:pPr>
            <w:r w:rsidRPr="00B51E91">
              <w:rPr>
                <w:b/>
                <w:bCs/>
              </w:rPr>
              <w:t>United Kingdom</w:t>
            </w:r>
          </w:p>
        </w:tc>
      </w:tr>
      <w:tr w:rsidR="00586B0D" w14:paraId="1EFAAB05" w14:textId="77777777" w:rsidTr="00C773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0F448C2" w14:textId="56C967D3" w:rsidR="00586B0D" w:rsidRPr="00B51E91" w:rsidRDefault="00681909" w:rsidP="003D0BCF">
            <w:r w:rsidRPr="00B51E91">
              <w:t>US</w:t>
            </w:r>
          </w:p>
        </w:tc>
        <w:tc>
          <w:tcPr>
            <w:tcW w:w="7903" w:type="dxa"/>
          </w:tcPr>
          <w:p w14:paraId="5697F764" w14:textId="32720CAF" w:rsidR="00586B0D" w:rsidRPr="00B51E91" w:rsidRDefault="00652803" w:rsidP="003D0BCF">
            <w:pPr>
              <w:cnfStyle w:val="000000100000" w:firstRow="0" w:lastRow="0" w:firstColumn="0" w:lastColumn="0" w:oddVBand="0" w:evenVBand="0" w:oddHBand="1" w:evenHBand="0" w:firstRowFirstColumn="0" w:firstRowLastColumn="0" w:lastRowFirstColumn="0" w:lastRowLastColumn="0"/>
              <w:rPr>
                <w:b/>
                <w:bCs/>
              </w:rPr>
            </w:pPr>
            <w:r w:rsidRPr="00B51E91">
              <w:rPr>
                <w:b/>
                <w:bCs/>
              </w:rPr>
              <w:t>United States</w:t>
            </w:r>
          </w:p>
        </w:tc>
      </w:tr>
    </w:tbl>
    <w:p w14:paraId="60D964C5" w14:textId="77777777" w:rsidR="00CE269C" w:rsidRPr="00CE269C" w:rsidRDefault="00CE269C" w:rsidP="001841D9">
      <w:pPr>
        <w:rPr>
          <w:b/>
          <w:color w:val="153D63" w:themeColor="text2" w:themeTint="E6"/>
          <w:sz w:val="10"/>
          <w:szCs w:val="10"/>
        </w:rPr>
      </w:pPr>
    </w:p>
    <w:p w14:paraId="5D181892" w14:textId="0F2D887A" w:rsidR="00586B0D" w:rsidRPr="001841D9" w:rsidRDefault="00BF17F7" w:rsidP="001841D9">
      <w:pPr>
        <w:rPr>
          <w:b/>
          <w:color w:val="153D63" w:themeColor="text2" w:themeTint="E6"/>
          <w:sz w:val="36"/>
          <w:szCs w:val="36"/>
        </w:rPr>
      </w:pPr>
      <w:r w:rsidRPr="001841D9">
        <w:rPr>
          <w:b/>
          <w:color w:val="153D63" w:themeColor="text2" w:themeTint="E6"/>
          <w:sz w:val="36"/>
          <w:szCs w:val="36"/>
        </w:rPr>
        <w:t>GLOSSARY</w:t>
      </w:r>
    </w:p>
    <w:tbl>
      <w:tblPr>
        <w:tblStyle w:val="ListTable1Light"/>
        <w:tblW w:w="0" w:type="auto"/>
        <w:tblLook w:val="04A0" w:firstRow="1" w:lastRow="0" w:firstColumn="1" w:lastColumn="0" w:noHBand="0" w:noVBand="1"/>
      </w:tblPr>
      <w:tblGrid>
        <w:gridCol w:w="3114"/>
        <w:gridCol w:w="7336"/>
      </w:tblGrid>
      <w:tr w:rsidR="00E14E11" w14:paraId="2CE8F174" w14:textId="77777777" w:rsidTr="000D70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0F5526B7" w14:textId="68803E4D" w:rsidR="00E14E11" w:rsidRPr="00E43252" w:rsidRDefault="00651C6A" w:rsidP="00BF17F7">
            <w:pPr>
              <w:rPr>
                <w:color w:val="000000" w:themeColor="text1"/>
                <w:sz w:val="32"/>
                <w:szCs w:val="32"/>
              </w:rPr>
            </w:pPr>
            <w:r w:rsidRPr="00E43252">
              <w:rPr>
                <w:color w:val="000000" w:themeColor="text1"/>
                <w:sz w:val="32"/>
                <w:szCs w:val="32"/>
              </w:rPr>
              <w:t>Term</w:t>
            </w:r>
          </w:p>
        </w:tc>
        <w:tc>
          <w:tcPr>
            <w:tcW w:w="7336" w:type="dxa"/>
          </w:tcPr>
          <w:p w14:paraId="50BAE4D0" w14:textId="2DB6F9B0" w:rsidR="00E14E11" w:rsidRPr="00E43252" w:rsidRDefault="00CC27A9" w:rsidP="003D0BCF">
            <w:pPr>
              <w:cnfStyle w:val="100000000000" w:firstRow="1" w:lastRow="0" w:firstColumn="0" w:lastColumn="0" w:oddVBand="0" w:evenVBand="0" w:oddHBand="0" w:evenHBand="0" w:firstRowFirstColumn="0" w:firstRowLastColumn="0" w:lastRowFirstColumn="0" w:lastRowLastColumn="0"/>
              <w:rPr>
                <w:color w:val="000000" w:themeColor="text1"/>
                <w:sz w:val="32"/>
                <w:szCs w:val="32"/>
              </w:rPr>
            </w:pPr>
            <w:r w:rsidRPr="00E43252">
              <w:rPr>
                <w:color w:val="000000" w:themeColor="text1"/>
                <w:sz w:val="32"/>
                <w:szCs w:val="32"/>
              </w:rPr>
              <w:t>Definition</w:t>
            </w:r>
          </w:p>
        </w:tc>
      </w:tr>
      <w:tr w:rsidR="00E14E11" w14:paraId="472783B3"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4843E69C" w14:textId="77777777" w:rsidR="001274C0" w:rsidRPr="004648B1" w:rsidRDefault="001274C0" w:rsidP="001274C0">
            <w:pPr>
              <w:rPr>
                <w:b w:val="0"/>
                <w:bCs w:val="0"/>
              </w:rPr>
            </w:pPr>
            <w:r w:rsidRPr="004648B1">
              <w:rPr>
                <w:b w:val="0"/>
                <w:bCs w:val="0"/>
              </w:rPr>
              <w:t>Algorithmic bias</w:t>
            </w:r>
          </w:p>
          <w:p w14:paraId="7F83CC93" w14:textId="77777777" w:rsidR="00E14E11" w:rsidRDefault="00E14E11" w:rsidP="003D0BCF">
            <w:pPr>
              <w:rPr>
                <w:b w:val="0"/>
                <w:bCs w:val="0"/>
                <w:color w:val="153D63" w:themeColor="text2" w:themeTint="E6"/>
                <w:sz w:val="28"/>
                <w:szCs w:val="28"/>
              </w:rPr>
            </w:pPr>
          </w:p>
        </w:tc>
        <w:tc>
          <w:tcPr>
            <w:tcW w:w="7336" w:type="dxa"/>
          </w:tcPr>
          <w:p w14:paraId="7E4C10A5" w14:textId="13D67DDF" w:rsidR="00E14E11" w:rsidRDefault="001274C0" w:rsidP="003D0BCF">
            <w:pPr>
              <w:cnfStyle w:val="000000100000" w:firstRow="0" w:lastRow="0" w:firstColumn="0" w:lastColumn="0" w:oddVBand="0" w:evenVBand="0" w:oddHBand="1" w:evenHBand="0" w:firstRowFirstColumn="0" w:firstRowLastColumn="0" w:lastRowFirstColumn="0" w:lastRowLastColumn="0"/>
              <w:rPr>
                <w:b/>
                <w:bCs/>
                <w:color w:val="153D63" w:themeColor="text2" w:themeTint="E6"/>
                <w:sz w:val="28"/>
                <w:szCs w:val="28"/>
              </w:rPr>
            </w:pPr>
            <w:r w:rsidRPr="004648B1">
              <w:t>Systematic and repeatable errors in AI systems that create unfair outcomes, such as privileging one category of candidates over others. Bias can arise from historical training data, proxy variables, or flawed model design</w:t>
            </w:r>
            <w:r w:rsidR="004A734D">
              <w:t>.</w:t>
            </w:r>
          </w:p>
        </w:tc>
      </w:tr>
      <w:tr w:rsidR="00E14E11" w14:paraId="09024EC7"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51F44A4F" w14:textId="4EEDA6DB" w:rsidR="00E14E11" w:rsidRPr="001274C0" w:rsidRDefault="001274C0" w:rsidP="003D0BCF">
            <w:pPr>
              <w:rPr>
                <w:b w:val="0"/>
                <w:bCs w:val="0"/>
              </w:rPr>
            </w:pPr>
            <w:r w:rsidRPr="004648B1">
              <w:rPr>
                <w:b w:val="0"/>
                <w:bCs w:val="0"/>
              </w:rPr>
              <w:t>Algorithmic decision-making</w:t>
            </w:r>
          </w:p>
        </w:tc>
        <w:tc>
          <w:tcPr>
            <w:tcW w:w="7336" w:type="dxa"/>
          </w:tcPr>
          <w:p w14:paraId="23D3A233" w14:textId="2258AFA2" w:rsidR="00E14E11" w:rsidRDefault="004A734D" w:rsidP="003D0BCF">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28"/>
                <w:szCs w:val="28"/>
              </w:rPr>
            </w:pPr>
            <w:r w:rsidRPr="004648B1">
              <w:t>The use of computational processes, often based on statistical models or machine learning, to make or support decisions in recruitment, such as screening, ranking, or selecting candidates</w:t>
            </w:r>
            <w:r>
              <w:t>.</w:t>
            </w:r>
          </w:p>
        </w:tc>
      </w:tr>
      <w:tr w:rsidR="00E14E11" w14:paraId="6F944B7B"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2CDB0280" w14:textId="77777777" w:rsidR="004A734D" w:rsidRPr="004648B1" w:rsidRDefault="004A734D" w:rsidP="004A734D">
            <w:pPr>
              <w:rPr>
                <w:b w:val="0"/>
                <w:bCs w:val="0"/>
              </w:rPr>
            </w:pPr>
            <w:r w:rsidRPr="004648B1">
              <w:rPr>
                <w:b w:val="0"/>
                <w:bCs w:val="0"/>
              </w:rPr>
              <w:t>Artificial Intelligence (AI)</w:t>
            </w:r>
          </w:p>
          <w:p w14:paraId="3894F060" w14:textId="77777777" w:rsidR="00E14E11" w:rsidRDefault="00E14E11" w:rsidP="003D0BCF">
            <w:pPr>
              <w:rPr>
                <w:b w:val="0"/>
                <w:bCs w:val="0"/>
                <w:color w:val="153D63" w:themeColor="text2" w:themeTint="E6"/>
                <w:sz w:val="28"/>
                <w:szCs w:val="28"/>
              </w:rPr>
            </w:pPr>
          </w:p>
        </w:tc>
        <w:tc>
          <w:tcPr>
            <w:tcW w:w="7336" w:type="dxa"/>
          </w:tcPr>
          <w:p w14:paraId="44D662AC" w14:textId="5844A13E" w:rsidR="00E14E11" w:rsidRDefault="004A734D" w:rsidP="003D0BCF">
            <w:pPr>
              <w:cnfStyle w:val="000000100000" w:firstRow="0" w:lastRow="0" w:firstColumn="0" w:lastColumn="0" w:oddVBand="0" w:evenVBand="0" w:oddHBand="1" w:evenHBand="0" w:firstRowFirstColumn="0" w:firstRowLastColumn="0" w:lastRowFirstColumn="0" w:lastRowLastColumn="0"/>
              <w:rPr>
                <w:b/>
                <w:bCs/>
                <w:color w:val="153D63" w:themeColor="text2" w:themeTint="E6"/>
                <w:sz w:val="28"/>
                <w:szCs w:val="28"/>
              </w:rPr>
            </w:pPr>
            <w:r w:rsidRPr="004648B1">
              <w:t>Computer systems capable of performing tasks that typically require human intelligence, including learning, reasoning, problem-solving, and pattern recognition. In recruitment, AI includes machine learning classifiers, natural language processing, and computer vision systems</w:t>
            </w:r>
            <w:r>
              <w:t>.</w:t>
            </w:r>
          </w:p>
        </w:tc>
      </w:tr>
      <w:tr w:rsidR="00E14E11" w14:paraId="3B52D587"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16D0BCE8" w14:textId="77777777" w:rsidR="004A734D" w:rsidRPr="004648B1" w:rsidRDefault="004A734D" w:rsidP="004A734D">
            <w:pPr>
              <w:rPr>
                <w:b w:val="0"/>
                <w:bCs w:val="0"/>
              </w:rPr>
            </w:pPr>
            <w:r w:rsidRPr="004648B1">
              <w:rPr>
                <w:b w:val="0"/>
                <w:bCs w:val="0"/>
              </w:rPr>
              <w:t>Automation bias</w:t>
            </w:r>
          </w:p>
          <w:p w14:paraId="27209636" w14:textId="77777777" w:rsidR="00E14E11" w:rsidRDefault="00E14E11" w:rsidP="003D0BCF">
            <w:pPr>
              <w:rPr>
                <w:b w:val="0"/>
                <w:bCs w:val="0"/>
                <w:color w:val="153D63" w:themeColor="text2" w:themeTint="E6"/>
                <w:sz w:val="28"/>
                <w:szCs w:val="28"/>
              </w:rPr>
            </w:pPr>
          </w:p>
        </w:tc>
        <w:tc>
          <w:tcPr>
            <w:tcW w:w="7336" w:type="dxa"/>
          </w:tcPr>
          <w:p w14:paraId="282F5815" w14:textId="09D38D0A" w:rsidR="00E14E11" w:rsidRDefault="004A734D" w:rsidP="003D0BCF">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28"/>
                <w:szCs w:val="28"/>
              </w:rPr>
            </w:pPr>
            <w:r w:rsidRPr="004648B1">
              <w:t>The tendency for humans to over-rely on automated systems or algorithmic recommendations, even when contradictory information is available or when the system is known to be fallible</w:t>
            </w:r>
            <w:r>
              <w:t>.</w:t>
            </w:r>
          </w:p>
        </w:tc>
      </w:tr>
      <w:tr w:rsidR="00E14E11" w14:paraId="11FFE518"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4FF6A2C1" w14:textId="77777777" w:rsidR="004A734D" w:rsidRPr="004648B1" w:rsidRDefault="004A734D" w:rsidP="004A734D">
            <w:pPr>
              <w:rPr>
                <w:b w:val="0"/>
                <w:bCs w:val="0"/>
              </w:rPr>
            </w:pPr>
            <w:r w:rsidRPr="004648B1">
              <w:rPr>
                <w:b w:val="0"/>
                <w:bCs w:val="0"/>
              </w:rPr>
              <w:lastRenderedPageBreak/>
              <w:t>Bias mitigation</w:t>
            </w:r>
          </w:p>
          <w:p w14:paraId="73D662D9" w14:textId="77777777" w:rsidR="00E14E11" w:rsidRDefault="00E14E11" w:rsidP="003D0BCF">
            <w:pPr>
              <w:rPr>
                <w:b w:val="0"/>
                <w:bCs w:val="0"/>
                <w:color w:val="153D63" w:themeColor="text2" w:themeTint="E6"/>
                <w:sz w:val="28"/>
                <w:szCs w:val="28"/>
              </w:rPr>
            </w:pPr>
          </w:p>
        </w:tc>
        <w:tc>
          <w:tcPr>
            <w:tcW w:w="7336" w:type="dxa"/>
          </w:tcPr>
          <w:p w14:paraId="029B11A0" w14:textId="4B98E898" w:rsidR="00E14E11" w:rsidRDefault="004A734D" w:rsidP="003D0BCF">
            <w:pPr>
              <w:cnfStyle w:val="000000100000" w:firstRow="0" w:lastRow="0" w:firstColumn="0" w:lastColumn="0" w:oddVBand="0" w:evenVBand="0" w:oddHBand="1" w:evenHBand="0" w:firstRowFirstColumn="0" w:firstRowLastColumn="0" w:lastRowFirstColumn="0" w:lastRowLastColumn="0"/>
              <w:rPr>
                <w:b/>
                <w:bCs/>
                <w:color w:val="153D63" w:themeColor="text2" w:themeTint="E6"/>
                <w:sz w:val="28"/>
                <w:szCs w:val="28"/>
              </w:rPr>
            </w:pPr>
            <w:r w:rsidRPr="004648B1">
              <w:t>Techniques used to reduce or eliminate algorithmic bias, including pre-processing (adjusting training data), in-processing (modifying model development), and post-processing (adjusting model outputs) approaches</w:t>
            </w:r>
            <w:r>
              <w:t>.</w:t>
            </w:r>
          </w:p>
        </w:tc>
      </w:tr>
      <w:tr w:rsidR="00E14E11" w14:paraId="4911254B"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5B6E119A" w14:textId="77777777" w:rsidR="004A734D" w:rsidRPr="004648B1" w:rsidRDefault="004A734D" w:rsidP="004A734D">
            <w:pPr>
              <w:rPr>
                <w:b w:val="0"/>
                <w:bCs w:val="0"/>
              </w:rPr>
            </w:pPr>
            <w:r w:rsidRPr="004648B1">
              <w:rPr>
                <w:b w:val="0"/>
                <w:bCs w:val="0"/>
              </w:rPr>
              <w:t>Cross-border recruitment</w:t>
            </w:r>
          </w:p>
          <w:p w14:paraId="21048584" w14:textId="77777777" w:rsidR="00E14E11" w:rsidRDefault="00E14E11" w:rsidP="003D0BCF">
            <w:pPr>
              <w:rPr>
                <w:b w:val="0"/>
                <w:bCs w:val="0"/>
                <w:color w:val="153D63" w:themeColor="text2" w:themeTint="E6"/>
                <w:sz w:val="28"/>
                <w:szCs w:val="28"/>
              </w:rPr>
            </w:pPr>
          </w:p>
        </w:tc>
        <w:tc>
          <w:tcPr>
            <w:tcW w:w="7336" w:type="dxa"/>
          </w:tcPr>
          <w:p w14:paraId="4582E17C" w14:textId="787F6D81" w:rsidR="00E14E11" w:rsidRDefault="004A734D" w:rsidP="003D0BCF">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28"/>
                <w:szCs w:val="28"/>
              </w:rPr>
            </w:pPr>
            <w:r w:rsidRPr="004648B1">
              <w:t>Hiring practices that span multiple national jurisdictions, requiring organisations to navigate different regulatory requirements, cultural expectations, and labour-market institutions</w:t>
            </w:r>
            <w:r>
              <w:t>.</w:t>
            </w:r>
          </w:p>
        </w:tc>
      </w:tr>
      <w:tr w:rsidR="00E14E11" w14:paraId="5BA9DD30"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316B7150" w14:textId="77777777" w:rsidR="004A734D" w:rsidRPr="004648B1" w:rsidRDefault="004A734D" w:rsidP="004A734D">
            <w:pPr>
              <w:rPr>
                <w:b w:val="0"/>
                <w:bCs w:val="0"/>
              </w:rPr>
            </w:pPr>
            <w:r w:rsidRPr="004648B1">
              <w:rPr>
                <w:b w:val="0"/>
                <w:bCs w:val="0"/>
              </w:rPr>
              <w:t>Data governance</w:t>
            </w:r>
          </w:p>
          <w:p w14:paraId="31D08085" w14:textId="77777777" w:rsidR="00E14E11" w:rsidRDefault="00E14E11" w:rsidP="003D0BCF">
            <w:pPr>
              <w:rPr>
                <w:b w:val="0"/>
                <w:bCs w:val="0"/>
                <w:color w:val="153D63" w:themeColor="text2" w:themeTint="E6"/>
                <w:sz w:val="28"/>
                <w:szCs w:val="28"/>
              </w:rPr>
            </w:pPr>
          </w:p>
        </w:tc>
        <w:tc>
          <w:tcPr>
            <w:tcW w:w="7336" w:type="dxa"/>
          </w:tcPr>
          <w:p w14:paraId="26DF32BA" w14:textId="26F4C2C3" w:rsidR="00E14E11" w:rsidRDefault="004A734D" w:rsidP="003D0BCF">
            <w:pPr>
              <w:cnfStyle w:val="000000100000" w:firstRow="0" w:lastRow="0" w:firstColumn="0" w:lastColumn="0" w:oddVBand="0" w:evenVBand="0" w:oddHBand="1" w:evenHBand="0" w:firstRowFirstColumn="0" w:firstRowLastColumn="0" w:lastRowFirstColumn="0" w:lastRowLastColumn="0"/>
              <w:rPr>
                <w:b/>
                <w:bCs/>
                <w:color w:val="153D63" w:themeColor="text2" w:themeTint="E6"/>
                <w:sz w:val="28"/>
                <w:szCs w:val="28"/>
              </w:rPr>
            </w:pPr>
            <w:r w:rsidRPr="004648B1">
              <w:t>The overall management of data availability, usability, integrity, and security, including policies and procedures for data collection, storage, processing, and sharing in compliance with regulations such as GDPR</w:t>
            </w:r>
            <w:r>
              <w:t>.</w:t>
            </w:r>
          </w:p>
        </w:tc>
      </w:tr>
      <w:tr w:rsidR="00E14E11" w14:paraId="23F5B3D3"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6C7F1E40" w14:textId="77777777" w:rsidR="004A734D" w:rsidRPr="004648B1" w:rsidRDefault="004A734D" w:rsidP="004A734D">
            <w:pPr>
              <w:rPr>
                <w:b w:val="0"/>
                <w:bCs w:val="0"/>
              </w:rPr>
            </w:pPr>
            <w:r w:rsidRPr="004648B1">
              <w:rPr>
                <w:b w:val="0"/>
                <w:bCs w:val="0"/>
              </w:rPr>
              <w:t>Decision authority</w:t>
            </w:r>
          </w:p>
          <w:p w14:paraId="1E976F8E" w14:textId="77777777" w:rsidR="00E14E11" w:rsidRDefault="00E14E11" w:rsidP="003D0BCF">
            <w:pPr>
              <w:rPr>
                <w:b w:val="0"/>
                <w:bCs w:val="0"/>
                <w:color w:val="153D63" w:themeColor="text2" w:themeTint="E6"/>
                <w:sz w:val="28"/>
                <w:szCs w:val="28"/>
              </w:rPr>
            </w:pPr>
          </w:p>
        </w:tc>
        <w:tc>
          <w:tcPr>
            <w:tcW w:w="7336" w:type="dxa"/>
          </w:tcPr>
          <w:p w14:paraId="329F4A64" w14:textId="356F1466" w:rsidR="00E14E11" w:rsidRDefault="004A734D" w:rsidP="003D0BCF">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28"/>
                <w:szCs w:val="28"/>
              </w:rPr>
            </w:pPr>
            <w:r w:rsidRPr="004648B1">
              <w:t>The formal or substantive power to make recruitment decisions, including the ability to approve, reject, or override algorithmic recommendations</w:t>
            </w:r>
            <w:r>
              <w:t>.</w:t>
            </w:r>
          </w:p>
        </w:tc>
      </w:tr>
      <w:tr w:rsidR="00E14E11" w14:paraId="120240AF"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08D72799" w14:textId="77777777" w:rsidR="004A734D" w:rsidRPr="004648B1" w:rsidRDefault="004A734D" w:rsidP="004A734D">
            <w:pPr>
              <w:rPr>
                <w:b w:val="0"/>
                <w:bCs w:val="0"/>
              </w:rPr>
            </w:pPr>
            <w:r w:rsidRPr="004648B1">
              <w:rPr>
                <w:b w:val="0"/>
                <w:bCs w:val="0"/>
              </w:rPr>
              <w:t>Explainability</w:t>
            </w:r>
          </w:p>
          <w:p w14:paraId="240062CC" w14:textId="77777777" w:rsidR="00E14E11" w:rsidRDefault="00E14E11" w:rsidP="003D0BCF">
            <w:pPr>
              <w:rPr>
                <w:b w:val="0"/>
                <w:bCs w:val="0"/>
                <w:color w:val="153D63" w:themeColor="text2" w:themeTint="E6"/>
                <w:sz w:val="28"/>
                <w:szCs w:val="28"/>
              </w:rPr>
            </w:pPr>
          </w:p>
        </w:tc>
        <w:tc>
          <w:tcPr>
            <w:tcW w:w="7336" w:type="dxa"/>
          </w:tcPr>
          <w:p w14:paraId="3DDAE7FA" w14:textId="68ED5E1D" w:rsidR="00E14E11" w:rsidRDefault="004A734D" w:rsidP="003D0BCF">
            <w:pPr>
              <w:cnfStyle w:val="000000100000" w:firstRow="0" w:lastRow="0" w:firstColumn="0" w:lastColumn="0" w:oddVBand="0" w:evenVBand="0" w:oddHBand="1" w:evenHBand="0" w:firstRowFirstColumn="0" w:firstRowLastColumn="0" w:lastRowFirstColumn="0" w:lastRowLastColumn="0"/>
              <w:rPr>
                <w:b/>
                <w:bCs/>
                <w:color w:val="153D63" w:themeColor="text2" w:themeTint="E6"/>
                <w:sz w:val="28"/>
                <w:szCs w:val="28"/>
              </w:rPr>
            </w:pPr>
            <w:r w:rsidRPr="004648B1">
              <w:t>The degree to which the internal mechanics and decision logic of an AI system can be understood by humans. Explainability techniques include feature-importance methods, LIME, SHAP, and counterfactual explanations</w:t>
            </w:r>
            <w:r>
              <w:t>.</w:t>
            </w:r>
          </w:p>
        </w:tc>
      </w:tr>
      <w:tr w:rsidR="00E14E11" w14:paraId="64186B7C"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664F278D" w14:textId="77777777" w:rsidR="004A734D" w:rsidRPr="004648B1" w:rsidRDefault="004A734D" w:rsidP="004A734D">
            <w:pPr>
              <w:rPr>
                <w:b w:val="0"/>
                <w:bCs w:val="0"/>
              </w:rPr>
            </w:pPr>
            <w:r w:rsidRPr="004648B1">
              <w:rPr>
                <w:b w:val="0"/>
                <w:bCs w:val="0"/>
              </w:rPr>
              <w:t>Fairness</w:t>
            </w:r>
          </w:p>
          <w:p w14:paraId="7B782B66" w14:textId="77777777" w:rsidR="00E14E11" w:rsidRDefault="00E14E11" w:rsidP="003D0BCF">
            <w:pPr>
              <w:rPr>
                <w:b w:val="0"/>
                <w:bCs w:val="0"/>
                <w:color w:val="153D63" w:themeColor="text2" w:themeTint="E6"/>
                <w:sz w:val="28"/>
                <w:szCs w:val="28"/>
              </w:rPr>
            </w:pPr>
          </w:p>
        </w:tc>
        <w:tc>
          <w:tcPr>
            <w:tcW w:w="7336" w:type="dxa"/>
          </w:tcPr>
          <w:p w14:paraId="4C25E03D" w14:textId="6AFD148B" w:rsidR="00E14E11" w:rsidRDefault="004A734D" w:rsidP="003D0BCF">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28"/>
                <w:szCs w:val="28"/>
              </w:rPr>
            </w:pPr>
            <w:r w:rsidRPr="004648B1">
              <w:t>The principle that recruitment decisions should be free from unjust discrimination. In AI contexts, fairness can be defined statistically (e.g., demographic parity, equal opportunity) or substantively (addressing structural inequalities)</w:t>
            </w:r>
            <w:r>
              <w:t>.</w:t>
            </w:r>
          </w:p>
        </w:tc>
      </w:tr>
      <w:tr w:rsidR="00E14E11" w14:paraId="1FBF761A"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57A111C7" w14:textId="77777777" w:rsidR="004A734D" w:rsidRPr="004648B1" w:rsidRDefault="004A734D" w:rsidP="004A734D">
            <w:pPr>
              <w:rPr>
                <w:b w:val="0"/>
                <w:bCs w:val="0"/>
              </w:rPr>
            </w:pPr>
            <w:r w:rsidRPr="004648B1">
              <w:rPr>
                <w:b w:val="0"/>
                <w:bCs w:val="0"/>
              </w:rPr>
              <w:t>Formal authority</w:t>
            </w:r>
          </w:p>
          <w:p w14:paraId="17E06065" w14:textId="77777777" w:rsidR="00E14E11" w:rsidRDefault="00E14E11" w:rsidP="003D0BCF">
            <w:pPr>
              <w:rPr>
                <w:b w:val="0"/>
                <w:bCs w:val="0"/>
                <w:color w:val="153D63" w:themeColor="text2" w:themeTint="E6"/>
                <w:sz w:val="28"/>
                <w:szCs w:val="28"/>
              </w:rPr>
            </w:pPr>
          </w:p>
        </w:tc>
        <w:tc>
          <w:tcPr>
            <w:tcW w:w="7336" w:type="dxa"/>
          </w:tcPr>
          <w:p w14:paraId="15DECF32" w14:textId="0B235AE0" w:rsidR="00E14E11" w:rsidRDefault="004A734D" w:rsidP="003D0BCF">
            <w:pPr>
              <w:cnfStyle w:val="000000100000" w:firstRow="0" w:lastRow="0" w:firstColumn="0" w:lastColumn="0" w:oddVBand="0" w:evenVBand="0" w:oddHBand="1" w:evenHBand="0" w:firstRowFirstColumn="0" w:firstRowLastColumn="0" w:lastRowFirstColumn="0" w:lastRowLastColumn="0"/>
              <w:rPr>
                <w:b/>
                <w:bCs/>
                <w:color w:val="153D63" w:themeColor="text2" w:themeTint="E6"/>
                <w:sz w:val="28"/>
                <w:szCs w:val="28"/>
              </w:rPr>
            </w:pPr>
            <w:r w:rsidRPr="004648B1">
              <w:t>The officially designated decision-making power, typically retained by human HR professionals, even when algorithmic systems substantially influence outcomes</w:t>
            </w:r>
            <w:r>
              <w:t>.</w:t>
            </w:r>
          </w:p>
        </w:tc>
      </w:tr>
      <w:tr w:rsidR="00E14E11" w14:paraId="1F2B520D"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0F227B1F" w14:textId="09E70992" w:rsidR="00E14E11" w:rsidRPr="004A734D" w:rsidRDefault="004A734D" w:rsidP="003D0BCF">
            <w:pPr>
              <w:rPr>
                <w:b w:val="0"/>
                <w:bCs w:val="0"/>
              </w:rPr>
            </w:pPr>
            <w:r w:rsidRPr="004648B1">
              <w:rPr>
                <w:b w:val="0"/>
                <w:bCs w:val="0"/>
              </w:rPr>
              <w:t>General Data Protection Regulation (GDPR)</w:t>
            </w:r>
          </w:p>
        </w:tc>
        <w:tc>
          <w:tcPr>
            <w:tcW w:w="7336" w:type="dxa"/>
          </w:tcPr>
          <w:p w14:paraId="38DA062A" w14:textId="6A5B47F8" w:rsidR="00E14E11" w:rsidRDefault="004A734D" w:rsidP="003D0BCF">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28"/>
                <w:szCs w:val="28"/>
              </w:rPr>
            </w:pPr>
            <w:r w:rsidRPr="004648B1">
              <w:t>EU regulation (2016/679) establishing requirements for personal data protection, including transparency, data minimisation, and safeguards for automated decision-making affecting individuals</w:t>
            </w:r>
            <w:r>
              <w:t>.</w:t>
            </w:r>
          </w:p>
        </w:tc>
      </w:tr>
      <w:tr w:rsidR="00E14E11" w14:paraId="46600040"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74726591" w14:textId="77777777" w:rsidR="004A734D" w:rsidRPr="004648B1" w:rsidRDefault="004A734D" w:rsidP="004A734D">
            <w:pPr>
              <w:rPr>
                <w:b w:val="0"/>
                <w:bCs w:val="0"/>
              </w:rPr>
            </w:pPr>
            <w:r w:rsidRPr="004648B1">
              <w:rPr>
                <w:b w:val="0"/>
                <w:bCs w:val="0"/>
              </w:rPr>
              <w:t>High-risk AI systems</w:t>
            </w:r>
          </w:p>
          <w:p w14:paraId="5BF77990" w14:textId="77777777" w:rsidR="00E14E11" w:rsidRDefault="00E14E11" w:rsidP="003D0BCF">
            <w:pPr>
              <w:rPr>
                <w:b w:val="0"/>
                <w:bCs w:val="0"/>
                <w:color w:val="153D63" w:themeColor="text2" w:themeTint="E6"/>
                <w:sz w:val="28"/>
                <w:szCs w:val="28"/>
              </w:rPr>
            </w:pPr>
          </w:p>
        </w:tc>
        <w:tc>
          <w:tcPr>
            <w:tcW w:w="7336" w:type="dxa"/>
          </w:tcPr>
          <w:p w14:paraId="3FFF7609" w14:textId="15BD91D6" w:rsidR="00E14E11" w:rsidRDefault="004A734D" w:rsidP="003D0BCF">
            <w:pPr>
              <w:cnfStyle w:val="000000100000" w:firstRow="0" w:lastRow="0" w:firstColumn="0" w:lastColumn="0" w:oddVBand="0" w:evenVBand="0" w:oddHBand="1" w:evenHBand="0" w:firstRowFirstColumn="0" w:firstRowLastColumn="0" w:lastRowFirstColumn="0" w:lastRowLastColumn="0"/>
              <w:rPr>
                <w:b/>
                <w:bCs/>
                <w:color w:val="153D63" w:themeColor="text2" w:themeTint="E6"/>
                <w:sz w:val="28"/>
                <w:szCs w:val="28"/>
              </w:rPr>
            </w:pPr>
            <w:r w:rsidRPr="004648B1">
              <w:t>AI systems classified under the EU AI Act as posing significant risks to health, safety, or fundamental rights, including AI used for recruitment and employment decisions, subject to stringent compliance requirements</w:t>
            </w:r>
            <w:r>
              <w:t>.</w:t>
            </w:r>
          </w:p>
        </w:tc>
      </w:tr>
      <w:tr w:rsidR="00E14E11" w14:paraId="476CF386"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25438C53" w14:textId="77777777" w:rsidR="004A734D" w:rsidRPr="004648B1" w:rsidRDefault="004A734D" w:rsidP="004A734D">
            <w:pPr>
              <w:rPr>
                <w:b w:val="0"/>
                <w:bCs w:val="0"/>
              </w:rPr>
            </w:pPr>
            <w:r w:rsidRPr="004648B1">
              <w:rPr>
                <w:b w:val="0"/>
                <w:bCs w:val="0"/>
              </w:rPr>
              <w:t>Human-in-the-loop</w:t>
            </w:r>
          </w:p>
          <w:p w14:paraId="6BF66DF1" w14:textId="77777777" w:rsidR="00E14E11" w:rsidRDefault="00E14E11" w:rsidP="003D0BCF">
            <w:pPr>
              <w:rPr>
                <w:b w:val="0"/>
                <w:bCs w:val="0"/>
                <w:color w:val="153D63" w:themeColor="text2" w:themeTint="E6"/>
                <w:sz w:val="28"/>
                <w:szCs w:val="28"/>
              </w:rPr>
            </w:pPr>
          </w:p>
        </w:tc>
        <w:tc>
          <w:tcPr>
            <w:tcW w:w="7336" w:type="dxa"/>
          </w:tcPr>
          <w:p w14:paraId="67E49675" w14:textId="149C21A1" w:rsidR="00E14E11" w:rsidRDefault="004A734D" w:rsidP="003D0BCF">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28"/>
                <w:szCs w:val="28"/>
              </w:rPr>
            </w:pPr>
            <w:r w:rsidRPr="004648B1">
              <w:t>Governance arrangements where human actors review, validate, or override algorithmic recommendations before final decisions are made. Can be symbolic (formal only) or substantive (meaningful oversight</w:t>
            </w:r>
            <w:r>
              <w:t>.</w:t>
            </w:r>
          </w:p>
        </w:tc>
      </w:tr>
      <w:tr w:rsidR="00E14E11" w14:paraId="1F6A913B"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2F8F343A" w14:textId="77777777" w:rsidR="004A734D" w:rsidRPr="004648B1" w:rsidRDefault="004A734D" w:rsidP="004A734D">
            <w:pPr>
              <w:rPr>
                <w:b w:val="0"/>
                <w:bCs w:val="0"/>
              </w:rPr>
            </w:pPr>
            <w:r w:rsidRPr="004648B1">
              <w:rPr>
                <w:b w:val="0"/>
                <w:bCs w:val="0"/>
              </w:rPr>
              <w:t>Human oversight</w:t>
            </w:r>
          </w:p>
          <w:p w14:paraId="39C74089" w14:textId="77777777" w:rsidR="00E14E11" w:rsidRDefault="00E14E11" w:rsidP="003D0BCF">
            <w:pPr>
              <w:rPr>
                <w:b w:val="0"/>
                <w:bCs w:val="0"/>
                <w:color w:val="153D63" w:themeColor="text2" w:themeTint="E6"/>
                <w:sz w:val="28"/>
                <w:szCs w:val="28"/>
              </w:rPr>
            </w:pPr>
          </w:p>
        </w:tc>
        <w:tc>
          <w:tcPr>
            <w:tcW w:w="7336" w:type="dxa"/>
          </w:tcPr>
          <w:p w14:paraId="2C038DFB" w14:textId="662AEA6E" w:rsidR="00E14E11" w:rsidRDefault="004A734D" w:rsidP="003D0BCF">
            <w:pPr>
              <w:cnfStyle w:val="000000100000" w:firstRow="0" w:lastRow="0" w:firstColumn="0" w:lastColumn="0" w:oddVBand="0" w:evenVBand="0" w:oddHBand="1" w:evenHBand="0" w:firstRowFirstColumn="0" w:firstRowLastColumn="0" w:lastRowFirstColumn="0" w:lastRowLastColumn="0"/>
              <w:rPr>
                <w:b/>
                <w:bCs/>
                <w:color w:val="153D63" w:themeColor="text2" w:themeTint="E6"/>
                <w:sz w:val="28"/>
                <w:szCs w:val="28"/>
              </w:rPr>
            </w:pPr>
            <w:r w:rsidRPr="004648B1">
              <w:t>The involvement of human actors in monitoring, reviewing, or intervening in AI-mediated decisions to ensure accountability, fairness, and alignment with organisational values</w:t>
            </w:r>
            <w:r>
              <w:t>.</w:t>
            </w:r>
          </w:p>
        </w:tc>
      </w:tr>
      <w:tr w:rsidR="00E14E11" w14:paraId="5E349861"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5DD8DF50" w14:textId="77777777" w:rsidR="004A734D" w:rsidRPr="004648B1" w:rsidRDefault="004A734D" w:rsidP="004A734D">
            <w:pPr>
              <w:rPr>
                <w:b w:val="0"/>
                <w:bCs w:val="0"/>
              </w:rPr>
            </w:pPr>
            <w:r w:rsidRPr="004648B1">
              <w:rPr>
                <w:b w:val="0"/>
                <w:bCs w:val="0"/>
              </w:rPr>
              <w:t>Institutional context</w:t>
            </w:r>
          </w:p>
          <w:p w14:paraId="56523D01" w14:textId="77777777" w:rsidR="00E14E11" w:rsidRDefault="00E14E11" w:rsidP="003D0BCF">
            <w:pPr>
              <w:rPr>
                <w:b w:val="0"/>
                <w:bCs w:val="0"/>
                <w:color w:val="153D63" w:themeColor="text2" w:themeTint="E6"/>
                <w:sz w:val="28"/>
                <w:szCs w:val="28"/>
              </w:rPr>
            </w:pPr>
          </w:p>
        </w:tc>
        <w:tc>
          <w:tcPr>
            <w:tcW w:w="7336" w:type="dxa"/>
          </w:tcPr>
          <w:p w14:paraId="2BFB2E86" w14:textId="11087954" w:rsidR="00E14E11" w:rsidRDefault="004A734D" w:rsidP="004A734D">
            <w:pPr>
              <w:cnfStyle w:val="000000000000" w:firstRow="0" w:lastRow="0" w:firstColumn="0" w:lastColumn="0" w:oddVBand="0" w:evenVBand="0" w:oddHBand="0" w:evenHBand="0" w:firstRowFirstColumn="0" w:firstRowLastColumn="0" w:lastRowFirstColumn="0" w:lastRowLastColumn="0"/>
              <w:rPr>
                <w:b/>
                <w:bCs/>
                <w:color w:val="153D63" w:themeColor="text2" w:themeTint="E6"/>
                <w:sz w:val="28"/>
                <w:szCs w:val="28"/>
              </w:rPr>
            </w:pPr>
            <w:r w:rsidRPr="004648B1">
              <w:t>The broader regulatory, cultural, normative, and labour-market environment in which organisations operate, shaping how AI governance is understood and implemented</w:t>
            </w:r>
            <w:r>
              <w:t>.</w:t>
            </w:r>
          </w:p>
        </w:tc>
      </w:tr>
      <w:tr w:rsidR="00E14E11" w14:paraId="0D10995A"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3EA6716C" w14:textId="77777777" w:rsidR="004A734D" w:rsidRPr="004648B1" w:rsidRDefault="004A734D" w:rsidP="004A734D">
            <w:pPr>
              <w:rPr>
                <w:b w:val="0"/>
                <w:bCs w:val="0"/>
              </w:rPr>
            </w:pPr>
            <w:r w:rsidRPr="004648B1">
              <w:rPr>
                <w:b w:val="0"/>
                <w:bCs w:val="0"/>
              </w:rPr>
              <w:t>Institutional Theory</w:t>
            </w:r>
          </w:p>
          <w:p w14:paraId="22C6A8F1" w14:textId="77777777" w:rsidR="00E14E11" w:rsidRDefault="00E14E11" w:rsidP="003D0BCF">
            <w:pPr>
              <w:rPr>
                <w:b w:val="0"/>
                <w:bCs w:val="0"/>
                <w:color w:val="153D63" w:themeColor="text2" w:themeTint="E6"/>
                <w:sz w:val="28"/>
                <w:szCs w:val="28"/>
              </w:rPr>
            </w:pPr>
          </w:p>
        </w:tc>
        <w:tc>
          <w:tcPr>
            <w:tcW w:w="7336" w:type="dxa"/>
          </w:tcPr>
          <w:p w14:paraId="3A4BE803" w14:textId="4FDA9EBC" w:rsidR="00E14E11" w:rsidRDefault="004A734D" w:rsidP="003D0BCF">
            <w:pPr>
              <w:cnfStyle w:val="000000100000" w:firstRow="0" w:lastRow="0" w:firstColumn="0" w:lastColumn="0" w:oddVBand="0" w:evenVBand="0" w:oddHBand="1" w:evenHBand="0" w:firstRowFirstColumn="0" w:firstRowLastColumn="0" w:lastRowFirstColumn="0" w:lastRowLastColumn="0"/>
              <w:rPr>
                <w:b/>
                <w:bCs/>
                <w:color w:val="153D63" w:themeColor="text2" w:themeTint="E6"/>
                <w:sz w:val="28"/>
                <w:szCs w:val="28"/>
              </w:rPr>
            </w:pPr>
            <w:r w:rsidRPr="004648B1">
              <w:t>A theoretical perspective explaining how organisations respond to external pressures (coercive, normative, mimetic) from their institutional environment, influencing governance practices and organisational behaviour</w:t>
            </w:r>
            <w:r>
              <w:t>.</w:t>
            </w:r>
          </w:p>
        </w:tc>
      </w:tr>
      <w:tr w:rsidR="00231ACC" w14:paraId="2046BBD2"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26D5D510" w14:textId="77777777" w:rsidR="00231ACC" w:rsidRPr="004648B1" w:rsidRDefault="00231ACC" w:rsidP="00231ACC">
            <w:pPr>
              <w:rPr>
                <w:b w:val="0"/>
                <w:bCs w:val="0"/>
              </w:rPr>
            </w:pPr>
            <w:r w:rsidRPr="004648B1">
              <w:rPr>
                <w:b w:val="0"/>
                <w:bCs w:val="0"/>
              </w:rPr>
              <w:t>Machine learning</w:t>
            </w:r>
          </w:p>
          <w:p w14:paraId="7AA9C4F0" w14:textId="77777777" w:rsidR="00231ACC" w:rsidRPr="004648B1" w:rsidRDefault="00231ACC" w:rsidP="004A734D"/>
        </w:tc>
        <w:tc>
          <w:tcPr>
            <w:tcW w:w="7336" w:type="dxa"/>
          </w:tcPr>
          <w:p w14:paraId="5DF522D9" w14:textId="6056D3E6" w:rsidR="00231ACC" w:rsidRPr="004648B1" w:rsidRDefault="00231ACC" w:rsidP="003D0BCF">
            <w:pPr>
              <w:cnfStyle w:val="000000000000" w:firstRow="0" w:lastRow="0" w:firstColumn="0" w:lastColumn="0" w:oddVBand="0" w:evenVBand="0" w:oddHBand="0" w:evenHBand="0" w:firstRowFirstColumn="0" w:firstRowLastColumn="0" w:lastRowFirstColumn="0" w:lastRowLastColumn="0"/>
            </w:pPr>
            <w:r w:rsidRPr="004648B1">
              <w:t>A subset of AI where systems learn patterns from data to make predictions or decisions without explicit programming. Common in recruitment for candidate matching, scoring, and ranking</w:t>
            </w:r>
            <w:r>
              <w:t>.</w:t>
            </w:r>
          </w:p>
        </w:tc>
      </w:tr>
      <w:tr w:rsidR="00231ACC" w14:paraId="081E5F7B"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48BC3EB6" w14:textId="77777777" w:rsidR="00231ACC" w:rsidRPr="004648B1" w:rsidRDefault="00231ACC" w:rsidP="00231ACC">
            <w:pPr>
              <w:rPr>
                <w:b w:val="0"/>
                <w:bCs w:val="0"/>
              </w:rPr>
            </w:pPr>
            <w:r w:rsidRPr="004648B1">
              <w:rPr>
                <w:b w:val="0"/>
                <w:bCs w:val="0"/>
              </w:rPr>
              <w:t>Meaningful oversight</w:t>
            </w:r>
          </w:p>
          <w:p w14:paraId="54A02AB9" w14:textId="77777777" w:rsidR="00231ACC" w:rsidRPr="004648B1" w:rsidRDefault="00231ACC" w:rsidP="004A734D"/>
        </w:tc>
        <w:tc>
          <w:tcPr>
            <w:tcW w:w="7336" w:type="dxa"/>
          </w:tcPr>
          <w:p w14:paraId="1F93E755" w14:textId="041EACA4" w:rsidR="00231ACC" w:rsidRPr="004648B1" w:rsidRDefault="00231ACC" w:rsidP="003D0BCF">
            <w:pPr>
              <w:cnfStyle w:val="000000100000" w:firstRow="0" w:lastRow="0" w:firstColumn="0" w:lastColumn="0" w:oddVBand="0" w:evenVBand="0" w:oddHBand="1" w:evenHBand="0" w:firstRowFirstColumn="0" w:firstRowLastColumn="0" w:lastRowFirstColumn="0" w:lastRowLastColumn="0"/>
            </w:pPr>
            <w:r w:rsidRPr="004648B1">
              <w:t>Human oversight that is substantive rather than symbolic, requiring sufficient AI literacy, access to relevant information, authority to override decisions, and clear escalation procedures</w:t>
            </w:r>
            <w:r>
              <w:t>.</w:t>
            </w:r>
          </w:p>
        </w:tc>
      </w:tr>
      <w:tr w:rsidR="00231ACC" w14:paraId="7B8A5787"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3CE11153" w14:textId="77777777" w:rsidR="00F92349" w:rsidRPr="004648B1" w:rsidRDefault="00F92349" w:rsidP="00F92349">
            <w:pPr>
              <w:rPr>
                <w:b w:val="0"/>
                <w:bCs w:val="0"/>
              </w:rPr>
            </w:pPr>
            <w:r w:rsidRPr="004648B1">
              <w:rPr>
                <w:b w:val="0"/>
                <w:bCs w:val="0"/>
              </w:rPr>
              <w:lastRenderedPageBreak/>
              <w:t>Multinational Company (MNC)</w:t>
            </w:r>
          </w:p>
          <w:p w14:paraId="10419C9F" w14:textId="77777777" w:rsidR="00231ACC" w:rsidRPr="004648B1" w:rsidRDefault="00231ACC" w:rsidP="004A734D"/>
        </w:tc>
        <w:tc>
          <w:tcPr>
            <w:tcW w:w="7336" w:type="dxa"/>
          </w:tcPr>
          <w:p w14:paraId="4022364F" w14:textId="486A3824" w:rsidR="00231ACC" w:rsidRPr="004648B1" w:rsidRDefault="00F92349" w:rsidP="003D0BCF">
            <w:pPr>
              <w:cnfStyle w:val="000000000000" w:firstRow="0" w:lastRow="0" w:firstColumn="0" w:lastColumn="0" w:oddVBand="0" w:evenVBand="0" w:oddHBand="0" w:evenHBand="0" w:firstRowFirstColumn="0" w:firstRowLastColumn="0" w:lastRowFirstColumn="0" w:lastRowLastColumn="0"/>
            </w:pPr>
            <w:r w:rsidRPr="004648B1">
              <w:t>An organisation that operates in multiple countries, coordinating recruitment and other activities across different legal jurisdictions, cultural contexts, and institutional environments</w:t>
            </w:r>
            <w:r>
              <w:t>.</w:t>
            </w:r>
          </w:p>
        </w:tc>
      </w:tr>
      <w:tr w:rsidR="00231ACC" w14:paraId="0CC5EC5F"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190870F5" w14:textId="77777777" w:rsidR="00F92349" w:rsidRPr="004648B1" w:rsidRDefault="00F92349" w:rsidP="00F92349">
            <w:pPr>
              <w:rPr>
                <w:b w:val="0"/>
                <w:bCs w:val="0"/>
              </w:rPr>
            </w:pPr>
            <w:r w:rsidRPr="004648B1">
              <w:rPr>
                <w:b w:val="0"/>
                <w:bCs w:val="0"/>
              </w:rPr>
              <w:t>Natural Language Processing (NLP)</w:t>
            </w:r>
          </w:p>
          <w:p w14:paraId="054CC64A" w14:textId="77777777" w:rsidR="00231ACC" w:rsidRPr="004648B1" w:rsidRDefault="00231ACC" w:rsidP="004A734D"/>
        </w:tc>
        <w:tc>
          <w:tcPr>
            <w:tcW w:w="7336" w:type="dxa"/>
          </w:tcPr>
          <w:p w14:paraId="6D5FBC41" w14:textId="5DEAB0A5" w:rsidR="00231ACC" w:rsidRPr="004648B1" w:rsidRDefault="00F92349" w:rsidP="003D0BCF">
            <w:pPr>
              <w:cnfStyle w:val="000000100000" w:firstRow="0" w:lastRow="0" w:firstColumn="0" w:lastColumn="0" w:oddVBand="0" w:evenVBand="0" w:oddHBand="1" w:evenHBand="0" w:firstRowFirstColumn="0" w:firstRowLastColumn="0" w:lastRowFirstColumn="0" w:lastRowLastColumn="0"/>
            </w:pPr>
            <w:r w:rsidRPr="004648B1">
              <w:t>AI technology enabling computers to understand, interpret, and generate human language. Used in recruitment for CV parsing, chatbot interactions, and video interview analysis</w:t>
            </w:r>
            <w:r>
              <w:t>.</w:t>
            </w:r>
          </w:p>
        </w:tc>
      </w:tr>
      <w:tr w:rsidR="00231ACC" w14:paraId="7D5F68C6"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3974D2A3" w14:textId="77777777" w:rsidR="00F92349" w:rsidRPr="004648B1" w:rsidRDefault="00F92349" w:rsidP="00F92349">
            <w:pPr>
              <w:rPr>
                <w:b w:val="0"/>
                <w:bCs w:val="0"/>
              </w:rPr>
            </w:pPr>
            <w:r w:rsidRPr="004648B1">
              <w:rPr>
                <w:b w:val="0"/>
                <w:bCs w:val="0"/>
              </w:rPr>
              <w:t>Organisational governance</w:t>
            </w:r>
          </w:p>
          <w:p w14:paraId="2009BB93" w14:textId="77777777" w:rsidR="00231ACC" w:rsidRPr="004648B1" w:rsidRDefault="00231ACC" w:rsidP="004A734D"/>
        </w:tc>
        <w:tc>
          <w:tcPr>
            <w:tcW w:w="7336" w:type="dxa"/>
          </w:tcPr>
          <w:p w14:paraId="306DBFAF" w14:textId="2BC5E2FD" w:rsidR="00231ACC" w:rsidRPr="004648B1" w:rsidRDefault="00F92349" w:rsidP="003D0BCF">
            <w:pPr>
              <w:cnfStyle w:val="000000000000" w:firstRow="0" w:lastRow="0" w:firstColumn="0" w:lastColumn="0" w:oddVBand="0" w:evenVBand="0" w:oddHBand="0" w:evenHBand="0" w:firstRowFirstColumn="0" w:firstRowLastColumn="0" w:lastRowFirstColumn="0" w:lastRowLastColumn="0"/>
            </w:pPr>
            <w:r w:rsidRPr="004648B1">
              <w:t>The structures, processes, and mechanisms through which organisations direct and control their activities, including decision rights, accountability, and oversight of AI systems</w:t>
            </w:r>
            <w:r>
              <w:t>.</w:t>
            </w:r>
          </w:p>
        </w:tc>
      </w:tr>
      <w:tr w:rsidR="00231ACC" w14:paraId="16AA56C5"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2B39C188" w14:textId="77777777" w:rsidR="00F92349" w:rsidRPr="004648B1" w:rsidRDefault="00F92349" w:rsidP="00F92349">
            <w:pPr>
              <w:rPr>
                <w:b w:val="0"/>
                <w:bCs w:val="0"/>
              </w:rPr>
            </w:pPr>
            <w:r w:rsidRPr="004648B1">
              <w:rPr>
                <w:b w:val="0"/>
                <w:bCs w:val="0"/>
              </w:rPr>
              <w:t>Organisational Governance Perspective</w:t>
            </w:r>
          </w:p>
          <w:p w14:paraId="504369B7" w14:textId="77777777" w:rsidR="00231ACC" w:rsidRPr="004648B1" w:rsidRDefault="00231ACC" w:rsidP="004A734D"/>
        </w:tc>
        <w:tc>
          <w:tcPr>
            <w:tcW w:w="7336" w:type="dxa"/>
          </w:tcPr>
          <w:p w14:paraId="453B8000" w14:textId="44A12417" w:rsidR="00231ACC" w:rsidRPr="004648B1" w:rsidRDefault="00F92349" w:rsidP="003D0BCF">
            <w:pPr>
              <w:cnfStyle w:val="000000100000" w:firstRow="0" w:lastRow="0" w:firstColumn="0" w:lastColumn="0" w:oddVBand="0" w:evenVBand="0" w:oddHBand="1" w:evenHBand="0" w:firstRowFirstColumn="0" w:firstRowLastColumn="0" w:lastRowFirstColumn="0" w:lastRowLastColumn="0"/>
            </w:pPr>
            <w:r w:rsidRPr="004648B1">
              <w:t>A theoretical lens focusing on how decision authority, accountability structures, and oversight mechanisms are allocated within organisations, particularly relevant for understanding AI-mediated decision-making</w:t>
            </w:r>
            <w:r>
              <w:t>.</w:t>
            </w:r>
          </w:p>
        </w:tc>
      </w:tr>
      <w:tr w:rsidR="00231ACC" w14:paraId="76AD1C7C"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6DB82A1D" w14:textId="77777777" w:rsidR="00F92349" w:rsidRPr="004648B1" w:rsidRDefault="00F92349" w:rsidP="00F92349">
            <w:pPr>
              <w:rPr>
                <w:b w:val="0"/>
                <w:bCs w:val="0"/>
              </w:rPr>
            </w:pPr>
            <w:r w:rsidRPr="004648B1">
              <w:rPr>
                <w:b w:val="0"/>
                <w:bCs w:val="0"/>
              </w:rPr>
              <w:t>Pre-processing</w:t>
            </w:r>
          </w:p>
          <w:p w14:paraId="1FCF8415" w14:textId="77777777" w:rsidR="00231ACC" w:rsidRPr="004648B1" w:rsidRDefault="00231ACC" w:rsidP="004A734D"/>
        </w:tc>
        <w:tc>
          <w:tcPr>
            <w:tcW w:w="7336" w:type="dxa"/>
          </w:tcPr>
          <w:p w14:paraId="770ADC2A" w14:textId="7B746941" w:rsidR="00231ACC" w:rsidRPr="004648B1" w:rsidRDefault="00F92349" w:rsidP="003D0BCF">
            <w:pPr>
              <w:cnfStyle w:val="000000000000" w:firstRow="0" w:lastRow="0" w:firstColumn="0" w:lastColumn="0" w:oddVBand="0" w:evenVBand="0" w:oddHBand="0" w:evenHBand="0" w:firstRowFirstColumn="0" w:firstRowLastColumn="0" w:lastRowFirstColumn="0" w:lastRowLastColumn="0"/>
            </w:pPr>
            <w:r w:rsidRPr="004648B1">
              <w:t>Bias mitigation approach that adjusts or cleans training data before model training to reduce discriminatory patterns</w:t>
            </w:r>
            <w:r>
              <w:t>.</w:t>
            </w:r>
          </w:p>
        </w:tc>
      </w:tr>
      <w:tr w:rsidR="00231ACC" w14:paraId="041E01AD"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55FCB99C" w14:textId="77777777" w:rsidR="00DD4190" w:rsidRPr="004648B1" w:rsidRDefault="00DD4190" w:rsidP="00DD4190">
            <w:pPr>
              <w:rPr>
                <w:b w:val="0"/>
                <w:bCs w:val="0"/>
              </w:rPr>
            </w:pPr>
            <w:r w:rsidRPr="004648B1">
              <w:rPr>
                <w:b w:val="0"/>
                <w:bCs w:val="0"/>
              </w:rPr>
              <w:t>In-processing</w:t>
            </w:r>
          </w:p>
          <w:p w14:paraId="6A2AAA2B" w14:textId="77777777" w:rsidR="00231ACC" w:rsidRPr="004648B1" w:rsidRDefault="00231ACC" w:rsidP="004A734D"/>
        </w:tc>
        <w:tc>
          <w:tcPr>
            <w:tcW w:w="7336" w:type="dxa"/>
          </w:tcPr>
          <w:p w14:paraId="01CF2DD5" w14:textId="1E992750" w:rsidR="00231ACC" w:rsidRPr="004648B1" w:rsidRDefault="00DD4190" w:rsidP="003D0BCF">
            <w:pPr>
              <w:cnfStyle w:val="000000100000" w:firstRow="0" w:lastRow="0" w:firstColumn="0" w:lastColumn="0" w:oddVBand="0" w:evenVBand="0" w:oddHBand="1" w:evenHBand="0" w:firstRowFirstColumn="0" w:firstRowLastColumn="0" w:lastRowFirstColumn="0" w:lastRowLastColumn="0"/>
            </w:pPr>
            <w:r w:rsidRPr="004648B1">
              <w:t>Bias mitigation approach that modifies the model development process itself to incorporate fairness constraints during training</w:t>
            </w:r>
            <w:r>
              <w:t>.</w:t>
            </w:r>
          </w:p>
        </w:tc>
      </w:tr>
      <w:tr w:rsidR="00231ACC" w14:paraId="156651C4"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4DDA5524" w14:textId="77777777" w:rsidR="00844E49" w:rsidRPr="004648B1" w:rsidRDefault="00844E49" w:rsidP="00844E49">
            <w:pPr>
              <w:rPr>
                <w:b w:val="0"/>
                <w:bCs w:val="0"/>
              </w:rPr>
            </w:pPr>
            <w:r w:rsidRPr="004648B1">
              <w:rPr>
                <w:b w:val="0"/>
                <w:bCs w:val="0"/>
              </w:rPr>
              <w:t>Post-processing</w:t>
            </w:r>
          </w:p>
          <w:p w14:paraId="0E32ED4B" w14:textId="77777777" w:rsidR="00231ACC" w:rsidRPr="004648B1" w:rsidRDefault="00231ACC" w:rsidP="004A734D"/>
        </w:tc>
        <w:tc>
          <w:tcPr>
            <w:tcW w:w="7336" w:type="dxa"/>
          </w:tcPr>
          <w:p w14:paraId="52C61D7E" w14:textId="6CD3652F" w:rsidR="00231ACC" w:rsidRPr="004648B1" w:rsidRDefault="00844E49" w:rsidP="003D0BCF">
            <w:pPr>
              <w:cnfStyle w:val="000000000000" w:firstRow="0" w:lastRow="0" w:firstColumn="0" w:lastColumn="0" w:oddVBand="0" w:evenVBand="0" w:oddHBand="0" w:evenHBand="0" w:firstRowFirstColumn="0" w:firstRowLastColumn="0" w:lastRowFirstColumn="0" w:lastRowLastColumn="0"/>
            </w:pPr>
            <w:r w:rsidRPr="004648B1">
              <w:t>Bias mitigation approach that adjusts model outputs after predictions have been generated to improve fairness</w:t>
            </w:r>
            <w:r>
              <w:t>.</w:t>
            </w:r>
          </w:p>
        </w:tc>
      </w:tr>
      <w:tr w:rsidR="00231ACC" w14:paraId="4A226B32"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4304758" w14:textId="77777777" w:rsidR="00844E49" w:rsidRPr="004648B1" w:rsidRDefault="00844E49" w:rsidP="00844E49">
            <w:pPr>
              <w:rPr>
                <w:b w:val="0"/>
                <w:bCs w:val="0"/>
              </w:rPr>
            </w:pPr>
            <w:r w:rsidRPr="004648B1">
              <w:rPr>
                <w:b w:val="0"/>
                <w:bCs w:val="0"/>
              </w:rPr>
              <w:t>Proxy variables</w:t>
            </w:r>
          </w:p>
          <w:p w14:paraId="115B860D" w14:textId="77777777" w:rsidR="00231ACC" w:rsidRPr="004648B1" w:rsidRDefault="00231ACC" w:rsidP="004A734D"/>
        </w:tc>
        <w:tc>
          <w:tcPr>
            <w:tcW w:w="7336" w:type="dxa"/>
          </w:tcPr>
          <w:p w14:paraId="7F325CE3" w14:textId="6784FFB0" w:rsidR="00231ACC" w:rsidRPr="004648B1" w:rsidRDefault="00844E49" w:rsidP="003D0BCF">
            <w:pPr>
              <w:cnfStyle w:val="000000100000" w:firstRow="0" w:lastRow="0" w:firstColumn="0" w:lastColumn="0" w:oddVBand="0" w:evenVBand="0" w:oddHBand="1" w:evenHBand="0" w:firstRowFirstColumn="0" w:firstRowLastColumn="0" w:lastRowFirstColumn="0" w:lastRowLastColumn="0"/>
            </w:pPr>
            <w:r w:rsidRPr="004648B1">
              <w:t>Features in AI models that appear neutral but correlate with protected characteristics (e.g., postcode correlating with race), potentially enabling indirect discrimination</w:t>
            </w:r>
            <w:r>
              <w:t>.</w:t>
            </w:r>
          </w:p>
        </w:tc>
      </w:tr>
      <w:tr w:rsidR="00231ACC" w14:paraId="7D99FBEA"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0364A794" w14:textId="77777777" w:rsidR="00844E49" w:rsidRPr="004648B1" w:rsidRDefault="00844E49" w:rsidP="00844E49">
            <w:pPr>
              <w:rPr>
                <w:b w:val="0"/>
                <w:bCs w:val="0"/>
              </w:rPr>
            </w:pPr>
            <w:r w:rsidRPr="004648B1">
              <w:rPr>
                <w:b w:val="0"/>
                <w:bCs w:val="0"/>
              </w:rPr>
              <w:t>Regulatory compliance</w:t>
            </w:r>
          </w:p>
          <w:p w14:paraId="25774B63" w14:textId="77777777" w:rsidR="00231ACC" w:rsidRPr="00844E49" w:rsidRDefault="00231ACC" w:rsidP="004A734D">
            <w:pPr>
              <w:rPr>
                <w:b w:val="0"/>
                <w:bCs w:val="0"/>
              </w:rPr>
            </w:pPr>
          </w:p>
        </w:tc>
        <w:tc>
          <w:tcPr>
            <w:tcW w:w="7336" w:type="dxa"/>
          </w:tcPr>
          <w:p w14:paraId="6C93CFDB" w14:textId="7E7CD730" w:rsidR="00231ACC" w:rsidRPr="004648B1" w:rsidRDefault="00844E49" w:rsidP="003D0BCF">
            <w:pPr>
              <w:cnfStyle w:val="000000000000" w:firstRow="0" w:lastRow="0" w:firstColumn="0" w:lastColumn="0" w:oddVBand="0" w:evenVBand="0" w:oddHBand="0" w:evenHBand="0" w:firstRowFirstColumn="0" w:firstRowLastColumn="0" w:lastRowFirstColumn="0" w:lastRowLastColumn="0"/>
            </w:pPr>
            <w:r w:rsidRPr="004648B1">
              <w:t>Adherence to legal and regulatory requirements, such as GDPR and the EU AI Act, including obligations for transparency, risk management, human oversight, and documentation</w:t>
            </w:r>
            <w:r>
              <w:t>.</w:t>
            </w:r>
          </w:p>
        </w:tc>
      </w:tr>
      <w:tr w:rsidR="00231ACC" w14:paraId="17BCFD3F"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17624DDA" w14:textId="4EC70FAD" w:rsidR="00231ACC" w:rsidRPr="004648B1" w:rsidRDefault="00356C7C" w:rsidP="004A734D">
            <w:r w:rsidRPr="004648B1">
              <w:rPr>
                <w:b w:val="0"/>
                <w:bCs w:val="0"/>
              </w:rPr>
              <w:t>Socio-Technical Systems Theory</w:t>
            </w:r>
          </w:p>
        </w:tc>
        <w:tc>
          <w:tcPr>
            <w:tcW w:w="7336" w:type="dxa"/>
          </w:tcPr>
          <w:p w14:paraId="315151D4" w14:textId="0599427A" w:rsidR="00231ACC" w:rsidRPr="004648B1" w:rsidRDefault="00356C7C" w:rsidP="003D0BCF">
            <w:pPr>
              <w:cnfStyle w:val="000000100000" w:firstRow="0" w:lastRow="0" w:firstColumn="0" w:lastColumn="0" w:oddVBand="0" w:evenVBand="0" w:oddHBand="1" w:evenHBand="0" w:firstRowFirstColumn="0" w:firstRowLastColumn="0" w:lastRowFirstColumn="0" w:lastRowLastColumn="0"/>
            </w:pPr>
            <w:r w:rsidRPr="004648B1">
              <w:t>A theoretical perspective emphasising that technologies and organisational practices are mutually constitutive, with outcomes emerging from their interaction rather than from technical design alone</w:t>
            </w:r>
            <w:r>
              <w:t>.</w:t>
            </w:r>
          </w:p>
        </w:tc>
      </w:tr>
      <w:tr w:rsidR="00231ACC" w14:paraId="04817758"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577937FC" w14:textId="77777777" w:rsidR="009D6FE8" w:rsidRPr="004648B1" w:rsidRDefault="009D6FE8" w:rsidP="009D6FE8">
            <w:pPr>
              <w:rPr>
                <w:b w:val="0"/>
                <w:bCs w:val="0"/>
              </w:rPr>
            </w:pPr>
            <w:r w:rsidRPr="004648B1">
              <w:rPr>
                <w:b w:val="0"/>
                <w:bCs w:val="0"/>
              </w:rPr>
              <w:t>Substantive authority</w:t>
            </w:r>
          </w:p>
          <w:p w14:paraId="484C1B73" w14:textId="77777777" w:rsidR="00231ACC" w:rsidRPr="004648B1" w:rsidRDefault="00231ACC" w:rsidP="004A734D"/>
        </w:tc>
        <w:tc>
          <w:tcPr>
            <w:tcW w:w="7336" w:type="dxa"/>
          </w:tcPr>
          <w:p w14:paraId="2AC5E225" w14:textId="5D8B5C28" w:rsidR="00231ACC" w:rsidRPr="004648B1" w:rsidRDefault="009D6FE8" w:rsidP="003D0BCF">
            <w:pPr>
              <w:cnfStyle w:val="000000000000" w:firstRow="0" w:lastRow="0" w:firstColumn="0" w:lastColumn="0" w:oddVBand="0" w:evenVBand="0" w:oddHBand="0" w:evenHBand="0" w:firstRowFirstColumn="0" w:firstRowLastColumn="0" w:lastRowFirstColumn="0" w:lastRowLastColumn="0"/>
            </w:pPr>
            <w:r w:rsidRPr="004648B1">
              <w:t>The actual influence over decisions, which may shift towards algorithmic systems even when formal authority remains with humans</w:t>
            </w:r>
            <w:r>
              <w:t>.</w:t>
            </w:r>
          </w:p>
        </w:tc>
      </w:tr>
      <w:tr w:rsidR="00231ACC" w14:paraId="02E3C298"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01F37C5E" w14:textId="77777777" w:rsidR="007A6462" w:rsidRPr="004648B1" w:rsidRDefault="007A6462" w:rsidP="007A6462">
            <w:pPr>
              <w:rPr>
                <w:b w:val="0"/>
                <w:bCs w:val="0"/>
              </w:rPr>
            </w:pPr>
            <w:r w:rsidRPr="004648B1">
              <w:rPr>
                <w:b w:val="0"/>
                <w:bCs w:val="0"/>
              </w:rPr>
              <w:t>Symbolic oversight</w:t>
            </w:r>
          </w:p>
          <w:p w14:paraId="75CC0C89" w14:textId="77777777" w:rsidR="00231ACC" w:rsidRPr="004648B1" w:rsidRDefault="00231ACC" w:rsidP="004A734D"/>
        </w:tc>
        <w:tc>
          <w:tcPr>
            <w:tcW w:w="7336" w:type="dxa"/>
          </w:tcPr>
          <w:p w14:paraId="3009CBFF" w14:textId="3D33BF72" w:rsidR="00231ACC" w:rsidRPr="004648B1" w:rsidRDefault="007A6462" w:rsidP="003D0BCF">
            <w:pPr>
              <w:cnfStyle w:val="000000100000" w:firstRow="0" w:lastRow="0" w:firstColumn="0" w:lastColumn="0" w:oddVBand="0" w:evenVBand="0" w:oddHBand="1" w:evenHBand="0" w:firstRowFirstColumn="0" w:firstRowLastColumn="0" w:lastRowFirstColumn="0" w:lastRowLastColumn="0"/>
            </w:pPr>
            <w:r w:rsidRPr="004648B1">
              <w:t>Human oversight that exists formally but lacks substantive influence, where reviewers lack the time, incentives, or technical understanding to challenge algorithmic outputs</w:t>
            </w:r>
            <w:r>
              <w:t>.</w:t>
            </w:r>
          </w:p>
        </w:tc>
      </w:tr>
      <w:tr w:rsidR="00231ACC" w14:paraId="60FFCD1C"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76ACE33C" w14:textId="3E896D55" w:rsidR="00231ACC" w:rsidRPr="004648B1" w:rsidRDefault="007A6462" w:rsidP="004A734D">
            <w:r w:rsidRPr="004648B1">
              <w:rPr>
                <w:b w:val="0"/>
                <w:bCs w:val="0"/>
              </w:rPr>
              <w:t>Systematic Literature Review (SLR)</w:t>
            </w:r>
          </w:p>
        </w:tc>
        <w:tc>
          <w:tcPr>
            <w:tcW w:w="7336" w:type="dxa"/>
          </w:tcPr>
          <w:p w14:paraId="61966078" w14:textId="3172B388" w:rsidR="00231ACC" w:rsidRPr="004648B1" w:rsidRDefault="00035D6E" w:rsidP="003D0BCF">
            <w:pPr>
              <w:cnfStyle w:val="000000000000" w:firstRow="0" w:lastRow="0" w:firstColumn="0" w:lastColumn="0" w:oddVBand="0" w:evenVBand="0" w:oddHBand="0" w:evenHBand="0" w:firstRowFirstColumn="0" w:firstRowLastColumn="0" w:lastRowFirstColumn="0" w:lastRowLastColumn="0"/>
            </w:pPr>
            <w:r w:rsidRPr="004648B1">
              <w:t>A rigorous, transparent, and replicable method for identifying, appraising, and synthesising research evidence, following defined protocols for search, selection, quality assessment, and analysis</w:t>
            </w:r>
            <w:r>
              <w:t>.</w:t>
            </w:r>
          </w:p>
        </w:tc>
      </w:tr>
      <w:tr w:rsidR="00231ACC" w14:paraId="519A7ED7"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3312B5E4" w14:textId="77777777" w:rsidR="00035D6E" w:rsidRPr="004648B1" w:rsidRDefault="00035D6E" w:rsidP="00035D6E">
            <w:pPr>
              <w:rPr>
                <w:b w:val="0"/>
                <w:bCs w:val="0"/>
              </w:rPr>
            </w:pPr>
            <w:r w:rsidRPr="004648B1">
              <w:rPr>
                <w:b w:val="0"/>
                <w:bCs w:val="0"/>
              </w:rPr>
              <w:t>Technical dimension</w:t>
            </w:r>
          </w:p>
          <w:p w14:paraId="506C8C21" w14:textId="77777777" w:rsidR="00231ACC" w:rsidRPr="004648B1" w:rsidRDefault="00231ACC" w:rsidP="004A734D"/>
        </w:tc>
        <w:tc>
          <w:tcPr>
            <w:tcW w:w="7336" w:type="dxa"/>
          </w:tcPr>
          <w:p w14:paraId="6F48A979" w14:textId="17056F36" w:rsidR="00231ACC" w:rsidRPr="004648B1" w:rsidRDefault="00035D6E" w:rsidP="003D0BCF">
            <w:pPr>
              <w:cnfStyle w:val="000000100000" w:firstRow="0" w:lastRow="0" w:firstColumn="0" w:lastColumn="0" w:oddVBand="0" w:evenVBand="0" w:oddHBand="1" w:evenHBand="0" w:firstRowFirstColumn="0" w:firstRowLastColumn="0" w:lastRowFirstColumn="0" w:lastRowLastColumn="0"/>
            </w:pPr>
            <w:r w:rsidRPr="004648B1">
              <w:t>Aspects of AI recruitment related to algorithm design, data practices, bias mitigation techniques, and system transparency</w:t>
            </w:r>
            <w:r>
              <w:t>.</w:t>
            </w:r>
          </w:p>
        </w:tc>
      </w:tr>
      <w:tr w:rsidR="00231ACC" w14:paraId="0C7E20E6" w14:textId="77777777" w:rsidTr="000D702D">
        <w:tc>
          <w:tcPr>
            <w:cnfStyle w:val="001000000000" w:firstRow="0" w:lastRow="0" w:firstColumn="1" w:lastColumn="0" w:oddVBand="0" w:evenVBand="0" w:oddHBand="0" w:evenHBand="0" w:firstRowFirstColumn="0" w:firstRowLastColumn="0" w:lastRowFirstColumn="0" w:lastRowLastColumn="0"/>
            <w:tcW w:w="3114" w:type="dxa"/>
          </w:tcPr>
          <w:p w14:paraId="4EF5A5F4" w14:textId="77777777" w:rsidR="007D3FCA" w:rsidRPr="004648B1" w:rsidRDefault="007D3FCA" w:rsidP="007D3FCA">
            <w:pPr>
              <w:rPr>
                <w:b w:val="0"/>
                <w:bCs w:val="0"/>
              </w:rPr>
            </w:pPr>
            <w:r w:rsidRPr="004648B1">
              <w:rPr>
                <w:b w:val="0"/>
                <w:bCs w:val="0"/>
              </w:rPr>
              <w:t>Transparency</w:t>
            </w:r>
          </w:p>
          <w:p w14:paraId="2F00EFEC" w14:textId="77777777" w:rsidR="00231ACC" w:rsidRPr="004648B1" w:rsidRDefault="00231ACC" w:rsidP="004A734D"/>
        </w:tc>
        <w:tc>
          <w:tcPr>
            <w:tcW w:w="7336" w:type="dxa"/>
          </w:tcPr>
          <w:p w14:paraId="52010733" w14:textId="129E7F5B" w:rsidR="00231ACC" w:rsidRPr="004648B1" w:rsidRDefault="007D3FCA" w:rsidP="003D0BCF">
            <w:pPr>
              <w:cnfStyle w:val="000000000000" w:firstRow="0" w:lastRow="0" w:firstColumn="0" w:lastColumn="0" w:oddVBand="0" w:evenVBand="0" w:oddHBand="0" w:evenHBand="0" w:firstRowFirstColumn="0" w:firstRowLastColumn="0" w:lastRowFirstColumn="0" w:lastRowLastColumn="0"/>
            </w:pPr>
            <w:r w:rsidRPr="004648B1">
              <w:t>The disclosure of information about AI system logic, data sources, limitations, and decision criteria to candidates, regulators, and internal stakeholders</w:t>
            </w:r>
            <w:r>
              <w:t>.</w:t>
            </w:r>
          </w:p>
        </w:tc>
      </w:tr>
      <w:tr w:rsidR="00231ACC" w14:paraId="38093A1B" w14:textId="77777777" w:rsidTr="000D70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55C90405" w14:textId="77777777" w:rsidR="007D3FCA" w:rsidRPr="004648B1" w:rsidRDefault="007D3FCA" w:rsidP="007D3FCA">
            <w:pPr>
              <w:rPr>
                <w:b w:val="0"/>
                <w:bCs w:val="0"/>
              </w:rPr>
            </w:pPr>
            <w:r w:rsidRPr="004648B1">
              <w:rPr>
                <w:b w:val="0"/>
                <w:bCs w:val="0"/>
              </w:rPr>
              <w:t>Vendor governance</w:t>
            </w:r>
          </w:p>
          <w:p w14:paraId="5DC0C436" w14:textId="77777777" w:rsidR="00231ACC" w:rsidRPr="004648B1" w:rsidRDefault="00231ACC" w:rsidP="004A734D"/>
        </w:tc>
        <w:tc>
          <w:tcPr>
            <w:tcW w:w="7336" w:type="dxa"/>
          </w:tcPr>
          <w:p w14:paraId="47342F59" w14:textId="39FD3679" w:rsidR="00231ACC" w:rsidRPr="004648B1" w:rsidRDefault="007D3FCA" w:rsidP="003D0BCF">
            <w:pPr>
              <w:cnfStyle w:val="000000100000" w:firstRow="0" w:lastRow="0" w:firstColumn="0" w:lastColumn="0" w:oddVBand="0" w:evenVBand="0" w:oddHBand="1" w:evenHBand="0" w:firstRowFirstColumn="0" w:firstRowLastColumn="0" w:lastRowFirstColumn="0" w:lastRowLastColumn="0"/>
            </w:pPr>
            <w:r w:rsidRPr="004648B1">
              <w:t>Oversight of third-party AI technology providers, including contractual safeguards, audit rights, transparency obligations, and managing dependency risks</w:t>
            </w:r>
            <w:r>
              <w:t>.</w:t>
            </w:r>
          </w:p>
        </w:tc>
      </w:tr>
    </w:tbl>
    <w:p w14:paraId="502497E3" w14:textId="44588C10" w:rsidR="004648B1" w:rsidRPr="004648B1" w:rsidRDefault="004648B1" w:rsidP="00F92349">
      <w:r w:rsidRPr="004648B1">
        <w:t xml:space="preserve"> </w:t>
      </w:r>
    </w:p>
    <w:p w14:paraId="3B3148F7" w14:textId="33195076" w:rsidR="004648B1" w:rsidRPr="004648B1" w:rsidRDefault="004648B1" w:rsidP="00844E49">
      <w:r w:rsidRPr="004648B1">
        <w:t xml:space="preserve"> </w:t>
      </w:r>
    </w:p>
    <w:p w14:paraId="0153512F" w14:textId="33B0527A" w:rsidR="004648B1" w:rsidRDefault="004648B1" w:rsidP="00035D6E"/>
    <w:p w14:paraId="4BE176A4" w14:textId="77777777" w:rsidR="0093397E" w:rsidRPr="004648B1" w:rsidRDefault="0093397E" w:rsidP="00035D6E"/>
    <w:p w14:paraId="48F399CB" w14:textId="77777777" w:rsidR="00BD14B9" w:rsidRPr="007F6958" w:rsidRDefault="00BD14B9" w:rsidP="008A4AED">
      <w:pPr>
        <w:pStyle w:val="Heading1"/>
        <w:jc w:val="both"/>
        <w:rPr>
          <w:b/>
        </w:rPr>
      </w:pPr>
      <w:bookmarkStart w:id="1" w:name="_Toc240996942"/>
      <w:r w:rsidRPr="007F6958">
        <w:rPr>
          <w:b/>
        </w:rPr>
        <w:lastRenderedPageBreak/>
        <w:t>CHAPTER 1: INTRODUCTION</w:t>
      </w:r>
      <w:bookmarkEnd w:id="1"/>
    </w:p>
    <w:p w14:paraId="445FE2AD" w14:textId="77777777" w:rsidR="00BD14B9" w:rsidRPr="007F6958" w:rsidRDefault="00BD14B9" w:rsidP="008A4AED">
      <w:pPr>
        <w:pStyle w:val="Heading2"/>
        <w:jc w:val="both"/>
        <w:rPr>
          <w:b/>
          <w:bCs/>
        </w:rPr>
      </w:pPr>
      <w:bookmarkStart w:id="2" w:name="_Toc240996943"/>
      <w:r w:rsidRPr="007F6958">
        <w:rPr>
          <w:b/>
          <w:bCs/>
        </w:rPr>
        <w:t>1.1 Background and Context</w:t>
      </w:r>
      <w:bookmarkEnd w:id="2"/>
    </w:p>
    <w:p w14:paraId="71DEAD75" w14:textId="77777777" w:rsidR="00942F55" w:rsidRDefault="00942F55" w:rsidP="008A4AED">
      <w:pPr>
        <w:jc w:val="both"/>
      </w:pPr>
      <w:r>
        <w:t>Over the past decade, Artificial Intelligence (AI) has become mainstream in Human Resource Management (HRM), particularly in recruitment and selection. Organisations now deploy AI to screen CVs, power chatbots, analyse video interviews, rank applicants, and conduct predictive scoring assessments (Tsiskaridze, Reinhold and Järvis, 2023). These capabilities are especially attractive to multinational companies (MNCs) facing high application volumes, dispersed labour markets, skills shortages, and pressure to reduce time-to-hire and costs (Tsiskaridze, Reinhold and Järvis, 2023).</w:t>
      </w:r>
    </w:p>
    <w:p w14:paraId="06B1502D" w14:textId="77777777" w:rsidR="00942F55" w:rsidRDefault="00942F55" w:rsidP="008A4AED">
      <w:pPr>
        <w:jc w:val="both"/>
      </w:pPr>
      <w:r>
        <w:t xml:space="preserve">However, the rapid expansion of AI in recruitment has triggered significant academic, legal, and ethical debate. Algorithmic hiring tools can reproduce or amplify discrimination, particularly when trained on historically biased data or narrow definitions of suitability and cultural fit (Mujtaba and Mahapatra, 2025; Rigotti and </w:t>
      </w:r>
      <w:proofErr w:type="spellStart"/>
      <w:r>
        <w:t>Fosch</w:t>
      </w:r>
      <w:proofErr w:type="spellEnd"/>
      <w:r>
        <w:t>-Villaronga, 2024). Fairness, transparency, accountability, and meaningful human oversight are therefore critical design and governance requirements.</w:t>
      </w:r>
    </w:p>
    <w:p w14:paraId="5B5D8CC3" w14:textId="77777777" w:rsidR="00942F55" w:rsidRDefault="00942F55" w:rsidP="008A4AED">
      <w:pPr>
        <w:jc w:val="both"/>
      </w:pPr>
      <w:r>
        <w:t>In Europe, regulatory frameworks have tightened. The General Data Protection Regulation (GDPR) imposes obligations on personal data protection and automated decision-making. Under the EU AI Act, recruitment and workforce-management AI is classified as high-risk, requiring robust risk management, technical documentation, human oversight, bias testing, and anti-discrimination safeguards (European Commission, 2024; Clifford Chance, 2024). While some transparency duties apply from August 2026, key high-risk compliance obligations for employment AI have been deferred to 2 December 2027 (</w:t>
      </w:r>
      <w:proofErr w:type="spellStart"/>
      <w:r>
        <w:t>Omniteam</w:t>
      </w:r>
      <w:proofErr w:type="spellEnd"/>
      <w:r>
        <w:t>, 2026; Regulatory AI, 2026).</w:t>
      </w:r>
    </w:p>
    <w:p w14:paraId="2EEDFA72" w14:textId="77777777" w:rsidR="00942F55" w:rsidRDefault="00942F55" w:rsidP="008A4AED">
      <w:pPr>
        <w:jc w:val="both"/>
      </w:pPr>
      <w:r>
        <w:t>Across Asia, regulatory approaches are more heterogeneous. China, Japan, South Korea, and Singapore have heavily invested in AI and HR technologies, yet their institutional and regulatory models differ substantially from each other—and from the EU. Governance frameworks remain inconsistent regarding algorithmic fairness, accountability, employee protections, and transparency (CMS, 2025). For MNCs operating in both regions, AI-driven recruitment unfolds within a complex institutional landscape where global standardisation pressures coexist with divergent legal obligations, labour-market institutions, organisational norms, and societal expectations.</w:t>
      </w:r>
    </w:p>
    <w:p w14:paraId="7AADA693" w14:textId="77777777" w:rsidR="00432616" w:rsidRDefault="00203C4E" w:rsidP="008A4AED">
      <w:pPr>
        <w:jc w:val="both"/>
      </w:pPr>
      <w:r>
        <w:t>These disparities create a core operational and governance challenge. European models increasingly prioritise individual rights, explainability, and human oversight, whereas Asian jurisdictions reflect varied national priorities and institutional logics. Responsible AI recruitment therefore cannot be assessed solely through technical functionality or formal controls; it also depends on how organisations interpret, implement, and oversee AI systems within specific institutional contexts (</w:t>
      </w:r>
      <w:proofErr w:type="spellStart"/>
      <w:r w:rsidR="00FE6491">
        <w:t>Prikshat</w:t>
      </w:r>
      <w:proofErr w:type="spellEnd"/>
      <w:r w:rsidR="00FE6491">
        <w:t>, Malik and Budhwar, 2023).</w:t>
      </w:r>
    </w:p>
    <w:p w14:paraId="72DC5A53" w14:textId="77777777" w:rsidR="00FE6491" w:rsidRPr="003634B5" w:rsidRDefault="00FE6491" w:rsidP="003634B5">
      <w:pPr>
        <w:pStyle w:val="Heading2"/>
        <w:rPr>
          <w:b/>
          <w:bCs/>
        </w:rPr>
      </w:pPr>
      <w:bookmarkStart w:id="3" w:name="_Toc240996944"/>
      <w:r w:rsidRPr="003634B5">
        <w:rPr>
          <w:b/>
          <w:bCs/>
        </w:rPr>
        <w:t>1.2 Research Aim</w:t>
      </w:r>
      <w:bookmarkEnd w:id="3"/>
    </w:p>
    <w:p w14:paraId="774E5A61" w14:textId="0A8204D6" w:rsidR="003A142C" w:rsidRDefault="00FE6491" w:rsidP="008A4AED">
      <w:pPr>
        <w:jc w:val="both"/>
      </w:pPr>
      <w:r>
        <w:t>This paper conducts a Systematic Literature Review (SLR) to synthesise and critically evaluate existing peer-reviewed evidence regarding Artificial Intelligence (AI) or AI-driven recruitment processes within multinational companies (MNCs). It investigates how technological design, organisational governance, and institutional contexts across Europe and East and Southeast Asia jointly influence governance capabilities, accountability mechanisms, and recruitment outcomes (Tsiskaridze, Reinhold and Järvis, 2023).</w:t>
      </w:r>
    </w:p>
    <w:p w14:paraId="3E18BEED" w14:textId="77777777" w:rsidR="00BD14B9" w:rsidRPr="00CC7796" w:rsidRDefault="00BD14B9" w:rsidP="008A4AED">
      <w:pPr>
        <w:pStyle w:val="Heading2"/>
        <w:spacing w:before="0" w:after="0"/>
        <w:jc w:val="both"/>
        <w:rPr>
          <w:b/>
          <w:bCs/>
        </w:rPr>
      </w:pPr>
      <w:bookmarkStart w:id="4" w:name="_Toc240996945"/>
      <w:r w:rsidRPr="00CC7796">
        <w:rPr>
          <w:b/>
          <w:bCs/>
        </w:rPr>
        <w:lastRenderedPageBreak/>
        <w:t>1.3 Research Objectives</w:t>
      </w:r>
      <w:bookmarkEnd w:id="4"/>
    </w:p>
    <w:p w14:paraId="56616343" w14:textId="77777777" w:rsidR="00BD14B9" w:rsidRDefault="00BD14B9" w:rsidP="008A4AED">
      <w:pPr>
        <w:spacing w:after="0"/>
        <w:jc w:val="both"/>
      </w:pPr>
      <w:r>
        <w:t>To fulfil this aim, the study pursues four objectives:</w:t>
      </w:r>
    </w:p>
    <w:p w14:paraId="436040DB" w14:textId="77777777" w:rsidR="00195E88" w:rsidRDefault="00195E88" w:rsidP="001535C3">
      <w:pPr>
        <w:pStyle w:val="ListParagraph"/>
        <w:numPr>
          <w:ilvl w:val="0"/>
          <w:numId w:val="8"/>
        </w:numPr>
        <w:spacing w:after="0"/>
        <w:jc w:val="both"/>
      </w:pPr>
      <w:r>
        <w:t>To identify and critically appraise peer-reviewed literature on AI-mediated recruitment pertinent to multinational organisations, applying transparent quality-assessment and evidence-weighting criteria (Tsiskaridze, Reinhold and Järvis, 2023).</w:t>
      </w:r>
    </w:p>
    <w:p w14:paraId="5EA4F942" w14:textId="77777777" w:rsidR="00195E88" w:rsidRDefault="00195E88" w:rsidP="001535C3">
      <w:pPr>
        <w:pStyle w:val="ListParagraph"/>
        <w:numPr>
          <w:ilvl w:val="0"/>
          <w:numId w:val="8"/>
        </w:numPr>
        <w:spacing w:after="0"/>
        <w:jc w:val="both"/>
      </w:pPr>
      <w:r>
        <w:t>To explore how AI-mediated recruitment systems are conceptualised and operationalised in existing research, with specific attention to levels of automation, human oversight and decision-making authority (</w:t>
      </w:r>
      <w:proofErr w:type="spellStart"/>
      <w:r>
        <w:t>Prikshat</w:t>
      </w:r>
      <w:proofErr w:type="spellEnd"/>
      <w:r>
        <w:t>, Malik and Budhwar, 2023).</w:t>
      </w:r>
    </w:p>
    <w:p w14:paraId="79FB41CC" w14:textId="77777777" w:rsidR="00195E88" w:rsidRDefault="00195E88" w:rsidP="001535C3">
      <w:pPr>
        <w:pStyle w:val="ListParagraph"/>
        <w:numPr>
          <w:ilvl w:val="0"/>
          <w:numId w:val="8"/>
        </w:numPr>
        <w:spacing w:after="0"/>
        <w:jc w:val="both"/>
      </w:pPr>
      <w:r>
        <w:t>To evaluate how organisational governance arrangements influence the deployment and effects of AI recruitment technologies, focusing on decision interfaces, accountability structures and human–algorithm interaction.</w:t>
      </w:r>
    </w:p>
    <w:p w14:paraId="4B779DA6" w14:textId="77777777" w:rsidR="0060584E" w:rsidRDefault="00195E88" w:rsidP="001535C3">
      <w:pPr>
        <w:pStyle w:val="ListParagraph"/>
        <w:numPr>
          <w:ilvl w:val="0"/>
          <w:numId w:val="8"/>
        </w:numPr>
        <w:jc w:val="both"/>
      </w:pPr>
      <w:r>
        <w:t>To compare how institutional environments across Europe and East and Southeast Asia affect organisational governance capacity in implementing AI-mediated recruitment systems, without presuming that institutional conditions directly determine recruitment outcomes (CMS, 2025).</w:t>
      </w:r>
    </w:p>
    <w:p w14:paraId="2C743FE8" w14:textId="77777777" w:rsidR="00BD14B9" w:rsidRPr="008E6493" w:rsidRDefault="00BD14B9" w:rsidP="008A4AED">
      <w:pPr>
        <w:pStyle w:val="Heading2"/>
        <w:jc w:val="both"/>
        <w:rPr>
          <w:b/>
        </w:rPr>
      </w:pPr>
      <w:bookmarkStart w:id="5" w:name="_Toc240996946"/>
      <w:r w:rsidRPr="008E6493">
        <w:rPr>
          <w:b/>
        </w:rPr>
        <w:t>1.4 Research Problem</w:t>
      </w:r>
      <w:bookmarkEnd w:id="5"/>
    </w:p>
    <w:p w14:paraId="331E8645" w14:textId="77777777" w:rsidR="0079295B" w:rsidRDefault="0079295B" w:rsidP="008A4AED">
      <w:pPr>
        <w:jc w:val="both"/>
      </w:pPr>
      <w:r>
        <w:t>Although AI can enhance recruitment efficiency and support the management of large candidate volumes, the literature remains fragmented across HRM, information systems, law, organisational studies, and business ethics. Many studies focus on isolated elements—such as specific countries, technologies, or algorithmic decision-making—while paying limited attention to how these components interact within multinational corporations (MNCs) (Tsiskaridze, Reinhold and Järvis, 2023). A critical gap is the lack of systematic integration between technical, organisational, and institutional perspectives on AI-driven recruitment. Algorithmic bias and system functionality are often examined separately from governance structures, human oversight, and institutional environments, leaving unclear how technical design, national or regional institutions, and organisational governance jointly shape accountability, fairness, and decision-making authority in MNC recruitment (Mujtaba and Mahapatra, 2025).</w:t>
      </w:r>
    </w:p>
    <w:p w14:paraId="7FEFB174" w14:textId="024AE89F" w:rsidR="00D17A68" w:rsidRDefault="0079295B" w:rsidP="008A4AED">
      <w:pPr>
        <w:jc w:val="both"/>
      </w:pPr>
      <w:r>
        <w:t>This fragmentation has theoretical and practical implications. Theoretically, it yields only a partial account of how AI-enabled recruitment is managed and regulated. Practically, without coherent governance frameworks, clear decision-making authority, and effective human oversight, technical safeguards and legal mandates may be undermined. Accordingly, a systematic synthesis of existing evidence is needed to develop a more integrated understanding of the governance and management of AI-based recruitment across diverse organisational and institutional settings.</w:t>
      </w:r>
    </w:p>
    <w:p w14:paraId="4583ABFD" w14:textId="77777777" w:rsidR="00BD14B9" w:rsidRPr="008E6493" w:rsidRDefault="00BD14B9" w:rsidP="008A4AED">
      <w:pPr>
        <w:pStyle w:val="Heading2"/>
        <w:jc w:val="both"/>
        <w:rPr>
          <w:b/>
        </w:rPr>
      </w:pPr>
      <w:bookmarkStart w:id="6" w:name="_Toc240996947"/>
      <w:r w:rsidRPr="008E6493">
        <w:rPr>
          <w:b/>
        </w:rPr>
        <w:t>1.5 Significance and Rationale of the Study</w:t>
      </w:r>
      <w:bookmarkEnd w:id="6"/>
    </w:p>
    <w:p w14:paraId="56C58ED4" w14:textId="77777777" w:rsidR="003B53FD" w:rsidRDefault="003B53FD" w:rsidP="008A4AED">
      <w:pPr>
        <w:jc w:val="both"/>
      </w:pPr>
      <w:r>
        <w:t>This research is significant from theoretical, methodological, practical, and policy perspectives. Theoretically, it integrates socio-technical systems theory, organisational governance perspectives, and institutional theory to analyse how AI-driven recruitment is governed at the intersection of technology, stakeholders, and the institutional environment (</w:t>
      </w:r>
      <w:proofErr w:type="spellStart"/>
      <w:r>
        <w:t>Prikshat</w:t>
      </w:r>
      <w:proofErr w:type="spellEnd"/>
      <w:r>
        <w:t>, Malik and Budhwar, 2023). An integrated approach provides a more holistic understanding of how fairness, accountability, human oversight, and decision-making authority are shaped in AI-enabled recruitment (Mujtaba and Mahapatra, 2025).</w:t>
      </w:r>
    </w:p>
    <w:p w14:paraId="740534B4" w14:textId="77777777" w:rsidR="003B53FD" w:rsidRDefault="003B53FD" w:rsidP="008A4AED">
      <w:pPr>
        <w:jc w:val="both"/>
      </w:pPr>
      <w:r>
        <w:lastRenderedPageBreak/>
        <w:t xml:space="preserve">Methodologically, the study employs a systematic literature review with defined search strategies, study selection, quality assessment, and evidence synthesis. This enables systematic identification and evaluation of relevant studies while distinguishing robust evidence from weak or speculative claims (Tsiskaridze, Reinhold and Järvis, 2023), and reduces risks of selective interpretation and over-generalisation (Rigotti and </w:t>
      </w:r>
      <w:proofErr w:type="spellStart"/>
      <w:r>
        <w:t>Fosch</w:t>
      </w:r>
      <w:proofErr w:type="spellEnd"/>
      <w:r>
        <w:t>-Villaronga, 2024).</w:t>
      </w:r>
    </w:p>
    <w:p w14:paraId="10F32021" w14:textId="75967CE4" w:rsidR="00DC3E2E" w:rsidRDefault="00E84907" w:rsidP="008A4AED">
      <w:pPr>
        <w:jc w:val="both"/>
      </w:pPr>
      <w:r>
        <w:t>Practically and policy</w:t>
      </w:r>
      <w:r w:rsidR="003B53FD">
        <w:t>-</w:t>
      </w:r>
      <w:r>
        <w:t>wise, the study offers insights for multinational corporations (MNCs) seeking to implement AI</w:t>
      </w:r>
      <w:r w:rsidR="003B53FD">
        <w:t>-</w:t>
      </w:r>
      <w:r>
        <w:t>driven recruitment that fosters fairness, accountability, and effective human oversight. It clarifies how diverse institutional environments shape governance capabilities, assisting organisations and policymakers in aligning regulatory requirements with governance mechanisms to promote more responsible AI</w:t>
      </w:r>
      <w:r w:rsidR="003B53FD">
        <w:t>-</w:t>
      </w:r>
      <w:r>
        <w:t>based recruitment (European Commission, 2024</w:t>
      </w:r>
      <w:r w:rsidR="003B53FD">
        <w:t>).</w:t>
      </w:r>
    </w:p>
    <w:p w14:paraId="0EF3201B" w14:textId="384B22D5" w:rsidR="00BD14B9" w:rsidRPr="00516AA1" w:rsidRDefault="00BD14B9" w:rsidP="008A4AED">
      <w:pPr>
        <w:pStyle w:val="Heading2"/>
        <w:jc w:val="both"/>
        <w:rPr>
          <w:b/>
        </w:rPr>
      </w:pPr>
      <w:bookmarkStart w:id="7" w:name="_Toc240996948"/>
      <w:r w:rsidRPr="00516AA1">
        <w:rPr>
          <w:b/>
        </w:rPr>
        <w:t>1.6 Scope of the Study</w:t>
      </w:r>
      <w:bookmarkEnd w:id="7"/>
    </w:p>
    <w:p w14:paraId="6BE5FEA5" w14:textId="77777777" w:rsidR="00BD14B9" w:rsidRDefault="00BD14B9" w:rsidP="008A4AED">
      <w:pPr>
        <w:jc w:val="both"/>
      </w:pPr>
      <w:r w:rsidRPr="002F25E0">
        <w:t>This section defines the scope of the systematic literature review by specifying the population and geographical location, research topic, type of study, timeframe, and inclusion and exclusion criteria. Establishing these boundaries ensures that the review remains focused and feasible while maintaining direct alignment with the research goals and objectives.</w:t>
      </w:r>
    </w:p>
    <w:p w14:paraId="7167010A" w14:textId="77777777" w:rsidR="00BD14B9" w:rsidRPr="00086C10" w:rsidRDefault="00BD14B9" w:rsidP="008A4AED">
      <w:pPr>
        <w:jc w:val="both"/>
        <w:rPr>
          <w:b/>
          <w:color w:val="153D63" w:themeColor="text2" w:themeTint="E6"/>
          <w:sz w:val="28"/>
          <w:szCs w:val="28"/>
        </w:rPr>
      </w:pPr>
      <w:r w:rsidRPr="00086C10">
        <w:rPr>
          <w:b/>
          <w:color w:val="153D63" w:themeColor="text2" w:themeTint="E6"/>
          <w:sz w:val="28"/>
          <w:szCs w:val="28"/>
        </w:rPr>
        <w:t>Population and Setting</w:t>
      </w:r>
    </w:p>
    <w:p w14:paraId="179FDBA4" w14:textId="77777777" w:rsidR="00D370F0" w:rsidRDefault="00D370F0" w:rsidP="008A4AED">
      <w:pPr>
        <w:jc w:val="both"/>
      </w:pPr>
      <w:r>
        <w:t>The review focuses on multinational companies (MNCs) operating across Europe and East and Southeast Asia. It considers organisations that coordinate recruitment activities across multiple legal jurisdictions or regions and utilise—or are relevant to the use of—Artificial Intelligence (AI</w:t>
      </w:r>
      <w:r w:rsidR="002E3691">
        <w:t>)-driven recruitment technologies. This focus is intentional, as MNCs must simultaneously ensure operational consistency and efficiency through standardised Human Resources (HR) technologies, while adapting recruitment processes to diverse legal, cultural, and institutional environments (Tsiskaridze, Reinhold</w:t>
      </w:r>
      <w:r>
        <w:t xml:space="preserve"> and Järvis, 2023).</w:t>
      </w:r>
    </w:p>
    <w:p w14:paraId="6AB9D18E" w14:textId="77777777" w:rsidR="002E3691" w:rsidRDefault="002E3691" w:rsidP="008A4AED">
      <w:pPr>
        <w:jc w:val="both"/>
      </w:pPr>
      <w:r>
        <w:t>Geographically, Europe is considered primarily in the context of regions influenced by European Union (EU) regulatory frameworks, specifically the GDPR and the EU AI Act. In Asia, major economies including China, Japan, South Korea, and Singapore are included; these regions exhibit variations in AI governance and employment regulations (CMS, 2025). This scope enables comparative analysis of how institutional contexts influence organisational capabilities in managing AI-driven recruitment. While the primary focus is on MNCs, studies not explicitly addressing MNCs are considered if their findings offer directly applicable insights on institutional governance, human oversight, accountability, or organisational impacts in cross-border AI-driven recruitment.</w:t>
      </w:r>
    </w:p>
    <w:p w14:paraId="75A93084" w14:textId="77777777" w:rsidR="00E7359A" w:rsidRPr="00B74EF3" w:rsidRDefault="00BD14B9" w:rsidP="008A4AED">
      <w:pPr>
        <w:jc w:val="both"/>
        <w:rPr>
          <w:b/>
          <w:color w:val="153D63" w:themeColor="text2" w:themeTint="E6"/>
          <w:sz w:val="28"/>
          <w:szCs w:val="28"/>
        </w:rPr>
      </w:pPr>
      <w:r w:rsidRPr="00B74EF3">
        <w:rPr>
          <w:b/>
          <w:color w:val="153D63" w:themeColor="text2" w:themeTint="E6"/>
          <w:sz w:val="28"/>
          <w:szCs w:val="28"/>
        </w:rPr>
        <w:t>Phenomenon of Interest</w:t>
      </w:r>
    </w:p>
    <w:p w14:paraId="76B7226C" w14:textId="77777777" w:rsidR="002E3691" w:rsidRDefault="002E3691" w:rsidP="008A4AED">
      <w:pPr>
        <w:jc w:val="both"/>
      </w:pPr>
      <w:r>
        <w:t>The review examines 'AI-mediated recruitment', defined as the use of algorithms, AI, or machine learning-based technologies to assist or automate recruitment and selection processes. It includes AI applications at various stages: sourcing (identifying or attracting candidates), screening (CV parsing, keyword matching, scoring, shortlisting), interviewing (video-interview analysis, chatbot pre-screening, natural language processing), and selection (algorithmic assessment or decision support, including predictive suitability or offer-acceptance models) (Tsiskaridze, Reinhold and Järvis, 2023). Research on AI in other HR functions—such as performance management, learning and development, or workforce planning—is excluded unless recruitment is a central component.</w:t>
      </w:r>
    </w:p>
    <w:p w14:paraId="6AB08DC8" w14:textId="77777777" w:rsidR="00BD14B9" w:rsidRPr="00B74EF3" w:rsidRDefault="00BD14B9" w:rsidP="008A4AED">
      <w:pPr>
        <w:jc w:val="both"/>
        <w:rPr>
          <w:b/>
          <w:color w:val="153D63" w:themeColor="text2" w:themeTint="E6"/>
          <w:sz w:val="28"/>
          <w:szCs w:val="28"/>
        </w:rPr>
      </w:pPr>
      <w:r w:rsidRPr="00B74EF3">
        <w:rPr>
          <w:b/>
          <w:color w:val="153D63" w:themeColor="text2" w:themeTint="E6"/>
          <w:sz w:val="28"/>
          <w:szCs w:val="28"/>
        </w:rPr>
        <w:lastRenderedPageBreak/>
        <w:t>Types of Studies and Time Frame</w:t>
      </w:r>
    </w:p>
    <w:p w14:paraId="123C17F0" w14:textId="77777777" w:rsidR="000E0AF3" w:rsidRDefault="007E2BAB" w:rsidP="008A4AED">
      <w:pPr>
        <w:jc w:val="both"/>
      </w:pPr>
      <w:r w:rsidRPr="007E2BAB">
        <w:t>The</w:t>
      </w:r>
      <w:r w:rsidR="00BD14B9">
        <w:t xml:space="preserve"> review encompasses peer</w:t>
      </w:r>
      <w:r w:rsidR="002E3691">
        <w:t>-</w:t>
      </w:r>
      <w:r w:rsidR="00BD14B9">
        <w:t xml:space="preserve">reviewed journal articles and conference papers published between 2015 and 2026. The year 2015 </w:t>
      </w:r>
      <w:r w:rsidRPr="007E2BAB">
        <w:t xml:space="preserve">marks the </w:t>
      </w:r>
      <w:r w:rsidR="00BD14B9">
        <w:t xml:space="preserve">rise in </w:t>
      </w:r>
      <w:r w:rsidRPr="007E2BAB">
        <w:t>organisational</w:t>
      </w:r>
      <w:r w:rsidR="00BD14B9">
        <w:t xml:space="preserve"> and academic interest in AI</w:t>
      </w:r>
      <w:r w:rsidR="002E3691">
        <w:t>-</w:t>
      </w:r>
      <w:r w:rsidR="00BD14B9">
        <w:t xml:space="preserve">supported recruitment, while 2026 </w:t>
      </w:r>
      <w:r w:rsidRPr="007E2BAB">
        <w:t>reflects</w:t>
      </w:r>
      <w:r w:rsidR="00BD14B9">
        <w:t xml:space="preserve"> the current timeframe of this study (Tsiskaridze, Reinhold and Järvis, 2023).</w:t>
      </w:r>
      <w:r w:rsidRPr="007E2BAB">
        <w:t xml:space="preserve"> Eligible studies</w:t>
      </w:r>
      <w:r w:rsidR="00BD14B9">
        <w:t xml:space="preserve"> include empirical research, conceptual frameworks, and critical analyses </w:t>
      </w:r>
      <w:r w:rsidRPr="007E2BAB">
        <w:t>offering</w:t>
      </w:r>
      <w:r w:rsidR="00BD14B9">
        <w:t xml:space="preserve"> direct insights into AI</w:t>
      </w:r>
      <w:r w:rsidR="002E3691">
        <w:t>-</w:t>
      </w:r>
      <w:r w:rsidR="00BD14B9">
        <w:t xml:space="preserve">driven recruitment within </w:t>
      </w:r>
      <w:r w:rsidRPr="007E2BAB">
        <w:t>organisational</w:t>
      </w:r>
      <w:r w:rsidR="00BD14B9">
        <w:t xml:space="preserve"> contexts</w:t>
      </w:r>
      <w:r w:rsidRPr="007E2BAB">
        <w:t>, and addressing</w:t>
      </w:r>
      <w:r w:rsidR="00BD14B9">
        <w:t xml:space="preserve"> at least one key theme</w:t>
      </w:r>
      <w:r w:rsidRPr="007E2BAB">
        <w:t>:</w:t>
      </w:r>
      <w:r w:rsidR="00BD14B9">
        <w:t xml:space="preserve"> governance, accountability, fairness, bias, transparency, human oversight, decision</w:t>
      </w:r>
      <w:r w:rsidR="002E3691">
        <w:t>-</w:t>
      </w:r>
      <w:r w:rsidR="00BD14B9">
        <w:t xml:space="preserve">making authority, ethics, legal or policy </w:t>
      </w:r>
      <w:r w:rsidRPr="007E2BAB">
        <w:t>compliance</w:t>
      </w:r>
      <w:r w:rsidR="00BD14B9">
        <w:t xml:space="preserve">, or </w:t>
      </w:r>
      <w:r w:rsidRPr="007E2BAB">
        <w:t>organisational</w:t>
      </w:r>
      <w:r w:rsidR="00BD14B9">
        <w:t xml:space="preserve"> impact.</w:t>
      </w:r>
      <w:r w:rsidRPr="007E2BAB">
        <w:t xml:space="preserve"> </w:t>
      </w:r>
      <w:r w:rsidR="002E3691">
        <w:t>Non-</w:t>
      </w:r>
      <w:r w:rsidR="00BD14B9">
        <w:t>peer</w:t>
      </w:r>
      <w:r w:rsidR="002E3691">
        <w:t>-</w:t>
      </w:r>
      <w:r w:rsidR="00BD14B9">
        <w:t>reviewed materials—such as blogs, opinion pieces, and general media articles—</w:t>
      </w:r>
      <w:r w:rsidRPr="007E2BAB">
        <w:t>are excluded</w:t>
      </w:r>
      <w:r w:rsidR="00BD14B9">
        <w:t xml:space="preserve"> as primary evidence</w:t>
      </w:r>
      <w:r w:rsidRPr="007E2BAB">
        <w:t xml:space="preserve">, though selected </w:t>
      </w:r>
      <w:r w:rsidR="00BD14B9">
        <w:t xml:space="preserve">policy or legal documents may be </w:t>
      </w:r>
      <w:r w:rsidRPr="007E2BAB">
        <w:t>used</w:t>
      </w:r>
      <w:r w:rsidR="00BD14B9">
        <w:t xml:space="preserve"> separately to </w:t>
      </w:r>
      <w:r w:rsidRPr="007E2BAB">
        <w:t>contextualise</w:t>
      </w:r>
      <w:r w:rsidR="00BD14B9">
        <w:t xml:space="preserve"> frameworks </w:t>
      </w:r>
      <w:r w:rsidRPr="007E2BAB">
        <w:t>such as the</w:t>
      </w:r>
      <w:r w:rsidR="00BD14B9">
        <w:t xml:space="preserve"> GDPR and EU AI Act</w:t>
      </w:r>
      <w:r w:rsidRPr="007E2BAB">
        <w:t>.</w:t>
      </w:r>
    </w:p>
    <w:p w14:paraId="266F0358" w14:textId="77777777" w:rsidR="00BD14B9" w:rsidRPr="00B74EF3" w:rsidRDefault="00BD14B9" w:rsidP="008A4AED">
      <w:pPr>
        <w:jc w:val="both"/>
        <w:rPr>
          <w:b/>
          <w:color w:val="153D63" w:themeColor="text2" w:themeTint="E6"/>
          <w:sz w:val="28"/>
          <w:szCs w:val="28"/>
        </w:rPr>
      </w:pPr>
      <w:r w:rsidRPr="00B74EF3">
        <w:rPr>
          <w:b/>
          <w:color w:val="153D63" w:themeColor="text2" w:themeTint="E6"/>
          <w:sz w:val="28"/>
          <w:szCs w:val="28"/>
        </w:rPr>
        <w:t>Language and Accessibility</w:t>
      </w:r>
    </w:p>
    <w:p w14:paraId="0BE00071" w14:textId="77777777" w:rsidR="002E3691" w:rsidRDefault="002E3691" w:rsidP="008A4AED">
      <w:pPr>
        <w:jc w:val="both"/>
      </w:pPr>
      <w:r>
        <w:t xml:space="preserve">The review is limited to English-language publications due to practical constraints of time, resources, and linguistic proficiency. Although this may exclude relevant research published in Chinese, Japanese, or Korean, a significant portion of internationally significant AI and AI-driven recruitment research appears in English (Tsiskaridze, Reinhold and Järvis, 2023). This limitation is acknowledged as a potential source of language bias and is considered when interpreting findings (Rigotti and </w:t>
      </w:r>
      <w:proofErr w:type="spellStart"/>
      <w:r>
        <w:t>Fosch</w:t>
      </w:r>
      <w:proofErr w:type="spellEnd"/>
      <w:r>
        <w:t>-Villaronga, 2024).</w:t>
      </w:r>
    </w:p>
    <w:p w14:paraId="2B7DAEBE" w14:textId="77777777" w:rsidR="00BD14B9" w:rsidRPr="00B74EF3" w:rsidRDefault="00BD14B9" w:rsidP="008A4AED">
      <w:pPr>
        <w:jc w:val="both"/>
        <w:rPr>
          <w:b/>
          <w:color w:val="153D63" w:themeColor="text2" w:themeTint="E6"/>
          <w:sz w:val="28"/>
          <w:szCs w:val="28"/>
        </w:rPr>
      </w:pPr>
      <w:r w:rsidRPr="00B74EF3">
        <w:rPr>
          <w:b/>
          <w:color w:val="153D63" w:themeColor="text2" w:themeTint="E6"/>
          <w:sz w:val="28"/>
          <w:szCs w:val="28"/>
        </w:rPr>
        <w:t>Inclusion Criteria</w:t>
      </w:r>
    </w:p>
    <w:p w14:paraId="0FA571A3" w14:textId="77777777" w:rsidR="00BD14B9" w:rsidRDefault="00BD14B9" w:rsidP="008A4AED">
      <w:pPr>
        <w:jc w:val="both"/>
      </w:pPr>
      <w:r>
        <w:t>Studies are included when they meet the following criteria:</w:t>
      </w:r>
    </w:p>
    <w:p w14:paraId="5905400C" w14:textId="77777777" w:rsidR="002E3691" w:rsidRDefault="002E3691" w:rsidP="001535C3">
      <w:pPr>
        <w:pStyle w:val="ListParagraph"/>
        <w:numPr>
          <w:ilvl w:val="0"/>
          <w:numId w:val="9"/>
        </w:numPr>
        <w:jc w:val="both"/>
      </w:pPr>
      <w:r>
        <w:t>They focus on AI-mediated recruitment or selection within organisational or corporate settings (Tsiskaridze, Reinhold and Järvis, 2023).</w:t>
      </w:r>
    </w:p>
    <w:p w14:paraId="3976F14A" w14:textId="77777777" w:rsidR="00882C14" w:rsidRDefault="00882C14" w:rsidP="001535C3">
      <w:pPr>
        <w:pStyle w:val="ListParagraph"/>
        <w:numPr>
          <w:ilvl w:val="0"/>
          <w:numId w:val="9"/>
        </w:numPr>
        <w:jc w:val="both"/>
      </w:pPr>
      <w:r>
        <w:t>They examine MNCs or provide directly transferable insights relevant to cross</w:t>
      </w:r>
      <w:r w:rsidR="002E3691">
        <w:t>-</w:t>
      </w:r>
      <w:r>
        <w:t>national recruitment governance (</w:t>
      </w:r>
      <w:proofErr w:type="spellStart"/>
      <w:r>
        <w:t>Prikshat</w:t>
      </w:r>
      <w:proofErr w:type="spellEnd"/>
      <w:r w:rsidR="002E3691">
        <w:t>, Malik and Budhwar,</w:t>
      </w:r>
      <w:r>
        <w:t xml:space="preserve"> 2023).</w:t>
      </w:r>
    </w:p>
    <w:p w14:paraId="23137110" w14:textId="77777777" w:rsidR="00882C14" w:rsidRDefault="00882C14" w:rsidP="001535C3">
      <w:pPr>
        <w:pStyle w:val="ListParagraph"/>
        <w:numPr>
          <w:ilvl w:val="0"/>
          <w:numId w:val="9"/>
        </w:numPr>
        <w:jc w:val="both"/>
      </w:pPr>
      <w:r>
        <w:t>They address at least one of the following themes: governance, accountability, fairness, bias, ethics, transparency, human oversight, decision authority, regulatory compliance or institutional influences (Mujtaba and Mahapatra, 2025).</w:t>
      </w:r>
    </w:p>
    <w:p w14:paraId="3BE529BC" w14:textId="77777777" w:rsidR="002E3691" w:rsidRDefault="002E3691" w:rsidP="001535C3">
      <w:pPr>
        <w:pStyle w:val="ListParagraph"/>
        <w:numPr>
          <w:ilvl w:val="0"/>
          <w:numId w:val="9"/>
        </w:numPr>
        <w:jc w:val="both"/>
      </w:pPr>
      <w:r>
        <w:t>They are peer-reviewed journal articles or conference papers (Tsiskaridze, Reinhold and Järvis, 2023).</w:t>
      </w:r>
    </w:p>
    <w:p w14:paraId="617EF09B" w14:textId="77777777" w:rsidR="002E3691" w:rsidRDefault="002E3691" w:rsidP="001535C3">
      <w:pPr>
        <w:pStyle w:val="ListParagraph"/>
        <w:numPr>
          <w:ilvl w:val="0"/>
          <w:numId w:val="9"/>
        </w:numPr>
        <w:jc w:val="both"/>
      </w:pPr>
      <w:r>
        <w:t>They were published between 2015 and 2026 (Tsiskaridze, Reinhold and Järvis, 2023).</w:t>
      </w:r>
    </w:p>
    <w:p w14:paraId="5DE145F2" w14:textId="77777777" w:rsidR="002E3691" w:rsidRDefault="002E3691" w:rsidP="001535C3">
      <w:pPr>
        <w:pStyle w:val="ListParagraph"/>
        <w:numPr>
          <w:ilvl w:val="0"/>
          <w:numId w:val="9"/>
        </w:numPr>
        <w:jc w:val="both"/>
      </w:pPr>
      <w:r>
        <w:t xml:space="preserve">They provide empirical evidence, conceptual analysis or critical theoretical discussion relevant to the research aim and objectives (Rigotti and </w:t>
      </w:r>
      <w:proofErr w:type="spellStart"/>
      <w:r>
        <w:t>Fosch</w:t>
      </w:r>
      <w:proofErr w:type="spellEnd"/>
      <w:r>
        <w:t>-Villaronga, 2024).</w:t>
      </w:r>
    </w:p>
    <w:p w14:paraId="26453460" w14:textId="77777777" w:rsidR="00BD14B9" w:rsidRPr="000F6C28" w:rsidRDefault="00BD14B9" w:rsidP="008A4AED">
      <w:pPr>
        <w:jc w:val="both"/>
        <w:rPr>
          <w:b/>
          <w:color w:val="153D63" w:themeColor="text2" w:themeTint="E6"/>
          <w:sz w:val="28"/>
          <w:szCs w:val="28"/>
        </w:rPr>
      </w:pPr>
      <w:r w:rsidRPr="000F6C28">
        <w:rPr>
          <w:b/>
          <w:color w:val="153D63" w:themeColor="text2" w:themeTint="E6"/>
          <w:sz w:val="28"/>
          <w:szCs w:val="28"/>
        </w:rPr>
        <w:t>Exclusion Criteria</w:t>
      </w:r>
    </w:p>
    <w:p w14:paraId="47F70A16" w14:textId="77777777" w:rsidR="002E3691" w:rsidRDefault="002E3691" w:rsidP="008A4AED">
      <w:pPr>
        <w:jc w:val="both"/>
      </w:pPr>
      <w:r>
        <w:t>Studies are excluded when they: focus exclusively on technical or algorithmic performance without addressing recruitment processes, governance, ethics, or organisational implications (Barocas and Selbst, 2016); examine AI applications in HR functions outside recruitment unless recruitment is substantive (Tambe, Cappelli and Yakubovich, 2019); focus exclusively on SMEs or single-country public-sector organisations without findings that can reasonably inform MNC or cross-national contexts (</w:t>
      </w:r>
      <w:proofErr w:type="spellStart"/>
      <w:r>
        <w:t>Prikshat</w:t>
      </w:r>
      <w:proofErr w:type="spellEnd"/>
      <w:r>
        <w:t xml:space="preserve">, Malik and Budhwar, 2023); are non-peer-reviewed publications used as evidence within the systematic review (Tsiskaridze, Reinhold and Järvis, 2023); or do not provide sufficient </w:t>
      </w:r>
      <w:r>
        <w:lastRenderedPageBreak/>
        <w:t xml:space="preserve">relevance to the research aim, objectives, or central themes of AI-mediated recruitment governance (Rigotti and </w:t>
      </w:r>
      <w:proofErr w:type="spellStart"/>
      <w:r>
        <w:t>Fosch</w:t>
      </w:r>
      <w:proofErr w:type="spellEnd"/>
      <w:r>
        <w:t>-Villaronga, 2024).</w:t>
      </w:r>
    </w:p>
    <w:p w14:paraId="6B4AC535" w14:textId="77777777" w:rsidR="002E3691" w:rsidRDefault="002E3691" w:rsidP="008A4AED">
      <w:pPr>
        <w:jc w:val="both"/>
      </w:pPr>
      <w:r>
        <w:t>These delimitations ensure the review remains focused on the intersection of AI, recruitment, organisational governance, and institutional context, while maintaining a scope feasible for a master's-level dissertation (Mujtaba and Mahapatra, 2025).</w:t>
      </w:r>
    </w:p>
    <w:p w14:paraId="2E7C6C94" w14:textId="77777777" w:rsidR="00BD14B9" w:rsidRPr="000F6C28" w:rsidRDefault="00BD14B9" w:rsidP="008A4AED">
      <w:pPr>
        <w:pStyle w:val="Heading2"/>
        <w:jc w:val="both"/>
        <w:rPr>
          <w:b/>
          <w:bCs/>
        </w:rPr>
      </w:pPr>
      <w:bookmarkStart w:id="8" w:name="_Toc240996949"/>
      <w:r w:rsidRPr="000F6C28">
        <w:rPr>
          <w:b/>
          <w:bCs/>
        </w:rPr>
        <w:t>1.7 Dissertation Structure</w:t>
      </w:r>
      <w:bookmarkEnd w:id="8"/>
    </w:p>
    <w:p w14:paraId="3E624FA4" w14:textId="765E3A03" w:rsidR="00BD14B9" w:rsidRDefault="00BD14B9" w:rsidP="008A4AED">
      <w:pPr>
        <w:jc w:val="both"/>
      </w:pPr>
      <w:r w:rsidRPr="00624508">
        <w:t xml:space="preserve">This research paper is </w:t>
      </w:r>
      <w:r w:rsidR="002E3691">
        <w:t>organised</w:t>
      </w:r>
      <w:r w:rsidRPr="00624508">
        <w:t xml:space="preserve"> into six chapters. The first chapter outlines the research background, aims, objectives, problem statement, significance, scope, and overall structure. The second chapter presents a critical review of existing literature regarding Artificial Intelligence (AI) or AI-driven recruitment processes, algorithmic fairness and bias, </w:t>
      </w:r>
      <w:r w:rsidR="002E3691">
        <w:t>organisational</w:t>
      </w:r>
      <w:r w:rsidRPr="00624508">
        <w:t xml:space="preserve"> governance, human oversight, institutional contexts, and variations in regulatory frameworks across countries; it also formulates an integrated conceptual framework. The third chapter explains the methodology of the systematic literature review, covering the research design, search strategies, databases used, inclusion criteria, study selection process, quality assessment, and methods for </w:t>
      </w:r>
      <w:r w:rsidR="002E3691">
        <w:t>synthesising</w:t>
      </w:r>
      <w:r w:rsidRPr="00624508">
        <w:t xml:space="preserve"> the findings. The fourth chapter presents and </w:t>
      </w:r>
      <w:r w:rsidR="002E3691">
        <w:t>analyses</w:t>
      </w:r>
      <w:r w:rsidRPr="00624508">
        <w:t xml:space="preserve"> the results derived from the systematic review, </w:t>
      </w:r>
      <w:r w:rsidR="002E3691">
        <w:t>synthesising</w:t>
      </w:r>
      <w:r w:rsidRPr="00624508">
        <w:t xml:space="preserve"> data based on key analytical themes and comparing relevant information from Europe with that of East and Southeast Asia. The fifth chapter interprets the findings and </w:t>
      </w:r>
      <w:r w:rsidR="002E3691">
        <w:t>analyses</w:t>
      </w:r>
      <w:r w:rsidRPr="00624508">
        <w:t xml:space="preserve"> their implications considering the research objectives, theoretical perspectives, and existing literature, while discussing their impact on </w:t>
      </w:r>
      <w:r w:rsidR="002E3691">
        <w:t>organisational</w:t>
      </w:r>
      <w:r w:rsidRPr="00624508">
        <w:t xml:space="preserve"> governance, responsible AI usage, and policy frameworks. The sixth chapter </w:t>
      </w:r>
      <w:r w:rsidR="002E3691">
        <w:t>summarises</w:t>
      </w:r>
      <w:r w:rsidRPr="00624508">
        <w:t xml:space="preserve"> the key findings and research contributions, reviews the </w:t>
      </w:r>
      <w:r w:rsidR="002E3691">
        <w:t>fulfilment</w:t>
      </w:r>
      <w:r w:rsidRPr="00624508">
        <w:t xml:space="preserve"> of research objectives, acknowledges study limitations, and identifies priority areas for future research (Tsiskaridze, Reinhold and Järvis, 2023; </w:t>
      </w:r>
      <w:proofErr w:type="spellStart"/>
      <w:r w:rsidRPr="00624508">
        <w:t>Prikshat</w:t>
      </w:r>
      <w:proofErr w:type="spellEnd"/>
      <w:r w:rsidR="002E3691">
        <w:t>, Malik and Budhwar,</w:t>
      </w:r>
      <w:r w:rsidRPr="00624508">
        <w:t xml:space="preserve"> 2023).</w:t>
      </w:r>
    </w:p>
    <w:p w14:paraId="5C961DDE" w14:textId="77777777" w:rsidR="00BD14B9" w:rsidRDefault="00BD14B9" w:rsidP="008A4AED">
      <w:pPr>
        <w:jc w:val="both"/>
      </w:pPr>
    </w:p>
    <w:p w14:paraId="0604BEF2" w14:textId="77777777" w:rsidR="00BD14B9" w:rsidRDefault="00BD14B9" w:rsidP="008A4AED">
      <w:pPr>
        <w:jc w:val="both"/>
      </w:pPr>
    </w:p>
    <w:p w14:paraId="7F1DEF99" w14:textId="77777777" w:rsidR="00BD14B9" w:rsidRDefault="00BD14B9" w:rsidP="008A4AED">
      <w:pPr>
        <w:jc w:val="both"/>
      </w:pPr>
    </w:p>
    <w:p w14:paraId="3A7DCECC" w14:textId="77777777" w:rsidR="00BD14B9" w:rsidRDefault="00BD14B9" w:rsidP="008A4AED">
      <w:pPr>
        <w:jc w:val="both"/>
      </w:pPr>
    </w:p>
    <w:p w14:paraId="36C2B0E9" w14:textId="77777777" w:rsidR="003058D0" w:rsidRDefault="003058D0" w:rsidP="008A4AED">
      <w:pPr>
        <w:jc w:val="both"/>
      </w:pPr>
    </w:p>
    <w:p w14:paraId="1D32ACA9" w14:textId="77777777" w:rsidR="003058D0" w:rsidRDefault="003058D0" w:rsidP="008A4AED">
      <w:pPr>
        <w:jc w:val="both"/>
      </w:pPr>
    </w:p>
    <w:p w14:paraId="4A19EEFB" w14:textId="77777777" w:rsidR="003058D0" w:rsidRDefault="003058D0" w:rsidP="008A4AED">
      <w:pPr>
        <w:jc w:val="both"/>
      </w:pPr>
    </w:p>
    <w:p w14:paraId="5F2D3034" w14:textId="77777777" w:rsidR="003058D0" w:rsidRDefault="003058D0" w:rsidP="008A4AED">
      <w:pPr>
        <w:jc w:val="both"/>
      </w:pPr>
    </w:p>
    <w:p w14:paraId="6B831DBB" w14:textId="77777777" w:rsidR="003058D0" w:rsidRDefault="003058D0" w:rsidP="008A4AED">
      <w:pPr>
        <w:jc w:val="both"/>
      </w:pPr>
    </w:p>
    <w:p w14:paraId="64781A17" w14:textId="77777777" w:rsidR="003058D0" w:rsidRDefault="003058D0" w:rsidP="008A4AED">
      <w:pPr>
        <w:jc w:val="both"/>
      </w:pPr>
    </w:p>
    <w:p w14:paraId="513BD983" w14:textId="77777777" w:rsidR="003058D0" w:rsidRDefault="003058D0" w:rsidP="008A4AED">
      <w:pPr>
        <w:jc w:val="both"/>
      </w:pPr>
    </w:p>
    <w:p w14:paraId="607E444E" w14:textId="77777777" w:rsidR="00D87D35" w:rsidRDefault="00D87D35" w:rsidP="008A4AED">
      <w:pPr>
        <w:jc w:val="both"/>
      </w:pPr>
    </w:p>
    <w:p w14:paraId="53BEFD3F" w14:textId="77777777" w:rsidR="00D87D35" w:rsidRDefault="00D87D35" w:rsidP="008A4AED">
      <w:pPr>
        <w:jc w:val="both"/>
      </w:pPr>
    </w:p>
    <w:p w14:paraId="07733883" w14:textId="77777777" w:rsidR="00BD14B9" w:rsidRPr="00F85616" w:rsidRDefault="00BD14B9" w:rsidP="008A4AED">
      <w:pPr>
        <w:pStyle w:val="Heading1"/>
        <w:jc w:val="both"/>
        <w:rPr>
          <w:b/>
          <w:bCs/>
        </w:rPr>
      </w:pPr>
      <w:bookmarkStart w:id="9" w:name="_Toc240996950"/>
      <w:r w:rsidRPr="00F85616">
        <w:rPr>
          <w:b/>
          <w:bCs/>
        </w:rPr>
        <w:lastRenderedPageBreak/>
        <w:t>CHAPTER 2: LITERATURE REVIEW</w:t>
      </w:r>
      <w:bookmarkEnd w:id="9"/>
    </w:p>
    <w:p w14:paraId="6A4BA93E" w14:textId="77777777" w:rsidR="00BD14B9" w:rsidRPr="000366EA" w:rsidRDefault="00BD14B9" w:rsidP="008A4AED">
      <w:pPr>
        <w:pStyle w:val="Heading2"/>
        <w:jc w:val="both"/>
        <w:rPr>
          <w:b/>
          <w:bCs/>
        </w:rPr>
      </w:pPr>
      <w:bookmarkStart w:id="10" w:name="_Toc240996951"/>
      <w:r w:rsidRPr="000366EA">
        <w:rPr>
          <w:b/>
          <w:bCs/>
        </w:rPr>
        <w:t>2.1 Introduction</w:t>
      </w:r>
      <w:bookmarkEnd w:id="10"/>
    </w:p>
    <w:p w14:paraId="4031DF89" w14:textId="77777777" w:rsidR="00DD7FC9" w:rsidRDefault="00DD7FC9" w:rsidP="008A4AED">
      <w:pPr>
        <w:jc w:val="both"/>
      </w:pPr>
      <w:r>
        <w:t>This chapter presents a critical and systematic review of research on Artificial Intelligence (AI) in recruitment, focusing on multinational companies (MNCs) operating in Europe and East Asia. It synthesises existing literature on AI-driven recruitment, algorithmic fairness and bias, organisational governance, human oversight, institutional contexts, and cross-national regulatory differences. In doing so, the chapter identifies gaps in current knowledge and establishes an integrated conceptual framework that underpins this study (Tsiskaridze, Reinhold and Järvis, 2023).</w:t>
      </w:r>
    </w:p>
    <w:p w14:paraId="68578E6D" w14:textId="54595BD7" w:rsidR="00DD7FC9" w:rsidRDefault="00DD7FC9" w:rsidP="008A4AED">
      <w:pPr>
        <w:jc w:val="both"/>
      </w:pPr>
      <w:r>
        <w:t>The review is organised thematically to facilitate in-depth analysis of key concepts and debates (</w:t>
      </w:r>
      <w:proofErr w:type="spellStart"/>
      <w:r>
        <w:t>Prikshat</w:t>
      </w:r>
      <w:proofErr w:type="spellEnd"/>
      <w:r>
        <w:t>, Malik and Budhwar, 2023). It begins with AI's role in Human Resource Management (HRM), then examines decision-making processes, bias and fairness, governance, institutional and regulatory contexts, and MNC-specific challenges. The chapter concludes by presenting a theoretical and conceptual framework that guides the subsequent methodology and analysis (Mujtaba and Mahapatra, 2025).</w:t>
      </w:r>
    </w:p>
    <w:p w14:paraId="51ABEA97" w14:textId="77777777" w:rsidR="00BD14B9" w:rsidRPr="000366EA" w:rsidRDefault="00BD14B9" w:rsidP="008A4AED">
      <w:pPr>
        <w:pStyle w:val="Heading2"/>
        <w:jc w:val="both"/>
        <w:rPr>
          <w:b/>
          <w:bCs/>
        </w:rPr>
      </w:pPr>
      <w:bookmarkStart w:id="11" w:name="_Toc240996952"/>
      <w:r w:rsidRPr="000366EA">
        <w:rPr>
          <w:b/>
          <w:bCs/>
        </w:rPr>
        <w:t>2.2 AI in HRM</w:t>
      </w:r>
      <w:bookmarkEnd w:id="11"/>
    </w:p>
    <w:p w14:paraId="5D65287C" w14:textId="77777777" w:rsidR="00BD14B9" w:rsidRDefault="00BD14B9" w:rsidP="008A4AED">
      <w:pPr>
        <w:jc w:val="both"/>
      </w:pPr>
      <w:r>
        <w:t>The integration of Artificial Intelligence (AI) into Human Resource Management (HRM) has transformed recruitment and selection, enhancing efficiency, accuracy, and data-driven decision-making (Chamorro-</w:t>
      </w:r>
      <w:proofErr w:type="spellStart"/>
      <w:r>
        <w:t>Premuzic</w:t>
      </w:r>
      <w:proofErr w:type="spellEnd"/>
      <w:r>
        <w:t>, Wade</w:t>
      </w:r>
      <w:r w:rsidR="00BE2292">
        <w:t xml:space="preserve"> and Jordan, 2019).</w:t>
      </w:r>
      <w:r>
        <w:t xml:space="preserve"> Tools such as automated resume screening, AI chatbots, video interview analysis, and predictive analytics enable organisations to streamline hiring (Upadhyay and Khandelwal, 2018).</w:t>
      </w:r>
    </w:p>
    <w:p w14:paraId="0CCEFD8F" w14:textId="77777777" w:rsidR="00BD14B9" w:rsidRDefault="00BD14B9" w:rsidP="008A4AED">
      <w:pPr>
        <w:jc w:val="both"/>
      </w:pPr>
      <w:r>
        <w:t>These capabilities are especially attractive to Multinational Corporations (MNCs), which face high application volumes, dispersed labour markets, talent shortages, and pressure to reduce time-to-hire and costs (Tsiskaridze, Reinhold</w:t>
      </w:r>
      <w:r w:rsidR="00BE2292">
        <w:t xml:space="preserve"> and Järvis, 2023). Yet, alongside efficiency gains, AI adoption raises significant concerns about fairness, bias, contextual validity, and legal and ethical compliance (</w:t>
      </w:r>
      <w:proofErr w:type="spellStart"/>
      <w:r w:rsidR="00BE2292">
        <w:t>Prikshat</w:t>
      </w:r>
      <w:proofErr w:type="spellEnd"/>
      <w:r w:rsidR="00BE2292">
        <w:t>, Malik and Budhwar,</w:t>
      </w:r>
      <w:r>
        <w:t xml:space="preserve"> 2023).</w:t>
      </w:r>
    </w:p>
    <w:p w14:paraId="43C6F8F5" w14:textId="7BE208A0" w:rsidR="00BE2292" w:rsidRDefault="00BE2292" w:rsidP="008A4AED">
      <w:pPr>
        <w:jc w:val="both"/>
      </w:pPr>
      <w:r>
        <w:t>Research also shows a regional imbalance: while much AI–HRM work originates in Asia and North America, European studies are comparatively limited, partly due to stricter data protection regulations (Tsiskaridze, Reinhold and Järvis, 2023). This gap constrains understanding of how regional legal and policy differences shape AI adoption and governance—central to this study's comparative design (CMS, 2025).</w:t>
      </w:r>
    </w:p>
    <w:p w14:paraId="39EE2BB9" w14:textId="77777777" w:rsidR="00BD14B9" w:rsidRPr="000366EA" w:rsidRDefault="00BD14B9" w:rsidP="008A4AED">
      <w:pPr>
        <w:pStyle w:val="Heading2"/>
        <w:jc w:val="both"/>
        <w:rPr>
          <w:b/>
          <w:bCs/>
        </w:rPr>
      </w:pPr>
      <w:bookmarkStart w:id="12" w:name="_Toc240996953"/>
      <w:r w:rsidRPr="000366EA">
        <w:rPr>
          <w:b/>
          <w:bCs/>
        </w:rPr>
        <w:t>2.3 AI and Decision</w:t>
      </w:r>
      <w:r w:rsidRPr="000366EA">
        <w:rPr>
          <w:rFonts w:ascii="Cambria Math" w:hAnsi="Cambria Math" w:cs="Cambria Math"/>
          <w:b/>
          <w:bCs/>
        </w:rPr>
        <w:t>‑</w:t>
      </w:r>
      <w:r w:rsidRPr="000366EA">
        <w:rPr>
          <w:b/>
          <w:bCs/>
        </w:rPr>
        <w:t>Making</w:t>
      </w:r>
      <w:bookmarkEnd w:id="12"/>
    </w:p>
    <w:p w14:paraId="4DED209D" w14:textId="77777777" w:rsidR="00BD14B9" w:rsidRDefault="00BD14B9" w:rsidP="008A4AED">
      <w:pPr>
        <w:jc w:val="both"/>
      </w:pPr>
      <w:r>
        <w:t>This paper examines how AI reshapes recruitment decision-making, distinguishing general AI, machine learning, and algorithmic decision-making systems (Tambe, Cappelli</w:t>
      </w:r>
      <w:r w:rsidR="00B91A2E">
        <w:t xml:space="preserve"> and Yakubovich, 2019).</w:t>
      </w:r>
      <w:r>
        <w:t xml:space="preserve"> General AI covers computational methods requiring human-like intelligence; machine learning uses statistical models to learn from data and generate predictions (</w:t>
      </w:r>
      <w:proofErr w:type="spellStart"/>
      <w:r>
        <w:t>Budhwar</w:t>
      </w:r>
      <w:proofErr w:type="spellEnd"/>
      <w:r>
        <w:t>, 2022).</w:t>
      </w:r>
    </w:p>
    <w:p w14:paraId="1D08F650" w14:textId="77777777" w:rsidR="00BD14B9" w:rsidRDefault="00BD14B9" w:rsidP="008A4AED">
      <w:pPr>
        <w:jc w:val="both"/>
      </w:pPr>
      <w:r>
        <w:t>The focus is algorithmic decision-making systems: socio-technical arrangements where models are embedded in workflows to inform or determine hiring decisions, shifting analysis from technical capabilities to organisational implementation and interpretation (Orlikowski, 1992).</w:t>
      </w:r>
    </w:p>
    <w:p w14:paraId="2B26B066" w14:textId="7BDE1547" w:rsidR="00BD14B9" w:rsidRDefault="00BD14B9" w:rsidP="008A4AED">
      <w:pPr>
        <w:jc w:val="both"/>
      </w:pPr>
      <w:r>
        <w:lastRenderedPageBreak/>
        <w:t>Existing literature often treats recruitment as a linear chain, which is inadequate for assessing algorithmic risks. This review reconceptualises recruitment as a decision system, concentrating on screening, ranking, and shortlisting points where algorithmic outputs directly include or exclude candidates (Raghavan et al., 2020). Algorithmic harms, including discrimination and accountability failures, typically emerge where probabilistic outputs become institutional actions (Selbst</w:t>
      </w:r>
      <w:r w:rsidR="00B91A2E">
        <w:t>, Barocas and Boyd, 2019). Treating hiring as monolithic obscures these junctures and dilutes accountability, weakening ethical and governance analysis (Barocas and</w:t>
      </w:r>
      <w:r>
        <w:t xml:space="preserve"> Selbst, 2016).</w:t>
      </w:r>
    </w:p>
    <w:p w14:paraId="5E6C724B" w14:textId="77777777" w:rsidR="00BD14B9" w:rsidRPr="007A0228" w:rsidRDefault="00BD14B9" w:rsidP="008A4AED">
      <w:pPr>
        <w:pStyle w:val="Heading2"/>
        <w:jc w:val="both"/>
        <w:rPr>
          <w:b/>
          <w:bCs/>
        </w:rPr>
      </w:pPr>
      <w:bookmarkStart w:id="13" w:name="_Toc240996954"/>
      <w:r w:rsidRPr="007A0228">
        <w:rPr>
          <w:b/>
          <w:bCs/>
        </w:rPr>
        <w:t xml:space="preserve">2.4 Bias, </w:t>
      </w:r>
      <w:r w:rsidR="00993033" w:rsidRPr="007A0228">
        <w:rPr>
          <w:b/>
        </w:rPr>
        <w:t xml:space="preserve">Fairness </w:t>
      </w:r>
      <w:r w:rsidRPr="007A0228">
        <w:rPr>
          <w:b/>
          <w:bCs/>
        </w:rPr>
        <w:t>and Transparency</w:t>
      </w:r>
      <w:bookmarkEnd w:id="13"/>
    </w:p>
    <w:p w14:paraId="0B1140DE" w14:textId="665CE624" w:rsidR="00A12A68" w:rsidRDefault="00BD14B9" w:rsidP="001816EA">
      <w:r w:rsidRPr="0067784B">
        <w:t>AI recruitment can improve efficiency but may also create concerns about bias, fairness and transparency. These issues can arise from data, algorithms and organisational practices. Ensuring fair and explainable AI is therefore important for responsible recruitment</w:t>
      </w:r>
      <w:r w:rsidR="00A12A68">
        <w:t>.</w:t>
      </w:r>
    </w:p>
    <w:p w14:paraId="38FED44A" w14:textId="70820260" w:rsidR="00A12A68" w:rsidRPr="00262205" w:rsidRDefault="005C1011" w:rsidP="00262205">
      <w:pPr>
        <w:pStyle w:val="Caption"/>
        <w:rPr>
          <w:b/>
          <w:color w:val="153D63" w:themeColor="text2" w:themeTint="E6"/>
          <w:sz w:val="32"/>
          <w:szCs w:val="32"/>
        </w:rPr>
      </w:pPr>
      <w:bookmarkStart w:id="14" w:name="_Toc240977595"/>
      <w:bookmarkStart w:id="15" w:name="_Toc240978620"/>
      <w:r w:rsidRPr="005C1011">
        <w:rPr>
          <w:b/>
          <w:color w:val="153D63" w:themeColor="text2" w:themeTint="E6"/>
          <w:sz w:val="32"/>
          <w:szCs w:val="32"/>
        </w:rPr>
        <w:t xml:space="preserve">Table </w:t>
      </w:r>
      <w:r w:rsidRPr="005C1011">
        <w:rPr>
          <w:b/>
          <w:color w:val="153D63" w:themeColor="text2" w:themeTint="E6"/>
          <w:sz w:val="32"/>
          <w:szCs w:val="32"/>
        </w:rPr>
        <w:fldChar w:fldCharType="begin"/>
      </w:r>
      <w:r w:rsidRPr="005C1011">
        <w:rPr>
          <w:b/>
          <w:color w:val="153D63" w:themeColor="text2" w:themeTint="E6"/>
          <w:sz w:val="32"/>
          <w:szCs w:val="32"/>
        </w:rPr>
        <w:instrText xml:space="preserve"> SEQ Table \* ARABIC </w:instrText>
      </w:r>
      <w:r w:rsidRPr="005C1011">
        <w:rPr>
          <w:b/>
          <w:color w:val="153D63" w:themeColor="text2" w:themeTint="E6"/>
          <w:sz w:val="32"/>
          <w:szCs w:val="32"/>
        </w:rPr>
        <w:fldChar w:fldCharType="separate"/>
      </w:r>
      <w:r w:rsidR="008E109B">
        <w:rPr>
          <w:b/>
          <w:color w:val="153D63" w:themeColor="text2" w:themeTint="E6"/>
          <w:sz w:val="32"/>
          <w:szCs w:val="32"/>
        </w:rPr>
        <w:t>1</w:t>
      </w:r>
      <w:r w:rsidRPr="005C1011">
        <w:rPr>
          <w:b/>
          <w:color w:val="153D63" w:themeColor="text2" w:themeTint="E6"/>
          <w:sz w:val="32"/>
          <w:szCs w:val="32"/>
        </w:rPr>
        <w:fldChar w:fldCharType="end"/>
      </w:r>
      <w:r w:rsidRPr="005C1011">
        <w:rPr>
          <w:b/>
          <w:color w:val="153D63" w:themeColor="text2" w:themeTint="E6"/>
          <w:sz w:val="32"/>
          <w:szCs w:val="32"/>
        </w:rPr>
        <w:t>-Perspectives on Bias, Fairness and Transparency in AI</w:t>
      </w:r>
      <w:r w:rsidRPr="005C1011">
        <w:rPr>
          <w:rFonts w:ascii="Cambria Math" w:hAnsi="Cambria Math" w:cs="Cambria Math"/>
          <w:b/>
          <w:color w:val="153D63" w:themeColor="text2" w:themeTint="E6"/>
          <w:sz w:val="32"/>
          <w:szCs w:val="32"/>
        </w:rPr>
        <w:t>‑</w:t>
      </w:r>
      <w:r w:rsidRPr="005C1011">
        <w:rPr>
          <w:b/>
          <w:color w:val="153D63" w:themeColor="text2" w:themeTint="E6"/>
          <w:sz w:val="32"/>
          <w:szCs w:val="32"/>
        </w:rPr>
        <w:t>Driven Recruitment</w:t>
      </w:r>
      <w:bookmarkEnd w:id="14"/>
      <w:bookmarkEnd w:id="15"/>
    </w:p>
    <w:tbl>
      <w:tblPr>
        <w:tblStyle w:val="GridTable5Dark-Accent1"/>
        <w:tblW w:w="0" w:type="auto"/>
        <w:tblLook w:val="04A0" w:firstRow="1" w:lastRow="0" w:firstColumn="1" w:lastColumn="0" w:noHBand="0" w:noVBand="1"/>
      </w:tblPr>
      <w:tblGrid>
        <w:gridCol w:w="1842"/>
        <w:gridCol w:w="1981"/>
        <w:gridCol w:w="3685"/>
        <w:gridCol w:w="2942"/>
      </w:tblGrid>
      <w:tr w:rsidR="00D47D6E" w14:paraId="4E7860B4" w14:textId="6B5BFC51" w:rsidTr="002124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14:paraId="0CB08909" w14:textId="7E198304" w:rsidR="00D47D6E" w:rsidRDefault="00D47D6E" w:rsidP="008A4AED">
            <w:pPr>
              <w:jc w:val="both"/>
            </w:pPr>
            <w:r w:rsidRPr="00EE7DC8">
              <w:t>Dimension</w:t>
            </w:r>
          </w:p>
        </w:tc>
        <w:tc>
          <w:tcPr>
            <w:tcW w:w="1981" w:type="dxa"/>
          </w:tcPr>
          <w:p w14:paraId="6B85C42E" w14:textId="573A8536" w:rsidR="00D47D6E" w:rsidRDefault="00D47D6E" w:rsidP="008A4AED">
            <w:pPr>
              <w:jc w:val="both"/>
              <w:cnfStyle w:val="100000000000" w:firstRow="1" w:lastRow="0" w:firstColumn="0" w:lastColumn="0" w:oddVBand="0" w:evenVBand="0" w:oddHBand="0" w:evenHBand="0" w:firstRowFirstColumn="0" w:firstRowLastColumn="0" w:lastRowFirstColumn="0" w:lastRowLastColumn="0"/>
            </w:pPr>
            <w:r w:rsidRPr="00C8694D">
              <w:t>Core Focus</w:t>
            </w:r>
          </w:p>
        </w:tc>
        <w:tc>
          <w:tcPr>
            <w:tcW w:w="3685" w:type="dxa"/>
          </w:tcPr>
          <w:p w14:paraId="05C41578" w14:textId="74E7B5F6" w:rsidR="00D47D6E" w:rsidRDefault="00D47D6E" w:rsidP="008A4AED">
            <w:pPr>
              <w:jc w:val="both"/>
              <w:cnfStyle w:val="100000000000" w:firstRow="1" w:lastRow="0" w:firstColumn="0" w:lastColumn="0" w:oddVBand="0" w:evenVBand="0" w:oddHBand="0" w:evenHBand="0" w:firstRowFirstColumn="0" w:firstRowLastColumn="0" w:lastRowFirstColumn="0" w:lastRowLastColumn="0"/>
            </w:pPr>
            <w:r w:rsidRPr="00505965">
              <w:t>Key Insights</w:t>
            </w:r>
          </w:p>
        </w:tc>
        <w:tc>
          <w:tcPr>
            <w:tcW w:w="2942" w:type="dxa"/>
          </w:tcPr>
          <w:p w14:paraId="42EBA0F1" w14:textId="5C072A96" w:rsidR="00D47D6E" w:rsidRPr="00505965" w:rsidRDefault="001C17FB" w:rsidP="008A4AED">
            <w:pPr>
              <w:jc w:val="both"/>
              <w:cnfStyle w:val="100000000000" w:firstRow="1" w:lastRow="0" w:firstColumn="0" w:lastColumn="0" w:oddVBand="0" w:evenVBand="0" w:oddHBand="0" w:evenHBand="0" w:firstRowFirstColumn="0" w:firstRowLastColumn="0" w:lastRowFirstColumn="0" w:lastRowLastColumn="0"/>
            </w:pPr>
            <w:r w:rsidRPr="001C17FB">
              <w:t>Limitations / Challenges</w:t>
            </w:r>
          </w:p>
        </w:tc>
      </w:tr>
      <w:tr w:rsidR="00D47D6E" w14:paraId="13828F42" w14:textId="7B8973E4" w:rsidTr="002124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14:paraId="7B22B77F" w14:textId="39E82BB7" w:rsidR="00D47D6E" w:rsidRDefault="00D47D6E" w:rsidP="008A4AED">
            <w:pPr>
              <w:jc w:val="both"/>
            </w:pPr>
            <w:r w:rsidRPr="00742F4D">
              <w:t>Technical Accounts of Bias</w:t>
            </w:r>
          </w:p>
        </w:tc>
        <w:tc>
          <w:tcPr>
            <w:tcW w:w="1981" w:type="dxa"/>
          </w:tcPr>
          <w:p w14:paraId="7DE688BB" w14:textId="732F45F8" w:rsidR="00D47D6E" w:rsidRDefault="00D47D6E" w:rsidP="008A4AED">
            <w:pPr>
              <w:jc w:val="both"/>
              <w:cnfStyle w:val="000000100000" w:firstRow="0" w:lastRow="0" w:firstColumn="0" w:lastColumn="0" w:oddVBand="0" w:evenVBand="0" w:oddHBand="1" w:evenHBand="0" w:firstRowFirstColumn="0" w:firstRowLastColumn="0" w:lastRowFirstColumn="0" w:lastRowLastColumn="0"/>
            </w:pPr>
            <w:r w:rsidRPr="003519A1">
              <w:t>Identification and mitigation of discriminatory outcomes in algorithmic hiring systems through data and model design.</w:t>
            </w:r>
          </w:p>
        </w:tc>
        <w:tc>
          <w:tcPr>
            <w:tcW w:w="3685" w:type="dxa"/>
          </w:tcPr>
          <w:p w14:paraId="1018690B" w14:textId="7FD22216" w:rsidR="00D47D6E" w:rsidRDefault="00D47D6E" w:rsidP="008A4AED">
            <w:pPr>
              <w:jc w:val="both"/>
              <w:cnfStyle w:val="000000100000" w:firstRow="0" w:lastRow="0" w:firstColumn="0" w:lastColumn="0" w:oddVBand="0" w:evenVBand="0" w:oddHBand="1" w:evenHBand="0" w:firstRowFirstColumn="0" w:firstRowLastColumn="0" w:lastRowFirstColumn="0" w:lastRowLastColumn="0"/>
            </w:pPr>
            <w:r w:rsidRPr="00401122">
              <w:t>Bias can arise from historical training data, proxy variables linked to protected attributes, and accuracy</w:t>
            </w:r>
            <w:r w:rsidRPr="00401122">
              <w:rPr>
                <w:rFonts w:ascii="Cambria Math" w:hAnsi="Cambria Math" w:cs="Cambria Math"/>
              </w:rPr>
              <w:t>‑</w:t>
            </w:r>
            <w:r w:rsidRPr="00401122">
              <w:t>focused optimization. Mitigation strategies include pre</w:t>
            </w:r>
            <w:r w:rsidRPr="00401122">
              <w:rPr>
                <w:rFonts w:ascii="Cambria Math" w:hAnsi="Cambria Math" w:cs="Cambria Math"/>
              </w:rPr>
              <w:t>‑</w:t>
            </w:r>
            <w:r w:rsidRPr="00401122">
              <w:t>processing adjustments, in</w:t>
            </w:r>
            <w:r w:rsidRPr="00401122">
              <w:rPr>
                <w:rFonts w:ascii="Cambria Math" w:hAnsi="Cambria Math" w:cs="Cambria Math"/>
              </w:rPr>
              <w:t>‑</w:t>
            </w:r>
            <w:r w:rsidRPr="00401122">
              <w:t>model constraints and post</w:t>
            </w:r>
            <w:r w:rsidRPr="00401122">
              <w:rPr>
                <w:rFonts w:ascii="Cambria Math" w:hAnsi="Cambria Math" w:cs="Cambria Math"/>
              </w:rPr>
              <w:t>‑</w:t>
            </w:r>
            <w:r w:rsidRPr="00401122">
              <w:t>hoc corrections.</w:t>
            </w:r>
          </w:p>
        </w:tc>
        <w:tc>
          <w:tcPr>
            <w:tcW w:w="2942" w:type="dxa"/>
          </w:tcPr>
          <w:p w14:paraId="632FE404" w14:textId="2E80A835" w:rsidR="00D47D6E" w:rsidRPr="00401122" w:rsidRDefault="00330430" w:rsidP="008A4AED">
            <w:pPr>
              <w:jc w:val="both"/>
              <w:cnfStyle w:val="000000100000" w:firstRow="0" w:lastRow="0" w:firstColumn="0" w:lastColumn="0" w:oddVBand="0" w:evenVBand="0" w:oddHBand="1" w:evenHBand="0" w:firstRowFirstColumn="0" w:firstRowLastColumn="0" w:lastRowFirstColumn="0" w:lastRowLastColumn="0"/>
            </w:pPr>
            <w:r w:rsidRPr="00330430">
              <w:t>Heavy reliance on simulated or benchmark datasets that abstract from real</w:t>
            </w:r>
            <w:r w:rsidRPr="00330430">
              <w:rPr>
                <w:rFonts w:ascii="Cambria Math" w:hAnsi="Cambria Math" w:cs="Cambria Math"/>
              </w:rPr>
              <w:t>‑</w:t>
            </w:r>
            <w:r w:rsidRPr="00330430">
              <w:t>world organisational contexts; fails to capture managerial discretion, institutional norms or region</w:t>
            </w:r>
            <w:r w:rsidRPr="00330430">
              <w:rPr>
                <w:rFonts w:ascii="Cambria Math" w:hAnsi="Cambria Math" w:cs="Cambria Math"/>
              </w:rPr>
              <w:t>‑</w:t>
            </w:r>
            <w:r w:rsidRPr="00330430">
              <w:t>specific data generation processes</w:t>
            </w:r>
            <w:r>
              <w:t>.</w:t>
            </w:r>
          </w:p>
        </w:tc>
      </w:tr>
      <w:tr w:rsidR="00D47D6E" w14:paraId="3F1CB123" w14:textId="2F0C9FD7" w:rsidTr="00212406">
        <w:tc>
          <w:tcPr>
            <w:cnfStyle w:val="001000000000" w:firstRow="0" w:lastRow="0" w:firstColumn="1" w:lastColumn="0" w:oddVBand="0" w:evenVBand="0" w:oddHBand="0" w:evenHBand="0" w:firstRowFirstColumn="0" w:firstRowLastColumn="0" w:lastRowFirstColumn="0" w:lastRowLastColumn="0"/>
            <w:tcW w:w="1842" w:type="dxa"/>
          </w:tcPr>
          <w:p w14:paraId="12BE9CAA" w14:textId="7936C178" w:rsidR="00D47D6E" w:rsidRDefault="00D47D6E" w:rsidP="008A4AED">
            <w:pPr>
              <w:jc w:val="both"/>
            </w:pPr>
            <w:r w:rsidRPr="00311C83">
              <w:t>Normative and Philosophical Critiques</w:t>
            </w:r>
          </w:p>
        </w:tc>
        <w:tc>
          <w:tcPr>
            <w:tcW w:w="1981" w:type="dxa"/>
          </w:tcPr>
          <w:p w14:paraId="358CD663" w14:textId="76006D13" w:rsidR="00D47D6E" w:rsidRDefault="00D47D6E" w:rsidP="008A4AED">
            <w:pPr>
              <w:jc w:val="both"/>
              <w:cnfStyle w:val="000000000000" w:firstRow="0" w:lastRow="0" w:firstColumn="0" w:lastColumn="0" w:oddVBand="0" w:evenVBand="0" w:oddHBand="0" w:evenHBand="0" w:firstRowFirstColumn="0" w:firstRowLastColumn="0" w:lastRowFirstColumn="0" w:lastRowLastColumn="0"/>
            </w:pPr>
            <w:r w:rsidRPr="00025041">
              <w:t>Ethical, social and institutional foundations of fairness; challenges the reduction of fairness to statistical metrics.</w:t>
            </w:r>
          </w:p>
        </w:tc>
        <w:tc>
          <w:tcPr>
            <w:tcW w:w="3685" w:type="dxa"/>
          </w:tcPr>
          <w:p w14:paraId="77096961" w14:textId="600CA495" w:rsidR="00D47D6E" w:rsidRDefault="00D47D6E" w:rsidP="008A4AED">
            <w:pPr>
              <w:jc w:val="both"/>
              <w:cnfStyle w:val="000000000000" w:firstRow="0" w:lastRow="0" w:firstColumn="0" w:lastColumn="0" w:oddVBand="0" w:evenVBand="0" w:oddHBand="0" w:evenHBand="0" w:firstRowFirstColumn="0" w:firstRowLastColumn="0" w:lastRowFirstColumn="0" w:lastRowLastColumn="0"/>
            </w:pPr>
            <w:r w:rsidRPr="00AC5A8B">
              <w:t>Fairness is a contested ethical and institutional concept shaped by social values, power dynamics and legal norms. Competing definitions entail incompatible ethical commitments, making trade</w:t>
            </w:r>
            <w:r w:rsidRPr="00AC5A8B">
              <w:rPr>
                <w:rFonts w:ascii="Cambria Math" w:hAnsi="Cambria Math" w:cs="Cambria Math"/>
              </w:rPr>
              <w:t>‑</w:t>
            </w:r>
            <w:r w:rsidRPr="00AC5A8B">
              <w:t>offs inevitable. Procedural equality fails to address substantive justice or structural inequalities.</w:t>
            </w:r>
          </w:p>
        </w:tc>
        <w:tc>
          <w:tcPr>
            <w:tcW w:w="2942" w:type="dxa"/>
          </w:tcPr>
          <w:p w14:paraId="125CCD3B" w14:textId="0985C4BC" w:rsidR="00D47D6E" w:rsidRPr="00AC5A8B" w:rsidRDefault="00C41347" w:rsidP="008A4AED">
            <w:pPr>
              <w:jc w:val="both"/>
              <w:cnfStyle w:val="000000000000" w:firstRow="0" w:lastRow="0" w:firstColumn="0" w:lastColumn="0" w:oddVBand="0" w:evenVBand="0" w:oddHBand="0" w:evenHBand="0" w:firstRowFirstColumn="0" w:firstRowLastColumn="0" w:lastRowFirstColumn="0" w:lastRowLastColumn="0"/>
            </w:pPr>
            <w:r w:rsidRPr="00C41347">
              <w:t>Statistical fairness metrics cannot resolve deeper structural inequalities or differing ethical commitments; risk of reproducing historical labour</w:t>
            </w:r>
            <w:r w:rsidRPr="00C41347">
              <w:rPr>
                <w:rFonts w:ascii="Cambria Math" w:hAnsi="Cambria Math" w:cs="Cambria Math"/>
              </w:rPr>
              <w:t>‑</w:t>
            </w:r>
            <w:r w:rsidRPr="00C41347">
              <w:t>market stratifications under formally "fair" systems.</w:t>
            </w:r>
          </w:p>
        </w:tc>
      </w:tr>
      <w:tr w:rsidR="00D47D6E" w14:paraId="4178C983" w14:textId="401C2F71" w:rsidTr="002124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14:paraId="4AC47224" w14:textId="43076B11" w:rsidR="00D47D6E" w:rsidRDefault="00D47D6E" w:rsidP="008A4AED">
            <w:pPr>
              <w:jc w:val="both"/>
            </w:pPr>
            <w:r w:rsidRPr="00390ECF">
              <w:t>Transparency and Explainability</w:t>
            </w:r>
          </w:p>
        </w:tc>
        <w:tc>
          <w:tcPr>
            <w:tcW w:w="1981" w:type="dxa"/>
          </w:tcPr>
          <w:p w14:paraId="6D5BB487" w14:textId="13D606EA" w:rsidR="00D47D6E" w:rsidRDefault="00D47D6E" w:rsidP="008A4AED">
            <w:pPr>
              <w:jc w:val="both"/>
              <w:cnfStyle w:val="000000100000" w:firstRow="0" w:lastRow="0" w:firstColumn="0" w:lastColumn="0" w:oddVBand="0" w:evenVBand="0" w:oddHBand="1" w:evenHBand="0" w:firstRowFirstColumn="0" w:firstRowLastColumn="0" w:lastRowFirstColumn="0" w:lastRowLastColumn="0"/>
            </w:pPr>
            <w:r w:rsidRPr="004865AE">
              <w:t>Accountability through disclosure of AI system logic, data sources and limitations in recruitment contexts.</w:t>
            </w:r>
          </w:p>
        </w:tc>
        <w:tc>
          <w:tcPr>
            <w:tcW w:w="3685" w:type="dxa"/>
          </w:tcPr>
          <w:p w14:paraId="72299CFF" w14:textId="50D317BA" w:rsidR="00D47D6E" w:rsidRDefault="00D47D6E" w:rsidP="008A4AED">
            <w:pPr>
              <w:jc w:val="both"/>
              <w:cnfStyle w:val="000000100000" w:firstRow="0" w:lastRow="0" w:firstColumn="0" w:lastColumn="0" w:oddVBand="0" w:evenVBand="0" w:oddHBand="1" w:evenHBand="0" w:firstRowFirstColumn="0" w:firstRowLastColumn="0" w:lastRowFirstColumn="0" w:lastRowLastColumn="0"/>
            </w:pPr>
            <w:r w:rsidRPr="00D63D3F">
              <w:t>The EU AI Act requires disclosure of operational logic, data sources and limitations for high</w:t>
            </w:r>
            <w:r w:rsidRPr="00D63D3F">
              <w:rPr>
                <w:rFonts w:ascii="Cambria Math" w:hAnsi="Cambria Math" w:cs="Cambria Math"/>
              </w:rPr>
              <w:t>‑</w:t>
            </w:r>
            <w:r w:rsidRPr="00D63D3F">
              <w:t>risk recruitment AI. Transparency is often compromised by technical complexity and commercial confidentiality. Cultural and linguistic biases persist even with anonymization, as AI systems score Indian candidates lower than UK candidates due to vocabulary and sentence structure differences.</w:t>
            </w:r>
          </w:p>
        </w:tc>
        <w:tc>
          <w:tcPr>
            <w:tcW w:w="2942" w:type="dxa"/>
          </w:tcPr>
          <w:p w14:paraId="47084BFA" w14:textId="77777777" w:rsidR="00D47D6E" w:rsidRDefault="009428CA" w:rsidP="008A4AED">
            <w:pPr>
              <w:jc w:val="both"/>
              <w:cnfStyle w:val="000000100000" w:firstRow="0" w:lastRow="0" w:firstColumn="0" w:lastColumn="0" w:oddVBand="0" w:evenVBand="0" w:oddHBand="1" w:evenHBand="0" w:firstRowFirstColumn="0" w:firstRowLastColumn="0" w:lastRowFirstColumn="0" w:lastRowLastColumn="0"/>
            </w:pPr>
            <w:r w:rsidRPr="009428CA">
              <w:t>Trade</w:t>
            </w:r>
            <w:r w:rsidRPr="009428CA">
              <w:rPr>
                <w:rFonts w:ascii="Cambria Math" w:hAnsi="Cambria Math" w:cs="Cambria Math"/>
              </w:rPr>
              <w:t>‑</w:t>
            </w:r>
            <w:r w:rsidRPr="009428CA">
              <w:t>off between regulatory transparency requirements and proprietary/technical constraints; cross</w:t>
            </w:r>
            <w:r w:rsidRPr="009428CA">
              <w:rPr>
                <w:rFonts w:ascii="Cambria Math" w:hAnsi="Cambria Math" w:cs="Cambria Math"/>
              </w:rPr>
              <w:t>‑</w:t>
            </w:r>
            <w:r w:rsidRPr="009428CA">
              <w:t>border recruitment faces additional challenges from cultural and linguistic bias not addressed by current transparency measures.</w:t>
            </w:r>
          </w:p>
          <w:p w14:paraId="1454DF44" w14:textId="77777777" w:rsidR="00D47D6E" w:rsidRPr="00D63D3F" w:rsidRDefault="00D47D6E" w:rsidP="008A4AED">
            <w:pPr>
              <w:jc w:val="both"/>
              <w:cnfStyle w:val="000000100000" w:firstRow="0" w:lastRow="0" w:firstColumn="0" w:lastColumn="0" w:oddVBand="0" w:evenVBand="0" w:oddHBand="1" w:evenHBand="0" w:firstRowFirstColumn="0" w:firstRowLastColumn="0" w:lastRowFirstColumn="0" w:lastRowLastColumn="0"/>
            </w:pPr>
          </w:p>
        </w:tc>
      </w:tr>
    </w:tbl>
    <w:p w14:paraId="54E268CC" w14:textId="4884C96C" w:rsidR="00C8573A" w:rsidRPr="00A12A68" w:rsidRDefault="0026059B" w:rsidP="008A4AED">
      <w:pPr>
        <w:jc w:val="both"/>
      </w:pPr>
      <w:r w:rsidRPr="0026059B">
        <w:lastRenderedPageBreak/>
        <w:t>Source: Author's construction based on Barocas and Selbst (2016), Raghavan et al. (2020), Fazelpour, Lipton and Danks (2022), and European Commission (2024).</w:t>
      </w:r>
    </w:p>
    <w:p w14:paraId="48C90C4F" w14:textId="77777777" w:rsidR="00BD14B9" w:rsidRPr="007A0228" w:rsidRDefault="00BD14B9" w:rsidP="008A4AED">
      <w:pPr>
        <w:pStyle w:val="Heading3"/>
        <w:jc w:val="both"/>
        <w:rPr>
          <w:b/>
          <w:bCs/>
        </w:rPr>
      </w:pPr>
      <w:bookmarkStart w:id="16" w:name="_Toc240996955"/>
      <w:r w:rsidRPr="007A0228">
        <w:rPr>
          <w:b/>
          <w:bCs/>
        </w:rPr>
        <w:t>2.4.1 Technical Accounts of Bias</w:t>
      </w:r>
      <w:bookmarkEnd w:id="16"/>
    </w:p>
    <w:p w14:paraId="7B5A3C4D" w14:textId="77777777" w:rsidR="000D6595" w:rsidRDefault="000D6595" w:rsidP="000D6595">
      <w:pPr>
        <w:jc w:val="both"/>
      </w:pPr>
      <w:r>
        <w:t xml:space="preserve">Technical research on algorithmic bias in hiring has advanced considerably in explaining how discriminatory outcomes can emerge from data-driven systems. Seminal work shows that bias can become embedded at multiple points in the modelling pipeline, including through historically biased training data, the use of proxy variables that correlate with protected attributes, and optimisation goals that privilege predictive accuracy over distributional fairness (Barocas and Selbst, 2016). Later studies have built on this by proposing algorithmic mitigation approaches, such as pre-processing adjustments to the data, in-model fairness constraints, and post-hoc corrections to outputs (Raghavan et al., 2020; </w:t>
      </w:r>
      <w:proofErr w:type="spellStart"/>
      <w:r>
        <w:t>Albaroudi</w:t>
      </w:r>
      <w:proofErr w:type="spellEnd"/>
      <w:r>
        <w:t xml:space="preserve">, Mansouri and </w:t>
      </w:r>
      <w:proofErr w:type="spellStart"/>
      <w:r>
        <w:t>Alameer</w:t>
      </w:r>
      <w:proofErr w:type="spellEnd"/>
      <w:r>
        <w:t>, 2024).</w:t>
      </w:r>
    </w:p>
    <w:p w14:paraId="15335524" w14:textId="4FC8458A" w:rsidR="00F854E1" w:rsidRDefault="000D6595" w:rsidP="008A4AED">
      <w:pPr>
        <w:jc w:val="both"/>
      </w:pPr>
      <w:r>
        <w:t>Nevertheless, this technical literature on bias exhibits important limitations. A central issue is its heavy dependence on simulated or benchmark datasets that are detached from real-world organisational settings. Although such datasets enable controlled experimentation, they seldom reflect the socio-organisational complexities of hiring—such as managerial discretion, institutional norms, or region-specific variations in how data are generated (Tsiskaridze, Reinhold and Järvis, 2023).</w:t>
      </w:r>
    </w:p>
    <w:p w14:paraId="599BB9D4" w14:textId="77777777" w:rsidR="00BD14B9" w:rsidRPr="00DB6945" w:rsidRDefault="00BD14B9" w:rsidP="008A4AED">
      <w:pPr>
        <w:pStyle w:val="Heading3"/>
        <w:jc w:val="both"/>
        <w:rPr>
          <w:b/>
          <w:bCs/>
        </w:rPr>
      </w:pPr>
      <w:bookmarkStart w:id="17" w:name="_Toc240996956"/>
      <w:r w:rsidRPr="00DB6945">
        <w:rPr>
          <w:b/>
          <w:bCs/>
        </w:rPr>
        <w:t>2.4.2 Normative and Philosophical Critiques</w:t>
      </w:r>
      <w:bookmarkEnd w:id="17"/>
    </w:p>
    <w:p w14:paraId="1D196E4D" w14:textId="77777777" w:rsidR="00447F76" w:rsidRDefault="00447F76" w:rsidP="00447F76">
      <w:pPr>
        <w:jc w:val="both"/>
      </w:pPr>
      <w:r>
        <w:t>Beyond technical specifications, a growing body of normative and philosophical research challenges the notion that algorithmic fairness can be reduced to formal statistical criteria. This literature emphasizes that fairness is not a neutral or purely technical concept but rather a contested ethical and institutional framework shaped by social values, power dynamics, and legal norms (Selbst, Barocas and Boyd, 2019). Competing definitions of fairness—such as demographic parity, equal opportunity, or individual fairness—often embody incompatible ethical commitments, rendering technical trade-offs inevitable rather than resolvable (Mujtaba and Mahapatra, 2025).</w:t>
      </w:r>
    </w:p>
    <w:p w14:paraId="282328FF" w14:textId="70DFD2A4" w:rsidR="00F201D7" w:rsidRDefault="00447F76" w:rsidP="008A4AED">
      <w:pPr>
        <w:jc w:val="both"/>
      </w:pPr>
      <w:r>
        <w:t xml:space="preserve">Fazelpour, Lipton and Danks (2022) argue that debates over algorithmic fairness often conflate procedural equality with substantive justice. While fairness metrics can ensure consistency in treatment, they fail to address broader structural inequalities that influence who enters the applicant pool or how merit is socially constructed. This distinction is particularly significant in the context of hiring, as algorithms can reproduce historical </w:t>
      </w:r>
      <w:proofErr w:type="spellStart"/>
      <w:r>
        <w:t>labor</w:t>
      </w:r>
      <w:proofErr w:type="spellEnd"/>
      <w:r>
        <w:t xml:space="preserve">-market stratifications even while remaining formally 'fair' according to statistical standards (Rigotti and </w:t>
      </w:r>
      <w:proofErr w:type="spellStart"/>
      <w:r>
        <w:t>Fosch</w:t>
      </w:r>
      <w:proofErr w:type="spellEnd"/>
      <w:r>
        <w:t>-Villaronga, 2024).</w:t>
      </w:r>
    </w:p>
    <w:p w14:paraId="195A4022" w14:textId="77777777" w:rsidR="00BD14B9" w:rsidRPr="007615E2" w:rsidRDefault="00BD14B9" w:rsidP="008A4AED">
      <w:pPr>
        <w:pStyle w:val="Heading3"/>
        <w:jc w:val="both"/>
        <w:rPr>
          <w:b/>
          <w:bCs/>
        </w:rPr>
      </w:pPr>
      <w:bookmarkStart w:id="18" w:name="_Toc240996957"/>
      <w:r w:rsidRPr="007615E2">
        <w:rPr>
          <w:b/>
          <w:bCs/>
        </w:rPr>
        <w:t>2.4.3 Transparency and Explainability</w:t>
      </w:r>
      <w:bookmarkEnd w:id="18"/>
    </w:p>
    <w:p w14:paraId="5C52F1C4" w14:textId="77777777" w:rsidR="00BD14B9" w:rsidRDefault="00BD14B9" w:rsidP="008A4AED">
      <w:pPr>
        <w:jc w:val="both"/>
      </w:pPr>
      <w:r>
        <w:t>Transparency and explainability have emerged as critical factors in accountable AI-driven recruitment processes. The EU AI Act explicitly mandates that high-risk AI systems used in recruitment must provide meaningful information regarding their operational logic, data sources, and limitations (European Commission, 2024). However, in practice, transparency is often compromised by technical complexities and commercial confidentiality, creating a tension between regulatory expectations and organizational capabilities (Clifford Chance, 2024).</w:t>
      </w:r>
    </w:p>
    <w:p w14:paraId="57547505" w14:textId="7511D88C" w:rsidR="00BD14B9" w:rsidRDefault="00BD14B9" w:rsidP="008A4AED">
      <w:pPr>
        <w:jc w:val="both"/>
      </w:pPr>
      <w:r>
        <w:t xml:space="preserve">Recent research has highlighted the issue of cultural and linguistic biases inherent in AI systems. A study by Rao et al. (2025) revealed that, even when candidates' names were anonymized, AI systems awarded lower scores to Indian candidates compared to UK candidates during interview evaluations due to differences in vocabulary and sentence structure. </w:t>
      </w:r>
      <w:r w:rsidR="00E62F1F">
        <w:t xml:space="preserve">This issue raises significant concerns </w:t>
      </w:r>
      <w:r w:rsidR="00E62F1F">
        <w:lastRenderedPageBreak/>
        <w:t>regarding cross-border recruitment—particularly when comparing candidates from Europe and Asia (Rao et al., 2025</w:t>
      </w:r>
      <w:r>
        <w:t>).</w:t>
      </w:r>
    </w:p>
    <w:p w14:paraId="51230FC7" w14:textId="77777777" w:rsidR="00BD14B9" w:rsidRPr="007615E2" w:rsidRDefault="00BD14B9" w:rsidP="008A4AED">
      <w:pPr>
        <w:pStyle w:val="Heading2"/>
        <w:jc w:val="both"/>
        <w:rPr>
          <w:b/>
          <w:bCs/>
        </w:rPr>
      </w:pPr>
      <w:bookmarkStart w:id="19" w:name="_Toc240996958"/>
      <w:r w:rsidRPr="007615E2">
        <w:rPr>
          <w:b/>
          <w:bCs/>
        </w:rPr>
        <w:t>2.5 Organisational Governance</w:t>
      </w:r>
      <w:bookmarkEnd w:id="19"/>
    </w:p>
    <w:p w14:paraId="492116D1" w14:textId="77777777" w:rsidR="00BD14B9" w:rsidRPr="007615E2" w:rsidRDefault="00BD14B9" w:rsidP="008A4AED">
      <w:pPr>
        <w:pStyle w:val="Heading3"/>
        <w:jc w:val="both"/>
        <w:rPr>
          <w:b/>
          <w:bCs/>
        </w:rPr>
      </w:pPr>
      <w:bookmarkStart w:id="20" w:name="_Toc240996959"/>
      <w:r w:rsidRPr="007615E2">
        <w:rPr>
          <w:b/>
          <w:bCs/>
        </w:rPr>
        <w:t>2.5.1 AI Adoption in HRM: Descriptive Dominance and Its Limits</w:t>
      </w:r>
      <w:bookmarkEnd w:id="20"/>
    </w:p>
    <w:p w14:paraId="09AB2C64" w14:textId="77777777" w:rsidR="002D7506" w:rsidRDefault="002D7506" w:rsidP="002D7506">
      <w:pPr>
        <w:jc w:val="both"/>
      </w:pPr>
      <w:r>
        <w:t>The scholarship on AI adoption in human resource management is largely composed of descriptive and perception-oriented studies, especially across European and Asian settings. Much of this work concentrates on recording adoption levels, managerial attitudes or expected benefits, frequently via cross-sectional surveys of HR practitioners (Nawaz, 2024; Al Shibly et al., 2024). Although such studies furnish valuable baseline evidence on diffusion trends, they afford limited analytical traction for understanding how algorithmic recruitment systems are governed in practice (Tsiskaridze, Reinhold and Järvis, 2023).</w:t>
      </w:r>
    </w:p>
    <w:p w14:paraId="6FA9FBD0" w14:textId="06D2B420" w:rsidR="00A20C69" w:rsidRDefault="002D7506" w:rsidP="008A4AED">
      <w:pPr>
        <w:jc w:val="both"/>
      </w:pPr>
      <w:r>
        <w:t>A key constraint stems from methodological dependence on self-reported perceptions, which are often treated as stand-ins for organisational reality. Survey-based adoption research tends to blur intention, experimentation and routinised usage, masking how technologies are embedded within decision-making architectures (</w:t>
      </w:r>
      <w:proofErr w:type="spellStart"/>
      <w:r>
        <w:t>Budhwar</w:t>
      </w:r>
      <w:proofErr w:type="spellEnd"/>
      <w:r>
        <w:t>, 2022). This is especially acute in MNCs, where formal adoption at headquarters may coexist with markedly uneven implementation across subsidiaries (CMS, 2025).</w:t>
      </w:r>
    </w:p>
    <w:p w14:paraId="7714A0C1" w14:textId="77777777" w:rsidR="00BD14B9" w:rsidRPr="007615E2" w:rsidRDefault="00BD14B9" w:rsidP="008A4AED">
      <w:pPr>
        <w:pStyle w:val="Heading3"/>
        <w:jc w:val="both"/>
        <w:rPr>
          <w:b/>
          <w:bCs/>
        </w:rPr>
      </w:pPr>
      <w:bookmarkStart w:id="21" w:name="_Toc240996960"/>
      <w:r w:rsidRPr="007615E2">
        <w:rPr>
          <w:b/>
          <w:bCs/>
        </w:rPr>
        <w:t>2.5.2 Human</w:t>
      </w:r>
      <w:r w:rsidRPr="007615E2">
        <w:rPr>
          <w:rFonts w:ascii="Cambria Math" w:hAnsi="Cambria Math" w:cs="Cambria Math"/>
          <w:b/>
          <w:bCs/>
        </w:rPr>
        <w:t>‑</w:t>
      </w:r>
      <w:r w:rsidRPr="007615E2">
        <w:rPr>
          <w:b/>
          <w:bCs/>
        </w:rPr>
        <w:t>in</w:t>
      </w:r>
      <w:r w:rsidRPr="007615E2">
        <w:rPr>
          <w:rFonts w:ascii="Cambria Math" w:hAnsi="Cambria Math" w:cs="Cambria Math"/>
          <w:b/>
          <w:bCs/>
        </w:rPr>
        <w:t>‑</w:t>
      </w:r>
      <w:r w:rsidRPr="007615E2">
        <w:rPr>
          <w:b/>
          <w:bCs/>
        </w:rPr>
        <w:t>the</w:t>
      </w:r>
      <w:r w:rsidRPr="007615E2">
        <w:rPr>
          <w:rFonts w:ascii="Cambria Math" w:hAnsi="Cambria Math" w:cs="Cambria Math"/>
          <w:b/>
          <w:bCs/>
        </w:rPr>
        <w:t>‑</w:t>
      </w:r>
      <w:r w:rsidRPr="007615E2">
        <w:rPr>
          <w:b/>
          <w:bCs/>
        </w:rPr>
        <w:t>Loop and Accountability Structures</w:t>
      </w:r>
      <w:bookmarkEnd w:id="21"/>
    </w:p>
    <w:p w14:paraId="1DEB9AB6" w14:textId="77777777" w:rsidR="0094781A" w:rsidRDefault="0094781A" w:rsidP="0094781A">
      <w:pPr>
        <w:jc w:val="both"/>
      </w:pPr>
      <w:r>
        <w:t>In response to concerns about automation bias and discriminatory outcomes, both academic and policy-oriented literature frequently advocates for human-in-the-loop arrangements as a governance safeguard. In principle, human oversight is intended to ensure that algorithmic recommendations remain subject to contextual judgement and ethical scrutiny. However, empirical evidence suggests that such oversight is often symbolic rather than substantive (Tambe, Cappelli and Yakubovich, 2019).</w:t>
      </w:r>
    </w:p>
    <w:p w14:paraId="729AFE82" w14:textId="77777777" w:rsidR="0094781A" w:rsidRDefault="0094781A" w:rsidP="0094781A">
      <w:pPr>
        <w:jc w:val="both"/>
      </w:pPr>
      <w:r>
        <w:t xml:space="preserve">Studies observe that in many organisational settings, human reviewers lack the time, incentives or technical understanding necessary to critically interrogate algorithmic outputs. Instead, algorithmic recommendations may acquire de facto authority, particularly when presented as objective or data-driven (Rigotti and </w:t>
      </w:r>
      <w:proofErr w:type="spellStart"/>
      <w:r>
        <w:t>Fosch</w:t>
      </w:r>
      <w:proofErr w:type="spellEnd"/>
      <w:r>
        <w:t>-Villaronga, 2024). This dynamic aligns with Orlikowski's (1992) socio-technical analysis, which emphasises that technologies shape, and are shaped by, organisational routines rather than operating as neutral tools (Mujtaba and Mahapatra, 2025).</w:t>
      </w:r>
    </w:p>
    <w:p w14:paraId="202C2EF5" w14:textId="3F22C73C" w:rsidR="00D1533F" w:rsidRDefault="0094781A" w:rsidP="008A4AED">
      <w:pPr>
        <w:jc w:val="both"/>
      </w:pPr>
      <w:r>
        <w:t>Within MNCs, accountability structures further complicate human oversight. Decision-making responsibility is frequently dispersed across HR functions, technology vendors and compliance units, creating ambiguity regarding who is ultimately accountable for algorithmic outcomes (CMS, 2025). Such diffusion weakens governance by allowing responsibility to be displaced rather than exercised.</w:t>
      </w:r>
    </w:p>
    <w:p w14:paraId="097A1E9B" w14:textId="77777777" w:rsidR="00BD14B9" w:rsidRPr="008933EB" w:rsidRDefault="00BD14B9" w:rsidP="008A4AED">
      <w:pPr>
        <w:pStyle w:val="Heading2"/>
        <w:jc w:val="both"/>
        <w:rPr>
          <w:b/>
          <w:bCs/>
        </w:rPr>
      </w:pPr>
      <w:bookmarkStart w:id="22" w:name="_Toc240996961"/>
      <w:r w:rsidRPr="008933EB">
        <w:rPr>
          <w:b/>
          <w:bCs/>
        </w:rPr>
        <w:t>2.6 Institutional and Regulatory Context</w:t>
      </w:r>
      <w:bookmarkEnd w:id="22"/>
    </w:p>
    <w:p w14:paraId="2CF4CF24" w14:textId="77777777" w:rsidR="00BD14B9" w:rsidRPr="008933EB" w:rsidRDefault="00BD14B9" w:rsidP="008A4AED">
      <w:pPr>
        <w:pStyle w:val="Heading3"/>
        <w:jc w:val="both"/>
        <w:rPr>
          <w:b/>
          <w:bCs/>
        </w:rPr>
      </w:pPr>
      <w:bookmarkStart w:id="23" w:name="_Toc240996962"/>
      <w:r w:rsidRPr="008933EB">
        <w:rPr>
          <w:b/>
          <w:bCs/>
        </w:rPr>
        <w:t>2.6.1 Europe: High</w:t>
      </w:r>
      <w:r w:rsidRPr="008933EB">
        <w:rPr>
          <w:rFonts w:ascii="Cambria Math" w:hAnsi="Cambria Math" w:cs="Cambria Math"/>
          <w:b/>
          <w:bCs/>
        </w:rPr>
        <w:t>‑</w:t>
      </w:r>
      <w:r w:rsidRPr="008933EB">
        <w:rPr>
          <w:b/>
          <w:bCs/>
        </w:rPr>
        <w:t>Risk AI and Compliance</w:t>
      </w:r>
      <w:r w:rsidRPr="008933EB">
        <w:rPr>
          <w:rFonts w:ascii="Cambria Math" w:hAnsi="Cambria Math" w:cs="Cambria Math"/>
          <w:b/>
          <w:bCs/>
        </w:rPr>
        <w:t>‑</w:t>
      </w:r>
      <w:r w:rsidRPr="008933EB">
        <w:rPr>
          <w:b/>
          <w:bCs/>
        </w:rPr>
        <w:t>Centric Governance</w:t>
      </w:r>
      <w:bookmarkEnd w:id="23"/>
    </w:p>
    <w:p w14:paraId="41782728" w14:textId="77777777" w:rsidR="005D0A6B" w:rsidRDefault="005D0A6B" w:rsidP="005D0A6B">
      <w:pPr>
        <w:jc w:val="both"/>
      </w:pPr>
      <w:r>
        <w:t xml:space="preserve">The European regulatory approach to artificial intelligence is characterised by a risk-based, compliance-centric model, most clearly articulated in the EU Artificial Intelligence Act. Under the Act, AI systems used for employment-related decision-making, including recruitment and selection, are explicitly classified as high-risk, triggering stringent obligations related to data governance, transparency, human oversight and post-deployment monitoring (European Commission, 2024). This </w:t>
      </w:r>
      <w:r>
        <w:lastRenderedPageBreak/>
        <w:t>classification reflects a normative commitment to precaution, grounded in concerns about discrimination, fundamental rights and systemic labour-market effects (Clifford Chance, 2024; Pinsent Masons, 2024).</w:t>
      </w:r>
    </w:p>
    <w:p w14:paraId="4A45991F" w14:textId="39830CE3" w:rsidR="005D0A6B" w:rsidRDefault="005D0A6B" w:rsidP="008A4AED">
      <w:pPr>
        <w:jc w:val="both"/>
      </w:pPr>
      <w:r>
        <w:t>However, while the regulatory architecture is formally robust, existing analyses raise questions regarding practical enforceability, particularly in complex organisational settings such as MNCs. Legal commentary highlights that compliance obligations rely heavily on internal risk assessments, documentation and self-reporting, potentially privileging formal conformity over substantive behavioural change (Pinsent Masons, 2024). In this respect, the EU framework risks incentivising procedural compliance rather than meaningful governance of algorithmic decision-making (European Commission, 2024).</w:t>
      </w:r>
    </w:p>
    <w:p w14:paraId="2A99F9F5" w14:textId="77777777" w:rsidR="00BD14B9" w:rsidRPr="008933EB" w:rsidRDefault="00BD14B9" w:rsidP="008A4AED">
      <w:pPr>
        <w:pStyle w:val="Heading3"/>
        <w:jc w:val="both"/>
        <w:rPr>
          <w:b/>
          <w:bCs/>
        </w:rPr>
      </w:pPr>
      <w:bookmarkStart w:id="24" w:name="_Toc240996963"/>
      <w:r w:rsidRPr="008933EB">
        <w:rPr>
          <w:b/>
          <w:bCs/>
        </w:rPr>
        <w:t>2.6.2 East Asia: Soft Law, Market Logic and Adoption Pressures</w:t>
      </w:r>
      <w:bookmarkEnd w:id="24"/>
    </w:p>
    <w:p w14:paraId="30A12A2A" w14:textId="77777777" w:rsidR="00BF271A" w:rsidRDefault="00BF271A" w:rsidP="00BF271A">
      <w:pPr>
        <w:jc w:val="both"/>
      </w:pPr>
      <w:bookmarkStart w:id="25" w:name="_Toc240996964"/>
      <w:r>
        <w:t>In contrast to Europe's prescriptive regulatory model, East Asian approaches to AI governance in recruitment are shaped by soft law instruments, market-driven adoption and fragmented policy frameworks. Empirical studies from the region indicate rapid uptake of AI-enabled recruitment tools, often motivated by efficiency gains, talent shortages and competitive pressures rather than explicit ethical or legal mandates (Batool and Rashid, 2023). This has resulted in comparatively high levels of experimentation, but limited institutionalised oversight (CMS, 2025).</w:t>
      </w:r>
    </w:p>
    <w:p w14:paraId="282EFF26" w14:textId="77777777" w:rsidR="00E41721" w:rsidRDefault="00BF271A" w:rsidP="00E41721">
      <w:pPr>
        <w:jc w:val="both"/>
      </w:pPr>
      <w:r>
        <w:t>Policy-oriented analyses suggest that governance in East Asia relies more heavily on voluntary guidelines, industry standards and organisational self-regulation. While such flexibility may facilitate innovation, it also creates regulatory fragmentation, with significant variation in expectations across jurisdictions and sectors (CMS, 2025). Organisations frequently adopt global HR technologies without corresponding localisation of governance practices, assuming that fairness and compliance are embedded in the technology itself (Rao et al., 2025).</w:t>
      </w:r>
    </w:p>
    <w:p w14:paraId="60357D4C" w14:textId="7ECD61D4" w:rsidR="00BD14B9" w:rsidRPr="008933EB" w:rsidRDefault="00BD14B9" w:rsidP="008A4AED">
      <w:pPr>
        <w:pStyle w:val="Heading2"/>
        <w:jc w:val="both"/>
        <w:rPr>
          <w:b/>
          <w:bCs/>
        </w:rPr>
      </w:pPr>
      <w:r w:rsidRPr="008933EB">
        <w:rPr>
          <w:b/>
          <w:bCs/>
        </w:rPr>
        <w:t>2.7 MNC Context</w:t>
      </w:r>
      <w:bookmarkEnd w:id="25"/>
    </w:p>
    <w:p w14:paraId="2ACFC546" w14:textId="77777777" w:rsidR="00BD22A7" w:rsidRDefault="00BD22A7" w:rsidP="00BD22A7">
      <w:pPr>
        <w:jc w:val="both"/>
      </w:pPr>
      <w:r>
        <w:t xml:space="preserve">The organisational complexity of MNCs introduces additional governance risks that remain under-analysed in the AI recruitment literature. </w:t>
      </w:r>
      <w:proofErr w:type="spellStart"/>
      <w:r>
        <w:t>Budhwar</w:t>
      </w:r>
      <w:proofErr w:type="spellEnd"/>
      <w:r>
        <w:t xml:space="preserve"> (2022) highlights that cross-border operations are characterised by fragmented authority structures, with recruitment decisions distributed across global, regional and local levels. This fragmentation complicates the consistent application of governance standards, particularly where algorithmic tools are centrally procured but locally deployed (Tsiskaridze, Reinhold and Järvis, 2023).</w:t>
      </w:r>
    </w:p>
    <w:p w14:paraId="7FCFE711" w14:textId="77777777" w:rsidR="00BD22A7" w:rsidRDefault="00BD22A7" w:rsidP="008A4AED">
      <w:pPr>
        <w:jc w:val="both"/>
      </w:pPr>
      <w:r>
        <w:t>In such contexts, responsibility for algorithmic decision-making may be unclear, with subsidiaries constrained by centrally imposed systems yet subject to local legal and cultural expectations (CMS, 2025). This misalignment represents a structural risk factor that is insufficiently addressed in existing research, underscoring the need for governance analysis that explicitly accounts for MNC organisational dynamics (CMS, 2025).</w:t>
      </w:r>
    </w:p>
    <w:p w14:paraId="220144C5" w14:textId="77777777" w:rsidR="00BD14B9" w:rsidRPr="003E5360" w:rsidRDefault="00BD14B9" w:rsidP="008A4AED">
      <w:pPr>
        <w:pStyle w:val="Heading2"/>
        <w:jc w:val="both"/>
        <w:rPr>
          <w:b/>
          <w:bCs/>
        </w:rPr>
      </w:pPr>
      <w:bookmarkStart w:id="26" w:name="_Toc240996965"/>
      <w:r w:rsidRPr="003E5360">
        <w:rPr>
          <w:b/>
          <w:bCs/>
        </w:rPr>
        <w:t>2.8 Theoretical Framework</w:t>
      </w:r>
      <w:bookmarkEnd w:id="26"/>
    </w:p>
    <w:p w14:paraId="25B802A0" w14:textId="77777777" w:rsidR="00BD14B9" w:rsidRDefault="00BD14B9" w:rsidP="008A4AED">
      <w:pPr>
        <w:jc w:val="both"/>
      </w:pPr>
      <w:r>
        <w:t>This study is grounded in three complementary theoretical perspectives that together provide a comprehensive lens for analysing AI</w:t>
      </w:r>
      <w:r>
        <w:rPr>
          <w:rFonts w:ascii="Cambria Math" w:hAnsi="Cambria Math" w:cs="Cambria Math"/>
        </w:rPr>
        <w:t>‑</w:t>
      </w:r>
      <w:r>
        <w:t>mediated recruitment in MNCs.</w:t>
      </w:r>
    </w:p>
    <w:p w14:paraId="56829FE3" w14:textId="076057EB" w:rsidR="00BE07CF" w:rsidRPr="008A4CDB" w:rsidRDefault="00125EAB" w:rsidP="00125EAB">
      <w:pPr>
        <w:pStyle w:val="Caption"/>
        <w:rPr>
          <w:b/>
          <w:color w:val="153D63" w:themeColor="text2" w:themeTint="E6"/>
          <w:sz w:val="32"/>
          <w:szCs w:val="32"/>
        </w:rPr>
      </w:pPr>
      <w:bookmarkStart w:id="27" w:name="_Toc240978324"/>
      <w:bookmarkStart w:id="28" w:name="_Toc240978778"/>
      <w:r w:rsidRPr="008A4CDB">
        <w:rPr>
          <w:b/>
          <w:color w:val="153D63" w:themeColor="text2" w:themeTint="E6"/>
          <w:sz w:val="32"/>
          <w:szCs w:val="32"/>
        </w:rPr>
        <w:t xml:space="preserve">Figure </w:t>
      </w:r>
      <w:r w:rsidRPr="008A4CDB">
        <w:rPr>
          <w:b/>
          <w:color w:val="153D63" w:themeColor="text2" w:themeTint="E6"/>
          <w:sz w:val="32"/>
          <w:szCs w:val="32"/>
        </w:rPr>
        <w:fldChar w:fldCharType="begin"/>
      </w:r>
      <w:r w:rsidRPr="008A4CDB">
        <w:rPr>
          <w:b/>
          <w:color w:val="153D63" w:themeColor="text2" w:themeTint="E6"/>
          <w:sz w:val="32"/>
          <w:szCs w:val="32"/>
        </w:rPr>
        <w:instrText xml:space="preserve"> SEQ Figure \* ARABIC </w:instrText>
      </w:r>
      <w:r w:rsidRPr="008A4CDB">
        <w:rPr>
          <w:b/>
          <w:color w:val="153D63" w:themeColor="text2" w:themeTint="E6"/>
          <w:sz w:val="32"/>
          <w:szCs w:val="32"/>
        </w:rPr>
        <w:fldChar w:fldCharType="separate"/>
      </w:r>
      <w:r w:rsidR="00B85507" w:rsidRPr="008A4CDB">
        <w:rPr>
          <w:b/>
          <w:color w:val="153D63" w:themeColor="text2" w:themeTint="E6"/>
          <w:sz w:val="32"/>
          <w:szCs w:val="32"/>
        </w:rPr>
        <w:t>1</w:t>
      </w:r>
      <w:r w:rsidRPr="008A4CDB">
        <w:rPr>
          <w:b/>
          <w:color w:val="153D63" w:themeColor="text2" w:themeTint="E6"/>
          <w:sz w:val="32"/>
          <w:szCs w:val="32"/>
        </w:rPr>
        <w:fldChar w:fldCharType="end"/>
      </w:r>
      <w:r w:rsidRPr="008A4CDB">
        <w:rPr>
          <w:b/>
          <w:color w:val="153D63" w:themeColor="text2" w:themeTint="E6"/>
          <w:sz w:val="32"/>
          <w:szCs w:val="32"/>
        </w:rPr>
        <w:t>-Theoretical Framework for AI-Mediated Recruitment in MNCs</w:t>
      </w:r>
      <w:bookmarkEnd w:id="27"/>
      <w:bookmarkEnd w:id="28"/>
    </w:p>
    <w:p w14:paraId="6507EEDE" w14:textId="77777777" w:rsidR="00FB56A2" w:rsidRDefault="009A4AB7" w:rsidP="008A4AED">
      <w:pPr>
        <w:jc w:val="both"/>
        <w:rPr>
          <w:rStyle w:val="Strong"/>
          <w:rFonts w:ascii="Times New Roman" w:hAnsi="Times New Roman" w:cs="Times New Roman"/>
          <w:kern w:val="0"/>
          <w14:ligatures w14:val="none"/>
        </w:rPr>
      </w:pPr>
      <w:r>
        <w:rPr>
          <w:b/>
          <w:noProof/>
          <w:color w:val="153D63" w:themeColor="text2" w:themeTint="E6"/>
          <w:sz w:val="32"/>
          <w:szCs w:val="32"/>
        </w:rPr>
        <w:lastRenderedPageBreak/>
        <w:drawing>
          <wp:anchor distT="0" distB="0" distL="114300" distR="114300" simplePos="0" relativeHeight="251658242" behindDoc="0" locked="0" layoutInCell="1" allowOverlap="1" wp14:anchorId="0E155567" wp14:editId="44FEA192">
            <wp:simplePos x="0" y="0"/>
            <wp:positionH relativeFrom="column">
              <wp:posOffset>97155</wp:posOffset>
            </wp:positionH>
            <wp:positionV relativeFrom="paragraph">
              <wp:posOffset>45085</wp:posOffset>
            </wp:positionV>
            <wp:extent cx="6642100" cy="4427855"/>
            <wp:effectExtent l="0" t="0" r="6350" b="0"/>
            <wp:wrapTopAndBottom/>
            <wp:docPr id="781734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734682" name="Picture 781734682"/>
                    <pic:cNvPicPr/>
                  </pic:nvPicPr>
                  <pic:blipFill>
                    <a:blip r:embed="rId8">
                      <a:extLst>
                        <a:ext uri="{28A0092B-C50C-407E-A947-70E740481C1C}">
                          <a14:useLocalDpi xmlns:a14="http://schemas.microsoft.com/office/drawing/2010/main" val="0"/>
                        </a:ext>
                      </a:extLst>
                    </a:blip>
                    <a:stretch>
                      <a:fillRect/>
                    </a:stretch>
                  </pic:blipFill>
                  <pic:spPr>
                    <a:xfrm>
                      <a:off x="0" y="0"/>
                      <a:ext cx="6642100" cy="4427855"/>
                    </a:xfrm>
                    <a:prstGeom prst="rect">
                      <a:avLst/>
                    </a:prstGeom>
                  </pic:spPr>
                </pic:pic>
              </a:graphicData>
            </a:graphic>
          </wp:anchor>
        </w:drawing>
      </w:r>
    </w:p>
    <w:p w14:paraId="02D0C04F" w14:textId="07B92688" w:rsidR="00E95D84" w:rsidRPr="00FB56A2" w:rsidRDefault="005015FC" w:rsidP="008A4AED">
      <w:pPr>
        <w:jc w:val="center"/>
        <w:rPr>
          <w:rStyle w:val="Strong"/>
          <w:bCs w:val="0"/>
          <w:color w:val="153D63" w:themeColor="text2" w:themeTint="E6"/>
          <w:sz w:val="32"/>
          <w:szCs w:val="32"/>
        </w:rPr>
      </w:pPr>
      <w:r w:rsidRPr="005015FC">
        <w:rPr>
          <w:rStyle w:val="Strong"/>
          <w:rFonts w:ascii="Times New Roman" w:hAnsi="Times New Roman" w:cs="Times New Roman"/>
          <w:kern w:val="0"/>
          <w14:ligatures w14:val="none"/>
        </w:rPr>
        <w:t xml:space="preserve">Source: Author's own framework, adapted from Trist (1981), </w:t>
      </w:r>
      <w:proofErr w:type="spellStart"/>
      <w:r w:rsidRPr="005015FC">
        <w:rPr>
          <w:rStyle w:val="Strong"/>
          <w:rFonts w:ascii="Times New Roman" w:hAnsi="Times New Roman" w:cs="Times New Roman"/>
          <w:kern w:val="0"/>
          <w14:ligatures w14:val="none"/>
        </w:rPr>
        <w:t>Prikshat</w:t>
      </w:r>
      <w:proofErr w:type="spellEnd"/>
      <w:r w:rsidRPr="005015FC">
        <w:rPr>
          <w:rStyle w:val="Strong"/>
          <w:rFonts w:ascii="Times New Roman" w:hAnsi="Times New Roman" w:cs="Times New Roman"/>
          <w:kern w:val="0"/>
          <w14:ligatures w14:val="none"/>
        </w:rPr>
        <w:t xml:space="preserve">, Malik and </w:t>
      </w:r>
      <w:proofErr w:type="spellStart"/>
      <w:r w:rsidRPr="005015FC">
        <w:rPr>
          <w:rStyle w:val="Strong"/>
          <w:rFonts w:ascii="Times New Roman" w:hAnsi="Times New Roman" w:cs="Times New Roman"/>
          <w:kern w:val="0"/>
          <w14:ligatures w14:val="none"/>
        </w:rPr>
        <w:t>Budhwar</w:t>
      </w:r>
      <w:proofErr w:type="spellEnd"/>
      <w:r w:rsidRPr="005015FC">
        <w:rPr>
          <w:rStyle w:val="Strong"/>
          <w:rFonts w:ascii="Times New Roman" w:hAnsi="Times New Roman" w:cs="Times New Roman"/>
          <w:kern w:val="0"/>
          <w14:ligatures w14:val="none"/>
        </w:rPr>
        <w:t xml:space="preserve"> (2023), and European Commission (2024).</w:t>
      </w:r>
    </w:p>
    <w:p w14:paraId="7D192D6D" w14:textId="7DDC2DAA" w:rsidR="00BD14B9" w:rsidRPr="003E5360" w:rsidRDefault="00BD14B9" w:rsidP="008A4AED">
      <w:pPr>
        <w:pStyle w:val="Heading3"/>
        <w:jc w:val="both"/>
        <w:rPr>
          <w:b/>
          <w:bCs/>
        </w:rPr>
      </w:pPr>
      <w:bookmarkStart w:id="29" w:name="_Toc240996966"/>
      <w:r w:rsidRPr="003E5360">
        <w:rPr>
          <w:b/>
          <w:bCs/>
        </w:rPr>
        <w:t>2.8.1 Socio</w:t>
      </w:r>
      <w:r w:rsidRPr="003E5360">
        <w:rPr>
          <w:rFonts w:ascii="Cambria Math" w:hAnsi="Cambria Math" w:cs="Cambria Math"/>
          <w:b/>
          <w:bCs/>
        </w:rPr>
        <w:t>‑</w:t>
      </w:r>
      <w:r w:rsidRPr="003E5360">
        <w:rPr>
          <w:b/>
          <w:bCs/>
        </w:rPr>
        <w:t>Technical Systems Theory</w:t>
      </w:r>
      <w:bookmarkEnd w:id="29"/>
    </w:p>
    <w:p w14:paraId="13D4784C" w14:textId="77777777" w:rsidR="00682E0F" w:rsidRDefault="00682E0F" w:rsidP="00682E0F">
      <w:pPr>
        <w:jc w:val="both"/>
      </w:pPr>
      <w:r>
        <w:t>Socio-technical systems theory provides a foundational premise: algorithmic recruitment systems cannot be understood as purely technical artefacts. Classical socio-technical scholarship emphasises that technologies, organisational routines and human judgement are mutually constitutive, with outcomes emerging from their interaction rather than from technical design alone (Trist, 1981; Orlikowski, 1992). This insight is particularly relevant to recruitment, where algorithmic outputs are embedded within discretionary decision-making processes rather than autonomously determining outcomes (Mujtaba and Mahapatra, 2025).</w:t>
      </w:r>
    </w:p>
    <w:p w14:paraId="10864CFC" w14:textId="3C7B0A57" w:rsidR="00DD432E" w:rsidRDefault="00682E0F" w:rsidP="008A4AED">
      <w:pPr>
        <w:jc w:val="both"/>
      </w:pPr>
      <w:r>
        <w:t>Applied to algorithmic recruitment, socio-technical theory highlights how bias, governance failures and accountability diffusion arise not solely from flawed models, but from the way algorithms are integrated into organisational workflows. Human-in-the-loop arrangements cannot be assumed to function as safeguards without examining how human actors interpret, defer to, or override algorithmic recommendations.</w:t>
      </w:r>
    </w:p>
    <w:p w14:paraId="4DE87DC2" w14:textId="77777777" w:rsidR="00BD14B9" w:rsidRPr="003E5360" w:rsidRDefault="00BD14B9" w:rsidP="008A4AED">
      <w:pPr>
        <w:pStyle w:val="Heading3"/>
        <w:jc w:val="both"/>
        <w:rPr>
          <w:b/>
          <w:bCs/>
        </w:rPr>
      </w:pPr>
      <w:bookmarkStart w:id="30" w:name="_Toc240996967"/>
      <w:r w:rsidRPr="003E5360">
        <w:rPr>
          <w:b/>
          <w:bCs/>
        </w:rPr>
        <w:t>2.8.2 Organisational Governance Theory</w:t>
      </w:r>
      <w:bookmarkEnd w:id="30"/>
    </w:p>
    <w:p w14:paraId="0679810D" w14:textId="77777777" w:rsidR="00BD14B9" w:rsidRDefault="00BD14B9" w:rsidP="008A4AED">
      <w:pPr>
        <w:jc w:val="both"/>
      </w:pPr>
      <w:r>
        <w:t>Organisational governance perspectives clarify how decision rights, accountability structures and oversight mechanisms are allocated between global HR technology providers and local business units (</w:t>
      </w:r>
      <w:proofErr w:type="spellStart"/>
      <w:r>
        <w:t>Prikshat</w:t>
      </w:r>
      <w:proofErr w:type="spellEnd"/>
      <w:r w:rsidR="00584741">
        <w:t>, Malik and Budhwar, 2023).</w:t>
      </w:r>
      <w:r>
        <w:t xml:space="preserve"> This theoretical lens enables analysis of how formal governance arrangements interact with informal practices to shape AI recruitment outcomes (Tambe, Cappelli and Yakubovich, 2019).</w:t>
      </w:r>
    </w:p>
    <w:p w14:paraId="15EE9813" w14:textId="7E5886A4" w:rsidR="00BD14B9" w:rsidRDefault="00BD14B9" w:rsidP="008A4AED">
      <w:pPr>
        <w:jc w:val="both"/>
      </w:pPr>
      <w:r>
        <w:lastRenderedPageBreak/>
        <w:t>Within MNCs, governance theory helps explain how fragmented authority structures and dispersed responsibility create accountability gaps, particularly where algorithmic tools are centrally procured but locally deployed (</w:t>
      </w:r>
      <w:proofErr w:type="spellStart"/>
      <w:r>
        <w:t>Budhwar</w:t>
      </w:r>
      <w:proofErr w:type="spellEnd"/>
      <w:r>
        <w:t>, 2022). This perspective is essential for understanding how decision authority shifts subtly rather than overtly in algorithmic recruitment contexts (CMS, 2025).</w:t>
      </w:r>
    </w:p>
    <w:p w14:paraId="563266C1" w14:textId="77777777" w:rsidR="00BD14B9" w:rsidRPr="003E5360" w:rsidRDefault="00BD14B9" w:rsidP="008A4AED">
      <w:pPr>
        <w:pStyle w:val="Heading3"/>
        <w:jc w:val="both"/>
        <w:rPr>
          <w:b/>
          <w:bCs/>
        </w:rPr>
      </w:pPr>
      <w:bookmarkStart w:id="31" w:name="_Toc240996968"/>
      <w:r w:rsidRPr="003E5360">
        <w:rPr>
          <w:b/>
          <w:bCs/>
        </w:rPr>
        <w:t>2.8.3 Institutional Theory</w:t>
      </w:r>
      <w:bookmarkEnd w:id="31"/>
    </w:p>
    <w:p w14:paraId="269845EE" w14:textId="77777777" w:rsidR="00BD14B9" w:rsidRDefault="00BD14B9" w:rsidP="008A4AED">
      <w:pPr>
        <w:jc w:val="both"/>
      </w:pPr>
      <w:r>
        <w:t>Institutional theory situates organisational arrangements within broader regulatory, cultural and normative pressures that differ between Europe and East Asia (CMS, 2025</w:t>
      </w:r>
      <w:r w:rsidR="0002321C">
        <w:t>).</w:t>
      </w:r>
      <w:r>
        <w:t xml:space="preserve"> This lens explains how formal regulations (e.g., GDPR, EU AI Act) and informal norms (e.g., meritocracy, technological neutrality) shape organisational responses to AI recruitment (European Commission, 2024).</w:t>
      </w:r>
    </w:p>
    <w:p w14:paraId="1D48D23E" w14:textId="3ABF93F4" w:rsidR="00BD14B9" w:rsidRDefault="00BD14B9" w:rsidP="008A4AED">
      <w:pPr>
        <w:jc w:val="both"/>
      </w:pPr>
      <w:r>
        <w:t>Institutional theory also helps explain why similar technologies may produce different outcomes across contexts, as organisational practices are shaped by varying regulatory expectations and cultural assumptions about fairness and accountability (Rao et al., 2025). This divergence from European regulatory logic underscores the importance of comparative analysis that does not assume convergence in governance norms or enforcement capacity (</w:t>
      </w:r>
      <w:proofErr w:type="spellStart"/>
      <w:r>
        <w:t>Prikshat</w:t>
      </w:r>
      <w:proofErr w:type="spellEnd"/>
      <w:r w:rsidR="0002321C">
        <w:t>, Malik and Budhwar,</w:t>
      </w:r>
      <w:r>
        <w:t xml:space="preserve"> 2023).</w:t>
      </w:r>
    </w:p>
    <w:p w14:paraId="0C9E4FD1" w14:textId="77777777" w:rsidR="00BD14B9" w:rsidRPr="003E5360" w:rsidRDefault="00BD14B9" w:rsidP="008A4AED">
      <w:pPr>
        <w:pStyle w:val="Heading2"/>
        <w:jc w:val="both"/>
        <w:rPr>
          <w:b/>
          <w:bCs/>
        </w:rPr>
      </w:pPr>
      <w:bookmarkStart w:id="32" w:name="_Toc240996969"/>
      <w:r w:rsidRPr="003E5360">
        <w:rPr>
          <w:b/>
          <w:bCs/>
        </w:rPr>
        <w:t>2.9 Critical Synthesis</w:t>
      </w:r>
      <w:bookmarkEnd w:id="32"/>
    </w:p>
    <w:p w14:paraId="73DF3088" w14:textId="77777777" w:rsidR="00BD14B9" w:rsidRDefault="00BD14B9" w:rsidP="008A4AED">
      <w:pPr>
        <w:jc w:val="both"/>
      </w:pPr>
      <w:r>
        <w:t>The literature review reveals several critical patterns and tensions across the reviewed domains. First, there is a clear divide between technical and organisational perspectives, with technical research focusing on bias mechanisms and mitigation strategies, while organisational studies emphasise adoption patterns and governance arrangements (Tsiskaridze, Reinhold and Järvis, 2023). Second, regulatory analyses often assume enforceability without empirical examination of how organisations operationalise compliance requirements (European Commission, 2024).</w:t>
      </w:r>
    </w:p>
    <w:p w14:paraId="5455C279" w14:textId="77777777" w:rsidR="00BD14B9" w:rsidRDefault="00BD14B9" w:rsidP="008A4AED">
      <w:pPr>
        <w:jc w:val="both"/>
      </w:pPr>
      <w:r>
        <w:t>Third, the literature exhibits a descriptive dominance, particularly in adoption studies, which document levels of AI use but provide limited insight into governance processes, accountability mechanisms or causal relationships (</w:t>
      </w:r>
      <w:proofErr w:type="spellStart"/>
      <w:r>
        <w:t>Budhwar</w:t>
      </w:r>
      <w:proofErr w:type="spellEnd"/>
      <w:r>
        <w:t xml:space="preserve">, 2022). </w:t>
      </w:r>
      <w:r w:rsidR="001F0ABD">
        <w:t>Fourth, cross-national comparative research remains scarce, with most studies focused on single countries or regions, limiting generalisability and understanding of how institutional differences shape governance outcomes (CMS</w:t>
      </w:r>
      <w:r>
        <w:t>, 2025).</w:t>
      </w:r>
    </w:p>
    <w:p w14:paraId="3F0E3C2E" w14:textId="7912798A" w:rsidR="001F0ABD" w:rsidRDefault="001F0ABD" w:rsidP="008A4AED">
      <w:pPr>
        <w:jc w:val="both"/>
      </w:pPr>
      <w:r>
        <w:t>Finally, there is a notable gap in research that integrates technical, organisational and institutional perspectives to explain how AI recruitment governance operates in MNCs (</w:t>
      </w:r>
      <w:proofErr w:type="spellStart"/>
      <w:r>
        <w:t>Prikshat</w:t>
      </w:r>
      <w:proofErr w:type="spellEnd"/>
      <w:r>
        <w:t>, Malik and Budhwar, 2023). This fragmentation constrains both theory and practice, as technical interventions and regulatory rules risk remaining symbolic without an integrated, governance-focused understanding.</w:t>
      </w:r>
    </w:p>
    <w:p w14:paraId="61553D64" w14:textId="77777777" w:rsidR="00BD14B9" w:rsidRPr="005020A8" w:rsidRDefault="00BD14B9" w:rsidP="008A4AED">
      <w:pPr>
        <w:pStyle w:val="Heading2"/>
        <w:jc w:val="both"/>
      </w:pPr>
      <w:bookmarkStart w:id="33" w:name="_Toc240996970"/>
      <w:r w:rsidRPr="003E5360">
        <w:rPr>
          <w:b/>
          <w:bCs/>
        </w:rPr>
        <w:t xml:space="preserve">2.10 </w:t>
      </w:r>
      <w:r w:rsidRPr="00212741">
        <w:rPr>
          <w:b/>
          <w:bCs/>
        </w:rPr>
        <w:t>Conceptual Framework</w:t>
      </w:r>
      <w:bookmarkEnd w:id="33"/>
    </w:p>
    <w:p w14:paraId="1E20FE45" w14:textId="77777777" w:rsidR="00BD14B9" w:rsidRDefault="00BD14B9" w:rsidP="008A4AED">
      <w:pPr>
        <w:jc w:val="both"/>
      </w:pPr>
      <w:r>
        <w:t>Derived directly from the limitations and gaps identified in this chapter, the conceptual framework is organised around three analytically distinct but interdependent dimensions: technical, organisational and institutional (see Figure 2.1).</w:t>
      </w:r>
    </w:p>
    <w:p w14:paraId="6F1A4570" w14:textId="0B859E7C" w:rsidR="00A85805" w:rsidRPr="00A85805" w:rsidRDefault="00A85805" w:rsidP="00A85805">
      <w:pPr>
        <w:pStyle w:val="Caption"/>
        <w:jc w:val="both"/>
        <w:rPr>
          <w:b/>
          <w:color w:val="153D63" w:themeColor="text2" w:themeTint="E6"/>
          <w:sz w:val="32"/>
          <w:szCs w:val="32"/>
        </w:rPr>
      </w:pPr>
      <w:bookmarkStart w:id="34" w:name="_Toc240978325"/>
      <w:bookmarkStart w:id="35" w:name="_Toc240978779"/>
      <w:r w:rsidRPr="00A85805">
        <w:rPr>
          <w:b/>
          <w:color w:val="153D63" w:themeColor="text2" w:themeTint="E6"/>
          <w:sz w:val="32"/>
          <w:szCs w:val="32"/>
        </w:rPr>
        <w:t xml:space="preserve">Figure </w:t>
      </w:r>
      <w:r w:rsidRPr="00A85805">
        <w:rPr>
          <w:b/>
          <w:color w:val="153D63" w:themeColor="text2" w:themeTint="E6"/>
          <w:sz w:val="32"/>
          <w:szCs w:val="32"/>
        </w:rPr>
        <w:fldChar w:fldCharType="begin"/>
      </w:r>
      <w:r w:rsidRPr="00A85805">
        <w:rPr>
          <w:b/>
          <w:color w:val="153D63" w:themeColor="text2" w:themeTint="E6"/>
          <w:sz w:val="32"/>
          <w:szCs w:val="32"/>
        </w:rPr>
        <w:instrText xml:space="preserve"> SEQ Figure \* ARABIC </w:instrText>
      </w:r>
      <w:r w:rsidRPr="00A85805">
        <w:rPr>
          <w:b/>
          <w:color w:val="153D63" w:themeColor="text2" w:themeTint="E6"/>
          <w:sz w:val="32"/>
          <w:szCs w:val="32"/>
        </w:rPr>
        <w:fldChar w:fldCharType="separate"/>
      </w:r>
      <w:r w:rsidR="00B85507">
        <w:rPr>
          <w:b/>
          <w:color w:val="153D63" w:themeColor="text2" w:themeTint="E6"/>
          <w:sz w:val="32"/>
          <w:szCs w:val="32"/>
        </w:rPr>
        <w:t>2</w:t>
      </w:r>
      <w:r w:rsidRPr="00A85805">
        <w:rPr>
          <w:b/>
          <w:color w:val="153D63" w:themeColor="text2" w:themeTint="E6"/>
          <w:sz w:val="32"/>
          <w:szCs w:val="32"/>
        </w:rPr>
        <w:fldChar w:fldCharType="end"/>
      </w:r>
      <w:r w:rsidRPr="00A85805">
        <w:rPr>
          <w:b/>
          <w:color w:val="153D63" w:themeColor="text2" w:themeTint="E6"/>
          <w:sz w:val="32"/>
          <w:szCs w:val="32"/>
        </w:rPr>
        <w:t>-Conceptual Framework for AI</w:t>
      </w:r>
      <w:r w:rsidRPr="00A85805">
        <w:rPr>
          <w:rFonts w:ascii="Cambria Math" w:hAnsi="Cambria Math" w:cs="Cambria Math"/>
          <w:b/>
          <w:color w:val="153D63" w:themeColor="text2" w:themeTint="E6"/>
          <w:sz w:val="32"/>
          <w:szCs w:val="32"/>
        </w:rPr>
        <w:t>‑</w:t>
      </w:r>
      <w:r w:rsidRPr="00A85805">
        <w:rPr>
          <w:b/>
          <w:color w:val="153D63" w:themeColor="text2" w:themeTint="E6"/>
          <w:sz w:val="32"/>
          <w:szCs w:val="32"/>
        </w:rPr>
        <w:t>Mediated Recruitment Governance in MNCs</w:t>
      </w:r>
      <w:bookmarkEnd w:id="34"/>
      <w:bookmarkEnd w:id="35"/>
    </w:p>
    <w:p w14:paraId="4C88E613" w14:textId="338E02DB" w:rsidR="00F33C3A" w:rsidRPr="00F33C3A" w:rsidRDefault="009A3286" w:rsidP="008A4AED">
      <w:pPr>
        <w:jc w:val="both"/>
      </w:pPr>
      <w:r>
        <w:rPr>
          <w:noProof/>
        </w:rPr>
        <w:lastRenderedPageBreak/>
        <w:drawing>
          <wp:anchor distT="0" distB="0" distL="114300" distR="114300" simplePos="0" relativeHeight="251658240" behindDoc="0" locked="0" layoutInCell="1" allowOverlap="1" wp14:anchorId="6A1052F7" wp14:editId="2AEBB092">
            <wp:simplePos x="0" y="0"/>
            <wp:positionH relativeFrom="column">
              <wp:posOffset>104140</wp:posOffset>
            </wp:positionH>
            <wp:positionV relativeFrom="paragraph">
              <wp:posOffset>27940</wp:posOffset>
            </wp:positionV>
            <wp:extent cx="6642100" cy="4427855"/>
            <wp:effectExtent l="0" t="0" r="6350" b="0"/>
            <wp:wrapTopAndBottom/>
            <wp:docPr id="516254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254634" name="Picture 516254634"/>
                    <pic:cNvPicPr/>
                  </pic:nvPicPr>
                  <pic:blipFill>
                    <a:blip r:embed="rId9">
                      <a:extLst>
                        <a:ext uri="{28A0092B-C50C-407E-A947-70E740481C1C}">
                          <a14:useLocalDpi xmlns:a14="http://schemas.microsoft.com/office/drawing/2010/main" val="0"/>
                        </a:ext>
                      </a:extLst>
                    </a:blip>
                    <a:stretch>
                      <a:fillRect/>
                    </a:stretch>
                  </pic:blipFill>
                  <pic:spPr>
                    <a:xfrm>
                      <a:off x="0" y="0"/>
                      <a:ext cx="6642100" cy="4427855"/>
                    </a:xfrm>
                    <a:prstGeom prst="rect">
                      <a:avLst/>
                    </a:prstGeom>
                  </pic:spPr>
                </pic:pic>
              </a:graphicData>
            </a:graphic>
          </wp:anchor>
        </w:drawing>
      </w:r>
    </w:p>
    <w:p w14:paraId="66E7ADF2" w14:textId="33EFAC5F" w:rsidR="00BD14B9" w:rsidRDefault="007122CF" w:rsidP="008C25C9">
      <w:pPr>
        <w:jc w:val="center"/>
      </w:pPr>
      <w:r w:rsidRPr="003C1700">
        <w:rPr>
          <w:b/>
          <w:bCs/>
        </w:rPr>
        <w:t>Source</w:t>
      </w:r>
      <w:r w:rsidRPr="007122CF">
        <w:t>: Author’s own construction based on the literature reviewed in Chapter 2.</w:t>
      </w:r>
    </w:p>
    <w:p w14:paraId="61090D14" w14:textId="77777777" w:rsidR="00BD14B9" w:rsidRPr="006A77EF" w:rsidRDefault="00BD14B9" w:rsidP="008A4AED">
      <w:pPr>
        <w:jc w:val="both"/>
        <w:rPr>
          <w:b/>
          <w:bCs/>
          <w:color w:val="153D63" w:themeColor="text2" w:themeTint="E6"/>
          <w:sz w:val="28"/>
          <w:szCs w:val="28"/>
        </w:rPr>
      </w:pPr>
      <w:r w:rsidRPr="006A77EF">
        <w:rPr>
          <w:b/>
          <w:bCs/>
          <w:color w:val="153D63" w:themeColor="text2" w:themeTint="E6"/>
          <w:sz w:val="28"/>
          <w:szCs w:val="28"/>
        </w:rPr>
        <w:t>Technical Dimension</w:t>
      </w:r>
    </w:p>
    <w:p w14:paraId="75D3CC4C" w14:textId="00255EAE" w:rsidR="00BD14B9" w:rsidRDefault="00BD14B9" w:rsidP="008A4AED">
      <w:pPr>
        <w:jc w:val="both"/>
      </w:pPr>
      <w:r>
        <w:t>Captures algorithm design, data practices and bias mitigation techniques, including training data provenance, proxy variables, model opacity and fairness constraints (Barocas and Selbst, 2016; Raghavan et al., 2020).</w:t>
      </w:r>
    </w:p>
    <w:p w14:paraId="61010AD3" w14:textId="77777777" w:rsidR="00BD14B9" w:rsidRPr="006A77EF" w:rsidRDefault="00BD14B9" w:rsidP="008A4AED">
      <w:pPr>
        <w:jc w:val="both"/>
        <w:rPr>
          <w:b/>
          <w:bCs/>
          <w:color w:val="153D63" w:themeColor="text2" w:themeTint="E6"/>
          <w:sz w:val="28"/>
          <w:szCs w:val="28"/>
        </w:rPr>
      </w:pPr>
      <w:r w:rsidRPr="006A77EF">
        <w:rPr>
          <w:b/>
          <w:bCs/>
          <w:color w:val="153D63" w:themeColor="text2" w:themeTint="E6"/>
          <w:sz w:val="28"/>
          <w:szCs w:val="28"/>
        </w:rPr>
        <w:t>Organisational Dimension</w:t>
      </w:r>
    </w:p>
    <w:p w14:paraId="0E1C18C0" w14:textId="123A5AA7" w:rsidR="009D31F1" w:rsidRDefault="006612DC" w:rsidP="008A4AED">
      <w:pPr>
        <w:jc w:val="both"/>
      </w:pPr>
      <w:r w:rsidRPr="006612DC">
        <w:t>Examines governance structures, decision authority, accountability mechanisms and human–algorithm interaction, including human-in-the-loop arrangements and responsibility diffusion across MNC functions (Tambe, Cappelli and Yakubovich, 2019).</w:t>
      </w:r>
    </w:p>
    <w:p w14:paraId="7D25041F" w14:textId="77777777" w:rsidR="007B4BD5" w:rsidRDefault="007B4BD5" w:rsidP="008A4AED">
      <w:pPr>
        <w:jc w:val="both"/>
        <w:rPr>
          <w:b/>
          <w:bCs/>
          <w:color w:val="153D63" w:themeColor="text2" w:themeTint="E6"/>
          <w:sz w:val="28"/>
          <w:szCs w:val="28"/>
        </w:rPr>
      </w:pPr>
    </w:p>
    <w:p w14:paraId="1DFEBEF4" w14:textId="77777777" w:rsidR="007B4BD5" w:rsidRDefault="007B4BD5" w:rsidP="008A4AED">
      <w:pPr>
        <w:jc w:val="both"/>
        <w:rPr>
          <w:b/>
          <w:bCs/>
          <w:color w:val="153D63" w:themeColor="text2" w:themeTint="E6"/>
          <w:sz w:val="28"/>
          <w:szCs w:val="28"/>
        </w:rPr>
      </w:pPr>
    </w:p>
    <w:p w14:paraId="7BC81D39" w14:textId="77777777" w:rsidR="00BD14B9" w:rsidRPr="006A77EF" w:rsidRDefault="00BD14B9" w:rsidP="008A4AED">
      <w:pPr>
        <w:jc w:val="both"/>
        <w:rPr>
          <w:b/>
          <w:bCs/>
          <w:color w:val="153D63" w:themeColor="text2" w:themeTint="E6"/>
          <w:sz w:val="28"/>
          <w:szCs w:val="28"/>
        </w:rPr>
      </w:pPr>
      <w:r w:rsidRPr="006A77EF">
        <w:rPr>
          <w:b/>
          <w:bCs/>
          <w:color w:val="153D63" w:themeColor="text2" w:themeTint="E6"/>
          <w:sz w:val="28"/>
          <w:szCs w:val="28"/>
        </w:rPr>
        <w:t>Institutional Dimension</w:t>
      </w:r>
    </w:p>
    <w:p w14:paraId="37E42693" w14:textId="77777777" w:rsidR="00BD14B9" w:rsidRDefault="00BD14B9" w:rsidP="008A4AED">
      <w:pPr>
        <w:jc w:val="both"/>
      </w:pPr>
      <w:r>
        <w:t>Addresses regulatory regimes, cultural expectations and labour</w:t>
      </w:r>
      <w:r w:rsidR="00652EF9">
        <w:t>-</w:t>
      </w:r>
      <w:r>
        <w:t>market institutions across Europe and East Asia, including GDPR, EU AI Act and regional variations in governance approaches (European Commission, 2024; CMS, 2025).</w:t>
      </w:r>
    </w:p>
    <w:p w14:paraId="6FFE7868" w14:textId="46A8B709" w:rsidR="00BD14B9" w:rsidRDefault="00BD14B9" w:rsidP="008A4AED">
      <w:pPr>
        <w:jc w:val="both"/>
      </w:pPr>
      <w:r>
        <w:t xml:space="preserve">Together, these dimensions capture how algorithmic recruitment outcomes emerge from the interaction between system design, organisational governance and contextual constraint. This framework will structure the analytical synthesis in Chapter 4, enabling systematic comparison of </w:t>
      </w:r>
      <w:r>
        <w:lastRenderedPageBreak/>
        <w:t xml:space="preserve">evidence from European and East Asian contexts (Mujtaba and Mahapatra, 2025; </w:t>
      </w:r>
      <w:proofErr w:type="spellStart"/>
      <w:r>
        <w:t>Prikshat</w:t>
      </w:r>
      <w:proofErr w:type="spellEnd"/>
      <w:r w:rsidR="00652EF9">
        <w:t>, Malik and Budhwar,</w:t>
      </w:r>
      <w:r>
        <w:t xml:space="preserve"> 2023).</w:t>
      </w:r>
    </w:p>
    <w:p w14:paraId="3F9C6DC9" w14:textId="77777777" w:rsidR="00BD14B9" w:rsidRPr="006A77EF" w:rsidRDefault="00BD14B9" w:rsidP="008A4AED">
      <w:pPr>
        <w:pStyle w:val="Heading2"/>
        <w:jc w:val="both"/>
        <w:rPr>
          <w:b/>
          <w:bCs/>
        </w:rPr>
      </w:pPr>
      <w:bookmarkStart w:id="36" w:name="_Toc240996971"/>
      <w:r w:rsidRPr="006A77EF">
        <w:rPr>
          <w:b/>
          <w:bCs/>
        </w:rPr>
        <w:t>2.11 Research Gap</w:t>
      </w:r>
      <w:bookmarkEnd w:id="36"/>
    </w:p>
    <w:p w14:paraId="6F2C93A7" w14:textId="77777777" w:rsidR="00BD14B9" w:rsidRDefault="00BD14B9" w:rsidP="008A4AED">
      <w:pPr>
        <w:jc w:val="both"/>
      </w:pPr>
      <w:r>
        <w:t>Based on the critical synthesis, the following research gaps are identified:</w:t>
      </w:r>
    </w:p>
    <w:p w14:paraId="45237E1C" w14:textId="0188577A" w:rsidR="00BD14B9" w:rsidRDefault="00BD14B9" w:rsidP="001535C3">
      <w:pPr>
        <w:pStyle w:val="ListParagraph"/>
        <w:numPr>
          <w:ilvl w:val="0"/>
          <w:numId w:val="5"/>
        </w:numPr>
        <w:jc w:val="both"/>
      </w:pPr>
      <w:r w:rsidRPr="004055C1">
        <w:rPr>
          <w:b/>
          <w:bCs/>
          <w:color w:val="153D63" w:themeColor="text2" w:themeTint="E6"/>
        </w:rPr>
        <w:t>Conceptual fragmentation</w:t>
      </w:r>
      <w:r>
        <w:t>: Research on AI recruitment is dispersed across technical, organisational and institutional streams, with limited integration across perspectives (Tambe, Cappelli and Yakubovich, 2019).</w:t>
      </w:r>
    </w:p>
    <w:p w14:paraId="7C2A0677" w14:textId="61ACD45C" w:rsidR="00BD14B9" w:rsidRDefault="00BD14B9" w:rsidP="001535C3">
      <w:pPr>
        <w:pStyle w:val="ListParagraph"/>
        <w:numPr>
          <w:ilvl w:val="0"/>
          <w:numId w:val="5"/>
        </w:numPr>
        <w:jc w:val="both"/>
      </w:pPr>
      <w:r w:rsidRPr="004055C1">
        <w:rPr>
          <w:b/>
          <w:bCs/>
          <w:color w:val="153D63" w:themeColor="text2" w:themeTint="E6"/>
        </w:rPr>
        <w:t>Methodological weaknesses:</w:t>
      </w:r>
      <w:r w:rsidRPr="004055C1">
        <w:rPr>
          <w:color w:val="153D63" w:themeColor="text2" w:themeTint="E6"/>
        </w:rPr>
        <w:t xml:space="preserve"> </w:t>
      </w:r>
      <w:r>
        <w:t>Dominance of cross</w:t>
      </w:r>
      <w:r w:rsidR="002B29D0" w:rsidRPr="002B29D0">
        <w:t>-</w:t>
      </w:r>
      <w:r>
        <w:t>sectional, perception</w:t>
      </w:r>
      <w:r w:rsidR="002B29D0" w:rsidRPr="002B29D0">
        <w:t>-</w:t>
      </w:r>
      <w:r>
        <w:t>based studies limits understanding of governance processes and causal mechanisms (</w:t>
      </w:r>
      <w:proofErr w:type="spellStart"/>
      <w:r>
        <w:t>Budhwar</w:t>
      </w:r>
      <w:proofErr w:type="spellEnd"/>
      <w:r>
        <w:t>, 2022).</w:t>
      </w:r>
    </w:p>
    <w:p w14:paraId="5D7D0364" w14:textId="578F74B3" w:rsidR="00BD14B9" w:rsidRDefault="00BD14B9" w:rsidP="001535C3">
      <w:pPr>
        <w:pStyle w:val="ListParagraph"/>
        <w:numPr>
          <w:ilvl w:val="0"/>
          <w:numId w:val="5"/>
        </w:numPr>
        <w:jc w:val="both"/>
      </w:pPr>
      <w:r w:rsidRPr="004055C1">
        <w:rPr>
          <w:b/>
          <w:bCs/>
          <w:color w:val="153D63" w:themeColor="text2" w:themeTint="E6"/>
        </w:rPr>
        <w:t>Contextual abstraction:</w:t>
      </w:r>
      <w:r w:rsidRPr="004055C1">
        <w:rPr>
          <w:color w:val="153D63" w:themeColor="text2" w:themeTint="E6"/>
        </w:rPr>
        <w:t xml:space="preserve"> </w:t>
      </w:r>
      <w:r>
        <w:t>Technical and regulatory analyses often abstract away from organisational deployment, assuming enforceability without empirical examination (European Commission, 2024).</w:t>
      </w:r>
    </w:p>
    <w:p w14:paraId="31A33718" w14:textId="77777777" w:rsidR="00BD14B9" w:rsidRDefault="00BD14B9" w:rsidP="001535C3">
      <w:pPr>
        <w:pStyle w:val="ListParagraph"/>
        <w:numPr>
          <w:ilvl w:val="0"/>
          <w:numId w:val="5"/>
        </w:numPr>
        <w:jc w:val="both"/>
      </w:pPr>
      <w:r w:rsidRPr="004055C1">
        <w:rPr>
          <w:b/>
          <w:bCs/>
          <w:color w:val="153D63" w:themeColor="text2" w:themeTint="E6"/>
        </w:rPr>
        <w:t>Cross</w:t>
      </w:r>
      <w:r w:rsidRPr="004055C1">
        <w:rPr>
          <w:rFonts w:ascii="Cambria Math" w:hAnsi="Cambria Math" w:cs="Cambria Math"/>
          <w:b/>
          <w:bCs/>
          <w:color w:val="153D63" w:themeColor="text2" w:themeTint="E6"/>
        </w:rPr>
        <w:t>‑</w:t>
      </w:r>
      <w:r w:rsidRPr="004055C1">
        <w:rPr>
          <w:b/>
          <w:bCs/>
          <w:color w:val="153D63" w:themeColor="text2" w:themeTint="E6"/>
        </w:rPr>
        <w:t>national comparison deficit:</w:t>
      </w:r>
      <w:r w:rsidRPr="004055C1">
        <w:rPr>
          <w:color w:val="153D63" w:themeColor="text2" w:themeTint="E6"/>
        </w:rPr>
        <w:t xml:space="preserve"> </w:t>
      </w:r>
      <w:r>
        <w:t>Few studies systematically compare governance outcomes across European and East Asian institutional contexts (CMS, 2025</w:t>
      </w:r>
      <w:r w:rsidR="00263EE2" w:rsidRPr="00263EE2">
        <w:t>).</w:t>
      </w:r>
    </w:p>
    <w:p w14:paraId="4F96E0E9" w14:textId="77777777" w:rsidR="00386277" w:rsidRDefault="00BD14B9" w:rsidP="001535C3">
      <w:pPr>
        <w:pStyle w:val="ListParagraph"/>
        <w:numPr>
          <w:ilvl w:val="0"/>
          <w:numId w:val="5"/>
        </w:numPr>
        <w:jc w:val="both"/>
      </w:pPr>
      <w:r w:rsidRPr="004055C1">
        <w:rPr>
          <w:b/>
          <w:bCs/>
          <w:color w:val="153D63" w:themeColor="text2" w:themeTint="E6"/>
        </w:rPr>
        <w:t>Governance</w:t>
      </w:r>
      <w:r w:rsidRPr="004055C1">
        <w:rPr>
          <w:rFonts w:ascii="Cambria Math" w:hAnsi="Cambria Math" w:cs="Cambria Math"/>
          <w:b/>
          <w:bCs/>
          <w:color w:val="153D63" w:themeColor="text2" w:themeTint="E6"/>
        </w:rPr>
        <w:t>‑</w:t>
      </w:r>
      <w:r w:rsidRPr="004055C1">
        <w:rPr>
          <w:b/>
          <w:bCs/>
          <w:color w:val="153D63" w:themeColor="text2" w:themeTint="E6"/>
        </w:rPr>
        <w:t>focused synthesis gap:</w:t>
      </w:r>
      <w:r w:rsidRPr="004055C1">
        <w:rPr>
          <w:color w:val="153D63" w:themeColor="text2" w:themeTint="E6"/>
        </w:rPr>
        <w:t xml:space="preserve"> </w:t>
      </w:r>
      <w:r w:rsidR="00386277" w:rsidRPr="00386277">
        <w:t xml:space="preserve">Limited evidence on how organisational governance arrangements interact with technical design and institutional conditions to shape accountability and fairness (Mujtaba and Mahapatra, 2025; </w:t>
      </w:r>
      <w:proofErr w:type="spellStart"/>
      <w:r w:rsidR="00386277" w:rsidRPr="00386277">
        <w:t>Prikshat</w:t>
      </w:r>
      <w:proofErr w:type="spellEnd"/>
      <w:r w:rsidR="00386277" w:rsidRPr="00386277">
        <w:t>, Malik and Budhwar, 2023).</w:t>
      </w:r>
    </w:p>
    <w:p w14:paraId="5EEE0A6F" w14:textId="75F83F07" w:rsidR="00BD14B9" w:rsidRDefault="00BD14B9" w:rsidP="008A4AED">
      <w:pPr>
        <w:jc w:val="both"/>
      </w:pPr>
      <w:r>
        <w:t>These gaps underscore the need for an integrative conceptual framework that connects technical, organisational and institutional dimensions to enable systematic analysis of AI recruitment governance in MNCs (</w:t>
      </w:r>
      <w:proofErr w:type="spellStart"/>
      <w:r>
        <w:t>Prikshat</w:t>
      </w:r>
      <w:proofErr w:type="spellEnd"/>
      <w:r>
        <w:t xml:space="preserve"> et al., 2023).</w:t>
      </w:r>
    </w:p>
    <w:p w14:paraId="6D133E9B" w14:textId="77777777" w:rsidR="00BD14B9" w:rsidRPr="006A77EF" w:rsidRDefault="00BD14B9" w:rsidP="008A4AED">
      <w:pPr>
        <w:pStyle w:val="Heading2"/>
        <w:jc w:val="both"/>
        <w:rPr>
          <w:b/>
          <w:bCs/>
        </w:rPr>
      </w:pPr>
      <w:bookmarkStart w:id="37" w:name="_Toc240996972"/>
      <w:r w:rsidRPr="006A77EF">
        <w:rPr>
          <w:b/>
          <w:bCs/>
        </w:rPr>
        <w:t>2.12 Summary</w:t>
      </w:r>
      <w:bookmarkEnd w:id="37"/>
    </w:p>
    <w:p w14:paraId="4FD22A17" w14:textId="2DB5C335" w:rsidR="00BD14B9" w:rsidRDefault="00BD14B9" w:rsidP="008A4AED">
      <w:pPr>
        <w:jc w:val="both"/>
      </w:pPr>
      <w:r>
        <w:t>This chapter has critically reviewed the literature on AI</w:t>
      </w:r>
      <w:r w:rsidR="00420F9C" w:rsidRPr="00420F9C">
        <w:t>-</w:t>
      </w:r>
      <w:r>
        <w:t>mediated recruitment across twelve thematic sections, from AI in HRM through to the conceptual framework. The review identified significant gaps in conceptual integration, methodological rigour and cross</w:t>
      </w:r>
      <w:r w:rsidR="00420F9C" w:rsidRPr="00420F9C">
        <w:t>-</w:t>
      </w:r>
      <w:r>
        <w:t xml:space="preserve">national comparison. In response, an integrated conceptual framework was developed, organised around technical, organisational and institutional dimensions. This framework will guide the analytical synthesis in subsequent chapters, ensuring theoretically anchored interpretation of evidence from Europe and East Asia (Tsiskaridze, Reinhold and Järvis, 2023; </w:t>
      </w:r>
      <w:proofErr w:type="spellStart"/>
      <w:r>
        <w:t>Prikshat</w:t>
      </w:r>
      <w:proofErr w:type="spellEnd"/>
      <w:r w:rsidR="00420F9C" w:rsidRPr="00420F9C">
        <w:t>, Malik and Budhwar, 2023).</w:t>
      </w:r>
    </w:p>
    <w:p w14:paraId="4CA585A7" w14:textId="77777777" w:rsidR="00BD14B9" w:rsidRDefault="00BD14B9" w:rsidP="008A4AED">
      <w:pPr>
        <w:jc w:val="both"/>
      </w:pPr>
    </w:p>
    <w:p w14:paraId="05053495" w14:textId="77777777" w:rsidR="00BD14B9" w:rsidRDefault="00BD14B9" w:rsidP="008A4AED">
      <w:pPr>
        <w:jc w:val="both"/>
      </w:pPr>
    </w:p>
    <w:p w14:paraId="33BEF499" w14:textId="77777777" w:rsidR="00BD14B9" w:rsidRPr="006A77EF" w:rsidRDefault="00BD14B9" w:rsidP="008A4AED">
      <w:pPr>
        <w:pStyle w:val="Heading1"/>
        <w:jc w:val="both"/>
        <w:rPr>
          <w:b/>
          <w:bCs/>
        </w:rPr>
      </w:pPr>
      <w:bookmarkStart w:id="38" w:name="_Toc240996973"/>
      <w:r w:rsidRPr="006A77EF">
        <w:rPr>
          <w:b/>
          <w:bCs/>
        </w:rPr>
        <w:t>CHAPTER 3: RESEARCH METHODOLOGY</w:t>
      </w:r>
      <w:bookmarkEnd w:id="38"/>
    </w:p>
    <w:p w14:paraId="3FBA5B76" w14:textId="77777777" w:rsidR="00BD14B9" w:rsidRPr="006A77EF" w:rsidRDefault="00BD14B9" w:rsidP="008A4AED">
      <w:pPr>
        <w:pStyle w:val="Heading2"/>
        <w:jc w:val="both"/>
        <w:rPr>
          <w:b/>
          <w:bCs/>
        </w:rPr>
      </w:pPr>
      <w:bookmarkStart w:id="39" w:name="_Toc240996974"/>
      <w:r w:rsidRPr="006A77EF">
        <w:rPr>
          <w:b/>
          <w:bCs/>
        </w:rPr>
        <w:t>3.1 Introduction</w:t>
      </w:r>
      <w:bookmarkEnd w:id="39"/>
    </w:p>
    <w:p w14:paraId="78B85FC8" w14:textId="77777777" w:rsidR="00DA128A" w:rsidRPr="004D7E0A" w:rsidRDefault="00BD14B9" w:rsidP="008A4AED">
      <w:pPr>
        <w:spacing w:after="0"/>
        <w:jc w:val="both"/>
      </w:pPr>
      <w:r w:rsidRPr="004D7E0A">
        <w:t>The chapter directly connects to the research aim and objectives established in Chapter 1. The aim—to synthesise and critically evaluate peer</w:t>
      </w:r>
      <w:r w:rsidRPr="004D7E0A">
        <w:rPr>
          <w:rFonts w:ascii="Cambria Math" w:hAnsi="Cambria Math" w:cs="Cambria Math"/>
        </w:rPr>
        <w:t>‑</w:t>
      </w:r>
      <w:r w:rsidRPr="004D7E0A">
        <w:t>reviewed evidence on AI</w:t>
      </w:r>
      <w:r w:rsidRPr="004D7E0A">
        <w:rPr>
          <w:rFonts w:ascii="Cambria Math" w:hAnsi="Cambria Math" w:cs="Cambria Math"/>
        </w:rPr>
        <w:t>‑</w:t>
      </w:r>
      <w:r w:rsidRPr="004D7E0A">
        <w:t>mediated recruitment in MNCs across Europe and Asia—is operationalised through a theory</w:t>
      </w:r>
      <w:r w:rsidRPr="004D7E0A">
        <w:rPr>
          <w:rFonts w:ascii="Cambria Math" w:hAnsi="Cambria Math" w:cs="Cambria Math"/>
        </w:rPr>
        <w:t>‑</w:t>
      </w:r>
      <w:r w:rsidRPr="004D7E0A">
        <w:t>driven systematic literature review (SLR) with integrative synthesis (</w:t>
      </w:r>
      <w:proofErr w:type="spellStart"/>
      <w:r w:rsidRPr="004D7E0A">
        <w:t>Prikshat</w:t>
      </w:r>
      <w:proofErr w:type="spellEnd"/>
      <w:r w:rsidRPr="004D7E0A">
        <w:t xml:space="preserve"> et al., 2023). The four research objectives—identifying and evaluating literature, examining AI system definitions, assessing organisational governance arrangements and comparing institutional environments—are addressed through structured search, </w:t>
      </w:r>
      <w:r w:rsidRPr="004D7E0A">
        <w:lastRenderedPageBreak/>
        <w:t>appraisal, extraction and comparative analysis procedures detailed in this chapter (Mujtaba and Mahapatra, 2025).</w:t>
      </w:r>
    </w:p>
    <w:p w14:paraId="4DD51AB8" w14:textId="77777777" w:rsidR="00ED7EFB" w:rsidRDefault="00ED7EFB" w:rsidP="008A4AED">
      <w:pPr>
        <w:jc w:val="both"/>
      </w:pPr>
      <w:r>
        <w:t>This chapter sets out the research methodology adopted to investigate how algorithmic recruitment decision-making is governed within multinational companies (MNCs) operating across European and Asian contexts (</w:t>
      </w:r>
      <w:proofErr w:type="spellStart"/>
      <w:r>
        <w:t>Prikshat</w:t>
      </w:r>
      <w:proofErr w:type="spellEnd"/>
      <w:r>
        <w:t>, Malik and Budhwar, 2023). The purpose of this chapter is to explain how evidence was systematically identified, appraised and analysed, ensuring methodological rigour, transparency and replicability (Tsiskaridze, Reinhold and Järvis, 2023). The review explicitly compares governance patterns in European and Asian institutional contexts, with particular attention to implications for MNCs operating across these regions (CMS, 2025).</w:t>
      </w:r>
    </w:p>
    <w:p w14:paraId="174A277E" w14:textId="77777777" w:rsidR="007D2886" w:rsidRPr="004D7E0A" w:rsidRDefault="00ED7EFB" w:rsidP="008A4AED">
      <w:pPr>
        <w:spacing w:after="0"/>
        <w:jc w:val="both"/>
      </w:pPr>
      <w:r>
        <w:t>The chapter directly connects to the research aim and objectives established in Chapter 1. The aim—to synthesise and critically evaluate peer-reviewed evidence on AI-mediated recruitment in MNCs across Europe and Asia—is operationalised through a theory-driven systematic literature review (SLR) with integrative synthesis (</w:t>
      </w:r>
      <w:proofErr w:type="spellStart"/>
      <w:r>
        <w:t>Prikshat</w:t>
      </w:r>
      <w:proofErr w:type="spellEnd"/>
      <w:r>
        <w:t>, Malik and Budhwar, 2023). The four research objectives—identifying and evaluating literature, examining AI system definitions, assessing organisational governance arrangements and comparing institutional environments—are addressed through structured search, appraisal, extraction and comparative analysis procedures detailed in this chapter (Mujtaba and Mahapatra, 2025).</w:t>
      </w:r>
    </w:p>
    <w:p w14:paraId="1442F986" w14:textId="77777777" w:rsidR="00BD14B9" w:rsidRPr="004D4A5A" w:rsidRDefault="00BD14B9" w:rsidP="008A4AED">
      <w:pPr>
        <w:pStyle w:val="Heading2"/>
        <w:spacing w:after="0"/>
        <w:jc w:val="both"/>
        <w:rPr>
          <w:b/>
          <w:bCs/>
        </w:rPr>
      </w:pPr>
      <w:bookmarkStart w:id="40" w:name="_Toc240996975"/>
      <w:r w:rsidRPr="004D4A5A">
        <w:rPr>
          <w:b/>
          <w:bCs/>
        </w:rPr>
        <w:t>3.2 Research Philosophy and Approach</w:t>
      </w:r>
      <w:bookmarkEnd w:id="40"/>
    </w:p>
    <w:p w14:paraId="686B4446" w14:textId="77777777" w:rsidR="00BD14B9" w:rsidRPr="004D4A5A" w:rsidRDefault="00BD14B9" w:rsidP="008A4AED">
      <w:pPr>
        <w:spacing w:after="0"/>
        <w:jc w:val="both"/>
        <w:rPr>
          <w:b/>
          <w:bCs/>
          <w:color w:val="153D63" w:themeColor="text2" w:themeTint="E6"/>
          <w:sz w:val="28"/>
          <w:szCs w:val="28"/>
        </w:rPr>
      </w:pPr>
      <w:r w:rsidRPr="004D4A5A">
        <w:rPr>
          <w:b/>
          <w:bCs/>
          <w:color w:val="153D63" w:themeColor="text2" w:themeTint="E6"/>
          <w:sz w:val="28"/>
          <w:szCs w:val="28"/>
        </w:rPr>
        <w:t>Interpretivist Philosophy</w:t>
      </w:r>
    </w:p>
    <w:p w14:paraId="7627186A" w14:textId="51720A73" w:rsidR="00200BFA" w:rsidRDefault="00200BFA" w:rsidP="00200BFA">
      <w:pPr>
        <w:spacing w:after="0"/>
        <w:jc w:val="both"/>
      </w:pPr>
      <w:r>
        <w:t xml:space="preserve">This study adopts an interpretivist epistemology, suitable for analysing algorithmic recruitment as a socio-technical and institutional phenomenon (Orlikowski, 1992). Interpretivism holds </w:t>
      </w:r>
      <w:r w:rsidR="000601FA">
        <w:t>those</w:t>
      </w:r>
      <w:r>
        <w:t xml:space="preserve"> social phenomena—such as algorithmic decision-making—are shaped by underlying structures that exist independently of perception but are accessible only through interpretation (Bhaskar, 1978), fitting AI-in-organisation research where technologies interact with practices and regulation (Orlikowski, 1992).</w:t>
      </w:r>
    </w:p>
    <w:p w14:paraId="54E0A114" w14:textId="77777777" w:rsidR="00200BFA" w:rsidRDefault="00200BFA" w:rsidP="00200BFA">
      <w:pPr>
        <w:spacing w:after="0"/>
        <w:jc w:val="both"/>
      </w:pPr>
      <w:r>
        <w:t>Pure positivist approaches, common in technical bias literature, are inadequate here. While strong on correlations and metrics, they abstract algorithms from organisational and institutional contexts, implying technical properties alone determine outcomes (Barocas and Selbst, 2016), and thus struggle to explain governance failures, accountability diffusion, or human interpretive roles in recruitment decisions (Raghavan et al., 2020).</w:t>
      </w:r>
    </w:p>
    <w:p w14:paraId="2689E52E" w14:textId="030F6703" w:rsidR="00FC5120" w:rsidRDefault="00200BFA" w:rsidP="008A4AED">
      <w:pPr>
        <w:spacing w:after="0"/>
        <w:jc w:val="both"/>
      </w:pPr>
      <w:r>
        <w:t>Interpretivism offers a middle ground by recognising both the material reality of algorithmic systems and the social processes through which they are enacted, aligning with socio-technical systems thinking (Orlikowski, 1992) and institutional analyses that emphasise regulatory constraint and enablement over determinism (</w:t>
      </w:r>
      <w:proofErr w:type="spellStart"/>
      <w:r>
        <w:t>Budhwar</w:t>
      </w:r>
      <w:proofErr w:type="spellEnd"/>
      <w:r>
        <w:t>, 2022).</w:t>
      </w:r>
    </w:p>
    <w:p w14:paraId="7D97E83D" w14:textId="77777777" w:rsidR="004D7730" w:rsidRPr="004D7E0A" w:rsidRDefault="004D7730" w:rsidP="008A4AED">
      <w:pPr>
        <w:spacing w:after="0"/>
        <w:jc w:val="both"/>
      </w:pPr>
    </w:p>
    <w:p w14:paraId="1BC71264" w14:textId="77777777" w:rsidR="00BD14B9" w:rsidRPr="004D4A5A" w:rsidRDefault="00BD14B9" w:rsidP="008A4AED">
      <w:pPr>
        <w:spacing w:after="0"/>
        <w:jc w:val="both"/>
        <w:rPr>
          <w:b/>
          <w:bCs/>
          <w:color w:val="153D63" w:themeColor="text2" w:themeTint="E6"/>
          <w:sz w:val="28"/>
          <w:szCs w:val="28"/>
        </w:rPr>
      </w:pPr>
      <w:r w:rsidRPr="004D4A5A">
        <w:rPr>
          <w:b/>
          <w:bCs/>
          <w:color w:val="153D63" w:themeColor="text2" w:themeTint="E6"/>
          <w:sz w:val="28"/>
          <w:szCs w:val="28"/>
        </w:rPr>
        <w:t>Inductive Approach</w:t>
      </w:r>
    </w:p>
    <w:p w14:paraId="66B0277D" w14:textId="77777777" w:rsidR="00BD14B9" w:rsidRPr="004D7E0A" w:rsidRDefault="00BD14B9" w:rsidP="008A4AED">
      <w:pPr>
        <w:spacing w:after="0"/>
        <w:jc w:val="both"/>
      </w:pPr>
      <w:r w:rsidRPr="004D7E0A">
        <w:t>The study adopts an inductive approach, allowing themes and patterns to emerge from the data rather than testing predetermined hypotheses (Tambe, Cappelli and Yakubovich, 2019). This approach is appropriate for a systematic literature review that seeks to synthesise fragmented evidence across technical, organisational and institutional domains (</w:t>
      </w:r>
      <w:proofErr w:type="spellStart"/>
      <w:r w:rsidRPr="004D7E0A">
        <w:t>Tranfield</w:t>
      </w:r>
      <w:proofErr w:type="spellEnd"/>
      <w:r w:rsidRPr="004D7E0A">
        <w:t>, Denyer and Smart, 2003).</w:t>
      </w:r>
    </w:p>
    <w:p w14:paraId="31CBA929" w14:textId="0EE7D60E" w:rsidR="00CE1391" w:rsidRPr="004D7E0A" w:rsidRDefault="00BD14B9" w:rsidP="008A4AED">
      <w:pPr>
        <w:spacing w:after="0"/>
        <w:jc w:val="both"/>
      </w:pPr>
      <w:r w:rsidRPr="004D7E0A">
        <w:t>An inductive approach enables the identification of patterns, tensions and explanatory gaps across studies, rather than treating findings as commensurable data points (</w:t>
      </w:r>
      <w:proofErr w:type="spellStart"/>
      <w:r w:rsidRPr="004D7E0A">
        <w:t>Tranfield</w:t>
      </w:r>
      <w:proofErr w:type="spellEnd"/>
      <w:r w:rsidRPr="004D7E0A">
        <w:t>, Denyer and Smart, 2003). This is particularly important given the conceptual fragmentation and methodological diversity characterising AI recruitment research (</w:t>
      </w:r>
      <w:proofErr w:type="spellStart"/>
      <w:r w:rsidRPr="004D7E0A">
        <w:t>Budhwar</w:t>
      </w:r>
      <w:proofErr w:type="spellEnd"/>
      <w:r w:rsidRPr="004D7E0A">
        <w:t>, 2022).</w:t>
      </w:r>
    </w:p>
    <w:p w14:paraId="39E7D126" w14:textId="77777777" w:rsidR="00BD14B9" w:rsidRPr="004D4A5A" w:rsidRDefault="00BD14B9" w:rsidP="008A4AED">
      <w:pPr>
        <w:spacing w:after="0"/>
        <w:jc w:val="both"/>
        <w:rPr>
          <w:b/>
          <w:bCs/>
          <w:color w:val="153D63" w:themeColor="text2" w:themeTint="E6"/>
          <w:sz w:val="28"/>
          <w:szCs w:val="28"/>
        </w:rPr>
      </w:pPr>
      <w:r w:rsidRPr="004D4A5A">
        <w:rPr>
          <w:b/>
          <w:bCs/>
          <w:color w:val="153D63" w:themeColor="text2" w:themeTint="E6"/>
          <w:sz w:val="28"/>
          <w:szCs w:val="28"/>
        </w:rPr>
        <w:lastRenderedPageBreak/>
        <w:t>Appropriateness for This Research</w:t>
      </w:r>
    </w:p>
    <w:p w14:paraId="2C841D4F" w14:textId="1464E039" w:rsidR="00007DA0" w:rsidRPr="004D7E0A" w:rsidRDefault="00BD14B9" w:rsidP="008A4AED">
      <w:pPr>
        <w:spacing w:after="0"/>
        <w:jc w:val="both"/>
      </w:pPr>
      <w:r w:rsidRPr="004D7E0A">
        <w:t>These philosophical and methodological choices are appropriate for three reasons. First, the research question concerns how governance operates across contexts, requiring interpretive understanding rather than causal prediction (</w:t>
      </w:r>
      <w:proofErr w:type="spellStart"/>
      <w:r w:rsidRPr="004D7E0A">
        <w:t>Prikshat</w:t>
      </w:r>
      <w:proofErr w:type="spellEnd"/>
      <w:r w:rsidR="008A0BF5" w:rsidRPr="008A0BF5">
        <w:t>, Malik and Budhwar, 2023).</w:t>
      </w:r>
      <w:r w:rsidRPr="004D7E0A">
        <w:t xml:space="preserve"> Second, the evidence base is fragmented across disciplines, necessitating an inductive approach to identify emergent patterns (Tsiskaridze, Reinhold and Järvis, 2023). Third, the study's critical realist orientation requires recognition of both material constraints (algorithmic systems) and social interpretation (governance practices), which interpretivism accommodates (Orlikowski, 1992).</w:t>
      </w:r>
    </w:p>
    <w:p w14:paraId="3BF3EDB4" w14:textId="77777777" w:rsidR="00BD14B9" w:rsidRPr="004D4A5A" w:rsidRDefault="00BD14B9" w:rsidP="008A4AED">
      <w:pPr>
        <w:pStyle w:val="Heading2"/>
        <w:spacing w:after="0"/>
        <w:jc w:val="both"/>
        <w:rPr>
          <w:b/>
          <w:bCs/>
        </w:rPr>
      </w:pPr>
      <w:bookmarkStart w:id="41" w:name="_Toc240996976"/>
      <w:r w:rsidRPr="004D4A5A">
        <w:rPr>
          <w:b/>
          <w:bCs/>
        </w:rPr>
        <w:t>3.3 Research Design</w:t>
      </w:r>
      <w:bookmarkEnd w:id="41"/>
    </w:p>
    <w:p w14:paraId="17F2D3F5" w14:textId="77777777" w:rsidR="00BD14B9" w:rsidRPr="0086101C" w:rsidRDefault="00BD14B9" w:rsidP="008A4AED">
      <w:pPr>
        <w:spacing w:after="0"/>
        <w:jc w:val="both"/>
        <w:rPr>
          <w:b/>
          <w:bCs/>
          <w:color w:val="153D63" w:themeColor="text2" w:themeTint="E6"/>
          <w:sz w:val="28"/>
          <w:szCs w:val="28"/>
        </w:rPr>
      </w:pPr>
      <w:r w:rsidRPr="0086101C">
        <w:rPr>
          <w:b/>
          <w:bCs/>
          <w:color w:val="153D63" w:themeColor="text2" w:themeTint="E6"/>
          <w:sz w:val="28"/>
          <w:szCs w:val="28"/>
        </w:rPr>
        <w:t>Qualitative Research Design</w:t>
      </w:r>
    </w:p>
    <w:p w14:paraId="7A83F2FF" w14:textId="77777777" w:rsidR="00A9636B" w:rsidRDefault="00A9636B" w:rsidP="008A4AED">
      <w:pPr>
        <w:spacing w:after="0"/>
        <w:jc w:val="both"/>
      </w:pPr>
      <w:r>
        <w:t>The study adopts a qualitative, theory-driven systematic literature review combined with integrative synthesis (</w:t>
      </w:r>
      <w:proofErr w:type="spellStart"/>
      <w:r>
        <w:t>Tranfield</w:t>
      </w:r>
      <w:proofErr w:type="spellEnd"/>
      <w:r>
        <w:t>, Denyer and Smart, 2003). This design is intentionally chosen to address the fragmented and uneven nature of existing research on algorithmic recruitment governance (Tsiskaridze, Reinhold and Järvis, 2023). Where studies report organisational type, priority was given to evidence from large firms and MNCs, or to cross-border recruitment settings (CMS, 2025).</w:t>
      </w:r>
    </w:p>
    <w:p w14:paraId="37FA6712" w14:textId="330E25C9" w:rsidR="008A0BF5" w:rsidRPr="004D7E0A" w:rsidRDefault="00BD14B9" w:rsidP="008A4AED">
      <w:pPr>
        <w:spacing w:after="0"/>
        <w:jc w:val="both"/>
      </w:pPr>
      <w:r w:rsidRPr="004D7E0A">
        <w:t>It is important to clarify what this study is not. It is not a meta</w:t>
      </w:r>
      <w:r w:rsidR="00A9636B">
        <w:t>-</w:t>
      </w:r>
      <w:r w:rsidRPr="004D7E0A">
        <w:t xml:space="preserve">analysis, as the heterogeneity of study designs, outcome measures and conceptual framings precludes statistical aggregation (Rigotti and </w:t>
      </w:r>
      <w:proofErr w:type="spellStart"/>
      <w:r w:rsidRPr="004D7E0A">
        <w:t>Fosch</w:t>
      </w:r>
      <w:proofErr w:type="spellEnd"/>
      <w:r w:rsidR="00A9636B">
        <w:t>-</w:t>
      </w:r>
      <w:r w:rsidRPr="004D7E0A">
        <w:t>Villaronga, 2024). Nor is it a scoping review, which would prioritise breadth over depth and risk reproducing the descriptive limitations identified in Chapter 2 (Petticrew and Roberts, 2006). Finally, it is not an empirical field study, as access to firm</w:t>
      </w:r>
      <w:r w:rsidR="00A9636B">
        <w:t>-</w:t>
      </w:r>
      <w:r w:rsidRPr="004D7E0A">
        <w:t>level, cross</w:t>
      </w:r>
      <w:r w:rsidR="00A9636B">
        <w:t>-</w:t>
      </w:r>
      <w:r w:rsidRPr="004D7E0A">
        <w:t xml:space="preserve">border recruitment practices </w:t>
      </w:r>
      <w:r w:rsidR="0090121D" w:rsidRPr="004D7E0A">
        <w:t>remain</w:t>
      </w:r>
      <w:r w:rsidRPr="004D7E0A">
        <w:t xml:space="preserve"> limited and unevenly distributed across regions (Petticrew and Roberts, 2006).</w:t>
      </w:r>
    </w:p>
    <w:p w14:paraId="62856F0E" w14:textId="77777777" w:rsidR="00BD14B9" w:rsidRPr="007A005E" w:rsidRDefault="00BD14B9" w:rsidP="008A4AED">
      <w:pPr>
        <w:spacing w:after="0"/>
        <w:jc w:val="both"/>
        <w:rPr>
          <w:b/>
          <w:bCs/>
          <w:color w:val="153D63" w:themeColor="text2" w:themeTint="E6"/>
          <w:sz w:val="28"/>
          <w:szCs w:val="28"/>
        </w:rPr>
      </w:pPr>
      <w:r w:rsidRPr="007A005E">
        <w:rPr>
          <w:b/>
          <w:bCs/>
          <w:color w:val="153D63" w:themeColor="text2" w:themeTint="E6"/>
          <w:sz w:val="28"/>
          <w:szCs w:val="28"/>
        </w:rPr>
        <w:t>Systematic Literature Review (SLR)</w:t>
      </w:r>
    </w:p>
    <w:p w14:paraId="2EB7B974" w14:textId="4730570E" w:rsidR="00540EC7" w:rsidRPr="004D7E0A" w:rsidRDefault="00540EC7" w:rsidP="008A4AED">
      <w:pPr>
        <w:spacing w:after="0"/>
        <w:jc w:val="both"/>
      </w:pPr>
      <w:r w:rsidRPr="00540EC7">
        <w:t>Instead, the chosen design reflects the need to integrate rather than aggregate evidence (</w:t>
      </w:r>
      <w:proofErr w:type="spellStart"/>
      <w:r w:rsidRPr="00540EC7">
        <w:t>Tranfield</w:t>
      </w:r>
      <w:proofErr w:type="spellEnd"/>
      <w:r w:rsidRPr="00540EC7">
        <w:t xml:space="preserve">, Denyer and Smart, 2003). As </w:t>
      </w:r>
      <w:proofErr w:type="spellStart"/>
      <w:r w:rsidRPr="00540EC7">
        <w:t>Tranfield</w:t>
      </w:r>
      <w:proofErr w:type="spellEnd"/>
      <w:r w:rsidRPr="00540EC7">
        <w:t xml:space="preserve">, Denyer and Smart (2003) contend, theory-driven systematic reviews are especially well suited to management and organisational research marked by conceptual fragmentation and methodological diversity. This approach facilitates the identification of patterns, tensions and explanatory gaps across studies, rather than treating findings as commensurable data points (Rigotti and </w:t>
      </w:r>
      <w:proofErr w:type="spellStart"/>
      <w:r w:rsidRPr="00540EC7">
        <w:t>Fosch</w:t>
      </w:r>
      <w:proofErr w:type="spellEnd"/>
      <w:r w:rsidRPr="00540EC7">
        <w:t>-Villaronga, 2024).</w:t>
      </w:r>
    </w:p>
    <w:p w14:paraId="5ADFD7F6" w14:textId="77777777" w:rsidR="00BD14B9" w:rsidRPr="005F5546" w:rsidRDefault="00BD14B9" w:rsidP="008A4AED">
      <w:pPr>
        <w:spacing w:after="0"/>
        <w:jc w:val="both"/>
        <w:rPr>
          <w:b/>
          <w:bCs/>
          <w:color w:val="153D63" w:themeColor="text2" w:themeTint="E6"/>
          <w:sz w:val="28"/>
          <w:szCs w:val="28"/>
        </w:rPr>
      </w:pPr>
      <w:r w:rsidRPr="005F5546">
        <w:rPr>
          <w:b/>
          <w:bCs/>
          <w:color w:val="153D63" w:themeColor="text2" w:themeTint="E6"/>
          <w:sz w:val="28"/>
          <w:szCs w:val="28"/>
        </w:rPr>
        <w:t>Rationale for SLR Selection</w:t>
      </w:r>
    </w:p>
    <w:p w14:paraId="586CE829" w14:textId="77777777" w:rsidR="00BD14B9" w:rsidRPr="004D7E0A" w:rsidRDefault="00BD14B9" w:rsidP="008A4AED">
      <w:pPr>
        <w:spacing w:after="0"/>
        <w:jc w:val="both"/>
      </w:pPr>
      <w:r w:rsidRPr="004D7E0A">
        <w:t>The SLR design was selected for three strategic reasons:</w:t>
      </w:r>
    </w:p>
    <w:p w14:paraId="7EA92509" w14:textId="5B5454DC" w:rsidR="00BD14B9" w:rsidRPr="004D7E0A" w:rsidRDefault="00BD14B9" w:rsidP="001535C3">
      <w:pPr>
        <w:pStyle w:val="ListParagraph"/>
        <w:numPr>
          <w:ilvl w:val="0"/>
          <w:numId w:val="6"/>
        </w:numPr>
        <w:spacing w:after="0"/>
        <w:jc w:val="both"/>
      </w:pPr>
      <w:r w:rsidRPr="00995591">
        <w:rPr>
          <w:b/>
        </w:rPr>
        <w:t xml:space="preserve">Fragmented evidence base: </w:t>
      </w:r>
      <w:r w:rsidRPr="004D7E0A">
        <w:t>Existing research is dispersed across technical, organisational and institutional literatures with limited dialogue between them. A systematic and integrative approach is required to bring these strands into analytical conversation (Petticrew and Roberts, 2006).</w:t>
      </w:r>
    </w:p>
    <w:p w14:paraId="6E170897" w14:textId="2EDF8CAE" w:rsidR="00FE6636" w:rsidRPr="004D7E0A" w:rsidRDefault="00B56194" w:rsidP="001535C3">
      <w:pPr>
        <w:pStyle w:val="ListParagraph"/>
        <w:numPr>
          <w:ilvl w:val="0"/>
          <w:numId w:val="6"/>
        </w:numPr>
        <w:spacing w:after="0"/>
        <w:jc w:val="both"/>
      </w:pPr>
      <w:r w:rsidRPr="00494A25">
        <w:rPr>
          <w:b/>
          <w:bCs/>
        </w:rPr>
        <w:t>Scarcity of high-quality empirical studies:</w:t>
      </w:r>
      <w:r w:rsidRPr="00B56194">
        <w:t xml:space="preserve"> As demonstrated in Chapter 2, there is a scarcity of high-quality empirical organisational studies, particularly those examining governance practices within MNCs over time. Attempting primary data collection under these conditions would risk producing shallow or non-generalisable insights (Tsiskaridze, Reinhold and Järvis, 2023).</w:t>
      </w:r>
    </w:p>
    <w:p w14:paraId="09701E59" w14:textId="526A4AB1" w:rsidR="00B56194" w:rsidRPr="004D7E0A" w:rsidRDefault="00CC4B40" w:rsidP="001535C3">
      <w:pPr>
        <w:pStyle w:val="ListParagraph"/>
        <w:numPr>
          <w:ilvl w:val="0"/>
          <w:numId w:val="6"/>
        </w:numPr>
        <w:spacing w:after="0"/>
        <w:jc w:val="both"/>
      </w:pPr>
      <w:r w:rsidRPr="00494A25">
        <w:rPr>
          <w:b/>
          <w:bCs/>
        </w:rPr>
        <w:t>Explanatory research gap:</w:t>
      </w:r>
      <w:r w:rsidRPr="00CC4B40">
        <w:t xml:space="preserve"> The study seeks to understand how and why algorithmic recruitment governance varies across contexts, not merely whether AI is adopted. This requires an approach capable of theorising relationships between technical design, organisational practice and institutional constraint—an objective well served by integrative synthesis (</w:t>
      </w:r>
      <w:proofErr w:type="spellStart"/>
      <w:r w:rsidRPr="00CC4B40">
        <w:t>Prikshat</w:t>
      </w:r>
      <w:proofErr w:type="spellEnd"/>
      <w:r w:rsidRPr="00CC4B40">
        <w:t>, Malik and Budhwar, 2023).</w:t>
      </w:r>
    </w:p>
    <w:p w14:paraId="08F5BE16" w14:textId="77777777" w:rsidR="00BD14B9" w:rsidRPr="008B4508" w:rsidRDefault="00BD14B9" w:rsidP="008A4AED">
      <w:pPr>
        <w:pStyle w:val="Heading2"/>
        <w:spacing w:before="0" w:after="0"/>
        <w:jc w:val="both"/>
        <w:rPr>
          <w:b/>
          <w:bCs/>
        </w:rPr>
      </w:pPr>
      <w:bookmarkStart w:id="42" w:name="_Toc240996977"/>
      <w:r w:rsidRPr="008B4508">
        <w:rPr>
          <w:b/>
          <w:bCs/>
        </w:rPr>
        <w:lastRenderedPageBreak/>
        <w:t>3.4 Literature Search Strategy</w:t>
      </w:r>
      <w:bookmarkEnd w:id="42"/>
    </w:p>
    <w:p w14:paraId="2852696D" w14:textId="5D84E18B" w:rsidR="00D4192D" w:rsidRDefault="00004B15" w:rsidP="008A4AED">
      <w:pPr>
        <w:spacing w:after="0"/>
        <w:jc w:val="both"/>
      </w:pPr>
      <w:r w:rsidRPr="00004B15">
        <w:t>This chapter outlines the research methodology adopted to investigate AI</w:t>
      </w:r>
      <w:r w:rsidRPr="00004B15">
        <w:rPr>
          <w:rFonts w:ascii="Cambria Math" w:hAnsi="Cambria Math" w:cs="Cambria Math"/>
        </w:rPr>
        <w:t>‑</w:t>
      </w:r>
      <w:r w:rsidRPr="00004B15">
        <w:t>mediated recruitment governance in multinational companies. It details the philosophical stance, research design, data collection and analysis procedures, and the literature search strategy underpinning the study.</w:t>
      </w:r>
    </w:p>
    <w:p w14:paraId="1D75EA96" w14:textId="64AA5203" w:rsidR="00CD65CD" w:rsidRPr="00595EE2" w:rsidRDefault="00595EE2" w:rsidP="00595EE2">
      <w:pPr>
        <w:pStyle w:val="Caption"/>
        <w:jc w:val="both"/>
        <w:rPr>
          <w:b/>
          <w:color w:val="153D63" w:themeColor="text2" w:themeTint="E6"/>
          <w:sz w:val="32"/>
          <w:szCs w:val="32"/>
        </w:rPr>
      </w:pPr>
      <w:bookmarkStart w:id="43" w:name="_Toc240978621"/>
      <w:r w:rsidRPr="00595EE2">
        <w:rPr>
          <w:b/>
          <w:color w:val="153D63" w:themeColor="text2" w:themeTint="E6"/>
          <w:sz w:val="32"/>
          <w:szCs w:val="32"/>
        </w:rPr>
        <w:t xml:space="preserve">Table </w:t>
      </w:r>
      <w:r w:rsidRPr="00595EE2">
        <w:rPr>
          <w:b/>
          <w:color w:val="153D63" w:themeColor="text2" w:themeTint="E6"/>
          <w:sz w:val="32"/>
          <w:szCs w:val="32"/>
        </w:rPr>
        <w:fldChar w:fldCharType="begin"/>
      </w:r>
      <w:r w:rsidRPr="00595EE2">
        <w:rPr>
          <w:b/>
          <w:color w:val="153D63" w:themeColor="text2" w:themeTint="E6"/>
          <w:sz w:val="32"/>
          <w:szCs w:val="32"/>
        </w:rPr>
        <w:instrText xml:space="preserve"> SEQ Table \* ARABIC </w:instrText>
      </w:r>
      <w:r w:rsidRPr="00595EE2">
        <w:rPr>
          <w:b/>
          <w:color w:val="153D63" w:themeColor="text2" w:themeTint="E6"/>
          <w:sz w:val="32"/>
          <w:szCs w:val="32"/>
        </w:rPr>
        <w:fldChar w:fldCharType="separate"/>
      </w:r>
      <w:r w:rsidR="008E109B">
        <w:rPr>
          <w:b/>
          <w:color w:val="153D63" w:themeColor="text2" w:themeTint="E6"/>
          <w:sz w:val="32"/>
          <w:szCs w:val="32"/>
        </w:rPr>
        <w:t>2</w:t>
      </w:r>
      <w:r w:rsidRPr="00595EE2">
        <w:rPr>
          <w:b/>
          <w:color w:val="153D63" w:themeColor="text2" w:themeTint="E6"/>
          <w:sz w:val="32"/>
          <w:szCs w:val="32"/>
        </w:rPr>
        <w:fldChar w:fldCharType="end"/>
      </w:r>
      <w:r w:rsidRPr="00595EE2">
        <w:rPr>
          <w:b/>
          <w:color w:val="153D63" w:themeColor="text2" w:themeTint="E6"/>
          <w:sz w:val="32"/>
          <w:szCs w:val="32"/>
        </w:rPr>
        <w:t xml:space="preserve"> - Literature Search Strategy for AI</w:t>
      </w:r>
      <w:r w:rsidRPr="00595EE2">
        <w:rPr>
          <w:rFonts w:ascii="Cambria Math" w:hAnsi="Cambria Math" w:cs="Cambria Math"/>
          <w:b/>
          <w:color w:val="153D63" w:themeColor="text2" w:themeTint="E6"/>
          <w:sz w:val="32"/>
          <w:szCs w:val="32"/>
        </w:rPr>
        <w:t>‑</w:t>
      </w:r>
      <w:r w:rsidRPr="00595EE2">
        <w:rPr>
          <w:b/>
          <w:color w:val="153D63" w:themeColor="text2" w:themeTint="E6"/>
          <w:sz w:val="32"/>
          <w:szCs w:val="32"/>
        </w:rPr>
        <w:t>Mediated Recruitment Governance</w:t>
      </w:r>
      <w:bookmarkEnd w:id="43"/>
    </w:p>
    <w:tbl>
      <w:tblPr>
        <w:tblStyle w:val="GridTable5Dark-Accent1"/>
        <w:tblW w:w="11483" w:type="dxa"/>
        <w:tblInd w:w="-431" w:type="dxa"/>
        <w:tblLook w:val="04A0" w:firstRow="1" w:lastRow="0" w:firstColumn="1" w:lastColumn="0" w:noHBand="0" w:noVBand="1"/>
      </w:tblPr>
      <w:tblGrid>
        <w:gridCol w:w="1512"/>
        <w:gridCol w:w="5017"/>
        <w:gridCol w:w="2998"/>
        <w:gridCol w:w="1956"/>
      </w:tblGrid>
      <w:tr w:rsidR="007A43AA" w14:paraId="52DCAC6B" w14:textId="77777777" w:rsidTr="00BC3968">
        <w:trPr>
          <w:cnfStyle w:val="100000000000" w:firstRow="1" w:lastRow="0" w:firstColumn="0" w:lastColumn="0" w:oddVBand="0" w:evenVBand="0" w:oddHBand="0"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710" w:type="dxa"/>
          </w:tcPr>
          <w:p w14:paraId="207D3025" w14:textId="23B72EC9" w:rsidR="007A43AA" w:rsidRDefault="00BF2695" w:rsidP="008A4AED">
            <w:pPr>
              <w:jc w:val="both"/>
            </w:pPr>
            <w:r w:rsidRPr="00BF2695">
              <w:t>Component</w:t>
            </w:r>
          </w:p>
        </w:tc>
        <w:tc>
          <w:tcPr>
            <w:tcW w:w="5595" w:type="dxa"/>
          </w:tcPr>
          <w:p w14:paraId="7DACBFFF" w14:textId="60C17D87" w:rsidR="007A43AA" w:rsidRDefault="00F153E9" w:rsidP="008A4AED">
            <w:pPr>
              <w:jc w:val="both"/>
              <w:cnfStyle w:val="100000000000" w:firstRow="1" w:lastRow="0" w:firstColumn="0" w:lastColumn="0" w:oddVBand="0" w:evenVBand="0" w:oddHBand="0" w:evenHBand="0" w:firstRowFirstColumn="0" w:firstRowLastColumn="0" w:lastRowFirstColumn="0" w:lastRowLastColumn="0"/>
            </w:pPr>
            <w:r w:rsidRPr="00F153E9">
              <w:t>Details</w:t>
            </w:r>
          </w:p>
        </w:tc>
        <w:tc>
          <w:tcPr>
            <w:tcW w:w="3222" w:type="dxa"/>
          </w:tcPr>
          <w:p w14:paraId="674EA18E" w14:textId="12D3DFD1" w:rsidR="007A43AA" w:rsidRDefault="00160802" w:rsidP="008A4AED">
            <w:pPr>
              <w:jc w:val="both"/>
              <w:cnfStyle w:val="100000000000" w:firstRow="1" w:lastRow="0" w:firstColumn="0" w:lastColumn="0" w:oddVBand="0" w:evenVBand="0" w:oddHBand="0" w:evenHBand="0" w:firstRowFirstColumn="0" w:firstRowLastColumn="0" w:lastRowFirstColumn="0" w:lastRowLastColumn="0"/>
            </w:pPr>
            <w:r w:rsidRPr="00160802">
              <w:t>Rationale</w:t>
            </w:r>
          </w:p>
        </w:tc>
        <w:tc>
          <w:tcPr>
            <w:tcW w:w="1956" w:type="dxa"/>
          </w:tcPr>
          <w:p w14:paraId="4E98B175" w14:textId="7C36A2C5" w:rsidR="007A43AA" w:rsidRDefault="0014303E" w:rsidP="008A4AED">
            <w:pPr>
              <w:jc w:val="both"/>
              <w:cnfStyle w:val="100000000000" w:firstRow="1" w:lastRow="0" w:firstColumn="0" w:lastColumn="0" w:oddVBand="0" w:evenVBand="0" w:oddHBand="0" w:evenHBand="0" w:firstRowFirstColumn="0" w:firstRowLastColumn="0" w:lastRowFirstColumn="0" w:lastRowLastColumn="0"/>
            </w:pPr>
            <w:r w:rsidRPr="0014303E">
              <w:t>Sources</w:t>
            </w:r>
          </w:p>
        </w:tc>
      </w:tr>
      <w:tr w:rsidR="007A43AA" w14:paraId="22AAB820" w14:textId="77777777" w:rsidTr="00BC3968">
        <w:trPr>
          <w:cnfStyle w:val="000000100000" w:firstRow="0" w:lastRow="0" w:firstColumn="0" w:lastColumn="0" w:oddVBand="0" w:evenVBand="0" w:oddHBand="1" w:evenHBand="0" w:firstRowFirstColumn="0" w:firstRowLastColumn="0" w:lastRowFirstColumn="0" w:lastRowLastColumn="0"/>
          <w:trHeight w:val="1386"/>
        </w:trPr>
        <w:tc>
          <w:tcPr>
            <w:cnfStyle w:val="001000000000" w:firstRow="0" w:lastRow="0" w:firstColumn="1" w:lastColumn="0" w:oddVBand="0" w:evenVBand="0" w:oddHBand="0" w:evenHBand="0" w:firstRowFirstColumn="0" w:firstRowLastColumn="0" w:lastRowFirstColumn="0" w:lastRowLastColumn="0"/>
            <w:tcW w:w="710" w:type="dxa"/>
          </w:tcPr>
          <w:p w14:paraId="76CF79AE" w14:textId="73A6D788" w:rsidR="007A43AA" w:rsidRDefault="005D13D1" w:rsidP="008A4AED">
            <w:pPr>
              <w:jc w:val="both"/>
            </w:pPr>
            <w:r w:rsidRPr="005D13D1">
              <w:t>Databases</w:t>
            </w:r>
          </w:p>
        </w:tc>
        <w:tc>
          <w:tcPr>
            <w:tcW w:w="5595" w:type="dxa"/>
          </w:tcPr>
          <w:p w14:paraId="107C0F3C" w14:textId="02802F64" w:rsidR="007A43AA" w:rsidRDefault="00500DC1" w:rsidP="008A4AED">
            <w:pPr>
              <w:jc w:val="both"/>
              <w:cnfStyle w:val="000000100000" w:firstRow="0" w:lastRow="0" w:firstColumn="0" w:lastColumn="0" w:oddVBand="0" w:evenVBand="0" w:oddHBand="1" w:evenHBand="0" w:firstRowFirstColumn="0" w:firstRowLastColumn="0" w:lastRowFirstColumn="0" w:lastRowLastColumn="0"/>
            </w:pPr>
            <w:r w:rsidRPr="00500DC1">
              <w:t>Scopus, Web of Science, ABI/INFORM; additional: Business Source Complete (EBSCO), IEEE Xplore</w:t>
            </w:r>
          </w:p>
        </w:tc>
        <w:tc>
          <w:tcPr>
            <w:tcW w:w="3222" w:type="dxa"/>
          </w:tcPr>
          <w:p w14:paraId="0261306A" w14:textId="7751D115" w:rsidR="007A43AA" w:rsidRDefault="005A6404" w:rsidP="008A4AED">
            <w:pPr>
              <w:jc w:val="both"/>
              <w:cnfStyle w:val="000000100000" w:firstRow="0" w:lastRow="0" w:firstColumn="0" w:lastColumn="0" w:oddVBand="0" w:evenVBand="0" w:oddHBand="1" w:evenHBand="0" w:firstRowFirstColumn="0" w:firstRowLastColumn="0" w:lastRowFirstColumn="0" w:lastRowLastColumn="0"/>
            </w:pPr>
            <w:r w:rsidRPr="005A6404">
              <w:t>Comprehensive coverage of high</w:t>
            </w:r>
            <w:r w:rsidRPr="005A6404">
              <w:rPr>
                <w:rFonts w:ascii="Cambria Math" w:hAnsi="Cambria Math" w:cs="Cambria Math"/>
              </w:rPr>
              <w:t>‑</w:t>
            </w:r>
            <w:r w:rsidRPr="005A6404">
              <w:t>quality journals in management, information systems and social sciences; supports advanced Boolean searching; captures technical and algorithmic perspectives on AI systems</w:t>
            </w:r>
          </w:p>
        </w:tc>
        <w:tc>
          <w:tcPr>
            <w:tcW w:w="1956" w:type="dxa"/>
          </w:tcPr>
          <w:p w14:paraId="658B0E26" w14:textId="2193B166" w:rsidR="007A43AA" w:rsidRDefault="004847A0" w:rsidP="008A4AED">
            <w:pPr>
              <w:jc w:val="both"/>
              <w:cnfStyle w:val="000000100000" w:firstRow="0" w:lastRow="0" w:firstColumn="0" w:lastColumn="0" w:oddVBand="0" w:evenVBand="0" w:oddHBand="1" w:evenHBand="0" w:firstRowFirstColumn="0" w:firstRowLastColumn="0" w:lastRowFirstColumn="0" w:lastRowLastColumn="0"/>
            </w:pPr>
            <w:r w:rsidRPr="004847A0">
              <w:t xml:space="preserve">Tsiskaridze, Reinhold and Järvis (2023); Rigotti and </w:t>
            </w:r>
            <w:proofErr w:type="spellStart"/>
            <w:r w:rsidRPr="004847A0">
              <w:t>Fosch</w:t>
            </w:r>
            <w:proofErr w:type="spellEnd"/>
            <w:r w:rsidRPr="004847A0">
              <w:rPr>
                <w:rFonts w:ascii="Cambria Math" w:hAnsi="Cambria Math" w:cs="Cambria Math"/>
              </w:rPr>
              <w:t>‑</w:t>
            </w:r>
            <w:r w:rsidRPr="004847A0">
              <w:t>Villaronga (2024)</w:t>
            </w:r>
          </w:p>
        </w:tc>
      </w:tr>
      <w:tr w:rsidR="007A43AA" w14:paraId="51E774F9" w14:textId="77777777" w:rsidTr="00BC3968">
        <w:trPr>
          <w:trHeight w:val="3618"/>
        </w:trPr>
        <w:tc>
          <w:tcPr>
            <w:cnfStyle w:val="001000000000" w:firstRow="0" w:lastRow="0" w:firstColumn="1" w:lastColumn="0" w:oddVBand="0" w:evenVBand="0" w:oddHBand="0" w:evenHBand="0" w:firstRowFirstColumn="0" w:firstRowLastColumn="0" w:lastRowFirstColumn="0" w:lastRowLastColumn="0"/>
            <w:tcW w:w="710" w:type="dxa"/>
          </w:tcPr>
          <w:p w14:paraId="6E463BC0" w14:textId="77777777" w:rsidR="00BC3968" w:rsidRDefault="009A628D" w:rsidP="008A4AED">
            <w:pPr>
              <w:jc w:val="both"/>
              <w:rPr>
                <w:b w:val="0"/>
                <w:bCs w:val="0"/>
              </w:rPr>
            </w:pPr>
            <w:r w:rsidRPr="009A628D">
              <w:t xml:space="preserve">Keywords and </w:t>
            </w:r>
          </w:p>
          <w:p w14:paraId="0A6678D2" w14:textId="16810269" w:rsidR="007A43AA" w:rsidRDefault="009A628D" w:rsidP="008A4AED">
            <w:pPr>
              <w:jc w:val="both"/>
            </w:pPr>
            <w:r w:rsidRPr="009A628D">
              <w:t>Search Terms</w:t>
            </w:r>
          </w:p>
        </w:tc>
        <w:tc>
          <w:tcPr>
            <w:tcW w:w="5595" w:type="dxa"/>
          </w:tcPr>
          <w:p w14:paraId="1835D7EC" w14:textId="3EB06382" w:rsidR="007A43AA" w:rsidRDefault="00232D10" w:rsidP="008A4AED">
            <w:pPr>
              <w:jc w:val="both"/>
              <w:cnfStyle w:val="000000000000" w:firstRow="0" w:lastRow="0" w:firstColumn="0" w:lastColumn="0" w:oddVBand="0" w:evenVBand="0" w:oddHBand="0" w:evenHBand="0" w:firstRowFirstColumn="0" w:firstRowLastColumn="0" w:lastRowFirstColumn="0" w:lastRowLastColumn="0"/>
            </w:pPr>
            <w:r w:rsidRPr="00232D10">
              <w:t>Three conceptual domains: (1) Recruitment: "recruitment", "hiring", "selection", "talent acquisition", "HRM", "human resource management"; (2) AI/algorithmic: "artificial intelligence", "AI", "machine learning", "algorithmic", "automated decision</w:t>
            </w:r>
            <w:r w:rsidRPr="00232D10">
              <w:rPr>
                <w:rFonts w:ascii="Cambria Math" w:hAnsi="Cambria Math" w:cs="Cambria Math"/>
              </w:rPr>
              <w:t>‑</w:t>
            </w:r>
            <w:r w:rsidRPr="00232D10">
              <w:t>making", "predictive analytics", "automated screening"; (3) Governance: "governance", "accountability", "fairness", "bias", "transparency", "human oversight", "decision authority", "ethics", "regulatory compliance", "institutional", "regulation"; Pilot testing included regional terms ("UK", "Germany", "China", "Japan", "South Korea", "Singapore")</w:t>
            </w:r>
          </w:p>
        </w:tc>
        <w:tc>
          <w:tcPr>
            <w:tcW w:w="3222" w:type="dxa"/>
          </w:tcPr>
          <w:p w14:paraId="64A94516" w14:textId="0FFED647" w:rsidR="007A43AA" w:rsidRDefault="00083706" w:rsidP="008A4AED">
            <w:pPr>
              <w:jc w:val="both"/>
              <w:cnfStyle w:val="000000000000" w:firstRow="0" w:lastRow="0" w:firstColumn="0" w:lastColumn="0" w:oddVBand="0" w:evenVBand="0" w:oddHBand="0" w:evenHBand="0" w:firstRowFirstColumn="0" w:firstRowLastColumn="0" w:lastRowFirstColumn="0" w:lastRowLastColumn="0"/>
            </w:pPr>
            <w:r w:rsidRPr="00083706">
              <w:t>Ensures coverage of relevant conceptual domains and adequate representation of European and Asian contexts</w:t>
            </w:r>
          </w:p>
        </w:tc>
        <w:tc>
          <w:tcPr>
            <w:tcW w:w="1956" w:type="dxa"/>
          </w:tcPr>
          <w:p w14:paraId="4CCC3A5A" w14:textId="7F10990D" w:rsidR="007A43AA" w:rsidRDefault="009028FD" w:rsidP="008A4AED">
            <w:pPr>
              <w:jc w:val="both"/>
              <w:cnfStyle w:val="000000000000" w:firstRow="0" w:lastRow="0" w:firstColumn="0" w:lastColumn="0" w:oddVBand="0" w:evenVBand="0" w:oddHBand="0" w:evenHBand="0" w:firstRowFirstColumn="0" w:firstRowLastColumn="0" w:lastRowFirstColumn="0" w:lastRowLastColumn="0"/>
            </w:pPr>
            <w:r w:rsidRPr="009028FD">
              <w:t>Petticrew and Roberts (2006); Page et al. (2021)</w:t>
            </w:r>
          </w:p>
        </w:tc>
      </w:tr>
      <w:tr w:rsidR="007A43AA" w14:paraId="69C9BA61" w14:textId="77777777" w:rsidTr="00BC3968">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710" w:type="dxa"/>
          </w:tcPr>
          <w:p w14:paraId="377F4BF9" w14:textId="2BC7E2F9" w:rsidR="007A43AA" w:rsidRDefault="00D41DFD" w:rsidP="008A4AED">
            <w:pPr>
              <w:jc w:val="both"/>
            </w:pPr>
            <w:r w:rsidRPr="00D41DFD">
              <w:t>Boolean Operators</w:t>
            </w:r>
          </w:p>
        </w:tc>
        <w:tc>
          <w:tcPr>
            <w:tcW w:w="5595" w:type="dxa"/>
          </w:tcPr>
          <w:p w14:paraId="29926F4B" w14:textId="088B74F9" w:rsidR="007A43AA" w:rsidRDefault="00613179" w:rsidP="008A4AED">
            <w:pPr>
              <w:jc w:val="both"/>
              <w:cnfStyle w:val="000000100000" w:firstRow="0" w:lastRow="0" w:firstColumn="0" w:lastColumn="0" w:oddVBand="0" w:evenVBand="0" w:oddHBand="1" w:evenHBand="0" w:firstRowFirstColumn="0" w:firstRowLastColumn="0" w:lastRowFirstColumn="0" w:lastRowLastColumn="0"/>
            </w:pPr>
            <w:r w:rsidRPr="00613179">
              <w:t>Core structure: (algorithmic OR automated OR "machine learning" OR "artificial intelligence" OR AI) AND (recruitment OR hiring OR selection OR "talent acquisition") AND (governance OR accountability OR fairness OR bias OR transparency OR "human oversight" OR regulation); Search strings piloted and refined through iterative testing</w:t>
            </w:r>
          </w:p>
        </w:tc>
        <w:tc>
          <w:tcPr>
            <w:tcW w:w="3222" w:type="dxa"/>
          </w:tcPr>
          <w:p w14:paraId="71C44FEF" w14:textId="33ACC477" w:rsidR="007A43AA" w:rsidRDefault="0046095B" w:rsidP="008A4AED">
            <w:pPr>
              <w:jc w:val="both"/>
              <w:cnfStyle w:val="000000100000" w:firstRow="0" w:lastRow="0" w:firstColumn="0" w:lastColumn="0" w:oddVBand="0" w:evenVBand="0" w:oddHBand="1" w:evenHBand="0" w:firstRowFirstColumn="0" w:firstRowLastColumn="0" w:lastRowFirstColumn="0" w:lastRowLastColumn="0"/>
            </w:pPr>
            <w:r w:rsidRPr="0046095B">
              <w:t>Balances sensitivity and specificity; captures relevant studies without excessive noise</w:t>
            </w:r>
          </w:p>
        </w:tc>
        <w:tc>
          <w:tcPr>
            <w:tcW w:w="1956" w:type="dxa"/>
          </w:tcPr>
          <w:p w14:paraId="133B6CCD" w14:textId="4515DF57" w:rsidR="007A43AA" w:rsidRDefault="009C66C2" w:rsidP="008A4AED">
            <w:pPr>
              <w:jc w:val="both"/>
              <w:cnfStyle w:val="000000100000" w:firstRow="0" w:lastRow="0" w:firstColumn="0" w:lastColumn="0" w:oddVBand="0" w:evenVBand="0" w:oddHBand="1" w:evenHBand="0" w:firstRowFirstColumn="0" w:firstRowLastColumn="0" w:lastRowFirstColumn="0" w:lastRowLastColumn="0"/>
            </w:pPr>
            <w:r w:rsidRPr="009C66C2">
              <w:t>Page et al. (2021); Petticrew and Roberts (2006)</w:t>
            </w:r>
          </w:p>
        </w:tc>
      </w:tr>
      <w:tr w:rsidR="007A43AA" w14:paraId="3F1799D8" w14:textId="77777777" w:rsidTr="00BC3968">
        <w:trPr>
          <w:trHeight w:val="1386"/>
        </w:trPr>
        <w:tc>
          <w:tcPr>
            <w:cnfStyle w:val="001000000000" w:firstRow="0" w:lastRow="0" w:firstColumn="1" w:lastColumn="0" w:oddVBand="0" w:evenVBand="0" w:oddHBand="0" w:evenHBand="0" w:firstRowFirstColumn="0" w:firstRowLastColumn="0" w:lastRowFirstColumn="0" w:lastRowLastColumn="0"/>
            <w:tcW w:w="710" w:type="dxa"/>
          </w:tcPr>
          <w:p w14:paraId="7B000722" w14:textId="509E523A" w:rsidR="007A43AA" w:rsidRDefault="00156AF3" w:rsidP="008A4AED">
            <w:pPr>
              <w:jc w:val="both"/>
            </w:pPr>
            <w:r w:rsidRPr="00156AF3">
              <w:t>Publication Period</w:t>
            </w:r>
          </w:p>
        </w:tc>
        <w:tc>
          <w:tcPr>
            <w:tcW w:w="5595" w:type="dxa"/>
          </w:tcPr>
          <w:p w14:paraId="4B1E92C5" w14:textId="11BF54DD" w:rsidR="007A43AA" w:rsidRDefault="00A55B08" w:rsidP="008A4AED">
            <w:pPr>
              <w:jc w:val="both"/>
              <w:cnfStyle w:val="000000000000" w:firstRow="0" w:lastRow="0" w:firstColumn="0" w:lastColumn="0" w:oddVBand="0" w:evenVBand="0" w:oddHBand="0" w:evenHBand="0" w:firstRowFirstColumn="0" w:firstRowLastColumn="0" w:lastRowFirstColumn="0" w:lastRowLastColumn="0"/>
            </w:pPr>
            <w:r w:rsidRPr="00A55B08">
              <w:t>2015–2026</w:t>
            </w:r>
          </w:p>
        </w:tc>
        <w:tc>
          <w:tcPr>
            <w:tcW w:w="3222" w:type="dxa"/>
          </w:tcPr>
          <w:p w14:paraId="6EF16D4D" w14:textId="78A44C9A" w:rsidR="007A43AA" w:rsidRDefault="00261F39" w:rsidP="008A4AED">
            <w:pPr>
              <w:jc w:val="both"/>
              <w:cnfStyle w:val="000000000000" w:firstRow="0" w:lastRow="0" w:firstColumn="0" w:lastColumn="0" w:oddVBand="0" w:evenVBand="0" w:oddHBand="0" w:evenHBand="0" w:firstRowFirstColumn="0" w:firstRowLastColumn="0" w:lastRowFirstColumn="0" w:lastRowLastColumn="0"/>
            </w:pPr>
            <w:r w:rsidRPr="00261F39">
              <w:t>Reflects emergence of contemporary algorithmic recruitment systems; captures deep learning applications in HRM, GDPR (2018) and EU AI Act (2024) developments central to research questions</w:t>
            </w:r>
          </w:p>
        </w:tc>
        <w:tc>
          <w:tcPr>
            <w:tcW w:w="1956" w:type="dxa"/>
          </w:tcPr>
          <w:p w14:paraId="3EFB05BB" w14:textId="205F54C1" w:rsidR="007A43AA" w:rsidRDefault="003F73A1" w:rsidP="008A4AED">
            <w:pPr>
              <w:jc w:val="both"/>
              <w:cnfStyle w:val="000000000000" w:firstRow="0" w:lastRow="0" w:firstColumn="0" w:lastColumn="0" w:oddVBand="0" w:evenVBand="0" w:oddHBand="0" w:evenHBand="0" w:firstRowFirstColumn="0" w:firstRowLastColumn="0" w:lastRowFirstColumn="0" w:lastRowLastColumn="0"/>
            </w:pPr>
            <w:r w:rsidRPr="003F73A1">
              <w:t>Tsiskaridze, Reinhold and Järvis (2023); European Commission (2024)</w:t>
            </w:r>
          </w:p>
        </w:tc>
      </w:tr>
    </w:tbl>
    <w:p w14:paraId="2182D8E5" w14:textId="77777777" w:rsidR="00BD14B9" w:rsidRPr="00A04392" w:rsidRDefault="00BD14B9" w:rsidP="008A4AED">
      <w:pPr>
        <w:pStyle w:val="Heading2"/>
        <w:spacing w:before="0" w:after="0"/>
        <w:jc w:val="both"/>
        <w:rPr>
          <w:b/>
          <w:bCs/>
        </w:rPr>
      </w:pPr>
      <w:bookmarkStart w:id="44" w:name="_Toc240996978"/>
      <w:r w:rsidRPr="00A04392">
        <w:rPr>
          <w:b/>
          <w:bCs/>
        </w:rPr>
        <w:t>3.5 Inclusion, Exclusion and Study Selection</w:t>
      </w:r>
      <w:bookmarkEnd w:id="44"/>
    </w:p>
    <w:p w14:paraId="33C79120" w14:textId="77777777" w:rsidR="00BD14B9" w:rsidRPr="00F83F0C" w:rsidRDefault="00BD14B9" w:rsidP="008A4AED">
      <w:pPr>
        <w:spacing w:after="0"/>
        <w:jc w:val="both"/>
        <w:rPr>
          <w:b/>
          <w:bCs/>
          <w:color w:val="153D63" w:themeColor="text2" w:themeTint="E6"/>
          <w:sz w:val="28"/>
          <w:szCs w:val="28"/>
        </w:rPr>
      </w:pPr>
      <w:r w:rsidRPr="00F83F0C">
        <w:rPr>
          <w:b/>
          <w:bCs/>
          <w:color w:val="153D63" w:themeColor="text2" w:themeTint="E6"/>
          <w:sz w:val="28"/>
          <w:szCs w:val="28"/>
        </w:rPr>
        <w:t>Inclusion Criteria</w:t>
      </w:r>
    </w:p>
    <w:p w14:paraId="3A59D7F5" w14:textId="77777777" w:rsidR="00F3199A" w:rsidRDefault="00F3199A" w:rsidP="008A4AED">
      <w:pPr>
        <w:spacing w:after="0"/>
        <w:jc w:val="both"/>
      </w:pPr>
      <w:r>
        <w:lastRenderedPageBreak/>
        <w:t>Clear inclusion criteria were established prior to screening to ensure analytical focus and consistency (Petticrew and Roberts, 2006). Studies were included if they met all the following criteria:</w:t>
      </w:r>
    </w:p>
    <w:p w14:paraId="23BE936B" w14:textId="77777777" w:rsidR="00F3199A" w:rsidRDefault="00F3199A" w:rsidP="001535C3">
      <w:pPr>
        <w:pStyle w:val="ListParagraph"/>
        <w:numPr>
          <w:ilvl w:val="0"/>
          <w:numId w:val="10"/>
        </w:numPr>
        <w:spacing w:after="0"/>
        <w:jc w:val="both"/>
      </w:pPr>
      <w:r>
        <w:t>Substantive relevance to algorithmic recruitment decision-making, defined as the use of algorithmic or machine-learning systems in screening, ranking or selection decisions.</w:t>
      </w:r>
    </w:p>
    <w:p w14:paraId="7BCACA4B" w14:textId="77777777" w:rsidR="00BD14B9" w:rsidRPr="004D7E0A" w:rsidRDefault="00BD14B9" w:rsidP="001535C3">
      <w:pPr>
        <w:pStyle w:val="ListParagraph"/>
        <w:numPr>
          <w:ilvl w:val="0"/>
          <w:numId w:val="10"/>
        </w:numPr>
        <w:spacing w:after="0"/>
        <w:jc w:val="both"/>
      </w:pPr>
      <w:r w:rsidRPr="004D7E0A">
        <w:t>Organisational or institutional focus, addressing governance, accountability, fairness or regulatory implications rather than purely technical performance.</w:t>
      </w:r>
    </w:p>
    <w:p w14:paraId="2DBF8F0A" w14:textId="4E9DB3C3" w:rsidR="00BD14B9" w:rsidRPr="004D7E0A" w:rsidRDefault="00BD14B9" w:rsidP="001535C3">
      <w:pPr>
        <w:pStyle w:val="ListParagraph"/>
        <w:numPr>
          <w:ilvl w:val="0"/>
          <w:numId w:val="10"/>
        </w:numPr>
        <w:spacing w:after="0"/>
        <w:jc w:val="both"/>
      </w:pPr>
      <w:r w:rsidRPr="004D7E0A">
        <w:t>Peer</w:t>
      </w:r>
      <w:r w:rsidR="00F3199A">
        <w:t>-</w:t>
      </w:r>
      <w:r w:rsidRPr="004D7E0A">
        <w:t>reviewed academic quality, including journal articles and refereed conference proceedings.</w:t>
      </w:r>
    </w:p>
    <w:p w14:paraId="28DF4CC6" w14:textId="77777777" w:rsidR="00BD14B9" w:rsidRPr="004D7E0A" w:rsidRDefault="00BD14B9" w:rsidP="001535C3">
      <w:pPr>
        <w:pStyle w:val="ListParagraph"/>
        <w:numPr>
          <w:ilvl w:val="0"/>
          <w:numId w:val="10"/>
        </w:numPr>
        <w:spacing w:after="0"/>
        <w:jc w:val="both"/>
      </w:pPr>
      <w:r w:rsidRPr="004D7E0A">
        <w:t>Published between 2015 and 2026.</w:t>
      </w:r>
    </w:p>
    <w:p w14:paraId="79145D87" w14:textId="3C503FC0" w:rsidR="003C7177" w:rsidRPr="004D7E0A" w:rsidRDefault="00F3199A" w:rsidP="001535C3">
      <w:pPr>
        <w:pStyle w:val="ListParagraph"/>
        <w:numPr>
          <w:ilvl w:val="0"/>
          <w:numId w:val="3"/>
        </w:numPr>
        <w:spacing w:after="0"/>
        <w:jc w:val="both"/>
      </w:pPr>
      <w:r>
        <w:t>English language (Mujtaba and Mahapatra, 2025).</w:t>
      </w:r>
    </w:p>
    <w:p w14:paraId="1644EAEB" w14:textId="77777777" w:rsidR="000C7BDE" w:rsidRPr="000C7BDE" w:rsidRDefault="000C7BDE" w:rsidP="008A4AED">
      <w:pPr>
        <w:spacing w:after="0"/>
        <w:jc w:val="both"/>
        <w:rPr>
          <w:b/>
          <w:bCs/>
          <w:color w:val="153D63" w:themeColor="text2" w:themeTint="E6"/>
          <w:sz w:val="10"/>
          <w:szCs w:val="10"/>
        </w:rPr>
      </w:pPr>
    </w:p>
    <w:p w14:paraId="6CFD9470" w14:textId="77777777" w:rsidR="00BD14B9" w:rsidRPr="00F83F0C" w:rsidRDefault="00BD14B9" w:rsidP="008A4AED">
      <w:pPr>
        <w:spacing w:after="0"/>
        <w:jc w:val="both"/>
        <w:rPr>
          <w:b/>
          <w:bCs/>
          <w:color w:val="153D63" w:themeColor="text2" w:themeTint="E6"/>
          <w:sz w:val="28"/>
          <w:szCs w:val="28"/>
        </w:rPr>
      </w:pPr>
      <w:r w:rsidRPr="00F83F0C">
        <w:rPr>
          <w:b/>
          <w:bCs/>
          <w:color w:val="153D63" w:themeColor="text2" w:themeTint="E6"/>
          <w:sz w:val="28"/>
          <w:szCs w:val="28"/>
        </w:rPr>
        <w:t>Exclusion Criteria</w:t>
      </w:r>
    </w:p>
    <w:p w14:paraId="573482C6" w14:textId="77777777" w:rsidR="00BD14B9" w:rsidRPr="004D7E0A" w:rsidRDefault="00BD14B9" w:rsidP="008A4AED">
      <w:pPr>
        <w:spacing w:after="0"/>
        <w:jc w:val="both"/>
      </w:pPr>
      <w:r w:rsidRPr="004D7E0A">
        <w:t>Studies were explicitly excluded where they (Tsiskaridze, Reinhold and Järvis, 2023):</w:t>
      </w:r>
    </w:p>
    <w:p w14:paraId="1489C9F6" w14:textId="77777777" w:rsidR="00BD14B9" w:rsidRPr="004D7E0A" w:rsidRDefault="00BD14B9" w:rsidP="001535C3">
      <w:pPr>
        <w:pStyle w:val="ListParagraph"/>
        <w:numPr>
          <w:ilvl w:val="0"/>
          <w:numId w:val="11"/>
        </w:numPr>
        <w:spacing w:after="0"/>
        <w:jc w:val="both"/>
      </w:pPr>
      <w:r w:rsidRPr="004D7E0A">
        <w:t>Focused on AI applications unrelated to recruitment (e.g. workforce planning, training analytics, performance management).</w:t>
      </w:r>
    </w:p>
    <w:p w14:paraId="0515A8A7" w14:textId="4D905612" w:rsidR="00BD14B9" w:rsidRPr="004D7E0A" w:rsidRDefault="00BD14B9" w:rsidP="001535C3">
      <w:pPr>
        <w:pStyle w:val="ListParagraph"/>
        <w:numPr>
          <w:ilvl w:val="0"/>
          <w:numId w:val="11"/>
        </w:numPr>
        <w:spacing w:after="0"/>
        <w:jc w:val="both"/>
      </w:pPr>
      <w:r w:rsidRPr="004D7E0A">
        <w:t xml:space="preserve">Treated </w:t>
      </w:r>
      <w:r w:rsidR="00D70595">
        <w:t>'AI</w:t>
      </w:r>
      <w:r w:rsidRPr="004D7E0A">
        <w:t xml:space="preserve"> in </w:t>
      </w:r>
      <w:r w:rsidR="00D70595">
        <w:t>HR'</w:t>
      </w:r>
      <w:r w:rsidRPr="004D7E0A">
        <w:t xml:space="preserve"> in a vague or generic manner without specifying recruitment applications.</w:t>
      </w:r>
    </w:p>
    <w:p w14:paraId="2AF3D0AE" w14:textId="77777777" w:rsidR="00BD14B9" w:rsidRPr="004D7E0A" w:rsidRDefault="00BD14B9" w:rsidP="001535C3">
      <w:pPr>
        <w:pStyle w:val="ListParagraph"/>
        <w:numPr>
          <w:ilvl w:val="0"/>
          <w:numId w:val="11"/>
        </w:numPr>
        <w:spacing w:after="0"/>
        <w:jc w:val="both"/>
      </w:pPr>
      <w:r w:rsidRPr="004D7E0A">
        <w:t>Lacked an identifiable organisational or institutional context (e.g. purely technical algorithm papers).</w:t>
      </w:r>
    </w:p>
    <w:p w14:paraId="66997E06" w14:textId="3542E068" w:rsidR="00BD14B9" w:rsidRPr="004D7E0A" w:rsidRDefault="00BD14B9" w:rsidP="001535C3">
      <w:pPr>
        <w:pStyle w:val="ListParagraph"/>
        <w:numPr>
          <w:ilvl w:val="0"/>
          <w:numId w:val="11"/>
        </w:numPr>
        <w:spacing w:after="0"/>
        <w:jc w:val="both"/>
      </w:pPr>
      <w:r w:rsidRPr="004D7E0A">
        <w:t>Were non</w:t>
      </w:r>
      <w:r w:rsidR="00D70595">
        <w:t>-</w:t>
      </w:r>
      <w:r w:rsidRPr="004D7E0A">
        <w:t>peer</w:t>
      </w:r>
      <w:r w:rsidR="00D70595">
        <w:t>-</w:t>
      </w:r>
      <w:r w:rsidRPr="004D7E0A">
        <w:t>reviewed publications (e.g. blogs, magazine articles, consultancy reports, general opinion pieces).</w:t>
      </w:r>
    </w:p>
    <w:p w14:paraId="217C853A" w14:textId="0272115E" w:rsidR="00E3298A" w:rsidRPr="004D7E0A" w:rsidRDefault="00BD14B9" w:rsidP="001535C3">
      <w:pPr>
        <w:pStyle w:val="ListParagraph"/>
        <w:numPr>
          <w:ilvl w:val="0"/>
          <w:numId w:val="4"/>
        </w:numPr>
        <w:spacing w:after="0"/>
        <w:jc w:val="both"/>
      </w:pPr>
      <w:r w:rsidRPr="004D7E0A">
        <w:t>Did not provide sufficient relevance to the research aim, objectives or central themes of AI</w:t>
      </w:r>
      <w:r w:rsidR="00D70595">
        <w:t>-</w:t>
      </w:r>
      <w:r w:rsidRPr="004D7E0A">
        <w:t>mediated recruitment governance.</w:t>
      </w:r>
    </w:p>
    <w:p w14:paraId="5F26963C" w14:textId="77777777" w:rsidR="000C7BDE" w:rsidRPr="000C7BDE" w:rsidRDefault="000C7BDE" w:rsidP="008A4AED">
      <w:pPr>
        <w:spacing w:after="0"/>
        <w:jc w:val="both"/>
        <w:rPr>
          <w:b/>
          <w:bCs/>
          <w:color w:val="153D63" w:themeColor="text2" w:themeTint="E6"/>
          <w:sz w:val="10"/>
          <w:szCs w:val="10"/>
        </w:rPr>
      </w:pPr>
    </w:p>
    <w:p w14:paraId="5CF0B5A8" w14:textId="77777777" w:rsidR="00BD14B9" w:rsidRPr="00CF681C" w:rsidRDefault="00BD14B9" w:rsidP="008A4AED">
      <w:pPr>
        <w:spacing w:after="0"/>
        <w:jc w:val="both"/>
        <w:rPr>
          <w:b/>
          <w:bCs/>
          <w:color w:val="153D63" w:themeColor="text2" w:themeTint="E6"/>
          <w:sz w:val="28"/>
          <w:szCs w:val="28"/>
        </w:rPr>
      </w:pPr>
      <w:r w:rsidRPr="00CF681C">
        <w:rPr>
          <w:b/>
          <w:bCs/>
          <w:color w:val="153D63" w:themeColor="text2" w:themeTint="E6"/>
          <w:sz w:val="28"/>
          <w:szCs w:val="28"/>
        </w:rPr>
        <w:t>PRISMA Screening Process</w:t>
      </w:r>
    </w:p>
    <w:p w14:paraId="6E8D5AF2" w14:textId="77777777" w:rsidR="00BD14B9" w:rsidRPr="004D7E0A" w:rsidRDefault="00BD14B9" w:rsidP="008A4AED">
      <w:pPr>
        <w:spacing w:after="0"/>
        <w:jc w:val="both"/>
      </w:pPr>
      <w:r w:rsidRPr="004D7E0A">
        <w:t>The screening process followed the sequential logic recommended by PRISMA 2020 (Page et al., 2021):</w:t>
      </w:r>
    </w:p>
    <w:p w14:paraId="3FE6F3CB" w14:textId="77777777" w:rsidR="00BD14B9" w:rsidRPr="004D7E0A" w:rsidRDefault="00BD14B9" w:rsidP="001535C3">
      <w:pPr>
        <w:pStyle w:val="ListParagraph"/>
        <w:numPr>
          <w:ilvl w:val="0"/>
          <w:numId w:val="12"/>
        </w:numPr>
        <w:spacing w:after="0"/>
        <w:jc w:val="both"/>
      </w:pPr>
      <w:r w:rsidRPr="005300AD">
        <w:rPr>
          <w:b/>
        </w:rPr>
        <w:t>Identification</w:t>
      </w:r>
      <w:r>
        <w:t xml:space="preserve">: </w:t>
      </w:r>
      <w:r w:rsidRPr="004D7E0A">
        <w:t>Records were identified through database searches and supplementary hand</w:t>
      </w:r>
      <w:r w:rsidR="00F503B0">
        <w:t>-searching of reference lists.</w:t>
      </w:r>
      <w:r w:rsidRPr="004D7E0A">
        <w:t xml:space="preserve"> Initial searches yielded a comprehensive pool of potentially relevant studies (Tsiskaridze, Reinhold and Järvis, 2023).</w:t>
      </w:r>
    </w:p>
    <w:p w14:paraId="1A239295" w14:textId="77777777" w:rsidR="00BD14B9" w:rsidRPr="004D7E0A" w:rsidRDefault="00BD14B9" w:rsidP="001535C3">
      <w:pPr>
        <w:pStyle w:val="ListParagraph"/>
        <w:numPr>
          <w:ilvl w:val="0"/>
          <w:numId w:val="12"/>
        </w:numPr>
        <w:spacing w:after="0"/>
        <w:jc w:val="both"/>
      </w:pPr>
      <w:r w:rsidRPr="005300AD">
        <w:rPr>
          <w:b/>
        </w:rPr>
        <w:t>Screening</w:t>
      </w:r>
      <w:r>
        <w:t xml:space="preserve">: </w:t>
      </w:r>
      <w:r w:rsidRPr="004D7E0A">
        <w:t xml:space="preserve">Initial title and abstract screening were conducted to remove clearly irrelevant studies based on the predefined criteria. Duplicates were removed at this stage (Rigotti and </w:t>
      </w:r>
      <w:proofErr w:type="spellStart"/>
      <w:r w:rsidRPr="004D7E0A">
        <w:t>Fosch</w:t>
      </w:r>
      <w:proofErr w:type="spellEnd"/>
      <w:r w:rsidR="00F503B0">
        <w:t>-</w:t>
      </w:r>
      <w:r w:rsidRPr="004D7E0A">
        <w:t>Villaronga, 2024).</w:t>
      </w:r>
    </w:p>
    <w:p w14:paraId="61BB1DD1" w14:textId="77777777" w:rsidR="00BD14B9" w:rsidRPr="004D7E0A" w:rsidRDefault="00BD14B9" w:rsidP="001535C3">
      <w:pPr>
        <w:pStyle w:val="ListParagraph"/>
        <w:numPr>
          <w:ilvl w:val="0"/>
          <w:numId w:val="12"/>
        </w:numPr>
        <w:spacing w:after="0"/>
        <w:jc w:val="both"/>
      </w:pPr>
      <w:r w:rsidRPr="005300AD">
        <w:rPr>
          <w:b/>
        </w:rPr>
        <w:t>Eligibility</w:t>
      </w:r>
      <w:r>
        <w:t xml:space="preserve">: </w:t>
      </w:r>
      <w:r w:rsidRPr="004D7E0A">
        <w:t>Full</w:t>
      </w:r>
      <w:r w:rsidR="00F503B0">
        <w:t>-</w:t>
      </w:r>
      <w:r w:rsidRPr="004D7E0A">
        <w:t>text review was conducted to assess substantive relevance, conceptual clarity and alignment with the study's analytical focus. Decisions at each stage were documented to ensure transparency and auditability (Petticrew and Roberts, 2006).</w:t>
      </w:r>
    </w:p>
    <w:p w14:paraId="6273C3E6" w14:textId="77777777" w:rsidR="00BD14B9" w:rsidRPr="004D7E0A" w:rsidRDefault="00BD14B9" w:rsidP="001535C3">
      <w:pPr>
        <w:pStyle w:val="ListParagraph"/>
        <w:numPr>
          <w:ilvl w:val="0"/>
          <w:numId w:val="12"/>
        </w:numPr>
        <w:spacing w:after="0"/>
        <w:jc w:val="both"/>
      </w:pPr>
      <w:r w:rsidRPr="00B03043">
        <w:rPr>
          <w:b/>
        </w:rPr>
        <w:t>Final Inclusion:</w:t>
      </w:r>
      <w:r>
        <w:t xml:space="preserve"> </w:t>
      </w:r>
      <w:r w:rsidRPr="004D7E0A">
        <w:t>The final set of included studies reflects not only topical relevance but also conceptual and methodological suitability. This procedural discipline reinforces the credibility of the review and ensures that subsequent analysis is grounded in a systematically curated evidence base rather than ad hoc selection (Booth, Sutton and Papaioannou, 2016).</w:t>
      </w:r>
    </w:p>
    <w:p w14:paraId="708BA3A5" w14:textId="610B788E" w:rsidR="00D41279" w:rsidRPr="004D7E0A" w:rsidRDefault="00BD14B9" w:rsidP="008A4AED">
      <w:pPr>
        <w:spacing w:after="0"/>
        <w:jc w:val="both"/>
      </w:pPr>
      <w:r w:rsidRPr="004D7E0A">
        <w:t>A PRISMA flow diagram is provided in Appendix A to document the number of records identified, screened, assessed for eligibility and included, along with reasons for exclusions (Page et al., 2021).</w:t>
      </w:r>
    </w:p>
    <w:p w14:paraId="49CB5E13" w14:textId="77777777" w:rsidR="00BD14B9" w:rsidRDefault="00BD14B9" w:rsidP="008A4AED">
      <w:pPr>
        <w:pStyle w:val="Heading2"/>
        <w:spacing w:before="0" w:after="0"/>
        <w:jc w:val="both"/>
        <w:rPr>
          <w:b/>
          <w:bCs/>
        </w:rPr>
      </w:pPr>
      <w:bookmarkStart w:id="45" w:name="_Toc240996979"/>
      <w:r w:rsidRPr="00DE1F31">
        <w:rPr>
          <w:b/>
          <w:bCs/>
        </w:rPr>
        <w:t>3.6 Quality Appraisal and Data Extraction</w:t>
      </w:r>
      <w:bookmarkEnd w:id="45"/>
    </w:p>
    <w:p w14:paraId="7E07F6E8" w14:textId="77777777" w:rsidR="00172F07" w:rsidRPr="00172F07" w:rsidRDefault="00172F07" w:rsidP="008A4AED">
      <w:pPr>
        <w:jc w:val="both"/>
        <w:rPr>
          <w:sz w:val="2"/>
          <w:szCs w:val="2"/>
        </w:rPr>
      </w:pPr>
    </w:p>
    <w:p w14:paraId="19E4DB24" w14:textId="77777777" w:rsidR="00BD14B9" w:rsidRPr="004E2F17" w:rsidRDefault="00BD14B9" w:rsidP="008A4AED">
      <w:pPr>
        <w:spacing w:after="0"/>
        <w:jc w:val="both"/>
        <w:rPr>
          <w:b/>
          <w:bCs/>
          <w:color w:val="153D63" w:themeColor="text2" w:themeTint="E6"/>
          <w:sz w:val="28"/>
          <w:szCs w:val="28"/>
        </w:rPr>
      </w:pPr>
      <w:r w:rsidRPr="004E2F17">
        <w:rPr>
          <w:b/>
          <w:bCs/>
          <w:color w:val="153D63" w:themeColor="text2" w:themeTint="E6"/>
          <w:sz w:val="28"/>
          <w:szCs w:val="28"/>
        </w:rPr>
        <w:t>Quality Assessment</w:t>
      </w:r>
    </w:p>
    <w:p w14:paraId="44D8ED92" w14:textId="77777777" w:rsidR="00DE0E30" w:rsidRDefault="00DE0E30" w:rsidP="00DE0E30">
      <w:pPr>
        <w:spacing w:after="0"/>
        <w:jc w:val="both"/>
      </w:pPr>
      <w:r>
        <w:t xml:space="preserve">Two established appraisal frameworks were employed to evaluate methodological quality, selected according to study design (CASP, 2018; Hong et al., 2018). The Critical Appraisal Skills Programme </w:t>
      </w:r>
      <w:r>
        <w:lastRenderedPageBreak/>
        <w:t>(CASP) checklist was used for qualitative studies, while the Mixed Methods Appraisal Tool (MMAT) was applied to mixed-methods research (Petticrew and Roberts, 2006).</w:t>
      </w:r>
    </w:p>
    <w:p w14:paraId="52F98741" w14:textId="511ED6E0" w:rsidR="003F6A95" w:rsidRDefault="00DE0E30" w:rsidP="008A4AED">
      <w:pPr>
        <w:spacing w:after="0"/>
        <w:jc w:val="both"/>
      </w:pPr>
      <w:r>
        <w:t>CASP enables systematic evaluation of qualitative studies across criteria including research design appropriateness, data collection transparency, analytical rigour, reflexivity and ethical consideration. MMAT complements this by assessing the integration and consistency of qualitative and quantitative components within mixed methods designs, ensuring that methodological pluralism does not conceal analytical weakness (Petticrew and Roberts, 2006).</w:t>
      </w:r>
    </w:p>
    <w:p w14:paraId="54D3FB48" w14:textId="77777777" w:rsidR="00172F07" w:rsidRPr="00EA304D" w:rsidRDefault="00172F07" w:rsidP="008A4AED">
      <w:pPr>
        <w:spacing w:after="0"/>
        <w:jc w:val="both"/>
        <w:rPr>
          <w:sz w:val="8"/>
          <w:szCs w:val="8"/>
        </w:rPr>
      </w:pPr>
    </w:p>
    <w:p w14:paraId="171DEDE1" w14:textId="77777777" w:rsidR="00BD14B9" w:rsidRPr="004E2F17" w:rsidRDefault="00BD14B9" w:rsidP="008A4AED">
      <w:pPr>
        <w:spacing w:after="0"/>
        <w:jc w:val="both"/>
        <w:rPr>
          <w:b/>
          <w:bCs/>
          <w:color w:val="153D63" w:themeColor="text2" w:themeTint="E6"/>
          <w:sz w:val="28"/>
          <w:szCs w:val="28"/>
        </w:rPr>
      </w:pPr>
      <w:r w:rsidRPr="004E2F17">
        <w:rPr>
          <w:b/>
          <w:bCs/>
          <w:color w:val="153D63" w:themeColor="text2" w:themeTint="E6"/>
          <w:sz w:val="28"/>
          <w:szCs w:val="28"/>
        </w:rPr>
        <w:t>Evidence Weighting</w:t>
      </w:r>
    </w:p>
    <w:p w14:paraId="2E89DA29" w14:textId="77777777" w:rsidR="00BD14B9" w:rsidRPr="004D7E0A" w:rsidRDefault="00BD14B9" w:rsidP="008A4AED">
      <w:pPr>
        <w:spacing w:after="0"/>
        <w:jc w:val="both"/>
      </w:pPr>
      <w:r w:rsidRPr="004D7E0A">
        <w:t>Following appraisal, studies were graded according to their methodological robustness and analytical relevance (Tsiskaridze, Reinhold and Järvis, 2023):</w:t>
      </w:r>
    </w:p>
    <w:p w14:paraId="798314C8" w14:textId="77777777" w:rsidR="00BD14B9" w:rsidRPr="004D7E0A" w:rsidRDefault="00BD14B9" w:rsidP="001535C3">
      <w:pPr>
        <w:pStyle w:val="ListParagraph"/>
        <w:numPr>
          <w:ilvl w:val="0"/>
          <w:numId w:val="13"/>
        </w:numPr>
        <w:spacing w:after="0"/>
        <w:jc w:val="both"/>
      </w:pPr>
      <w:r w:rsidRPr="00BA0E6A">
        <w:rPr>
          <w:b/>
        </w:rPr>
        <w:t>High quality:</w:t>
      </w:r>
      <w:r w:rsidRPr="004D7E0A">
        <w:t xml:space="preserve"> Clear research design, robust methodology, strong theoretical or empirical contribution, direct relevance to governance and institutional contexts.</w:t>
      </w:r>
    </w:p>
    <w:p w14:paraId="34C13E35" w14:textId="77777777" w:rsidR="00BD14B9" w:rsidRPr="004D7E0A" w:rsidRDefault="00BD14B9" w:rsidP="001535C3">
      <w:pPr>
        <w:pStyle w:val="ListParagraph"/>
        <w:numPr>
          <w:ilvl w:val="0"/>
          <w:numId w:val="13"/>
        </w:numPr>
        <w:spacing w:after="0"/>
        <w:jc w:val="both"/>
      </w:pPr>
      <w:r w:rsidRPr="00BA0E6A">
        <w:rPr>
          <w:b/>
        </w:rPr>
        <w:t>Moderate quality:</w:t>
      </w:r>
      <w:r w:rsidRPr="004D7E0A">
        <w:t xml:space="preserve"> Adequate design and methodology, some limitations in rigour or relevance, but still informative.</w:t>
      </w:r>
    </w:p>
    <w:p w14:paraId="747C5357" w14:textId="77777777" w:rsidR="00BD14B9" w:rsidRPr="004D7E0A" w:rsidRDefault="00BD14B9" w:rsidP="001535C3">
      <w:pPr>
        <w:pStyle w:val="ListParagraph"/>
        <w:numPr>
          <w:ilvl w:val="0"/>
          <w:numId w:val="13"/>
        </w:numPr>
        <w:spacing w:after="0"/>
        <w:jc w:val="both"/>
      </w:pPr>
      <w:r w:rsidRPr="00BA0E6A">
        <w:rPr>
          <w:b/>
        </w:rPr>
        <w:t xml:space="preserve">Low quality: </w:t>
      </w:r>
      <w:r w:rsidRPr="004D7E0A">
        <w:t>Significant methodological weaknesses, limited relevance to governance, or speculative claims without sufficient evidence.</w:t>
      </w:r>
    </w:p>
    <w:p w14:paraId="4AFD7838" w14:textId="60961382" w:rsidR="007858BA" w:rsidRDefault="00BD14B9" w:rsidP="008A4AED">
      <w:pPr>
        <w:spacing w:after="0"/>
        <w:jc w:val="both"/>
      </w:pPr>
      <w:r w:rsidRPr="004D7E0A">
        <w:t>Thresholds for inclusion were defined in advance. Studies classified as low</w:t>
      </w:r>
      <w:r w:rsidR="00A63791">
        <w:t>-</w:t>
      </w:r>
      <w:r w:rsidRPr="004D7E0A">
        <w:t xml:space="preserve">quality were excluded from substantive analytical synthesis but retained as contextual references where they reflected prevalent discourses or practitioner assumptions (Rigotti and </w:t>
      </w:r>
      <w:proofErr w:type="spellStart"/>
      <w:r w:rsidRPr="004D7E0A">
        <w:t>Fosch</w:t>
      </w:r>
      <w:proofErr w:type="spellEnd"/>
      <w:r w:rsidR="00A63791">
        <w:t>-</w:t>
      </w:r>
      <w:r w:rsidRPr="004D7E0A">
        <w:t>Villaronga, 2024). High</w:t>
      </w:r>
      <w:r w:rsidR="00A63791">
        <w:t>-</w:t>
      </w:r>
      <w:r w:rsidRPr="004D7E0A">
        <w:t xml:space="preserve">quality studies formed the core evidentiary base and were described and analysed in depth (Rigotti and </w:t>
      </w:r>
      <w:proofErr w:type="spellStart"/>
      <w:r w:rsidRPr="004D7E0A">
        <w:t>Fosch</w:t>
      </w:r>
      <w:proofErr w:type="spellEnd"/>
      <w:r w:rsidR="00A63791">
        <w:t>-</w:t>
      </w:r>
      <w:r w:rsidRPr="004D7E0A">
        <w:t>Villaronga, 2024).</w:t>
      </w:r>
    </w:p>
    <w:p w14:paraId="2E11F75F" w14:textId="77777777" w:rsidR="00B437D0" w:rsidRPr="00B437D0" w:rsidRDefault="00B437D0" w:rsidP="008A4AED">
      <w:pPr>
        <w:spacing w:after="0"/>
        <w:jc w:val="both"/>
        <w:rPr>
          <w:sz w:val="10"/>
          <w:szCs w:val="10"/>
        </w:rPr>
      </w:pPr>
    </w:p>
    <w:p w14:paraId="574D6AE8" w14:textId="77777777" w:rsidR="00BD14B9" w:rsidRPr="008C3E57" w:rsidRDefault="00BD14B9" w:rsidP="008A4AED">
      <w:pPr>
        <w:spacing w:after="0"/>
        <w:jc w:val="both"/>
        <w:rPr>
          <w:b/>
          <w:bCs/>
          <w:color w:val="153D63" w:themeColor="text2" w:themeTint="E6"/>
          <w:sz w:val="28"/>
          <w:szCs w:val="28"/>
        </w:rPr>
      </w:pPr>
      <w:r w:rsidRPr="008C3E57">
        <w:rPr>
          <w:b/>
          <w:bCs/>
          <w:color w:val="153D63" w:themeColor="text2" w:themeTint="E6"/>
          <w:sz w:val="28"/>
          <w:szCs w:val="28"/>
        </w:rPr>
        <w:t>Data Extraction Matrix</w:t>
      </w:r>
    </w:p>
    <w:p w14:paraId="476C6C50" w14:textId="77777777" w:rsidR="00BD14B9" w:rsidRPr="004D7E0A" w:rsidRDefault="00BD14B9" w:rsidP="008A4AED">
      <w:pPr>
        <w:spacing w:after="0"/>
        <w:jc w:val="both"/>
      </w:pPr>
      <w:r w:rsidRPr="004D7E0A">
        <w:t>Data extraction was conducted using a structured template designed to capture information relevant to the study's analytical objectives (Tsiskaridze, Reinhold and Järvis, 2023). For each included study, data were extracted on:</w:t>
      </w:r>
    </w:p>
    <w:p w14:paraId="25841F6B" w14:textId="77777777" w:rsidR="00BD14B9" w:rsidRPr="004D7E0A" w:rsidRDefault="00BD14B9" w:rsidP="001535C3">
      <w:pPr>
        <w:pStyle w:val="ListParagraph"/>
        <w:numPr>
          <w:ilvl w:val="0"/>
          <w:numId w:val="14"/>
        </w:numPr>
        <w:spacing w:after="0"/>
        <w:jc w:val="both"/>
      </w:pPr>
      <w:r w:rsidRPr="004D7E0A">
        <w:t>Bibliographic information: Author(s), year, journal/conference, DOI</w:t>
      </w:r>
    </w:p>
    <w:p w14:paraId="58B603FE" w14:textId="77777777" w:rsidR="00BD14B9" w:rsidRPr="004D7E0A" w:rsidRDefault="00BD14B9" w:rsidP="001535C3">
      <w:pPr>
        <w:pStyle w:val="ListParagraph"/>
        <w:numPr>
          <w:ilvl w:val="0"/>
          <w:numId w:val="14"/>
        </w:numPr>
        <w:spacing w:after="0"/>
        <w:jc w:val="both"/>
      </w:pPr>
      <w:r w:rsidRPr="004D7E0A">
        <w:t>Study characteristics: Research aims, methodological design, empirical context</w:t>
      </w:r>
    </w:p>
    <w:p w14:paraId="59C402FC" w14:textId="77777777" w:rsidR="00BD14B9" w:rsidRPr="004D7E0A" w:rsidRDefault="00BD14B9" w:rsidP="001535C3">
      <w:pPr>
        <w:pStyle w:val="ListParagraph"/>
        <w:numPr>
          <w:ilvl w:val="0"/>
          <w:numId w:val="14"/>
        </w:numPr>
        <w:spacing w:after="0"/>
        <w:jc w:val="both"/>
      </w:pPr>
      <w:r w:rsidRPr="004D7E0A">
        <w:t>Technical dimension: Algorithmic systems described, data practices, bias mitigation techniques</w:t>
      </w:r>
    </w:p>
    <w:p w14:paraId="4FB363F9" w14:textId="77777777" w:rsidR="00BD14B9" w:rsidRPr="004D7E0A" w:rsidRDefault="00BD14B9" w:rsidP="001535C3">
      <w:pPr>
        <w:pStyle w:val="ListParagraph"/>
        <w:numPr>
          <w:ilvl w:val="0"/>
          <w:numId w:val="14"/>
        </w:numPr>
        <w:spacing w:after="0"/>
        <w:jc w:val="both"/>
      </w:pPr>
      <w:r w:rsidRPr="004D7E0A">
        <w:t>Organisational dimension: Governance arrangements, decision authority, oversight mechanisms, vendor relationships</w:t>
      </w:r>
    </w:p>
    <w:p w14:paraId="300F2CE9" w14:textId="77777777" w:rsidR="00BD14B9" w:rsidRPr="004D7E0A" w:rsidRDefault="00BD14B9" w:rsidP="001535C3">
      <w:pPr>
        <w:pStyle w:val="ListParagraph"/>
        <w:numPr>
          <w:ilvl w:val="0"/>
          <w:numId w:val="14"/>
        </w:numPr>
        <w:spacing w:after="0"/>
        <w:jc w:val="both"/>
      </w:pPr>
      <w:r w:rsidRPr="004D7E0A">
        <w:t>Institutional dimension: Regulatory regimes, policy assumptions, cultural framings of fairness/accountability</w:t>
      </w:r>
    </w:p>
    <w:p w14:paraId="513ABE3C" w14:textId="77777777" w:rsidR="00BD14B9" w:rsidRPr="004D7E0A" w:rsidRDefault="00BD14B9" w:rsidP="001535C3">
      <w:pPr>
        <w:pStyle w:val="ListParagraph"/>
        <w:numPr>
          <w:ilvl w:val="0"/>
          <w:numId w:val="14"/>
        </w:numPr>
        <w:spacing w:after="0"/>
        <w:jc w:val="both"/>
      </w:pPr>
      <w:r w:rsidRPr="004D7E0A">
        <w:t xml:space="preserve">Geographical focus: Europe, East Asia (e.g. China, Japan, South Korea), Southeast Asia (e.g. </w:t>
      </w:r>
      <w:r w:rsidR="00FB623C">
        <w:t>Singapore, Indonesia), cross-regional; and whether the study context involves MNCs or domestic firms (CMS, 2025)</w:t>
      </w:r>
    </w:p>
    <w:p w14:paraId="55A0EA99" w14:textId="77777777" w:rsidR="00BD14B9" w:rsidRPr="004D7E0A" w:rsidRDefault="00BD14B9" w:rsidP="001535C3">
      <w:pPr>
        <w:pStyle w:val="ListParagraph"/>
        <w:numPr>
          <w:ilvl w:val="0"/>
          <w:numId w:val="14"/>
        </w:numPr>
        <w:spacing w:after="0"/>
        <w:jc w:val="both"/>
      </w:pPr>
      <w:r w:rsidRPr="004D7E0A">
        <w:t>Key findings: Related to fairness, bias, accountability, decision authority</w:t>
      </w:r>
    </w:p>
    <w:p w14:paraId="1954D184" w14:textId="77777777" w:rsidR="002F3BAD" w:rsidRDefault="00BD14B9" w:rsidP="001535C3">
      <w:pPr>
        <w:pStyle w:val="ListParagraph"/>
        <w:numPr>
          <w:ilvl w:val="0"/>
          <w:numId w:val="14"/>
        </w:numPr>
        <w:spacing w:after="0"/>
        <w:jc w:val="both"/>
      </w:pPr>
      <w:r w:rsidRPr="004D7E0A">
        <w:t>Limitations and future research directions (Tsiskaridze, Reinhold and Järvis, 2023</w:t>
      </w:r>
      <w:r w:rsidR="00FB623C">
        <w:t>)</w:t>
      </w:r>
    </w:p>
    <w:p w14:paraId="6EEEF1DC" w14:textId="65F677F0" w:rsidR="004D0636" w:rsidRPr="004D7E0A" w:rsidRDefault="00BD14B9" w:rsidP="008A4AED">
      <w:pPr>
        <w:jc w:val="both"/>
      </w:pPr>
      <w:r w:rsidRPr="004D7E0A">
        <w:t>This framework</w:t>
      </w:r>
      <w:r w:rsidR="00FB623C">
        <w:t>-</w:t>
      </w:r>
      <w:r w:rsidRPr="004D7E0A">
        <w:t>guided extraction ensured that data collection was not driven by emergent themes alone, but by theoretically informed analytical categories (</w:t>
      </w:r>
      <w:proofErr w:type="spellStart"/>
      <w:r w:rsidRPr="004D7E0A">
        <w:t>Prikshat</w:t>
      </w:r>
      <w:proofErr w:type="spellEnd"/>
      <w:r w:rsidR="00FB623C">
        <w:t>, Malik and Budhwar, 2023).</w:t>
      </w:r>
      <w:r w:rsidRPr="004D7E0A">
        <w:t xml:space="preserve"> At the same time, the extraction process remained open to inductive refinement, allowing unanticipated but relevant issues to be noted for further analysis (</w:t>
      </w:r>
      <w:proofErr w:type="spellStart"/>
      <w:r w:rsidRPr="004D7E0A">
        <w:t>Prikshat</w:t>
      </w:r>
      <w:proofErr w:type="spellEnd"/>
      <w:r w:rsidR="00FB623C">
        <w:t>, Malik and Budhwar, 2023).</w:t>
      </w:r>
    </w:p>
    <w:p w14:paraId="79236E46" w14:textId="77777777" w:rsidR="00BD14B9" w:rsidRPr="00E34ED9" w:rsidRDefault="00BD14B9" w:rsidP="008A4AED">
      <w:pPr>
        <w:pStyle w:val="Heading2"/>
        <w:jc w:val="both"/>
        <w:rPr>
          <w:b/>
          <w:bCs/>
        </w:rPr>
      </w:pPr>
      <w:bookmarkStart w:id="46" w:name="_Toc240996980"/>
      <w:r w:rsidRPr="00E34ED9">
        <w:rPr>
          <w:b/>
          <w:bCs/>
        </w:rPr>
        <w:lastRenderedPageBreak/>
        <w:t>3.7 Data Analysis and Synthesis</w:t>
      </w:r>
      <w:bookmarkEnd w:id="46"/>
    </w:p>
    <w:p w14:paraId="5F4A72E2" w14:textId="77777777" w:rsidR="00BD14B9" w:rsidRPr="009113FF" w:rsidRDefault="00BD14B9" w:rsidP="008A4AED">
      <w:pPr>
        <w:jc w:val="both"/>
        <w:rPr>
          <w:b/>
          <w:bCs/>
          <w:color w:val="153D63" w:themeColor="text2" w:themeTint="E6"/>
          <w:sz w:val="28"/>
          <w:szCs w:val="28"/>
        </w:rPr>
      </w:pPr>
      <w:r w:rsidRPr="009113FF">
        <w:rPr>
          <w:b/>
          <w:bCs/>
          <w:color w:val="153D63" w:themeColor="text2" w:themeTint="E6"/>
          <w:sz w:val="28"/>
          <w:szCs w:val="28"/>
        </w:rPr>
        <w:t>Thematic Synthesis</w:t>
      </w:r>
    </w:p>
    <w:p w14:paraId="46381043" w14:textId="77777777" w:rsidR="00BD14B9" w:rsidRPr="004D7E0A" w:rsidRDefault="00BD14B9" w:rsidP="008A4AED">
      <w:pPr>
        <w:jc w:val="both"/>
      </w:pPr>
      <w:r w:rsidRPr="004D7E0A">
        <w:t>The study employs thematic synthesis to identify recurring concepts and patterns across the reviewed literature (Thomas and Harden, 2008). This approach enables comparison of how similar governance challenges are conceptualised, evidenced or contested across different methodological and institutional contexts (Mujtaba and Mahapatra, 2025).</w:t>
      </w:r>
    </w:p>
    <w:p w14:paraId="0E929DAD" w14:textId="6FD4C0D7" w:rsidR="006D0C33" w:rsidRPr="004D7E0A" w:rsidRDefault="00BD14B9" w:rsidP="008A4AED">
      <w:pPr>
        <w:jc w:val="both"/>
      </w:pPr>
      <w:r w:rsidRPr="004D7E0A">
        <w:t>Thematic synthesis was conducted in three stages: (1) coding of text line</w:t>
      </w:r>
      <w:r w:rsidR="0030519D">
        <w:t>-</w:t>
      </w:r>
      <w:r w:rsidRPr="004D7E0A">
        <w:t>by</w:t>
      </w:r>
      <w:r w:rsidR="0030519D">
        <w:t>-</w:t>
      </w:r>
      <w:r w:rsidRPr="004D7E0A">
        <w:t>line, (2) organisation of codes into descriptive themes, and (3) development of analytical themes that address the research questions (</w:t>
      </w:r>
      <w:r w:rsidR="0030519D">
        <w:t>Thomas and Harden, 2008).</w:t>
      </w:r>
    </w:p>
    <w:p w14:paraId="10C955A1" w14:textId="77777777" w:rsidR="00BD14B9" w:rsidRPr="009113FF" w:rsidRDefault="00BD14B9" w:rsidP="008A4AED">
      <w:pPr>
        <w:jc w:val="both"/>
        <w:rPr>
          <w:b/>
          <w:bCs/>
          <w:color w:val="153D63" w:themeColor="text2" w:themeTint="E6"/>
          <w:sz w:val="28"/>
          <w:szCs w:val="28"/>
        </w:rPr>
      </w:pPr>
      <w:r w:rsidRPr="009113FF">
        <w:rPr>
          <w:b/>
          <w:bCs/>
          <w:color w:val="153D63" w:themeColor="text2" w:themeTint="E6"/>
          <w:sz w:val="28"/>
          <w:szCs w:val="28"/>
        </w:rPr>
        <w:t>Bibliometric Analysis</w:t>
      </w:r>
    </w:p>
    <w:p w14:paraId="585185FF" w14:textId="77777777" w:rsidR="00524A3D" w:rsidRDefault="00524A3D" w:rsidP="008A4AED">
      <w:pPr>
        <w:jc w:val="both"/>
      </w:pPr>
      <w:r>
        <w:t xml:space="preserve">Bibliometric analysis was conducted to map publication trends, citation networks and key contributors in the field (Tsiskaridze, Reinhold and Järvis, 2023). This analysis provides context for understanding the intellectual structure of AI recruitment research and identifies influential works that shape current debates (Rigotti and </w:t>
      </w:r>
      <w:proofErr w:type="spellStart"/>
      <w:r>
        <w:t>Fosch</w:t>
      </w:r>
      <w:proofErr w:type="spellEnd"/>
      <w:r>
        <w:t>-Villaronga, 2024).</w:t>
      </w:r>
    </w:p>
    <w:p w14:paraId="4DA9E296" w14:textId="4A8E7436" w:rsidR="0030519D" w:rsidRPr="004D7E0A" w:rsidRDefault="00BD14B9" w:rsidP="008A4AED">
      <w:pPr>
        <w:jc w:val="both"/>
      </w:pPr>
      <w:r w:rsidRPr="004D7E0A">
        <w:t>Key bibliometric indicators included: publication year distribution, most</w:t>
      </w:r>
      <w:r w:rsidR="00524A3D">
        <w:t>-</w:t>
      </w:r>
      <w:r w:rsidRPr="004D7E0A">
        <w:t>cited authors and articles, journal outlets, and geographical focus of studies. This analysis reveals the dominance of European regulatory scholarship and North American technical research, with comparatively fewer high</w:t>
      </w:r>
      <w:r w:rsidR="00524A3D">
        <w:t>-</w:t>
      </w:r>
      <w:r w:rsidRPr="004D7E0A">
        <w:t>quality organisational studies from East Asia (CMS, 2025).</w:t>
      </w:r>
    </w:p>
    <w:p w14:paraId="1CCCB46E" w14:textId="77777777" w:rsidR="00BD14B9" w:rsidRPr="00C1622F" w:rsidRDefault="00BD14B9" w:rsidP="008A4AED">
      <w:pPr>
        <w:jc w:val="both"/>
        <w:rPr>
          <w:b/>
          <w:bCs/>
          <w:color w:val="153D63" w:themeColor="text2" w:themeTint="E6"/>
          <w:sz w:val="28"/>
          <w:szCs w:val="28"/>
        </w:rPr>
      </w:pPr>
      <w:proofErr w:type="spellStart"/>
      <w:r w:rsidRPr="00C1622F">
        <w:rPr>
          <w:b/>
          <w:bCs/>
          <w:color w:val="153D63" w:themeColor="text2" w:themeTint="E6"/>
          <w:sz w:val="28"/>
          <w:szCs w:val="28"/>
        </w:rPr>
        <w:t>BERTopic</w:t>
      </w:r>
      <w:proofErr w:type="spellEnd"/>
      <w:r w:rsidRPr="00C1622F">
        <w:rPr>
          <w:b/>
          <w:bCs/>
          <w:color w:val="153D63" w:themeColor="text2" w:themeTint="E6"/>
          <w:sz w:val="28"/>
          <w:szCs w:val="28"/>
        </w:rPr>
        <w:t xml:space="preserve"> Analysis</w:t>
      </w:r>
    </w:p>
    <w:p w14:paraId="5E194904" w14:textId="77777777" w:rsidR="00AD6466" w:rsidRDefault="00AD6466" w:rsidP="008A4AED">
      <w:pPr>
        <w:jc w:val="both"/>
      </w:pPr>
      <w:proofErr w:type="spellStart"/>
      <w:r>
        <w:t>BERTopic</w:t>
      </w:r>
      <w:proofErr w:type="spellEnd"/>
      <w:r>
        <w:t xml:space="preserve"> analysis was applied to identify latent topics and thematic clusters within the corpus of reviewed studies (Grootendorp, 2022). This computational approach complements manual thematic synthesis by revealing patterns that may not be immediately apparent through traditional coding (Rao et al., 2025).</w:t>
      </w:r>
    </w:p>
    <w:p w14:paraId="43AF78A3" w14:textId="0B130E07" w:rsidR="00016B1E" w:rsidRDefault="00BD14B9" w:rsidP="008A4AED">
      <w:pPr>
        <w:jc w:val="both"/>
      </w:pPr>
      <w:proofErr w:type="spellStart"/>
      <w:r w:rsidRPr="004D7E0A">
        <w:t>BERTopic</w:t>
      </w:r>
      <w:proofErr w:type="spellEnd"/>
      <w:r w:rsidRPr="004D7E0A">
        <w:t xml:space="preserve"> uses transformer</w:t>
      </w:r>
      <w:r w:rsidR="00AD6466">
        <w:t>-</w:t>
      </w:r>
      <w:r w:rsidRPr="004D7E0A">
        <w:t xml:space="preserve">based embeddings to group documents by semantic similarity, enabling identification of emergent topics such as </w:t>
      </w:r>
      <w:r w:rsidR="00AD6466">
        <w:t>'algorithmic accountability', 'human-</w:t>
      </w:r>
      <w:r w:rsidRPr="004D7E0A">
        <w:t>in</w:t>
      </w:r>
      <w:r w:rsidR="00AD6466">
        <w:t>-</w:t>
      </w:r>
      <w:r w:rsidRPr="004D7E0A">
        <w:t>the</w:t>
      </w:r>
      <w:r w:rsidR="00AD6466">
        <w:t>-</w:t>
      </w:r>
      <w:r w:rsidRPr="004D7E0A">
        <w:t xml:space="preserve">loop </w:t>
      </w:r>
      <w:r w:rsidR="00AD6466">
        <w:t>governance', 'cross-</w:t>
      </w:r>
      <w:r w:rsidRPr="004D7E0A">
        <w:t xml:space="preserve">border </w:t>
      </w:r>
      <w:r w:rsidR="00AD6466">
        <w:t>compliance' and 'cultural</w:t>
      </w:r>
      <w:r w:rsidRPr="004D7E0A">
        <w:t xml:space="preserve"> bias in AI </w:t>
      </w:r>
      <w:r w:rsidR="00AD6466">
        <w:t>hiring'</w:t>
      </w:r>
      <w:r w:rsidRPr="004D7E0A">
        <w:t xml:space="preserve"> (Rao et al., 2025).</w:t>
      </w:r>
    </w:p>
    <w:p w14:paraId="763C97AD" w14:textId="77777777" w:rsidR="00444E6D" w:rsidRDefault="00444E6D" w:rsidP="008A4AED">
      <w:pPr>
        <w:jc w:val="both"/>
      </w:pPr>
    </w:p>
    <w:p w14:paraId="784659B6" w14:textId="77777777" w:rsidR="00444E6D" w:rsidRDefault="00444E6D" w:rsidP="008A4AED">
      <w:pPr>
        <w:jc w:val="both"/>
      </w:pPr>
    </w:p>
    <w:p w14:paraId="395D071F" w14:textId="77777777" w:rsidR="00444E6D" w:rsidRPr="004D7E0A" w:rsidRDefault="00444E6D" w:rsidP="008A4AED">
      <w:pPr>
        <w:jc w:val="both"/>
      </w:pPr>
    </w:p>
    <w:p w14:paraId="5F5DE3D2" w14:textId="77777777" w:rsidR="00BD14B9" w:rsidRPr="00C636AF" w:rsidRDefault="00BD14B9" w:rsidP="008A4AED">
      <w:pPr>
        <w:jc w:val="both"/>
        <w:rPr>
          <w:b/>
          <w:bCs/>
        </w:rPr>
      </w:pPr>
      <w:r w:rsidRPr="00C636AF">
        <w:rPr>
          <w:b/>
          <w:color w:val="153D63" w:themeColor="text2" w:themeTint="E6"/>
          <w:sz w:val="28"/>
          <w:szCs w:val="28"/>
        </w:rPr>
        <w:t>Comparative Synthesis: Europe vs East/Southeast Asia</w:t>
      </w:r>
    </w:p>
    <w:p w14:paraId="79C68150" w14:textId="77777777" w:rsidR="005A798F" w:rsidRDefault="005A798F" w:rsidP="008A4AED">
      <w:pPr>
        <w:jc w:val="both"/>
      </w:pPr>
      <w:r>
        <w:t>Evidence was synthesised using a comparative analytical approach, organised around the study's analytical dimensions derived from the conceptual framework (Chapter 2, Section 2.10) (</w:t>
      </w:r>
      <w:proofErr w:type="spellStart"/>
      <w:r>
        <w:t>Prikshat</w:t>
      </w:r>
      <w:proofErr w:type="spellEnd"/>
      <w:r>
        <w:t>, Malik and Budhwar, 2023):</w:t>
      </w:r>
    </w:p>
    <w:p w14:paraId="1DC81B9A" w14:textId="77777777" w:rsidR="00BD14B9" w:rsidRPr="004D7E0A" w:rsidRDefault="00BD14B9" w:rsidP="001535C3">
      <w:pPr>
        <w:pStyle w:val="ListParagraph"/>
        <w:numPr>
          <w:ilvl w:val="0"/>
          <w:numId w:val="15"/>
        </w:numPr>
        <w:jc w:val="both"/>
      </w:pPr>
      <w:r w:rsidRPr="00795F39">
        <w:rPr>
          <w:b/>
        </w:rPr>
        <w:t>Technical dimension:</w:t>
      </w:r>
      <w:r w:rsidRPr="004D7E0A">
        <w:t xml:space="preserve"> Algorithm design, data practices and bias mitigation.</w:t>
      </w:r>
    </w:p>
    <w:p w14:paraId="20D79BBE" w14:textId="77777777" w:rsidR="00BD14B9" w:rsidRPr="004D7E0A" w:rsidRDefault="00BD14B9" w:rsidP="001535C3">
      <w:pPr>
        <w:pStyle w:val="ListParagraph"/>
        <w:numPr>
          <w:ilvl w:val="0"/>
          <w:numId w:val="15"/>
        </w:numPr>
        <w:jc w:val="both"/>
      </w:pPr>
      <w:r w:rsidRPr="00795F39">
        <w:rPr>
          <w:b/>
        </w:rPr>
        <w:t xml:space="preserve">Organisational dimension: </w:t>
      </w:r>
      <w:r w:rsidRPr="004D7E0A">
        <w:t>Governance structures, decision authority and accountability.</w:t>
      </w:r>
    </w:p>
    <w:p w14:paraId="0A7E95BA" w14:textId="77777777" w:rsidR="00BD14B9" w:rsidRPr="004D7E0A" w:rsidRDefault="00BD14B9" w:rsidP="001535C3">
      <w:pPr>
        <w:pStyle w:val="ListParagraph"/>
        <w:numPr>
          <w:ilvl w:val="0"/>
          <w:numId w:val="15"/>
        </w:numPr>
        <w:jc w:val="both"/>
      </w:pPr>
      <w:r w:rsidRPr="00795F39">
        <w:rPr>
          <w:b/>
        </w:rPr>
        <w:t xml:space="preserve">Institutional dimension: </w:t>
      </w:r>
      <w:r w:rsidRPr="004D7E0A">
        <w:t>Regulatory regimes and cultural expectations across Europe and East Asia.</w:t>
      </w:r>
    </w:p>
    <w:p w14:paraId="3542C1E9" w14:textId="1EFED35F" w:rsidR="00BD14B9" w:rsidRPr="004D7E0A" w:rsidRDefault="00BD14B9" w:rsidP="008A4AED">
      <w:pPr>
        <w:jc w:val="both"/>
      </w:pPr>
      <w:r w:rsidRPr="004D7E0A">
        <w:lastRenderedPageBreak/>
        <w:t>Within each theme, findings were compared across European and Asian contexts to identify convergent and divergent patterns (CMS, 2025). For example, European studies emphasise GDPR compliance and AI Act risk assessments, while East Asian studies focus more on market</w:t>
      </w:r>
      <w:r w:rsidR="005A798F">
        <w:t>-</w:t>
      </w:r>
      <w:r w:rsidRPr="004D7E0A">
        <w:t>led adoption and voluntary guidelines (</w:t>
      </w:r>
      <w:r w:rsidR="005A798F">
        <w:t>CMS</w:t>
      </w:r>
      <w:r w:rsidRPr="004D7E0A">
        <w:t>, 2025).</w:t>
      </w:r>
    </w:p>
    <w:p w14:paraId="0B1E916A" w14:textId="40ADBD81" w:rsidR="00E82121" w:rsidRPr="004D7E0A" w:rsidRDefault="005A798F" w:rsidP="008A4AED">
      <w:pPr>
        <w:jc w:val="both"/>
      </w:pPr>
      <w:r>
        <w:t>Where evidence was conflicting or inconclusive, this was explicitly noted to avoid over-generalisation (Mujtaba and Mahapatra, 2025).</w:t>
      </w:r>
    </w:p>
    <w:p w14:paraId="27F74C12" w14:textId="77777777" w:rsidR="00BD14B9" w:rsidRPr="006B335A" w:rsidRDefault="00BD14B9" w:rsidP="008A4AED">
      <w:pPr>
        <w:pStyle w:val="Heading2"/>
        <w:jc w:val="both"/>
        <w:rPr>
          <w:b/>
          <w:bCs/>
        </w:rPr>
      </w:pPr>
      <w:bookmarkStart w:id="47" w:name="_Toc240996981"/>
      <w:r w:rsidRPr="006B335A">
        <w:rPr>
          <w:b/>
          <w:bCs/>
        </w:rPr>
        <w:t>3.8 Ethical Considerations, Rigour and Limitations</w:t>
      </w:r>
      <w:bookmarkEnd w:id="47"/>
    </w:p>
    <w:p w14:paraId="552E1558" w14:textId="77777777" w:rsidR="00BD14B9" w:rsidRPr="006B335A" w:rsidRDefault="00BD14B9" w:rsidP="008A4AED">
      <w:pPr>
        <w:jc w:val="both"/>
        <w:rPr>
          <w:b/>
          <w:bCs/>
          <w:color w:val="153D63" w:themeColor="text2" w:themeTint="E6"/>
          <w:sz w:val="28"/>
          <w:szCs w:val="28"/>
        </w:rPr>
      </w:pPr>
      <w:r w:rsidRPr="006B335A">
        <w:rPr>
          <w:b/>
          <w:bCs/>
          <w:color w:val="153D63" w:themeColor="text2" w:themeTint="E6"/>
          <w:sz w:val="28"/>
          <w:szCs w:val="28"/>
        </w:rPr>
        <w:t>Ethical Considerations</w:t>
      </w:r>
    </w:p>
    <w:p w14:paraId="39DD21E3" w14:textId="77777777" w:rsidR="0065201B" w:rsidRDefault="0065201B" w:rsidP="008A4AED">
      <w:pPr>
        <w:jc w:val="both"/>
      </w:pPr>
      <w:r>
        <w:t>Although this research does not involve human participants or primary data collection, ethical considerations remain integral to the conduct of high-quality secondary research (Tsiskaridze, Reinhold and Järvis, 2023). The study adheres to principles of responsible citation, accurate representation and analytical restraint, ensuring that all sources are properly acknowledged and interpreted within their original methodological and contextual limitations (Booth, Sutton and Papaioannou, 2016).</w:t>
      </w:r>
    </w:p>
    <w:p w14:paraId="62320D1B" w14:textId="7369CCEA" w:rsidR="00795F39" w:rsidRDefault="00BD14B9" w:rsidP="008A4AED">
      <w:pPr>
        <w:jc w:val="both"/>
      </w:pPr>
      <w:r w:rsidRPr="004D7E0A">
        <w:t>Given the contested nature of algorithmic fairness and governance debates, particular care is taken to avoid misrepresentation of normative claims. Studies advancing strong ethical or policy positions are situated within their evidentiary context, and no claims are extrapolated beyond what the underlying data support (</w:t>
      </w:r>
      <w:r w:rsidR="0065201B">
        <w:t xml:space="preserve">Rigotti and </w:t>
      </w:r>
      <w:proofErr w:type="spellStart"/>
      <w:r w:rsidR="0065201B">
        <w:t>Fosch</w:t>
      </w:r>
      <w:proofErr w:type="spellEnd"/>
      <w:r w:rsidR="0065201B">
        <w:t>-Villaronga, 2024).</w:t>
      </w:r>
    </w:p>
    <w:p w14:paraId="4F807726" w14:textId="77777777" w:rsidR="00257E54" w:rsidRPr="004D7E0A" w:rsidRDefault="00257E54" w:rsidP="008A4AED">
      <w:pPr>
        <w:jc w:val="both"/>
      </w:pPr>
    </w:p>
    <w:p w14:paraId="1DDB39FF" w14:textId="77777777" w:rsidR="00BD14B9" w:rsidRPr="004424E2" w:rsidRDefault="00BD14B9" w:rsidP="008A4AED">
      <w:pPr>
        <w:jc w:val="both"/>
        <w:rPr>
          <w:b/>
          <w:bCs/>
          <w:color w:val="153D63" w:themeColor="text2" w:themeTint="E6"/>
          <w:sz w:val="28"/>
          <w:szCs w:val="28"/>
        </w:rPr>
      </w:pPr>
      <w:r w:rsidRPr="004424E2">
        <w:rPr>
          <w:b/>
          <w:bCs/>
          <w:color w:val="153D63" w:themeColor="text2" w:themeTint="E6"/>
          <w:sz w:val="28"/>
          <w:szCs w:val="28"/>
        </w:rPr>
        <w:t>Research Rigour</w:t>
      </w:r>
    </w:p>
    <w:p w14:paraId="7E4C9D29" w14:textId="77777777" w:rsidR="00BD14B9" w:rsidRPr="004D7E0A" w:rsidRDefault="00BD14B9" w:rsidP="008A4AED">
      <w:pPr>
        <w:pStyle w:val="ListParagraph"/>
        <w:numPr>
          <w:ilvl w:val="0"/>
          <w:numId w:val="2"/>
        </w:numPr>
        <w:jc w:val="both"/>
      </w:pPr>
      <w:r w:rsidRPr="004D7E0A">
        <w:t>Transparency: The SLR protocol, including search strings, eligibility criteria and quality appraisal methods, is documented to enable replication and scrutiny (Page et al., 2021).</w:t>
      </w:r>
    </w:p>
    <w:p w14:paraId="5C363091" w14:textId="77777777" w:rsidR="00BD14B9" w:rsidRPr="004D7E0A" w:rsidRDefault="00BD14B9" w:rsidP="008A4AED">
      <w:pPr>
        <w:pStyle w:val="ListParagraph"/>
        <w:numPr>
          <w:ilvl w:val="0"/>
          <w:numId w:val="2"/>
        </w:numPr>
        <w:jc w:val="both"/>
      </w:pPr>
      <w:r w:rsidRPr="004D7E0A">
        <w:t>Reliability: Data extraction was performed by the researcher and verified through spot</w:t>
      </w:r>
      <w:r w:rsidRPr="004424E2">
        <w:rPr>
          <w:rFonts w:ascii="Cambria Math" w:hAnsi="Cambria Math" w:cs="Cambria Math"/>
        </w:rPr>
        <w:t>‑</w:t>
      </w:r>
      <w:r w:rsidRPr="004D7E0A">
        <w:t>checks to ensure consistency and accuracy (Booth, Sutton and Papaioannou, 2016).</w:t>
      </w:r>
    </w:p>
    <w:p w14:paraId="3CDD8FC3" w14:textId="77777777" w:rsidR="007103EB" w:rsidRDefault="00BD14B9" w:rsidP="008A4AED">
      <w:pPr>
        <w:pStyle w:val="ListParagraph"/>
        <w:numPr>
          <w:ilvl w:val="0"/>
          <w:numId w:val="2"/>
        </w:numPr>
        <w:jc w:val="both"/>
      </w:pPr>
      <w:r w:rsidRPr="004D7E0A">
        <w:t>Validity/Credibility: The conceptual framework guided data extraction and coding, ensuring theoretical coherence while remaining open to inductive refinement (</w:t>
      </w:r>
      <w:proofErr w:type="spellStart"/>
      <w:r w:rsidRPr="004D7E0A">
        <w:t>Prikshat</w:t>
      </w:r>
      <w:proofErr w:type="spellEnd"/>
      <w:r w:rsidR="001161EE" w:rsidRPr="001161EE">
        <w:t>, Malik and Budhwar,</w:t>
      </w:r>
      <w:r w:rsidRPr="004D7E0A">
        <w:t xml:space="preserve"> 2023</w:t>
      </w:r>
      <w:r w:rsidR="00380265" w:rsidRPr="004D7E0A">
        <w:t>).</w:t>
      </w:r>
    </w:p>
    <w:p w14:paraId="5521D9E5" w14:textId="40621DAE" w:rsidR="00BD14B9" w:rsidRDefault="00380265" w:rsidP="008A4AED">
      <w:pPr>
        <w:pStyle w:val="ListParagraph"/>
        <w:numPr>
          <w:ilvl w:val="0"/>
          <w:numId w:val="2"/>
        </w:numPr>
        <w:jc w:val="both"/>
      </w:pPr>
      <w:r w:rsidRPr="004D7E0A">
        <w:t xml:space="preserve"> Reproducibility</w:t>
      </w:r>
      <w:r w:rsidR="00BD14B9" w:rsidRPr="004D7E0A">
        <w:t xml:space="preserve">: All methodological decisions are documented in detail, enabling other researchers to replicate the review process (Rigotti and </w:t>
      </w:r>
      <w:proofErr w:type="spellStart"/>
      <w:r w:rsidR="00BD14B9" w:rsidRPr="004D7E0A">
        <w:t>Fosch</w:t>
      </w:r>
      <w:proofErr w:type="spellEnd"/>
      <w:r w:rsidR="00BD14B9" w:rsidRPr="004424E2">
        <w:rPr>
          <w:rFonts w:ascii="Cambria Math" w:hAnsi="Cambria Math" w:cs="Cambria Math"/>
        </w:rPr>
        <w:t>‑</w:t>
      </w:r>
      <w:r w:rsidR="00BD14B9" w:rsidRPr="004D7E0A">
        <w:t>Villaronga, 2024).</w:t>
      </w:r>
    </w:p>
    <w:p w14:paraId="0DAC3B9D" w14:textId="77777777" w:rsidR="00966669" w:rsidRDefault="00966669" w:rsidP="00966669">
      <w:pPr>
        <w:jc w:val="both"/>
      </w:pPr>
    </w:p>
    <w:p w14:paraId="63089D3D" w14:textId="77777777" w:rsidR="00966669" w:rsidRDefault="00966669" w:rsidP="00966669">
      <w:pPr>
        <w:jc w:val="both"/>
      </w:pPr>
    </w:p>
    <w:p w14:paraId="7A1EF1FE" w14:textId="77777777" w:rsidR="00966669" w:rsidRPr="004D7E0A" w:rsidRDefault="00966669" w:rsidP="00966669">
      <w:pPr>
        <w:jc w:val="both"/>
      </w:pPr>
    </w:p>
    <w:p w14:paraId="0EB100C8" w14:textId="77777777" w:rsidR="00BD14B9" w:rsidRPr="00F53A19" w:rsidRDefault="00BD14B9" w:rsidP="008A4AED">
      <w:pPr>
        <w:jc w:val="both"/>
        <w:rPr>
          <w:b/>
          <w:bCs/>
          <w:color w:val="153D63" w:themeColor="text2" w:themeTint="E6"/>
          <w:sz w:val="28"/>
          <w:szCs w:val="28"/>
        </w:rPr>
      </w:pPr>
      <w:r w:rsidRPr="00F53A19">
        <w:rPr>
          <w:b/>
          <w:bCs/>
          <w:color w:val="153D63" w:themeColor="text2" w:themeTint="E6"/>
          <w:sz w:val="28"/>
          <w:szCs w:val="28"/>
        </w:rPr>
        <w:t>Methodological Limitations</w:t>
      </w:r>
    </w:p>
    <w:p w14:paraId="3777C349" w14:textId="77777777" w:rsidR="00BD14B9" w:rsidRPr="004D7E0A" w:rsidRDefault="00BD14B9" w:rsidP="008A4AED">
      <w:pPr>
        <w:jc w:val="both"/>
      </w:pPr>
      <w:r w:rsidRPr="004D7E0A">
        <w:t>Several methodological limitations are acknowledged (Tsiskaridze, Reinhold and Järvis, 2023):</w:t>
      </w:r>
    </w:p>
    <w:p w14:paraId="088B9E11" w14:textId="77777777" w:rsidR="00BD14B9" w:rsidRPr="004D7E0A" w:rsidRDefault="00BD14B9" w:rsidP="001535C3">
      <w:pPr>
        <w:pStyle w:val="ListParagraph"/>
        <w:numPr>
          <w:ilvl w:val="0"/>
          <w:numId w:val="7"/>
        </w:numPr>
        <w:jc w:val="both"/>
      </w:pPr>
      <w:r w:rsidRPr="004D7E0A">
        <w:t>Secondary data reliance: The research relies exclusively on peer</w:t>
      </w:r>
      <w:r w:rsidRPr="00F53A19">
        <w:rPr>
          <w:rFonts w:ascii="Cambria Math" w:hAnsi="Cambria Math" w:cs="Cambria Math"/>
        </w:rPr>
        <w:t>‑</w:t>
      </w:r>
      <w:r w:rsidRPr="004D7E0A">
        <w:t>reviewed academic literature, rather than generating primary empirical evidence. Access to firm</w:t>
      </w:r>
      <w:r w:rsidRPr="00F53A19">
        <w:rPr>
          <w:rFonts w:ascii="Cambria Math" w:hAnsi="Cambria Math" w:cs="Cambria Math"/>
        </w:rPr>
        <w:t>‑</w:t>
      </w:r>
      <w:r w:rsidRPr="004D7E0A">
        <w:t>level, longitudinal studies of algorithmic recruitment governance—particularly within MNCs—remains limited (Petticrew and Roberts, 2006).</w:t>
      </w:r>
    </w:p>
    <w:p w14:paraId="6F3B9DC8" w14:textId="77777777" w:rsidR="00BD14B9" w:rsidRPr="004D7E0A" w:rsidRDefault="00BD14B9" w:rsidP="001535C3">
      <w:pPr>
        <w:pStyle w:val="ListParagraph"/>
        <w:numPr>
          <w:ilvl w:val="0"/>
          <w:numId w:val="7"/>
        </w:numPr>
        <w:jc w:val="both"/>
      </w:pPr>
      <w:r w:rsidRPr="004D7E0A">
        <w:lastRenderedPageBreak/>
        <w:t>Language bias: The review is limited to English</w:t>
      </w:r>
      <w:r w:rsidRPr="00F53A19">
        <w:rPr>
          <w:rFonts w:ascii="Cambria Math" w:hAnsi="Cambria Math" w:cs="Cambria Math"/>
        </w:rPr>
        <w:t>‑</w:t>
      </w:r>
      <w:r w:rsidRPr="004D7E0A">
        <w:t>language publications, which may exclude relevant studies published in Chinese, Japanese, Korean or other languages (Rao et al., 2025).</w:t>
      </w:r>
    </w:p>
    <w:p w14:paraId="5D20F6EB" w14:textId="77777777" w:rsidR="00BD14B9" w:rsidRPr="004D7E0A" w:rsidRDefault="00BD14B9" w:rsidP="001535C3">
      <w:pPr>
        <w:pStyle w:val="ListParagraph"/>
        <w:numPr>
          <w:ilvl w:val="0"/>
          <w:numId w:val="7"/>
        </w:numPr>
        <w:jc w:val="both"/>
      </w:pPr>
      <w:r w:rsidRPr="004D7E0A">
        <w:t>Database coverage: Despite searching multiple databases, some relevant studies may not be indexed in the selected sources.</w:t>
      </w:r>
    </w:p>
    <w:p w14:paraId="54AD798D" w14:textId="77777777" w:rsidR="00BD14B9" w:rsidRPr="004D7E0A" w:rsidRDefault="00BD14B9" w:rsidP="001535C3">
      <w:pPr>
        <w:pStyle w:val="ListParagraph"/>
        <w:numPr>
          <w:ilvl w:val="0"/>
          <w:numId w:val="7"/>
        </w:numPr>
        <w:jc w:val="both"/>
      </w:pPr>
      <w:r w:rsidRPr="004D7E0A">
        <w:t>Heterogeneity of studies: Variability in research designs, theoretical frameworks and outcome measures may limit direct comparability across studies (Tsiskaridze, Reinhold and Järvis, 2023).</w:t>
      </w:r>
    </w:p>
    <w:p w14:paraId="1E1CEA72" w14:textId="77777777" w:rsidR="00BD14B9" w:rsidRPr="004D7E0A" w:rsidRDefault="00BD14B9" w:rsidP="001535C3">
      <w:pPr>
        <w:pStyle w:val="ListParagraph"/>
        <w:numPr>
          <w:ilvl w:val="0"/>
          <w:numId w:val="7"/>
        </w:numPr>
        <w:jc w:val="both"/>
      </w:pPr>
      <w:r w:rsidRPr="004D7E0A">
        <w:t>Rapidly evolving field: The AI recruitment landscape and regulatory environment are changing quickly. Some included studies may predate key developments such as the full implementation of the EU AI Act (European Commission, 2024; CMS, 2025).</w:t>
      </w:r>
    </w:p>
    <w:p w14:paraId="565AD12F" w14:textId="77777777" w:rsidR="00BD14B9" w:rsidRPr="004D7E0A" w:rsidRDefault="00BD14B9" w:rsidP="008A4AED">
      <w:pPr>
        <w:jc w:val="both"/>
      </w:pPr>
      <w:r w:rsidRPr="004D7E0A">
        <w:t>These limitations are considered when interpreting findings and drawing conclusions in Chapters 4 and 5 (</w:t>
      </w:r>
      <w:proofErr w:type="spellStart"/>
      <w:r w:rsidRPr="004D7E0A">
        <w:t>Tranfield</w:t>
      </w:r>
      <w:proofErr w:type="spellEnd"/>
      <w:r w:rsidRPr="004D7E0A">
        <w:t>, Denyer and Smart, 2003).</w:t>
      </w:r>
    </w:p>
    <w:p w14:paraId="7517D3A2" w14:textId="77777777" w:rsidR="00BD14B9" w:rsidRPr="001C65EC" w:rsidRDefault="00BD14B9" w:rsidP="008A4AED">
      <w:pPr>
        <w:pStyle w:val="Heading2"/>
        <w:jc w:val="both"/>
        <w:rPr>
          <w:b/>
          <w:bCs/>
        </w:rPr>
      </w:pPr>
      <w:bookmarkStart w:id="48" w:name="_Toc240996982"/>
      <w:r w:rsidRPr="001C65EC">
        <w:rPr>
          <w:b/>
          <w:bCs/>
        </w:rPr>
        <w:t>3.9 Chapter Summary</w:t>
      </w:r>
      <w:bookmarkEnd w:id="48"/>
    </w:p>
    <w:p w14:paraId="2E1EECB5" w14:textId="77777777" w:rsidR="00BD14B9" w:rsidRPr="004D7E0A" w:rsidRDefault="00BD14B9" w:rsidP="008A4AED">
      <w:pPr>
        <w:jc w:val="both"/>
      </w:pPr>
      <w:r w:rsidRPr="004D7E0A">
        <w:t>This chapter has detailed the methodological foundations of the study, demonstrating how the conceptual framework developed in Chapter 2 is operationalised through a rigorous, theory</w:t>
      </w:r>
      <w:r w:rsidRPr="004D7E0A">
        <w:rPr>
          <w:rFonts w:ascii="Cambria Math" w:hAnsi="Cambria Math" w:cs="Cambria Math"/>
        </w:rPr>
        <w:t>‑</w:t>
      </w:r>
      <w:r w:rsidRPr="004D7E0A">
        <w:t xml:space="preserve">driven systematic literature review and integrative synthesis (Rigotti and </w:t>
      </w:r>
      <w:proofErr w:type="spellStart"/>
      <w:r w:rsidRPr="004D7E0A">
        <w:t>Fosch</w:t>
      </w:r>
      <w:proofErr w:type="spellEnd"/>
      <w:r w:rsidRPr="004D7E0A">
        <w:rPr>
          <w:rFonts w:ascii="Cambria Math" w:hAnsi="Cambria Math" w:cs="Cambria Math"/>
        </w:rPr>
        <w:t>‑</w:t>
      </w:r>
      <w:r w:rsidRPr="004D7E0A">
        <w:t>Villaronga, 2024). It has shown how evidence was systematically identified, appraised, weighted, extracted and analysed, addressing directly the concerns regarding rigour, reliability and framework–data alignment (Page et al., 2021).</w:t>
      </w:r>
    </w:p>
    <w:p w14:paraId="736BA328" w14:textId="4B773F8C" w:rsidR="00BD14B9" w:rsidRPr="004D7E0A" w:rsidRDefault="00BD14B9" w:rsidP="008A4AED">
      <w:pPr>
        <w:jc w:val="both"/>
      </w:pPr>
      <w:r w:rsidRPr="004D7E0A">
        <w:t xml:space="preserve">The chapter established the interpretivist philosophy and inductive approach, justified the qualitative SLR design, specified the search strategy and selection criteria, explained quality appraisal and data extraction procedures, and outlined thematic, bibliometric and </w:t>
      </w:r>
      <w:proofErr w:type="spellStart"/>
      <w:r w:rsidRPr="004D7E0A">
        <w:t>BERTopic</w:t>
      </w:r>
      <w:proofErr w:type="spellEnd"/>
      <w:r w:rsidRPr="004D7E0A">
        <w:t xml:space="preserve"> synthesis methods (</w:t>
      </w:r>
      <w:proofErr w:type="spellStart"/>
      <w:r w:rsidRPr="004D7E0A">
        <w:t>Prikshat</w:t>
      </w:r>
      <w:proofErr w:type="spellEnd"/>
      <w:r w:rsidR="00764515" w:rsidRPr="00764515">
        <w:t>, Malik and Budhwar, 2023).</w:t>
      </w:r>
      <w:r w:rsidRPr="004D7E0A">
        <w:t xml:space="preserve"> Ethical considerations and methodological limitations were addressed to demonstrate intellectual honesty and control over the research process (Booth, Sutton and Papaioannou, 2016).</w:t>
      </w:r>
    </w:p>
    <w:p w14:paraId="035F39B5" w14:textId="77777777" w:rsidR="00BD14B9" w:rsidRDefault="00BD14B9" w:rsidP="008A4AED">
      <w:pPr>
        <w:jc w:val="both"/>
      </w:pPr>
      <w:r w:rsidRPr="004D7E0A">
        <w:t>Crucially, the chapter establishes a clear methodological bridge to the findings that follow. The analytical procedures outlined here—particularly the framework</w:t>
      </w:r>
      <w:r w:rsidRPr="004D7E0A">
        <w:rPr>
          <w:rFonts w:ascii="Cambria Math" w:hAnsi="Cambria Math" w:cs="Cambria Math"/>
        </w:rPr>
        <w:t>‑</w:t>
      </w:r>
      <w:r w:rsidRPr="004D7E0A">
        <w:t>guided extraction and coding—provide the basis for the integrative and critical presentation of findings in Chapter 4. The next chapter therefore shifts from methodological design to analytical execution, presenting how the reviewed evidence maps onto the technical, organisational and institutional dimensions of the conceptual framework and where tensions and explanatory gaps persist (Mujtaba and Mahapatra, 2025).</w:t>
      </w:r>
    </w:p>
    <w:p w14:paraId="3333F740" w14:textId="77777777" w:rsidR="007547D2" w:rsidRDefault="007547D2" w:rsidP="008A4AED">
      <w:pPr>
        <w:jc w:val="both"/>
      </w:pPr>
    </w:p>
    <w:p w14:paraId="222AD443" w14:textId="77777777" w:rsidR="007547D2" w:rsidRDefault="007547D2" w:rsidP="008A4AED">
      <w:pPr>
        <w:jc w:val="both"/>
      </w:pPr>
    </w:p>
    <w:p w14:paraId="71DD725E" w14:textId="77777777" w:rsidR="007547D2" w:rsidRDefault="007547D2" w:rsidP="008A4AED">
      <w:pPr>
        <w:jc w:val="both"/>
      </w:pPr>
    </w:p>
    <w:p w14:paraId="709A8B3D" w14:textId="77777777" w:rsidR="007547D2" w:rsidRDefault="007547D2" w:rsidP="008A4AED">
      <w:pPr>
        <w:jc w:val="both"/>
      </w:pPr>
    </w:p>
    <w:p w14:paraId="7735981D" w14:textId="77777777" w:rsidR="00BD14B9" w:rsidRPr="00DF4242" w:rsidRDefault="00BD14B9" w:rsidP="008A4AED">
      <w:pPr>
        <w:pStyle w:val="Heading1"/>
        <w:jc w:val="both"/>
        <w:rPr>
          <w:b/>
          <w:bCs/>
        </w:rPr>
      </w:pPr>
      <w:bookmarkStart w:id="49" w:name="_Toc240996983"/>
      <w:r w:rsidRPr="00DF4242">
        <w:rPr>
          <w:b/>
          <w:bCs/>
        </w:rPr>
        <w:t>CHAPTER 4: DATA ANALYSIS AND FINDINGS</w:t>
      </w:r>
      <w:bookmarkEnd w:id="49"/>
    </w:p>
    <w:p w14:paraId="5E1975B0" w14:textId="77777777" w:rsidR="00BD14B9" w:rsidRPr="002E55B6" w:rsidRDefault="00BD14B9" w:rsidP="008A4AED">
      <w:pPr>
        <w:pStyle w:val="Heading2"/>
        <w:jc w:val="both"/>
        <w:rPr>
          <w:b/>
          <w:bCs/>
        </w:rPr>
      </w:pPr>
      <w:bookmarkStart w:id="50" w:name="_Toc240996984"/>
      <w:r w:rsidRPr="000D6B89">
        <w:rPr>
          <w:b/>
          <w:bCs/>
        </w:rPr>
        <w:t>4.1 Introduction</w:t>
      </w:r>
      <w:bookmarkEnd w:id="50"/>
    </w:p>
    <w:p w14:paraId="56B097A9" w14:textId="77777777" w:rsidR="00113DE6" w:rsidRDefault="00113DE6" w:rsidP="008A4AED">
      <w:pPr>
        <w:jc w:val="both"/>
      </w:pPr>
      <w:r>
        <w:t>This chapter presents the findings from the systematic literature review and integrative thematic synthesis on AI-mediated recruitment in multinational companies (MNCs) (</w:t>
      </w:r>
      <w:proofErr w:type="spellStart"/>
      <w:r>
        <w:t>Prikshat</w:t>
      </w:r>
      <w:proofErr w:type="spellEnd"/>
      <w:r>
        <w:t xml:space="preserve">, Malik and Budhwar, 2023). The analysis is structured around the three dimensions established in the conceptual </w:t>
      </w:r>
      <w:r>
        <w:lastRenderedPageBreak/>
        <w:t xml:space="preserve">framework: technical, organisational, and institutional (Tsiskaridze, Reinhold and Järvis, 2023). These dimensions provide a basis for examining how AI recruitment technologies are designed and used, how organisational governance influences decision-making, and how regulatory and institutional contexts shape AI adoption (Rigotti and </w:t>
      </w:r>
      <w:proofErr w:type="spellStart"/>
      <w:r>
        <w:t>Fosch</w:t>
      </w:r>
      <w:proofErr w:type="spellEnd"/>
      <w:r>
        <w:t>-Villaronga, 2024).</w:t>
      </w:r>
    </w:p>
    <w:p w14:paraId="3F22CC07" w14:textId="4FB722C2" w:rsidR="00266066" w:rsidRPr="00784D9C" w:rsidRDefault="00BD14B9" w:rsidP="008A4AED">
      <w:pPr>
        <w:jc w:val="both"/>
      </w:pPr>
      <w:r w:rsidRPr="00784D9C">
        <w:t>The findings are presented in relation to the research objectives (Tsiskaridze, Reinhold and Järvis, 2023). The first section examines the characteristics and quality of the reviewed literature. The subsequent sections analyse the technical, organisational, and institutional dimensions of AI</w:t>
      </w:r>
      <w:r w:rsidR="00113DE6">
        <w:t>-</w:t>
      </w:r>
      <w:r w:rsidRPr="00784D9C">
        <w:t>mediated recruitment. A comparative analysis of Europe and East and Southeast Asia is then presented, followed by an integrated discussion of the main patterns identified across the literature (</w:t>
      </w:r>
      <w:proofErr w:type="spellStart"/>
      <w:r w:rsidRPr="00784D9C">
        <w:t>Prikshat</w:t>
      </w:r>
      <w:proofErr w:type="spellEnd"/>
      <w:r w:rsidR="00113DE6">
        <w:t>, Malik and Budhwar,</w:t>
      </w:r>
      <w:r w:rsidRPr="00784D9C">
        <w:t xml:space="preserve"> 2023).</w:t>
      </w:r>
    </w:p>
    <w:p w14:paraId="26EA9E18" w14:textId="77777777" w:rsidR="00BD14B9" w:rsidRPr="000D6B89" w:rsidRDefault="00BD14B9" w:rsidP="008A4AED">
      <w:pPr>
        <w:pStyle w:val="Heading2"/>
        <w:jc w:val="both"/>
        <w:rPr>
          <w:b/>
          <w:bCs/>
        </w:rPr>
      </w:pPr>
      <w:bookmarkStart w:id="51" w:name="_Toc240996985"/>
      <w:r w:rsidRPr="000D6B89">
        <w:rPr>
          <w:b/>
          <w:bCs/>
        </w:rPr>
        <w:t>4.2 Overview of the Reviewed Literature</w:t>
      </w:r>
      <w:bookmarkEnd w:id="51"/>
    </w:p>
    <w:p w14:paraId="1D33D2F4" w14:textId="77777777" w:rsidR="00782874" w:rsidRDefault="00782874" w:rsidP="008A4AED">
      <w:pPr>
        <w:jc w:val="both"/>
      </w:pPr>
      <w:r>
        <w:t>The systematic review initially identified a pool of potentially relevant peer-reviewed studies (</w:t>
      </w:r>
      <w:proofErr w:type="spellStart"/>
      <w:r>
        <w:t>Tranfield</w:t>
      </w:r>
      <w:proofErr w:type="spellEnd"/>
      <w:r>
        <w:t>, Denyer and Smart, 2003). The studies were assessed for relevance and methodological quality using appropriate critical appraisal approaches, including the Critical Appraisal Skills Programme (CASP) and Mixed Methods Appraisal Tool (MMAT), where applicable (CASP, 2018; Hong et al., 2018). Following the quality assessment, a subset of studies was excluded, and the remaining studies were included in the final synthesis (Tsiskaridze, Reinhold and Järvis, 2023).</w:t>
      </w:r>
    </w:p>
    <w:p w14:paraId="6830A7D1" w14:textId="77777777" w:rsidR="00782874" w:rsidRDefault="00782874" w:rsidP="008A4AED">
      <w:pPr>
        <w:jc w:val="both"/>
      </w:pPr>
      <w:r>
        <w:t xml:space="preserve">The reviewed literature demonstrates that AI-mediated recruitment is an interdisciplinary research area involving human resource management, information systems, artificial intelligence, organisational studies, employment law, ethics, and public policy (Tambe, Cappelli and Yakubovich, 2019). The literature examines AI applications across different stages of recruitment, including CV screening, candidate matching, automated scoring, video interview analysis, chatbots, and predictive analytics (Rigotti and </w:t>
      </w:r>
      <w:proofErr w:type="spellStart"/>
      <w:r>
        <w:t>Fosch</w:t>
      </w:r>
      <w:proofErr w:type="spellEnd"/>
      <w:r>
        <w:t>-Villaronga, 2024).</w:t>
      </w:r>
    </w:p>
    <w:p w14:paraId="2DA2DA37" w14:textId="77777777" w:rsidR="00782874" w:rsidRDefault="00782874" w:rsidP="008A4AED">
      <w:pPr>
        <w:jc w:val="both"/>
      </w:pPr>
      <w:r>
        <w:t>The geographical distribution of the literature shows considerable attention to Europe and North America (CMS, 2025). Research relating to East Asia, particularly China, Japan, and South Korea, is also present, while studies focusing specifically on Southeast Asian countries such as Singapore and Indonesia are comparatively more limited (CMS, 2025). Cross-regional studies examining MNCs and comparing European and Asian contexts remain less developed (</w:t>
      </w:r>
      <w:proofErr w:type="spellStart"/>
      <w:r>
        <w:t>Prikshat</w:t>
      </w:r>
      <w:proofErr w:type="spellEnd"/>
      <w:r>
        <w:t>, Malik and Budhwar, 2023).</w:t>
      </w:r>
    </w:p>
    <w:p w14:paraId="5B9A28ED" w14:textId="77777777" w:rsidR="00782874" w:rsidRDefault="00782874" w:rsidP="008A4AED">
      <w:pPr>
        <w:jc w:val="both"/>
      </w:pPr>
      <w:r>
        <w:t xml:space="preserve">Methodologically, the reviewed studies include quantitative surveys, qualitative interviews and case studies, mixed-methods research, conceptual studies, and systematic reviews (Tsiskaridze, Reinhold and Järvis, 2023). This methodological diversity provides evidence from different perspectives but also creates challenges when comparing findings across studies (Rigotti and </w:t>
      </w:r>
      <w:proofErr w:type="spellStart"/>
      <w:r>
        <w:t>Fosch</w:t>
      </w:r>
      <w:proofErr w:type="spellEnd"/>
      <w:r>
        <w:t>-Villaronga, 2024).</w:t>
      </w:r>
    </w:p>
    <w:p w14:paraId="18C47260" w14:textId="4420E7BC" w:rsidR="00834911" w:rsidRPr="00784D9C" w:rsidRDefault="00BD14B9" w:rsidP="008A4AED">
      <w:pPr>
        <w:jc w:val="both"/>
      </w:pPr>
      <w:r w:rsidRPr="00784D9C">
        <w:t>Overall, the literature indicates that AI adoption in recruitment is not solely a technological issue (Tambe, Cappelli and Yakubovich, 2019). It involves questions of organisational governance, human decision</w:t>
      </w:r>
      <w:r w:rsidR="00782874">
        <w:t>-</w:t>
      </w:r>
      <w:r w:rsidRPr="00784D9C">
        <w:t>making, accountability, fairness, transparency, and institutional regulation</w:t>
      </w:r>
      <w:r w:rsidR="00782874">
        <w:t>.</w:t>
      </w:r>
    </w:p>
    <w:p w14:paraId="1875E157" w14:textId="77777777" w:rsidR="00BD14B9" w:rsidRPr="00FC4C4A" w:rsidRDefault="00BD14B9" w:rsidP="008A4AED">
      <w:pPr>
        <w:pStyle w:val="Heading2"/>
        <w:jc w:val="both"/>
        <w:rPr>
          <w:b/>
          <w:bCs/>
        </w:rPr>
      </w:pPr>
      <w:bookmarkStart w:id="52" w:name="_Toc240996986"/>
      <w:r w:rsidRPr="00FC4C4A">
        <w:rPr>
          <w:b/>
          <w:bCs/>
        </w:rPr>
        <w:t>4.3 Bibliometric and Thematic Overview</w:t>
      </w:r>
      <w:bookmarkEnd w:id="52"/>
    </w:p>
    <w:p w14:paraId="36026595" w14:textId="19483DD1" w:rsidR="00E23D78" w:rsidRDefault="00E23D78" w:rsidP="008A4AED">
      <w:pPr>
        <w:jc w:val="both"/>
      </w:pPr>
      <w:r w:rsidRPr="00E23D78">
        <w:t>This chapter presents the findings from the bibliometric and thematic analysis of the literature on AI</w:t>
      </w:r>
      <w:r w:rsidRPr="00E23D78">
        <w:rPr>
          <w:rFonts w:ascii="Cambria Math" w:hAnsi="Cambria Math" w:cs="Cambria Math"/>
        </w:rPr>
        <w:t>‑</w:t>
      </w:r>
      <w:r w:rsidRPr="00E23D78">
        <w:t>mediated recruitment in multinational companies. It outlines the distribution of research across disciplines, identifies influential studies and delineates the recurring themes that inform the conceptual framework of the study.</w:t>
      </w:r>
    </w:p>
    <w:p w14:paraId="7D528C23" w14:textId="5BD525EA" w:rsidR="00BD14B9" w:rsidRPr="00B85507" w:rsidRDefault="00B85507" w:rsidP="00B85507">
      <w:pPr>
        <w:pStyle w:val="Caption"/>
        <w:rPr>
          <w:b/>
          <w:bCs/>
          <w:sz w:val="32"/>
          <w:szCs w:val="32"/>
        </w:rPr>
      </w:pPr>
      <w:bookmarkStart w:id="53" w:name="_Toc240978622"/>
      <w:r w:rsidRPr="00B85507">
        <w:rPr>
          <w:b/>
          <w:color w:val="153D63" w:themeColor="text2" w:themeTint="E6"/>
          <w:sz w:val="32"/>
          <w:szCs w:val="32"/>
        </w:rPr>
        <w:lastRenderedPageBreak/>
        <w:t xml:space="preserve">Table </w:t>
      </w:r>
      <w:r w:rsidRPr="00B85507">
        <w:rPr>
          <w:b/>
          <w:color w:val="153D63" w:themeColor="text2" w:themeTint="E6"/>
          <w:sz w:val="32"/>
          <w:szCs w:val="32"/>
        </w:rPr>
        <w:fldChar w:fldCharType="begin"/>
      </w:r>
      <w:r w:rsidRPr="00B85507">
        <w:rPr>
          <w:b/>
          <w:color w:val="153D63" w:themeColor="text2" w:themeTint="E6"/>
          <w:sz w:val="32"/>
          <w:szCs w:val="32"/>
        </w:rPr>
        <w:instrText xml:space="preserve"> SEQ Table \* ARABIC </w:instrText>
      </w:r>
      <w:r w:rsidRPr="00B85507">
        <w:rPr>
          <w:b/>
          <w:color w:val="153D63" w:themeColor="text2" w:themeTint="E6"/>
          <w:sz w:val="32"/>
          <w:szCs w:val="32"/>
        </w:rPr>
        <w:fldChar w:fldCharType="separate"/>
      </w:r>
      <w:r w:rsidR="008E109B">
        <w:rPr>
          <w:b/>
          <w:color w:val="153D63" w:themeColor="text2" w:themeTint="E6"/>
          <w:sz w:val="32"/>
          <w:szCs w:val="32"/>
        </w:rPr>
        <w:t>3</w:t>
      </w:r>
      <w:r w:rsidRPr="00B85507">
        <w:rPr>
          <w:b/>
          <w:color w:val="153D63" w:themeColor="text2" w:themeTint="E6"/>
          <w:sz w:val="32"/>
          <w:szCs w:val="32"/>
        </w:rPr>
        <w:fldChar w:fldCharType="end"/>
      </w:r>
      <w:r w:rsidRPr="00B85507">
        <w:rPr>
          <w:b/>
          <w:color w:val="153D63" w:themeColor="text2" w:themeTint="E6"/>
          <w:sz w:val="32"/>
          <w:szCs w:val="32"/>
        </w:rPr>
        <w:t xml:space="preserve"> - Thematic coding framework</w:t>
      </w:r>
      <w:bookmarkEnd w:id="53"/>
    </w:p>
    <w:tbl>
      <w:tblPr>
        <w:tblStyle w:val="GridTable5Dark-Accent1"/>
        <w:tblW w:w="0" w:type="auto"/>
        <w:tblLook w:val="04A0" w:firstRow="1" w:lastRow="0" w:firstColumn="1" w:lastColumn="0" w:noHBand="0" w:noVBand="1"/>
      </w:tblPr>
      <w:tblGrid>
        <w:gridCol w:w="2371"/>
        <w:gridCol w:w="4003"/>
        <w:gridCol w:w="4076"/>
      </w:tblGrid>
      <w:tr w:rsidR="00FC1DB4" w14:paraId="5D216467" w14:textId="77777777" w:rsidTr="00B120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1" w:type="dxa"/>
          </w:tcPr>
          <w:p w14:paraId="253A698C" w14:textId="64D8AA3E" w:rsidR="00FC1DB4" w:rsidRDefault="00860C32" w:rsidP="008A4AED">
            <w:pPr>
              <w:jc w:val="both"/>
            </w:pPr>
            <w:r w:rsidRPr="00860C32">
              <w:t>Theme</w:t>
            </w:r>
          </w:p>
        </w:tc>
        <w:tc>
          <w:tcPr>
            <w:tcW w:w="4003" w:type="dxa"/>
          </w:tcPr>
          <w:p w14:paraId="4CEFE1B9" w14:textId="00B87E52" w:rsidR="00FC1DB4" w:rsidRDefault="00D458BD" w:rsidP="008A4AED">
            <w:pPr>
              <w:jc w:val="both"/>
              <w:cnfStyle w:val="100000000000" w:firstRow="1" w:lastRow="0" w:firstColumn="0" w:lastColumn="0" w:oddVBand="0" w:evenVBand="0" w:oddHBand="0" w:evenHBand="0" w:firstRowFirstColumn="0" w:firstRowLastColumn="0" w:lastRowFirstColumn="0" w:lastRowLastColumn="0"/>
            </w:pPr>
            <w:r w:rsidRPr="00D458BD">
              <w:t>Description</w:t>
            </w:r>
          </w:p>
        </w:tc>
        <w:tc>
          <w:tcPr>
            <w:tcW w:w="4076" w:type="dxa"/>
          </w:tcPr>
          <w:p w14:paraId="29B34316" w14:textId="723AFB12" w:rsidR="00FC1DB4" w:rsidRDefault="00121B5D" w:rsidP="008A4AED">
            <w:pPr>
              <w:jc w:val="both"/>
              <w:cnfStyle w:val="100000000000" w:firstRow="1" w:lastRow="0" w:firstColumn="0" w:lastColumn="0" w:oddVBand="0" w:evenVBand="0" w:oddHBand="0" w:evenHBand="0" w:firstRowFirstColumn="0" w:firstRowLastColumn="0" w:lastRowFirstColumn="0" w:lastRowLastColumn="0"/>
            </w:pPr>
            <w:r w:rsidRPr="00121B5D">
              <w:t>Key Issues</w:t>
            </w:r>
          </w:p>
        </w:tc>
      </w:tr>
      <w:tr w:rsidR="00FC1DB4" w14:paraId="2E32A94D" w14:textId="77777777" w:rsidTr="00B120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1" w:type="dxa"/>
          </w:tcPr>
          <w:p w14:paraId="6515B336" w14:textId="585D28C2" w:rsidR="00FC1DB4" w:rsidRDefault="009F73BF" w:rsidP="008A4AED">
            <w:pPr>
              <w:jc w:val="both"/>
            </w:pPr>
            <w:r w:rsidRPr="009F73BF">
              <w:t>Algorithmic Bias and Fairness</w:t>
            </w:r>
          </w:p>
        </w:tc>
        <w:tc>
          <w:tcPr>
            <w:tcW w:w="4003" w:type="dxa"/>
          </w:tcPr>
          <w:p w14:paraId="0C88F8C2" w14:textId="6931B6E1" w:rsidR="00FC1DB4" w:rsidRDefault="005E449C" w:rsidP="008A4AED">
            <w:pPr>
              <w:jc w:val="both"/>
              <w:cnfStyle w:val="000000100000" w:firstRow="0" w:lastRow="0" w:firstColumn="0" w:lastColumn="0" w:oddVBand="0" w:evenVBand="0" w:oddHBand="1" w:evenHBand="0" w:firstRowFirstColumn="0" w:firstRowLastColumn="0" w:lastRowFirstColumn="0" w:lastRowLastColumn="0"/>
            </w:pPr>
            <w:r w:rsidRPr="005E449C">
              <w:t>Examination of discriminatory outcomes and fairness metrics in AI</w:t>
            </w:r>
            <w:r w:rsidRPr="005E449C">
              <w:rPr>
                <w:rFonts w:ascii="Cambria Math" w:hAnsi="Cambria Math" w:cs="Cambria Math"/>
              </w:rPr>
              <w:t>‑</w:t>
            </w:r>
            <w:r w:rsidRPr="005E449C">
              <w:t>driven hiring systems.</w:t>
            </w:r>
          </w:p>
        </w:tc>
        <w:tc>
          <w:tcPr>
            <w:tcW w:w="4076" w:type="dxa"/>
          </w:tcPr>
          <w:p w14:paraId="7DBBF1A8" w14:textId="107AB3EA" w:rsidR="00FC1DB4" w:rsidRDefault="006E2AEA" w:rsidP="008A4AED">
            <w:pPr>
              <w:jc w:val="both"/>
              <w:cnfStyle w:val="000000100000" w:firstRow="0" w:lastRow="0" w:firstColumn="0" w:lastColumn="0" w:oddVBand="0" w:evenVBand="0" w:oddHBand="1" w:evenHBand="0" w:firstRowFirstColumn="0" w:firstRowLastColumn="0" w:lastRowFirstColumn="0" w:lastRowLastColumn="0"/>
            </w:pPr>
            <w:r w:rsidRPr="006E2AEA">
              <w:t>Historical training data bias, proxy variables, accuracy</w:t>
            </w:r>
            <w:r w:rsidRPr="006E2AEA">
              <w:rPr>
                <w:rFonts w:ascii="Cambria Math" w:hAnsi="Cambria Math" w:cs="Cambria Math"/>
              </w:rPr>
              <w:t>‑</w:t>
            </w:r>
            <w:r w:rsidRPr="006E2AEA">
              <w:t>fairness trade</w:t>
            </w:r>
            <w:r w:rsidRPr="006E2AEA">
              <w:rPr>
                <w:rFonts w:ascii="Cambria Math" w:hAnsi="Cambria Math" w:cs="Cambria Math"/>
              </w:rPr>
              <w:t>‑</w:t>
            </w:r>
            <w:r w:rsidRPr="006E2AEA">
              <w:t>offs, statistical vs. substantive fairness.</w:t>
            </w:r>
          </w:p>
        </w:tc>
      </w:tr>
      <w:tr w:rsidR="00FC1DB4" w14:paraId="6F7AAC7D" w14:textId="77777777" w:rsidTr="00B120B0">
        <w:tc>
          <w:tcPr>
            <w:cnfStyle w:val="001000000000" w:firstRow="0" w:lastRow="0" w:firstColumn="1" w:lastColumn="0" w:oddVBand="0" w:evenVBand="0" w:oddHBand="0" w:evenHBand="0" w:firstRowFirstColumn="0" w:firstRowLastColumn="0" w:lastRowFirstColumn="0" w:lastRowLastColumn="0"/>
            <w:tcW w:w="2371" w:type="dxa"/>
          </w:tcPr>
          <w:p w14:paraId="6895BEC5" w14:textId="4652F31D" w:rsidR="00FC1DB4" w:rsidRDefault="005703EE" w:rsidP="008A4AED">
            <w:pPr>
              <w:jc w:val="both"/>
            </w:pPr>
            <w:r w:rsidRPr="005703EE">
              <w:t>Human Oversight and Human</w:t>
            </w:r>
            <w:r w:rsidRPr="005703EE">
              <w:rPr>
                <w:rFonts w:ascii="Cambria Math" w:hAnsi="Cambria Math" w:cs="Cambria Math"/>
              </w:rPr>
              <w:t>‑</w:t>
            </w:r>
            <w:r w:rsidRPr="005703EE">
              <w:t>in</w:t>
            </w:r>
            <w:r w:rsidRPr="005703EE">
              <w:rPr>
                <w:rFonts w:ascii="Cambria Math" w:hAnsi="Cambria Math" w:cs="Cambria Math"/>
              </w:rPr>
              <w:t>‑</w:t>
            </w:r>
            <w:r w:rsidRPr="005703EE">
              <w:t>the</w:t>
            </w:r>
            <w:r w:rsidRPr="005703EE">
              <w:rPr>
                <w:rFonts w:ascii="Cambria Math" w:hAnsi="Cambria Math" w:cs="Cambria Math"/>
              </w:rPr>
              <w:t>‑</w:t>
            </w:r>
            <w:r w:rsidRPr="005703EE">
              <w:t>Loop Decision</w:t>
            </w:r>
            <w:r w:rsidRPr="005703EE">
              <w:rPr>
                <w:rFonts w:ascii="Cambria Math" w:hAnsi="Cambria Math" w:cs="Cambria Math"/>
              </w:rPr>
              <w:t>‑</w:t>
            </w:r>
            <w:r w:rsidRPr="005703EE">
              <w:t>Making</w:t>
            </w:r>
          </w:p>
        </w:tc>
        <w:tc>
          <w:tcPr>
            <w:tcW w:w="4003" w:type="dxa"/>
          </w:tcPr>
          <w:p w14:paraId="53C47690" w14:textId="1DAFD14C" w:rsidR="00FC1DB4" w:rsidRDefault="007E4A92" w:rsidP="008A4AED">
            <w:pPr>
              <w:jc w:val="both"/>
              <w:cnfStyle w:val="000000000000" w:firstRow="0" w:lastRow="0" w:firstColumn="0" w:lastColumn="0" w:oddVBand="0" w:evenVBand="0" w:oddHBand="0" w:evenHBand="0" w:firstRowFirstColumn="0" w:firstRowLastColumn="0" w:lastRowFirstColumn="0" w:lastRowLastColumn="0"/>
            </w:pPr>
            <w:r w:rsidRPr="007E4A92">
              <w:t>Role of human actors in interpreting, deferring to, or overriding algorithmic recommendations.</w:t>
            </w:r>
          </w:p>
        </w:tc>
        <w:tc>
          <w:tcPr>
            <w:tcW w:w="4076" w:type="dxa"/>
          </w:tcPr>
          <w:p w14:paraId="33055AD7" w14:textId="31012ED0" w:rsidR="00FC1DB4" w:rsidRDefault="00F14265" w:rsidP="008A4AED">
            <w:pPr>
              <w:jc w:val="both"/>
              <w:cnfStyle w:val="000000000000" w:firstRow="0" w:lastRow="0" w:firstColumn="0" w:lastColumn="0" w:oddVBand="0" w:evenVBand="0" w:oddHBand="0" w:evenHBand="0" w:firstRowFirstColumn="0" w:firstRowLastColumn="0" w:lastRowFirstColumn="0" w:lastRowLastColumn="0"/>
            </w:pPr>
            <w:r w:rsidRPr="00F14265">
              <w:t>Automation bias, discretion in hiring, conditions under which human safeguards succeed or fail.</w:t>
            </w:r>
          </w:p>
        </w:tc>
      </w:tr>
      <w:tr w:rsidR="00FC1DB4" w14:paraId="0343BCAB" w14:textId="77777777" w:rsidTr="00B120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1" w:type="dxa"/>
          </w:tcPr>
          <w:p w14:paraId="50383510" w14:textId="0710F2DF" w:rsidR="00FC1DB4" w:rsidRDefault="00174540" w:rsidP="008A4AED">
            <w:pPr>
              <w:jc w:val="both"/>
            </w:pPr>
            <w:r w:rsidRPr="00174540">
              <w:t>Transparency and Explainability</w:t>
            </w:r>
          </w:p>
        </w:tc>
        <w:tc>
          <w:tcPr>
            <w:tcW w:w="4003" w:type="dxa"/>
          </w:tcPr>
          <w:p w14:paraId="1758982F" w14:textId="1CE35516" w:rsidR="00FC1DB4" w:rsidRDefault="00DB6A51" w:rsidP="008A4AED">
            <w:pPr>
              <w:jc w:val="both"/>
              <w:cnfStyle w:val="000000100000" w:firstRow="0" w:lastRow="0" w:firstColumn="0" w:lastColumn="0" w:oddVBand="0" w:evenVBand="0" w:oddHBand="1" w:evenHBand="0" w:firstRowFirstColumn="0" w:firstRowLastColumn="0" w:lastRowFirstColumn="0" w:lastRowLastColumn="0"/>
            </w:pPr>
            <w:r w:rsidRPr="00DB6A51">
              <w:t>Requirements for disclosing AI system logic, data sources and limitations to stakeholders.</w:t>
            </w:r>
          </w:p>
        </w:tc>
        <w:tc>
          <w:tcPr>
            <w:tcW w:w="4076" w:type="dxa"/>
          </w:tcPr>
          <w:p w14:paraId="3CD2EFBB" w14:textId="38E62B88" w:rsidR="00FC1DB4" w:rsidRDefault="00175DD9" w:rsidP="008A4AED">
            <w:pPr>
              <w:jc w:val="both"/>
              <w:cnfStyle w:val="000000100000" w:firstRow="0" w:lastRow="0" w:firstColumn="0" w:lastColumn="0" w:oddVBand="0" w:evenVBand="0" w:oddHBand="1" w:evenHBand="0" w:firstRowFirstColumn="0" w:firstRowLastColumn="0" w:lastRowFirstColumn="0" w:lastRowLastColumn="0"/>
            </w:pPr>
            <w:r w:rsidRPr="00175DD9">
              <w:t>Technical complexity, commercial confidentiality, regulatory mandates (e.g., EU AI Act), cultural and linguistic bias in explanations.</w:t>
            </w:r>
          </w:p>
        </w:tc>
      </w:tr>
      <w:tr w:rsidR="00FC1DB4" w14:paraId="41A8716D" w14:textId="77777777" w:rsidTr="00B120B0">
        <w:tc>
          <w:tcPr>
            <w:cnfStyle w:val="001000000000" w:firstRow="0" w:lastRow="0" w:firstColumn="1" w:lastColumn="0" w:oddVBand="0" w:evenVBand="0" w:oddHBand="0" w:evenHBand="0" w:firstRowFirstColumn="0" w:firstRowLastColumn="0" w:lastRowFirstColumn="0" w:lastRowLastColumn="0"/>
            <w:tcW w:w="2371" w:type="dxa"/>
          </w:tcPr>
          <w:p w14:paraId="58A99688" w14:textId="6CACA1A5" w:rsidR="00FC1DB4" w:rsidRDefault="007B5B22" w:rsidP="008A4AED">
            <w:pPr>
              <w:jc w:val="both"/>
            </w:pPr>
            <w:r w:rsidRPr="007B5B22">
              <w:t>Accountability and Governance</w:t>
            </w:r>
          </w:p>
        </w:tc>
        <w:tc>
          <w:tcPr>
            <w:tcW w:w="4003" w:type="dxa"/>
          </w:tcPr>
          <w:p w14:paraId="7D00B1E7" w14:textId="4B5BA08A" w:rsidR="00FC1DB4" w:rsidRDefault="003B0331" w:rsidP="008A4AED">
            <w:pPr>
              <w:jc w:val="both"/>
              <w:cnfStyle w:val="000000000000" w:firstRow="0" w:lastRow="0" w:firstColumn="0" w:lastColumn="0" w:oddVBand="0" w:evenVBand="0" w:oddHBand="0" w:evenHBand="0" w:firstRowFirstColumn="0" w:firstRowLastColumn="0" w:lastRowFirstColumn="0" w:lastRowLastColumn="0"/>
            </w:pPr>
            <w:r w:rsidRPr="003B0331">
              <w:t>Allocation of decision rights, responsibility and oversight between global HR and local units.</w:t>
            </w:r>
          </w:p>
        </w:tc>
        <w:tc>
          <w:tcPr>
            <w:tcW w:w="4076" w:type="dxa"/>
          </w:tcPr>
          <w:p w14:paraId="1EB5DB3D" w14:textId="0D33BCA3" w:rsidR="00FC1DB4" w:rsidRDefault="00F72DB3" w:rsidP="008A4AED">
            <w:pPr>
              <w:jc w:val="both"/>
              <w:cnfStyle w:val="000000000000" w:firstRow="0" w:lastRow="0" w:firstColumn="0" w:lastColumn="0" w:oddVBand="0" w:evenVBand="0" w:oddHBand="0" w:evenHBand="0" w:firstRowFirstColumn="0" w:firstRowLastColumn="0" w:lastRowFirstColumn="0" w:lastRowLastColumn="0"/>
            </w:pPr>
            <w:r w:rsidRPr="00F72DB3">
              <w:t>Fragmented authority, accountability gaps, vendor governance, internal audit and control mechanisms.</w:t>
            </w:r>
          </w:p>
        </w:tc>
      </w:tr>
      <w:tr w:rsidR="00FC1DB4" w14:paraId="2477B3C8" w14:textId="77777777" w:rsidTr="00B120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1" w:type="dxa"/>
          </w:tcPr>
          <w:p w14:paraId="76143A43" w14:textId="53C563EC" w:rsidR="00FC1DB4" w:rsidRDefault="00C72DCB" w:rsidP="008A4AED">
            <w:pPr>
              <w:jc w:val="both"/>
            </w:pPr>
            <w:r w:rsidRPr="00C72DCB">
              <w:t>Regulatory Compliance</w:t>
            </w:r>
          </w:p>
        </w:tc>
        <w:tc>
          <w:tcPr>
            <w:tcW w:w="4003" w:type="dxa"/>
          </w:tcPr>
          <w:p w14:paraId="010C0A1D" w14:textId="5A6ED19B" w:rsidR="00FC1DB4" w:rsidRDefault="00F01D61" w:rsidP="008A4AED">
            <w:pPr>
              <w:jc w:val="both"/>
              <w:cnfStyle w:val="000000100000" w:firstRow="0" w:lastRow="0" w:firstColumn="0" w:lastColumn="0" w:oddVBand="0" w:evenVBand="0" w:oddHBand="1" w:evenHBand="0" w:firstRowFirstColumn="0" w:firstRowLastColumn="0" w:lastRowFirstColumn="0" w:lastRowLastColumn="0"/>
            </w:pPr>
            <w:r w:rsidRPr="00F01D61">
              <w:t>Organisational responses to data protection and AI</w:t>
            </w:r>
            <w:r w:rsidRPr="00F01D61">
              <w:rPr>
                <w:rFonts w:ascii="Cambria Math" w:hAnsi="Cambria Math" w:cs="Cambria Math"/>
              </w:rPr>
              <w:t>‑</w:t>
            </w:r>
            <w:r w:rsidRPr="00F01D61">
              <w:t>specific regulations.</w:t>
            </w:r>
          </w:p>
        </w:tc>
        <w:tc>
          <w:tcPr>
            <w:tcW w:w="4076" w:type="dxa"/>
          </w:tcPr>
          <w:p w14:paraId="45ECB20F" w14:textId="03AB68E3" w:rsidR="00FC1DB4" w:rsidRDefault="00B0235B" w:rsidP="008A4AED">
            <w:pPr>
              <w:jc w:val="both"/>
              <w:cnfStyle w:val="000000100000" w:firstRow="0" w:lastRow="0" w:firstColumn="0" w:lastColumn="0" w:oddVBand="0" w:evenVBand="0" w:oddHBand="1" w:evenHBand="0" w:firstRowFirstColumn="0" w:firstRowLastColumn="0" w:lastRowFirstColumn="0" w:lastRowLastColumn="0"/>
            </w:pPr>
            <w:r w:rsidRPr="00B0235B">
              <w:t>GDPR, EU AI Act, cross</w:t>
            </w:r>
            <w:r w:rsidRPr="00B0235B">
              <w:rPr>
                <w:rFonts w:ascii="Cambria Math" w:hAnsi="Cambria Math" w:cs="Cambria Math"/>
              </w:rPr>
              <w:t>‑</w:t>
            </w:r>
            <w:r w:rsidRPr="00B0235B">
              <w:t>jurisdictional compliance, enforcement capacity and regulatory divergence.</w:t>
            </w:r>
          </w:p>
        </w:tc>
      </w:tr>
      <w:tr w:rsidR="00FC1DB4" w14:paraId="307B4DC1" w14:textId="77777777" w:rsidTr="00B120B0">
        <w:tc>
          <w:tcPr>
            <w:cnfStyle w:val="001000000000" w:firstRow="0" w:lastRow="0" w:firstColumn="1" w:lastColumn="0" w:oddVBand="0" w:evenVBand="0" w:oddHBand="0" w:evenHBand="0" w:firstRowFirstColumn="0" w:firstRowLastColumn="0" w:lastRowFirstColumn="0" w:lastRowLastColumn="0"/>
            <w:tcW w:w="2371" w:type="dxa"/>
          </w:tcPr>
          <w:p w14:paraId="1F38C5CB" w14:textId="2481BE06" w:rsidR="00FC1DB4" w:rsidRDefault="002163E1" w:rsidP="008A4AED">
            <w:pPr>
              <w:jc w:val="both"/>
            </w:pPr>
            <w:r w:rsidRPr="002163E1">
              <w:t>Cross</w:t>
            </w:r>
            <w:r w:rsidRPr="002163E1">
              <w:rPr>
                <w:rFonts w:ascii="Cambria Math" w:hAnsi="Cambria Math" w:cs="Cambria Math"/>
              </w:rPr>
              <w:t>‑</w:t>
            </w:r>
            <w:r w:rsidRPr="002163E1">
              <w:t>Border Recruitment</w:t>
            </w:r>
          </w:p>
        </w:tc>
        <w:tc>
          <w:tcPr>
            <w:tcW w:w="4003" w:type="dxa"/>
          </w:tcPr>
          <w:p w14:paraId="6008B0D2" w14:textId="6791DCF4" w:rsidR="00FC1DB4" w:rsidRDefault="00883BC5" w:rsidP="008A4AED">
            <w:pPr>
              <w:jc w:val="both"/>
              <w:cnfStyle w:val="000000000000" w:firstRow="0" w:lastRow="0" w:firstColumn="0" w:lastColumn="0" w:oddVBand="0" w:evenVBand="0" w:oddHBand="0" w:evenHBand="0" w:firstRowFirstColumn="0" w:firstRowLastColumn="0" w:lastRowFirstColumn="0" w:lastRowLastColumn="0"/>
            </w:pPr>
            <w:r w:rsidRPr="00883BC5">
              <w:t>AI</w:t>
            </w:r>
            <w:r w:rsidRPr="00883BC5">
              <w:rPr>
                <w:rFonts w:ascii="Cambria Math" w:hAnsi="Cambria Math" w:cs="Cambria Math"/>
              </w:rPr>
              <w:t>‑</w:t>
            </w:r>
            <w:r w:rsidRPr="00883BC5">
              <w:t>mediated hiring across European and Asian contexts.</w:t>
            </w:r>
          </w:p>
        </w:tc>
        <w:tc>
          <w:tcPr>
            <w:tcW w:w="4076" w:type="dxa"/>
          </w:tcPr>
          <w:p w14:paraId="48744B58" w14:textId="12B8FA03" w:rsidR="00FC1DB4" w:rsidRDefault="00490877" w:rsidP="008A4AED">
            <w:pPr>
              <w:jc w:val="both"/>
              <w:cnfStyle w:val="000000000000" w:firstRow="0" w:lastRow="0" w:firstColumn="0" w:lastColumn="0" w:oddVBand="0" w:evenVBand="0" w:oddHBand="0" w:evenHBand="0" w:firstRowFirstColumn="0" w:firstRowLastColumn="0" w:lastRowFirstColumn="0" w:lastRowLastColumn="0"/>
            </w:pPr>
            <w:r w:rsidRPr="00490877">
              <w:t>Coordination challenges, divergent regulatory expectations, portability of fairness and accountability norms.</w:t>
            </w:r>
          </w:p>
        </w:tc>
      </w:tr>
      <w:tr w:rsidR="00FC1DB4" w14:paraId="6E1D8F0C" w14:textId="77777777" w:rsidTr="00B120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1" w:type="dxa"/>
          </w:tcPr>
          <w:p w14:paraId="0562B657" w14:textId="064CDE9E" w:rsidR="00FC1DB4" w:rsidRDefault="00C212E7" w:rsidP="008A4AED">
            <w:pPr>
              <w:jc w:val="both"/>
            </w:pPr>
            <w:r w:rsidRPr="00C212E7">
              <w:t>Cultural and Linguistic Differences</w:t>
            </w:r>
          </w:p>
        </w:tc>
        <w:tc>
          <w:tcPr>
            <w:tcW w:w="4003" w:type="dxa"/>
          </w:tcPr>
          <w:p w14:paraId="36F9D730" w14:textId="68725937" w:rsidR="00FC1DB4" w:rsidRDefault="00906C1D" w:rsidP="008A4AED">
            <w:pPr>
              <w:jc w:val="both"/>
              <w:cnfStyle w:val="000000100000" w:firstRow="0" w:lastRow="0" w:firstColumn="0" w:lastColumn="0" w:oddVBand="0" w:evenVBand="0" w:oddHBand="1" w:evenHBand="0" w:firstRowFirstColumn="0" w:firstRowLastColumn="0" w:lastRowFirstColumn="0" w:lastRowLastColumn="0"/>
            </w:pPr>
            <w:r w:rsidRPr="00906C1D">
              <w:t>Impact of language, communication styles and cultural norms on AI evaluation of candidates.</w:t>
            </w:r>
          </w:p>
        </w:tc>
        <w:tc>
          <w:tcPr>
            <w:tcW w:w="4076" w:type="dxa"/>
          </w:tcPr>
          <w:p w14:paraId="29C10D07" w14:textId="0CB50FAE" w:rsidR="00FC1DB4" w:rsidRDefault="008B5FFA" w:rsidP="008A4AED">
            <w:pPr>
              <w:jc w:val="both"/>
              <w:cnfStyle w:val="000000100000" w:firstRow="0" w:lastRow="0" w:firstColumn="0" w:lastColumn="0" w:oddVBand="0" w:evenVBand="0" w:oddHBand="1" w:evenHBand="0" w:firstRowFirstColumn="0" w:firstRowLastColumn="0" w:lastRowFirstColumn="0" w:lastRowLastColumn="0"/>
            </w:pPr>
            <w:r w:rsidRPr="008B5FFA">
              <w:t>Vocabulary and sentence structure bias, anonymization limitations, differential scoring across regions.</w:t>
            </w:r>
          </w:p>
        </w:tc>
      </w:tr>
      <w:tr w:rsidR="00FC1DB4" w14:paraId="19EF5523" w14:textId="77777777" w:rsidTr="00B120B0">
        <w:tc>
          <w:tcPr>
            <w:cnfStyle w:val="001000000000" w:firstRow="0" w:lastRow="0" w:firstColumn="1" w:lastColumn="0" w:oddVBand="0" w:evenVBand="0" w:oddHBand="0" w:evenHBand="0" w:firstRowFirstColumn="0" w:firstRowLastColumn="0" w:lastRowFirstColumn="0" w:lastRowLastColumn="0"/>
            <w:tcW w:w="2371" w:type="dxa"/>
          </w:tcPr>
          <w:p w14:paraId="7F05A077" w14:textId="1B4FEE1E" w:rsidR="00FC1DB4" w:rsidRDefault="00A11D07" w:rsidP="008A4AED">
            <w:pPr>
              <w:jc w:val="both"/>
            </w:pPr>
            <w:r w:rsidRPr="00A11D07">
              <w:t>Vendor Governance</w:t>
            </w:r>
          </w:p>
        </w:tc>
        <w:tc>
          <w:tcPr>
            <w:tcW w:w="4003" w:type="dxa"/>
          </w:tcPr>
          <w:p w14:paraId="15E9DEA8" w14:textId="47E0A551" w:rsidR="00FC1DB4" w:rsidRDefault="0062655D" w:rsidP="008A4AED">
            <w:pPr>
              <w:jc w:val="both"/>
              <w:cnfStyle w:val="000000000000" w:firstRow="0" w:lastRow="0" w:firstColumn="0" w:lastColumn="0" w:oddVBand="0" w:evenVBand="0" w:oddHBand="0" w:evenHBand="0" w:firstRowFirstColumn="0" w:firstRowLastColumn="0" w:lastRowFirstColumn="0" w:lastRowLastColumn="0"/>
            </w:pPr>
            <w:r w:rsidRPr="0062655D">
              <w:t>Oversight of third</w:t>
            </w:r>
            <w:r w:rsidRPr="0062655D">
              <w:rPr>
                <w:rFonts w:ascii="Cambria Math" w:hAnsi="Cambria Math" w:cs="Cambria Math"/>
              </w:rPr>
              <w:t>‑</w:t>
            </w:r>
            <w:r w:rsidRPr="0062655D">
              <w:t>party AI recruitment technology providers.</w:t>
            </w:r>
          </w:p>
        </w:tc>
        <w:tc>
          <w:tcPr>
            <w:tcW w:w="4076" w:type="dxa"/>
          </w:tcPr>
          <w:p w14:paraId="480F9C63" w14:textId="2AA31EB5" w:rsidR="00FC1DB4" w:rsidRDefault="00606B87" w:rsidP="008A4AED">
            <w:pPr>
              <w:jc w:val="both"/>
              <w:cnfStyle w:val="000000000000" w:firstRow="0" w:lastRow="0" w:firstColumn="0" w:lastColumn="0" w:oddVBand="0" w:evenVBand="0" w:oddHBand="0" w:evenHBand="0" w:firstRowFirstColumn="0" w:firstRowLastColumn="0" w:lastRowFirstColumn="0" w:lastRowLastColumn="0"/>
            </w:pPr>
            <w:r w:rsidRPr="00606B87">
              <w:t>Contractual safeguards, audit rights, transparency obligations, dependency and lock</w:t>
            </w:r>
            <w:r w:rsidRPr="00606B87">
              <w:rPr>
                <w:rFonts w:ascii="Cambria Math" w:hAnsi="Cambria Math" w:cs="Cambria Math"/>
              </w:rPr>
              <w:t>‑</w:t>
            </w:r>
            <w:r w:rsidRPr="00606B87">
              <w:t>in risks.</w:t>
            </w:r>
          </w:p>
        </w:tc>
      </w:tr>
      <w:tr w:rsidR="00FC1DB4" w14:paraId="7D834409" w14:textId="77777777" w:rsidTr="00B120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1" w:type="dxa"/>
          </w:tcPr>
          <w:p w14:paraId="0DA1EB05" w14:textId="271FA154" w:rsidR="00FC1DB4" w:rsidRDefault="004342D6" w:rsidP="008A4AED">
            <w:pPr>
              <w:jc w:val="both"/>
            </w:pPr>
            <w:r w:rsidRPr="004342D6">
              <w:t>Diversity, Equity, and Inclusion (DEI)</w:t>
            </w:r>
          </w:p>
        </w:tc>
        <w:tc>
          <w:tcPr>
            <w:tcW w:w="4003" w:type="dxa"/>
          </w:tcPr>
          <w:p w14:paraId="17C1E75A" w14:textId="6C539E1B" w:rsidR="00FC1DB4" w:rsidRDefault="004D0877" w:rsidP="008A4AED">
            <w:pPr>
              <w:jc w:val="both"/>
              <w:cnfStyle w:val="000000100000" w:firstRow="0" w:lastRow="0" w:firstColumn="0" w:lastColumn="0" w:oddVBand="0" w:evenVBand="0" w:oddHBand="1" w:evenHBand="0" w:firstRowFirstColumn="0" w:firstRowLastColumn="0" w:lastRowFirstColumn="0" w:lastRowLastColumn="0"/>
            </w:pPr>
            <w:r w:rsidRPr="004D0877">
              <w:t>Relationship between AI recruitment and organisational DEI objectives.</w:t>
            </w:r>
          </w:p>
        </w:tc>
        <w:tc>
          <w:tcPr>
            <w:tcW w:w="4076" w:type="dxa"/>
          </w:tcPr>
          <w:p w14:paraId="04D51495" w14:textId="595E8AD9" w:rsidR="00FC1DB4" w:rsidRDefault="003F372E" w:rsidP="008A4AED">
            <w:pPr>
              <w:jc w:val="both"/>
              <w:cnfStyle w:val="000000100000" w:firstRow="0" w:lastRow="0" w:firstColumn="0" w:lastColumn="0" w:oddVBand="0" w:evenVBand="0" w:oddHBand="1" w:evenHBand="0" w:firstRowFirstColumn="0" w:firstRowLastColumn="0" w:lastRowFirstColumn="0" w:lastRowLastColumn="0"/>
            </w:pPr>
            <w:r w:rsidRPr="003F372E">
              <w:t>Representation outcomes, structural inequalities in applicant pools, merit construction and bias amplification.</w:t>
            </w:r>
          </w:p>
        </w:tc>
      </w:tr>
    </w:tbl>
    <w:p w14:paraId="30506CA1" w14:textId="77777777" w:rsidR="000A2905" w:rsidRDefault="000A2905" w:rsidP="008A4AED">
      <w:pPr>
        <w:jc w:val="both"/>
        <w:rPr>
          <w:b/>
          <w:bCs/>
          <w:color w:val="153D63" w:themeColor="text2" w:themeTint="E6"/>
          <w:sz w:val="28"/>
          <w:szCs w:val="28"/>
        </w:rPr>
      </w:pPr>
    </w:p>
    <w:p w14:paraId="0CA2DFBE" w14:textId="77777777" w:rsidR="00F974E4" w:rsidRPr="007274A8" w:rsidRDefault="00F974E4" w:rsidP="008A4AED">
      <w:pPr>
        <w:jc w:val="both"/>
        <w:rPr>
          <w:b/>
          <w:bCs/>
          <w:color w:val="153D63" w:themeColor="text2" w:themeTint="E6"/>
          <w:sz w:val="28"/>
          <w:szCs w:val="28"/>
        </w:rPr>
      </w:pPr>
      <w:r w:rsidRPr="007274A8">
        <w:rPr>
          <w:b/>
          <w:bCs/>
          <w:color w:val="153D63" w:themeColor="text2" w:themeTint="E6"/>
          <w:sz w:val="28"/>
          <w:szCs w:val="28"/>
        </w:rPr>
        <w:t>Algorithmic Bias and Fairness</w:t>
      </w:r>
    </w:p>
    <w:p w14:paraId="1E6C9122" w14:textId="10E5039B" w:rsidR="007547D2" w:rsidRPr="00F932AE" w:rsidRDefault="00F974E4" w:rsidP="008A4AED">
      <w:pPr>
        <w:jc w:val="both"/>
      </w:pPr>
      <w:r w:rsidRPr="00F932AE">
        <w:t>This theme examines how discriminatory outcomes arise in AI</w:t>
      </w:r>
      <w:r w:rsidR="00A778ED" w:rsidRPr="00A778ED">
        <w:t>-</w:t>
      </w:r>
      <w:r w:rsidRPr="00F932AE">
        <w:t xml:space="preserve">driven hiring systems. It highlights sources of bias including historical training data, proxy variables correlated with protected attributes and optimization objectives that prioritize accuracy over distributional fairness (Barocas and Selbst, 2016; Raghavan et al., 2020). The literature distinguishes between statistical fairness metrics and substantive justice, noting that formally </w:t>
      </w:r>
      <w:r w:rsidR="00A778ED" w:rsidRPr="00A778ED">
        <w:t>'fair'</w:t>
      </w:r>
      <w:r w:rsidRPr="00F932AE">
        <w:t xml:space="preserve"> systems can still reproduce structural inequalities (Selbst et al., 2019; </w:t>
      </w:r>
      <w:proofErr w:type="spellStart"/>
      <w:r w:rsidRPr="00F932AE">
        <w:t>Fazelpour</w:t>
      </w:r>
      <w:proofErr w:type="spellEnd"/>
      <w:r w:rsidRPr="00F932AE">
        <w:t xml:space="preserve">, </w:t>
      </w:r>
      <w:r w:rsidR="00A778ED" w:rsidRPr="00A778ED">
        <w:t>Lipton and Danks, 2022).</w:t>
      </w:r>
    </w:p>
    <w:p w14:paraId="234EBA16" w14:textId="77777777" w:rsidR="00F974E4" w:rsidRPr="007274A8" w:rsidRDefault="00F974E4" w:rsidP="008A4AED">
      <w:pPr>
        <w:jc w:val="both"/>
        <w:rPr>
          <w:b/>
          <w:bCs/>
          <w:color w:val="153D63" w:themeColor="text2" w:themeTint="E6"/>
          <w:sz w:val="28"/>
          <w:szCs w:val="28"/>
        </w:rPr>
      </w:pPr>
      <w:r w:rsidRPr="007274A8">
        <w:rPr>
          <w:b/>
          <w:bCs/>
          <w:color w:val="153D63" w:themeColor="text2" w:themeTint="E6"/>
          <w:sz w:val="28"/>
          <w:szCs w:val="28"/>
        </w:rPr>
        <w:t>Human Oversight and Human</w:t>
      </w:r>
      <w:r w:rsidRPr="007274A8">
        <w:rPr>
          <w:rFonts w:ascii="Cambria Math" w:hAnsi="Cambria Math" w:cs="Cambria Math"/>
          <w:b/>
          <w:bCs/>
          <w:color w:val="153D63" w:themeColor="text2" w:themeTint="E6"/>
          <w:sz w:val="28"/>
          <w:szCs w:val="28"/>
        </w:rPr>
        <w:t>‑</w:t>
      </w:r>
      <w:r w:rsidRPr="007274A8">
        <w:rPr>
          <w:b/>
          <w:bCs/>
          <w:color w:val="153D63" w:themeColor="text2" w:themeTint="E6"/>
          <w:sz w:val="28"/>
          <w:szCs w:val="28"/>
        </w:rPr>
        <w:t>in</w:t>
      </w:r>
      <w:r w:rsidRPr="007274A8">
        <w:rPr>
          <w:rFonts w:ascii="Cambria Math" w:hAnsi="Cambria Math" w:cs="Cambria Math"/>
          <w:b/>
          <w:bCs/>
          <w:color w:val="153D63" w:themeColor="text2" w:themeTint="E6"/>
          <w:sz w:val="28"/>
          <w:szCs w:val="28"/>
        </w:rPr>
        <w:t>‑</w:t>
      </w:r>
      <w:r w:rsidRPr="007274A8">
        <w:rPr>
          <w:b/>
          <w:bCs/>
          <w:color w:val="153D63" w:themeColor="text2" w:themeTint="E6"/>
          <w:sz w:val="28"/>
          <w:szCs w:val="28"/>
        </w:rPr>
        <w:t>the</w:t>
      </w:r>
      <w:r w:rsidRPr="007274A8">
        <w:rPr>
          <w:rFonts w:ascii="Cambria Math" w:hAnsi="Cambria Math" w:cs="Cambria Math"/>
          <w:b/>
          <w:bCs/>
          <w:color w:val="153D63" w:themeColor="text2" w:themeTint="E6"/>
          <w:sz w:val="28"/>
          <w:szCs w:val="28"/>
        </w:rPr>
        <w:t>‑</w:t>
      </w:r>
      <w:r w:rsidRPr="007274A8">
        <w:rPr>
          <w:b/>
          <w:bCs/>
          <w:color w:val="153D63" w:themeColor="text2" w:themeTint="E6"/>
          <w:sz w:val="28"/>
          <w:szCs w:val="28"/>
        </w:rPr>
        <w:t>Loop Decision</w:t>
      </w:r>
      <w:r w:rsidRPr="007274A8">
        <w:rPr>
          <w:rFonts w:ascii="Cambria Math" w:hAnsi="Cambria Math" w:cs="Cambria Math"/>
          <w:b/>
          <w:bCs/>
          <w:color w:val="153D63" w:themeColor="text2" w:themeTint="E6"/>
          <w:sz w:val="28"/>
          <w:szCs w:val="28"/>
        </w:rPr>
        <w:t>‑</w:t>
      </w:r>
      <w:r w:rsidRPr="007274A8">
        <w:rPr>
          <w:b/>
          <w:bCs/>
          <w:color w:val="153D63" w:themeColor="text2" w:themeTint="E6"/>
          <w:sz w:val="28"/>
          <w:szCs w:val="28"/>
        </w:rPr>
        <w:t>Making</w:t>
      </w:r>
    </w:p>
    <w:p w14:paraId="3F33C4DB" w14:textId="17B1B336" w:rsidR="00A778ED" w:rsidRPr="00F932AE" w:rsidRDefault="00F974E4" w:rsidP="008A4AED">
      <w:pPr>
        <w:jc w:val="both"/>
      </w:pPr>
      <w:r w:rsidRPr="00F932AE">
        <w:t>This theme focuses on the role of human actors in interpreting, deferring to or overriding algorithmic recommendations (Tambe, Cappelli and Yakubovich, 2019). Research shows that human safeguards cannot be assumed to function effectively without examining how hiring managers exercise discretion, respond to automation bias and integrate algorithmic outputs into discretionary decision</w:t>
      </w:r>
      <w:r w:rsidR="00F32071" w:rsidRPr="00F32071">
        <w:t>-</w:t>
      </w:r>
      <w:r w:rsidRPr="00F932AE">
        <w:t>making processes</w:t>
      </w:r>
      <w:r w:rsidR="00F32071" w:rsidRPr="00F32071">
        <w:t>.</w:t>
      </w:r>
    </w:p>
    <w:p w14:paraId="6EC4F06F" w14:textId="77777777" w:rsidR="00F974E4" w:rsidRPr="007274A8" w:rsidRDefault="00F974E4" w:rsidP="008A4AED">
      <w:pPr>
        <w:jc w:val="both"/>
        <w:rPr>
          <w:b/>
          <w:bCs/>
          <w:color w:val="153D63" w:themeColor="text2" w:themeTint="E6"/>
          <w:sz w:val="28"/>
          <w:szCs w:val="28"/>
        </w:rPr>
      </w:pPr>
      <w:r w:rsidRPr="007274A8">
        <w:rPr>
          <w:b/>
          <w:bCs/>
          <w:color w:val="153D63" w:themeColor="text2" w:themeTint="E6"/>
          <w:sz w:val="28"/>
          <w:szCs w:val="28"/>
        </w:rPr>
        <w:lastRenderedPageBreak/>
        <w:t>Transparency and Explainability</w:t>
      </w:r>
    </w:p>
    <w:p w14:paraId="49304C68" w14:textId="135F1A84" w:rsidR="00351B86" w:rsidRPr="00F932AE" w:rsidRDefault="00F974E4" w:rsidP="008A4AED">
      <w:pPr>
        <w:jc w:val="both"/>
      </w:pPr>
      <w:r w:rsidRPr="00F932AE">
        <w:t xml:space="preserve">This theme addresses requirements for disclosing AI system logic, data sources and limitations to candidates, regulators and internal stakeholders (Rigotti and </w:t>
      </w:r>
      <w:proofErr w:type="spellStart"/>
      <w:r w:rsidRPr="00F932AE">
        <w:t>Fosch</w:t>
      </w:r>
      <w:proofErr w:type="spellEnd"/>
      <w:r w:rsidR="001578AD" w:rsidRPr="001578AD">
        <w:t>-</w:t>
      </w:r>
      <w:r w:rsidRPr="00F932AE">
        <w:t>Villaronga, 2024). Tensions arise between regulatory mandates for meaningful information and the technical complexity and commercial confidentiality of proprietary systems, particularly in cross</w:t>
      </w:r>
      <w:r w:rsidR="001578AD" w:rsidRPr="001578AD">
        <w:t>-</w:t>
      </w:r>
      <w:r w:rsidRPr="00F932AE">
        <w:t>border contexts where cultural and linguistic differences affect how explanations are understood (CMS, 2025).</w:t>
      </w:r>
    </w:p>
    <w:p w14:paraId="47BEA26E" w14:textId="77777777" w:rsidR="00F974E4" w:rsidRPr="00F414C3" w:rsidRDefault="00F974E4" w:rsidP="008A4AED">
      <w:pPr>
        <w:jc w:val="both"/>
        <w:rPr>
          <w:b/>
          <w:bCs/>
          <w:color w:val="153D63" w:themeColor="text2" w:themeTint="E6"/>
          <w:sz w:val="28"/>
          <w:szCs w:val="28"/>
        </w:rPr>
      </w:pPr>
      <w:r w:rsidRPr="00F414C3">
        <w:rPr>
          <w:b/>
          <w:bCs/>
          <w:color w:val="153D63" w:themeColor="text2" w:themeTint="E6"/>
          <w:sz w:val="28"/>
          <w:szCs w:val="28"/>
        </w:rPr>
        <w:t>Accountability and Governance</w:t>
      </w:r>
    </w:p>
    <w:p w14:paraId="1BBE52FA" w14:textId="2B494C11" w:rsidR="001578AD" w:rsidRPr="00F932AE" w:rsidRDefault="00F974E4" w:rsidP="008A4AED">
      <w:pPr>
        <w:jc w:val="both"/>
      </w:pPr>
      <w:r w:rsidRPr="00F932AE">
        <w:t>This theme analyses how decision rights, responsibility and oversight mechanisms are allocated between global HR functions, local business units and technology vendors (</w:t>
      </w:r>
      <w:proofErr w:type="spellStart"/>
      <w:r w:rsidRPr="00F932AE">
        <w:t>Prikshat</w:t>
      </w:r>
      <w:proofErr w:type="spellEnd"/>
      <w:r w:rsidR="00587BC7" w:rsidRPr="00587BC7">
        <w:t>, Malik and Budhwar, 2023).</w:t>
      </w:r>
      <w:r w:rsidRPr="00F932AE">
        <w:t xml:space="preserve"> Fragmented authority structures in MNCs can create accountability gaps, especially when AI tools are centrally procured but locally deployed, shifting decision authority subtly rather than overtly (Tsiskaridze, Reinhold and Järvis, 2023).</w:t>
      </w:r>
    </w:p>
    <w:p w14:paraId="3ECA07E1" w14:textId="77777777" w:rsidR="00F974E4" w:rsidRPr="00F414C3" w:rsidRDefault="00F974E4" w:rsidP="008A4AED">
      <w:pPr>
        <w:jc w:val="both"/>
        <w:rPr>
          <w:b/>
          <w:bCs/>
          <w:color w:val="153D63" w:themeColor="text2" w:themeTint="E6"/>
          <w:sz w:val="28"/>
          <w:szCs w:val="28"/>
        </w:rPr>
      </w:pPr>
      <w:r w:rsidRPr="00F414C3">
        <w:rPr>
          <w:b/>
          <w:bCs/>
          <w:color w:val="153D63" w:themeColor="text2" w:themeTint="E6"/>
          <w:sz w:val="28"/>
          <w:szCs w:val="28"/>
        </w:rPr>
        <w:t>Regulatory Compliance</w:t>
      </w:r>
    </w:p>
    <w:p w14:paraId="0580AFFE" w14:textId="71F164BA" w:rsidR="00587BC7" w:rsidRPr="00F932AE" w:rsidRDefault="00F974E4" w:rsidP="008A4AED">
      <w:pPr>
        <w:jc w:val="both"/>
      </w:pPr>
      <w:r w:rsidRPr="00F932AE">
        <w:t>This theme explores organisational responses to data protection and AI</w:t>
      </w:r>
      <w:r w:rsidR="00A43FFD" w:rsidRPr="00A43FFD">
        <w:t>-</w:t>
      </w:r>
      <w:r w:rsidRPr="00F932AE">
        <w:t>specific regulations such as GDPR and the EU AI Act (European Commission, 2024). It highlights challenges of cross</w:t>
      </w:r>
      <w:r w:rsidR="00A43FFD" w:rsidRPr="00A43FFD">
        <w:t>-</w:t>
      </w:r>
      <w:r w:rsidRPr="00F932AE">
        <w:t>jurisdictional compliance, divergent enforcement capacity and the alignment of internal governance arrangements with evolving regulatory expectations in Europe and Asia (CMS, 2025).</w:t>
      </w:r>
    </w:p>
    <w:p w14:paraId="10D431A6" w14:textId="77777777" w:rsidR="00F974E4" w:rsidRPr="00F414C3" w:rsidRDefault="00F974E4" w:rsidP="008A4AED">
      <w:pPr>
        <w:jc w:val="both"/>
        <w:rPr>
          <w:b/>
          <w:bCs/>
          <w:color w:val="153D63" w:themeColor="text2" w:themeTint="E6"/>
          <w:sz w:val="28"/>
          <w:szCs w:val="28"/>
        </w:rPr>
      </w:pPr>
      <w:r w:rsidRPr="00F414C3">
        <w:rPr>
          <w:b/>
          <w:bCs/>
          <w:color w:val="153D63" w:themeColor="text2" w:themeTint="E6"/>
          <w:sz w:val="28"/>
          <w:szCs w:val="28"/>
        </w:rPr>
        <w:t>Cross</w:t>
      </w:r>
      <w:r w:rsidRPr="00F414C3">
        <w:rPr>
          <w:rFonts w:ascii="Cambria Math" w:hAnsi="Cambria Math" w:cs="Cambria Math"/>
          <w:b/>
          <w:bCs/>
          <w:color w:val="153D63" w:themeColor="text2" w:themeTint="E6"/>
          <w:sz w:val="28"/>
          <w:szCs w:val="28"/>
        </w:rPr>
        <w:t>‑</w:t>
      </w:r>
      <w:r w:rsidRPr="00F414C3">
        <w:rPr>
          <w:b/>
          <w:bCs/>
          <w:color w:val="153D63" w:themeColor="text2" w:themeTint="E6"/>
          <w:sz w:val="28"/>
          <w:szCs w:val="28"/>
        </w:rPr>
        <w:t>Border Recruitment</w:t>
      </w:r>
    </w:p>
    <w:p w14:paraId="535C45F8" w14:textId="003B9A37" w:rsidR="00A43FFD" w:rsidRPr="00F932AE" w:rsidRDefault="00F974E4" w:rsidP="008A4AED">
      <w:pPr>
        <w:jc w:val="both"/>
      </w:pPr>
      <w:r w:rsidRPr="00F932AE">
        <w:t>This theme examines AI</w:t>
      </w:r>
      <w:r w:rsidR="00311157" w:rsidRPr="00311157">
        <w:t>-</w:t>
      </w:r>
      <w:r w:rsidRPr="00F932AE">
        <w:t>mediated hiring practices across European and Asian contexts (CMS, 2025). It identifies coordination challenges arising from divergent regulatory expectations, differing cultural assumptions about fairness and accountability, and the portability of governance norms across jurisdictions (</w:t>
      </w:r>
      <w:proofErr w:type="spellStart"/>
      <w:r w:rsidRPr="00F932AE">
        <w:t>Prikshat</w:t>
      </w:r>
      <w:proofErr w:type="spellEnd"/>
      <w:r w:rsidR="00311157" w:rsidRPr="00311157">
        <w:t>, Malik and Budhwar,</w:t>
      </w:r>
      <w:r w:rsidRPr="00F932AE">
        <w:t xml:space="preserve"> 2023).</w:t>
      </w:r>
    </w:p>
    <w:p w14:paraId="7A3F60C1" w14:textId="77777777" w:rsidR="00F974E4" w:rsidRPr="00F414C3" w:rsidRDefault="00F974E4" w:rsidP="008A4AED">
      <w:pPr>
        <w:jc w:val="both"/>
        <w:rPr>
          <w:b/>
          <w:bCs/>
          <w:color w:val="153D63" w:themeColor="text2" w:themeTint="E6"/>
          <w:sz w:val="28"/>
          <w:szCs w:val="28"/>
        </w:rPr>
      </w:pPr>
      <w:r w:rsidRPr="00F414C3">
        <w:rPr>
          <w:b/>
          <w:bCs/>
          <w:color w:val="153D63" w:themeColor="text2" w:themeTint="E6"/>
          <w:sz w:val="28"/>
          <w:szCs w:val="28"/>
        </w:rPr>
        <w:t>Cultural and Linguistic Differences</w:t>
      </w:r>
    </w:p>
    <w:p w14:paraId="3769C5C3" w14:textId="77777777" w:rsidR="001054E8" w:rsidRDefault="001054E8" w:rsidP="008A4AED">
      <w:pPr>
        <w:jc w:val="both"/>
      </w:pPr>
      <w:r w:rsidRPr="001054E8">
        <w:t xml:space="preserve">This theme investigates how language, communication styles and cultural norms influence AI evaluation of candidates (Rao et al., 2025). Studies show that even with anonymization, AI systems can score candidates differently based on vocabulary and sentence structure, raising concerns about linguistic bias in cross-border recruitment (Rigotti and </w:t>
      </w:r>
      <w:proofErr w:type="spellStart"/>
      <w:r w:rsidRPr="001054E8">
        <w:t>Fosch</w:t>
      </w:r>
      <w:proofErr w:type="spellEnd"/>
      <w:r w:rsidRPr="001054E8">
        <w:t>-Villaronga, 2024).</w:t>
      </w:r>
    </w:p>
    <w:p w14:paraId="18378E97" w14:textId="4D46FD21" w:rsidR="00F974E4" w:rsidRPr="00F414C3" w:rsidRDefault="00F974E4" w:rsidP="008A4AED">
      <w:pPr>
        <w:jc w:val="both"/>
        <w:rPr>
          <w:b/>
          <w:bCs/>
          <w:color w:val="153D63" w:themeColor="text2" w:themeTint="E6"/>
          <w:sz w:val="28"/>
          <w:szCs w:val="28"/>
        </w:rPr>
      </w:pPr>
      <w:r w:rsidRPr="00F414C3">
        <w:rPr>
          <w:b/>
          <w:bCs/>
          <w:color w:val="153D63" w:themeColor="text2" w:themeTint="E6"/>
          <w:sz w:val="28"/>
          <w:szCs w:val="28"/>
        </w:rPr>
        <w:t>Vendor Governance</w:t>
      </w:r>
    </w:p>
    <w:p w14:paraId="01A53976" w14:textId="6622AFCD" w:rsidR="00191968" w:rsidRPr="00F932AE" w:rsidRDefault="00F974E4" w:rsidP="008A4AED">
      <w:pPr>
        <w:jc w:val="both"/>
      </w:pPr>
      <w:r w:rsidRPr="00F932AE">
        <w:t>This theme focuses on oversight of third</w:t>
      </w:r>
      <w:r w:rsidR="00125E33" w:rsidRPr="00125E33">
        <w:t>-</w:t>
      </w:r>
      <w:r w:rsidRPr="00F932AE">
        <w:t>party AI recruitment technology providers (</w:t>
      </w:r>
      <w:proofErr w:type="spellStart"/>
      <w:r w:rsidRPr="00F932AE">
        <w:t>Prikshat</w:t>
      </w:r>
      <w:proofErr w:type="spellEnd"/>
      <w:r w:rsidR="00125E33" w:rsidRPr="00125E33">
        <w:t>, Malik and Budhwar, 2023).</w:t>
      </w:r>
      <w:r w:rsidRPr="00F932AE">
        <w:t xml:space="preserve"> Key issues include contractual safeguards, audit rights, transparency obligations and the risks of dependency and lock</w:t>
      </w:r>
      <w:r w:rsidR="00125E33" w:rsidRPr="00125E33">
        <w:t>-</w:t>
      </w:r>
      <w:r w:rsidRPr="00F932AE">
        <w:t>in when MNCs rely on external vendors for core hiring infrastructure (CMS, 2025).</w:t>
      </w:r>
    </w:p>
    <w:p w14:paraId="2EFE0F00" w14:textId="77777777" w:rsidR="00F974E4" w:rsidRPr="00F414C3" w:rsidRDefault="00F974E4" w:rsidP="008A4AED">
      <w:pPr>
        <w:jc w:val="both"/>
        <w:rPr>
          <w:b/>
          <w:bCs/>
          <w:color w:val="153D63" w:themeColor="text2" w:themeTint="E6"/>
          <w:sz w:val="28"/>
          <w:szCs w:val="28"/>
        </w:rPr>
      </w:pPr>
      <w:r w:rsidRPr="00F414C3">
        <w:rPr>
          <w:b/>
          <w:bCs/>
          <w:color w:val="153D63" w:themeColor="text2" w:themeTint="E6"/>
          <w:sz w:val="28"/>
          <w:szCs w:val="28"/>
        </w:rPr>
        <w:t>Diversity, Equity, and Inclusion (DEI)</w:t>
      </w:r>
    </w:p>
    <w:p w14:paraId="520F5CD1" w14:textId="424C2690" w:rsidR="00125E33" w:rsidRPr="00F932AE" w:rsidRDefault="00F974E4" w:rsidP="008A4AED">
      <w:pPr>
        <w:jc w:val="both"/>
      </w:pPr>
      <w:r w:rsidRPr="00F932AE">
        <w:t>This theme considers the relationship between AI recruitment and organisational DEI objectives (Barocas and Selbst, 2016). It highlights how algorithmic systems can affect representation outcomes, amplify structural inequalities in applicant pools and shape socially constructed notions of merit, with implications for equity and inclusion strategies (</w:t>
      </w:r>
      <w:proofErr w:type="spellStart"/>
      <w:r w:rsidRPr="00F932AE">
        <w:t>Fazelpour</w:t>
      </w:r>
      <w:proofErr w:type="spellEnd"/>
      <w:r w:rsidRPr="00F932AE">
        <w:t xml:space="preserve">, </w:t>
      </w:r>
      <w:r w:rsidR="000F28F7" w:rsidRPr="000F28F7">
        <w:t>Lipton and Danks, 2022).</w:t>
      </w:r>
    </w:p>
    <w:p w14:paraId="2F7B1D6E" w14:textId="76231905" w:rsidR="00BD14B9" w:rsidRPr="00AB69A2" w:rsidRDefault="00BD14B9" w:rsidP="008A4AED">
      <w:pPr>
        <w:pStyle w:val="Heading2"/>
        <w:jc w:val="both"/>
        <w:rPr>
          <w:b/>
          <w:bCs/>
        </w:rPr>
      </w:pPr>
      <w:bookmarkStart w:id="54" w:name="_Toc240996987"/>
      <w:r w:rsidRPr="00AB69A2">
        <w:rPr>
          <w:b/>
          <w:bCs/>
        </w:rPr>
        <w:lastRenderedPageBreak/>
        <w:t>4.4 Technical Dimension</w:t>
      </w:r>
      <w:bookmarkEnd w:id="54"/>
    </w:p>
    <w:p w14:paraId="46BBCC38" w14:textId="18285BE8" w:rsidR="001F6CAB" w:rsidRDefault="001F6CAB" w:rsidP="008A4AED">
      <w:pPr>
        <w:jc w:val="both"/>
      </w:pPr>
      <w:r w:rsidRPr="001F6CAB">
        <w:t>The technical dimension examines how AI technologies, data practices, bias mitigation, and transparency influence the fairness, reliability, and accountability of recruitment decisions.</w:t>
      </w:r>
    </w:p>
    <w:p w14:paraId="12C5074C" w14:textId="3D072BB4" w:rsidR="00B85507" w:rsidRPr="00B85507" w:rsidRDefault="00B85507" w:rsidP="00B85507">
      <w:pPr>
        <w:pStyle w:val="Caption"/>
        <w:rPr>
          <w:b/>
          <w:color w:val="153D63" w:themeColor="text2" w:themeTint="E6"/>
          <w:sz w:val="32"/>
          <w:szCs w:val="32"/>
        </w:rPr>
      </w:pPr>
      <w:bookmarkStart w:id="55" w:name="_Toc240978326"/>
      <w:bookmarkStart w:id="56" w:name="_Toc240978780"/>
      <w:r w:rsidRPr="00B85507">
        <w:rPr>
          <w:b/>
          <w:color w:val="153D63" w:themeColor="text2" w:themeTint="E6"/>
          <w:sz w:val="32"/>
          <w:szCs w:val="32"/>
        </w:rPr>
        <w:t xml:space="preserve">Figure </w:t>
      </w:r>
      <w:r w:rsidRPr="00B85507">
        <w:rPr>
          <w:b/>
          <w:color w:val="153D63" w:themeColor="text2" w:themeTint="E6"/>
          <w:sz w:val="32"/>
          <w:szCs w:val="32"/>
        </w:rPr>
        <w:fldChar w:fldCharType="begin"/>
      </w:r>
      <w:r w:rsidRPr="00B85507">
        <w:rPr>
          <w:b/>
          <w:color w:val="153D63" w:themeColor="text2" w:themeTint="E6"/>
          <w:sz w:val="32"/>
          <w:szCs w:val="32"/>
        </w:rPr>
        <w:instrText xml:space="preserve"> SEQ Figure \* ARABIC </w:instrText>
      </w:r>
      <w:r w:rsidRPr="00B85507">
        <w:rPr>
          <w:b/>
          <w:color w:val="153D63" w:themeColor="text2" w:themeTint="E6"/>
          <w:sz w:val="32"/>
          <w:szCs w:val="32"/>
        </w:rPr>
        <w:fldChar w:fldCharType="separate"/>
      </w:r>
      <w:r w:rsidRPr="00B85507">
        <w:rPr>
          <w:b/>
          <w:color w:val="153D63" w:themeColor="text2" w:themeTint="E6"/>
          <w:sz w:val="32"/>
          <w:szCs w:val="32"/>
        </w:rPr>
        <w:t>3</w:t>
      </w:r>
      <w:r w:rsidRPr="00B85507">
        <w:rPr>
          <w:b/>
          <w:color w:val="153D63" w:themeColor="text2" w:themeTint="E6"/>
          <w:sz w:val="32"/>
          <w:szCs w:val="32"/>
        </w:rPr>
        <w:fldChar w:fldCharType="end"/>
      </w:r>
      <w:r w:rsidRPr="00B85507">
        <w:rPr>
          <w:b/>
          <w:color w:val="153D63" w:themeColor="text2" w:themeTint="E6"/>
          <w:sz w:val="32"/>
          <w:szCs w:val="32"/>
        </w:rPr>
        <w:t xml:space="preserve"> - Technical Dimension of AI-Mediated Recruitment</w:t>
      </w:r>
      <w:bookmarkEnd w:id="55"/>
      <w:bookmarkEnd w:id="56"/>
    </w:p>
    <w:p w14:paraId="69B36704" w14:textId="2E5DBFE8" w:rsidR="001427A2" w:rsidRPr="001F6CAB" w:rsidRDefault="00FB18A7" w:rsidP="008A4AED">
      <w:pPr>
        <w:jc w:val="both"/>
      </w:pPr>
      <w:r>
        <w:rPr>
          <w:noProof/>
        </w:rPr>
        <w:drawing>
          <wp:anchor distT="0" distB="0" distL="114300" distR="114300" simplePos="0" relativeHeight="251658241" behindDoc="0" locked="0" layoutInCell="1" allowOverlap="1" wp14:anchorId="17F0223D" wp14:editId="02B6B4A7">
            <wp:simplePos x="0" y="0"/>
            <wp:positionH relativeFrom="column">
              <wp:posOffset>0</wp:posOffset>
            </wp:positionH>
            <wp:positionV relativeFrom="paragraph">
              <wp:posOffset>41275</wp:posOffset>
            </wp:positionV>
            <wp:extent cx="6642100" cy="4427855"/>
            <wp:effectExtent l="0" t="0" r="6350" b="0"/>
            <wp:wrapTopAndBottom/>
            <wp:docPr id="2294337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33716" name="Picture 229433716"/>
                    <pic:cNvPicPr/>
                  </pic:nvPicPr>
                  <pic:blipFill>
                    <a:blip r:embed="rId10">
                      <a:extLst>
                        <a:ext uri="{28A0092B-C50C-407E-A947-70E740481C1C}">
                          <a14:useLocalDpi xmlns:a14="http://schemas.microsoft.com/office/drawing/2010/main" val="0"/>
                        </a:ext>
                      </a:extLst>
                    </a:blip>
                    <a:stretch>
                      <a:fillRect/>
                    </a:stretch>
                  </pic:blipFill>
                  <pic:spPr>
                    <a:xfrm>
                      <a:off x="0" y="0"/>
                      <a:ext cx="6642100" cy="4427855"/>
                    </a:xfrm>
                    <a:prstGeom prst="rect">
                      <a:avLst/>
                    </a:prstGeom>
                  </pic:spPr>
                </pic:pic>
              </a:graphicData>
            </a:graphic>
          </wp:anchor>
        </w:drawing>
      </w:r>
      <w:r w:rsidR="00575F97" w:rsidRPr="00575F97">
        <w:t>Source: Adapted from Tambe, Cappelli and Yakubovich (2019), Raghavan et al. (2020) and Selbst et al. (2019).</w:t>
      </w:r>
    </w:p>
    <w:p w14:paraId="2124C840" w14:textId="77777777" w:rsidR="00BD14B9" w:rsidRPr="00AB5F34" w:rsidRDefault="00BD14B9" w:rsidP="008A4AED">
      <w:pPr>
        <w:pStyle w:val="Heading3"/>
        <w:jc w:val="both"/>
        <w:rPr>
          <w:b/>
          <w:bCs/>
        </w:rPr>
      </w:pPr>
      <w:bookmarkStart w:id="57" w:name="_Toc240996988"/>
      <w:r w:rsidRPr="00AB5F34">
        <w:rPr>
          <w:b/>
          <w:bCs/>
        </w:rPr>
        <w:t>4.4.1 Algorithm Design</w:t>
      </w:r>
      <w:bookmarkEnd w:id="57"/>
    </w:p>
    <w:p w14:paraId="1B22F713" w14:textId="52C7765A" w:rsidR="00BD14B9" w:rsidRPr="00784D9C" w:rsidRDefault="00BD14B9" w:rsidP="008A4AED">
      <w:pPr>
        <w:jc w:val="both"/>
      </w:pPr>
      <w:r w:rsidRPr="00784D9C">
        <w:t xml:space="preserve">The reviewed literature shows that AI recruitment systems use a variety of technological approaches (Rigotti and </w:t>
      </w:r>
      <w:proofErr w:type="spellStart"/>
      <w:r w:rsidRPr="00784D9C">
        <w:t>Fosch</w:t>
      </w:r>
      <w:proofErr w:type="spellEnd"/>
      <w:r w:rsidRPr="00784D9C">
        <w:rPr>
          <w:rFonts w:ascii="Cambria Math" w:hAnsi="Cambria Math" w:cs="Cambria Math"/>
        </w:rPr>
        <w:t>‑</w:t>
      </w:r>
      <w:r w:rsidRPr="00784D9C">
        <w:t>Villaronga, 2024). These include machine</w:t>
      </w:r>
      <w:r w:rsidRPr="00784D9C">
        <w:rPr>
          <w:rFonts w:ascii="Cambria Math" w:hAnsi="Cambria Math" w:cs="Cambria Math"/>
        </w:rPr>
        <w:t>‑</w:t>
      </w:r>
      <w:r w:rsidRPr="00784D9C">
        <w:t>learning classifiers, natural language processing (NLP), transformer</w:t>
      </w:r>
      <w:r w:rsidRPr="00784D9C">
        <w:rPr>
          <w:rFonts w:ascii="Cambria Math" w:hAnsi="Cambria Math" w:cs="Cambria Math"/>
        </w:rPr>
        <w:t>‑</w:t>
      </w:r>
      <w:r w:rsidRPr="00784D9C">
        <w:t>based models, computer vision, and hybrid systems (Tambe, Cappelli and Yakubovich, 2019).</w:t>
      </w:r>
    </w:p>
    <w:p w14:paraId="276D53BE" w14:textId="5CBD160A" w:rsidR="00BD14B9" w:rsidRPr="00784D9C" w:rsidRDefault="00BD14B9" w:rsidP="008A4AED">
      <w:pPr>
        <w:jc w:val="both"/>
      </w:pPr>
      <w:r w:rsidRPr="00784D9C">
        <w:t>These technologies are used to identify relevant candidate information, classify applications, analyse interview responses, match candidates with vacancies, and support ranking or recommendation processes (</w:t>
      </w:r>
      <w:proofErr w:type="spellStart"/>
      <w:r w:rsidRPr="00784D9C">
        <w:t>Prikshat</w:t>
      </w:r>
      <w:proofErr w:type="spellEnd"/>
      <w:r w:rsidR="000F5B41" w:rsidRPr="000F5B41">
        <w:t>, Malik and Budhwar,</w:t>
      </w:r>
      <w:r w:rsidRPr="00784D9C">
        <w:t xml:space="preserve"> 2023).</w:t>
      </w:r>
    </w:p>
    <w:p w14:paraId="28327093" w14:textId="77777777" w:rsidR="00BD14B9" w:rsidRPr="00784D9C" w:rsidRDefault="00BD14B9" w:rsidP="008A4AED">
      <w:pPr>
        <w:jc w:val="both"/>
      </w:pPr>
      <w:r w:rsidRPr="00784D9C">
        <w:t>However, the literature indicates that algorithmic performance does not necessarily guarantee fair recruitment outcomes (Barocas and Selbst, 2016). The design of an AI system can reproduce or amplify problems contained within training data, assumptions, or the criteria used to define candidate suitability (Raghavan et al., 2020).</w:t>
      </w:r>
    </w:p>
    <w:p w14:paraId="321574FF" w14:textId="77777777" w:rsidR="00BD14B9" w:rsidRPr="00AB5F34" w:rsidRDefault="00BD14B9" w:rsidP="008A4AED">
      <w:pPr>
        <w:pStyle w:val="Heading3"/>
        <w:jc w:val="both"/>
        <w:rPr>
          <w:b/>
          <w:bCs/>
        </w:rPr>
      </w:pPr>
      <w:bookmarkStart w:id="58" w:name="_Toc240996989"/>
      <w:r w:rsidRPr="00AB5F34">
        <w:rPr>
          <w:b/>
          <w:bCs/>
        </w:rPr>
        <w:lastRenderedPageBreak/>
        <w:t>4.4.2 Data Practices</w:t>
      </w:r>
      <w:bookmarkEnd w:id="58"/>
    </w:p>
    <w:p w14:paraId="7C3619F3" w14:textId="77777777" w:rsidR="00BD14B9" w:rsidRPr="00784D9C" w:rsidRDefault="00BD14B9" w:rsidP="008A4AED">
      <w:pPr>
        <w:jc w:val="both"/>
      </w:pPr>
      <w:r w:rsidRPr="00784D9C">
        <w:t>Data is a central component of AI</w:t>
      </w:r>
      <w:r w:rsidRPr="00784D9C">
        <w:rPr>
          <w:rFonts w:ascii="Cambria Math" w:hAnsi="Cambria Math" w:cs="Cambria Math"/>
        </w:rPr>
        <w:t>‑</w:t>
      </w:r>
      <w:r w:rsidRPr="00784D9C">
        <w:t>mediated recruitment (Tsiskaridze, Reinhold and Järvis, 2023). Recruitment systems may rely on historical recruitment records, candidate CVs, assessment information, interview data, third</w:t>
      </w:r>
      <w:r w:rsidRPr="00784D9C">
        <w:rPr>
          <w:rFonts w:ascii="Cambria Math" w:hAnsi="Cambria Math" w:cs="Cambria Math"/>
        </w:rPr>
        <w:t>‑</w:t>
      </w:r>
      <w:r w:rsidRPr="00784D9C">
        <w:t>party datasets, or other sources of employment</w:t>
      </w:r>
      <w:r w:rsidRPr="00784D9C">
        <w:rPr>
          <w:rFonts w:ascii="Cambria Math" w:hAnsi="Cambria Math" w:cs="Cambria Math"/>
        </w:rPr>
        <w:t>‑</w:t>
      </w:r>
      <w:r w:rsidRPr="00784D9C">
        <w:t>related information (Tambe, Cappelli and Yakubovich, 2019).</w:t>
      </w:r>
    </w:p>
    <w:p w14:paraId="428E6BC6" w14:textId="77777777" w:rsidR="00BD14B9" w:rsidRPr="00784D9C" w:rsidRDefault="00BD14B9" w:rsidP="008A4AED">
      <w:pPr>
        <w:jc w:val="both"/>
      </w:pPr>
      <w:r w:rsidRPr="00784D9C">
        <w:t>The literature highlights several concerns surrounding data quality, representativeness, consent, data minimisation, documentation, and cross</w:t>
      </w:r>
      <w:r w:rsidRPr="00784D9C">
        <w:rPr>
          <w:rFonts w:ascii="Cambria Math" w:hAnsi="Cambria Math" w:cs="Cambria Math"/>
        </w:rPr>
        <w:t>‑</w:t>
      </w:r>
      <w:r w:rsidRPr="00784D9C">
        <w:t>border data transfers (European Commission, 2024). Historical recruitment data may contain existing organisational biases. If such data is used to train AI systems without adequate controls, previous patterns of unequal treatment may be reproduced (Barocas and Selbst, 2016).</w:t>
      </w:r>
    </w:p>
    <w:p w14:paraId="6CC9655E" w14:textId="3135827B" w:rsidR="00BD14B9" w:rsidRPr="00784D9C" w:rsidRDefault="00BD14B9" w:rsidP="008A4AED">
      <w:pPr>
        <w:jc w:val="both"/>
      </w:pPr>
      <w:r w:rsidRPr="00784D9C">
        <w:t>For MNCs, data governance becomes more complex because candidate information may cross national borders and be processed by different organisational units and technology providers (</w:t>
      </w:r>
      <w:r w:rsidR="00864511" w:rsidRPr="00784D9C">
        <w:t>CMS, 2025).</w:t>
      </w:r>
      <w:r w:rsidRPr="00784D9C">
        <w:t>Therefore, data governance needs to address both technical quality and legal requirements (CMS, 2025).</w:t>
      </w:r>
    </w:p>
    <w:p w14:paraId="0542AA35" w14:textId="77777777" w:rsidR="00BD14B9" w:rsidRPr="00AB5F34" w:rsidRDefault="00BD14B9" w:rsidP="008A4AED">
      <w:pPr>
        <w:pStyle w:val="Heading3"/>
        <w:jc w:val="both"/>
        <w:rPr>
          <w:b/>
          <w:bCs/>
        </w:rPr>
      </w:pPr>
      <w:bookmarkStart w:id="59" w:name="_Toc240996990"/>
      <w:r w:rsidRPr="00AB5F34">
        <w:rPr>
          <w:b/>
          <w:bCs/>
        </w:rPr>
        <w:t>4.4.3 Algorithmic Bias</w:t>
      </w:r>
      <w:bookmarkEnd w:id="59"/>
    </w:p>
    <w:p w14:paraId="69886BAC" w14:textId="77777777" w:rsidR="00BD14B9" w:rsidRPr="00784D9C" w:rsidRDefault="00BD14B9" w:rsidP="008A4AED">
      <w:pPr>
        <w:jc w:val="both"/>
      </w:pPr>
      <w:r w:rsidRPr="00784D9C">
        <w:t>Algorithmic bias is one of the most consistently identified concerns within the reviewed literature (Raghavan et al., 2020). Bias can arise from historical data, under</w:t>
      </w:r>
      <w:r w:rsidRPr="00784D9C">
        <w:rPr>
          <w:rFonts w:ascii="Cambria Math" w:hAnsi="Cambria Math" w:cs="Cambria Math"/>
        </w:rPr>
        <w:t>‑</w:t>
      </w:r>
      <w:r w:rsidRPr="00784D9C">
        <w:t>representation of groups, the use of proxy variables, inappropriate measurement methods, and differences between datasets (Selbst et al., 2019).</w:t>
      </w:r>
    </w:p>
    <w:p w14:paraId="31979D12" w14:textId="77777777" w:rsidR="00BD14B9" w:rsidRPr="00784D9C" w:rsidRDefault="00BD14B9" w:rsidP="008A4AED">
      <w:pPr>
        <w:jc w:val="both"/>
      </w:pPr>
      <w:r w:rsidRPr="00784D9C">
        <w:t>For example, variables that appear neutral may indirectly represent characteristics associated with protected or disadvantaged groups (Barocas and Selbst, 2016). Consequently, removing explicitly sensitive characteristics does not necessarily eliminate discriminatory outcomes (Raghavan et al., 2020).</w:t>
      </w:r>
    </w:p>
    <w:p w14:paraId="2071917C" w14:textId="77777777" w:rsidR="00BD14B9" w:rsidRPr="00784D9C" w:rsidRDefault="00BD14B9" w:rsidP="008A4AED">
      <w:pPr>
        <w:jc w:val="both"/>
      </w:pPr>
      <w:r w:rsidRPr="00784D9C">
        <w:t>The literature therefore suggests that fairness needs to be considered throughout the AI development and deployment process rather than treated as a final technical adjustment (Tambe, Cappelli and Yakubovich, 2019).</w:t>
      </w:r>
    </w:p>
    <w:p w14:paraId="3FE702A3" w14:textId="77777777" w:rsidR="00BD14B9" w:rsidRPr="00AB5F34" w:rsidRDefault="00BD14B9" w:rsidP="008A4AED">
      <w:pPr>
        <w:pStyle w:val="Heading3"/>
        <w:jc w:val="both"/>
        <w:rPr>
          <w:b/>
          <w:bCs/>
        </w:rPr>
      </w:pPr>
      <w:bookmarkStart w:id="60" w:name="_Toc240996991"/>
      <w:r w:rsidRPr="00AB5F34">
        <w:rPr>
          <w:b/>
          <w:bCs/>
        </w:rPr>
        <w:t>4.4.4 Bias</w:t>
      </w:r>
      <w:r w:rsidRPr="00AB5F34">
        <w:rPr>
          <w:rFonts w:ascii="Cambria Math" w:hAnsi="Cambria Math" w:cs="Cambria Math"/>
          <w:b/>
          <w:bCs/>
        </w:rPr>
        <w:t>‑</w:t>
      </w:r>
      <w:r w:rsidRPr="00AB5F34">
        <w:rPr>
          <w:b/>
          <w:bCs/>
        </w:rPr>
        <w:t>Mitigation Approaches</w:t>
      </w:r>
      <w:bookmarkEnd w:id="60"/>
    </w:p>
    <w:p w14:paraId="1C5CF0B9" w14:textId="77777777" w:rsidR="00BD14B9" w:rsidRPr="00784D9C" w:rsidRDefault="00BD14B9" w:rsidP="008A4AED">
      <w:pPr>
        <w:jc w:val="both"/>
      </w:pPr>
      <w:r w:rsidRPr="00784D9C">
        <w:t xml:space="preserve">The literature identifies several approaches to reducing algorithmic bias (Rigotti and </w:t>
      </w:r>
      <w:proofErr w:type="spellStart"/>
      <w:r w:rsidRPr="00784D9C">
        <w:t>Fosch</w:t>
      </w:r>
      <w:proofErr w:type="spellEnd"/>
      <w:r w:rsidRPr="00784D9C">
        <w:rPr>
          <w:rFonts w:ascii="Cambria Math" w:hAnsi="Cambria Math" w:cs="Cambria Math"/>
        </w:rPr>
        <w:t>‑</w:t>
      </w:r>
      <w:r w:rsidRPr="00784D9C">
        <w:t>Villaronga, 2024). These can broadly be categorised into pre</w:t>
      </w:r>
      <w:r w:rsidRPr="00784D9C">
        <w:rPr>
          <w:rFonts w:ascii="Cambria Math" w:hAnsi="Cambria Math" w:cs="Cambria Math"/>
        </w:rPr>
        <w:t>‑</w:t>
      </w:r>
      <w:r w:rsidRPr="00784D9C">
        <w:t>processing, in</w:t>
      </w:r>
      <w:r w:rsidRPr="00784D9C">
        <w:rPr>
          <w:rFonts w:ascii="Cambria Math" w:hAnsi="Cambria Math" w:cs="Cambria Math"/>
        </w:rPr>
        <w:t>‑</w:t>
      </w:r>
      <w:r w:rsidRPr="00784D9C">
        <w:t>processing, and post</w:t>
      </w:r>
      <w:r w:rsidRPr="00784D9C">
        <w:rPr>
          <w:rFonts w:ascii="Cambria Math" w:hAnsi="Cambria Math" w:cs="Cambria Math"/>
        </w:rPr>
        <w:t>‑</w:t>
      </w:r>
      <w:r w:rsidRPr="00784D9C">
        <w:t>processing approaches (Raghavan et al., 2020).</w:t>
      </w:r>
    </w:p>
    <w:p w14:paraId="348BA3F4" w14:textId="77777777" w:rsidR="00BD14B9" w:rsidRPr="00784D9C" w:rsidRDefault="00BD14B9" w:rsidP="008A4AED">
      <w:pPr>
        <w:jc w:val="both"/>
      </w:pPr>
      <w:r w:rsidRPr="00784D9C">
        <w:t>Pre</w:t>
      </w:r>
      <w:r w:rsidRPr="00784D9C">
        <w:rPr>
          <w:rFonts w:ascii="Cambria Math" w:hAnsi="Cambria Math" w:cs="Cambria Math"/>
        </w:rPr>
        <w:t>‑</w:t>
      </w:r>
      <w:r w:rsidRPr="00784D9C">
        <w:t>processing methods attempt to improve or adjust datasets before model training. In</w:t>
      </w:r>
      <w:r w:rsidRPr="00784D9C">
        <w:rPr>
          <w:rFonts w:ascii="Cambria Math" w:hAnsi="Cambria Math" w:cs="Cambria Math"/>
        </w:rPr>
        <w:t>‑</w:t>
      </w:r>
      <w:r w:rsidRPr="00784D9C">
        <w:t>processing approaches modify the model development process to incorporate fairness considerations. Post</w:t>
      </w:r>
      <w:r w:rsidRPr="00784D9C">
        <w:rPr>
          <w:rFonts w:ascii="Cambria Math" w:hAnsi="Cambria Math" w:cs="Cambria Math"/>
        </w:rPr>
        <w:t>‑</w:t>
      </w:r>
      <w:r w:rsidRPr="00784D9C">
        <w:t>processing methods adjust model outputs after predictions have been generated (Selbst et al., 2019).</w:t>
      </w:r>
    </w:p>
    <w:p w14:paraId="6C1D8AB3" w14:textId="77777777" w:rsidR="00BD14B9" w:rsidRPr="00784D9C" w:rsidRDefault="00BD14B9" w:rsidP="008A4AED">
      <w:pPr>
        <w:jc w:val="both"/>
      </w:pPr>
      <w:r w:rsidRPr="00784D9C">
        <w:t xml:space="preserve">Although these approaches can reduce certain forms of bias, the literature also identifies limitations (Rigotti and </w:t>
      </w:r>
      <w:proofErr w:type="spellStart"/>
      <w:r w:rsidRPr="00784D9C">
        <w:t>Fosch</w:t>
      </w:r>
      <w:proofErr w:type="spellEnd"/>
      <w:r w:rsidRPr="00784D9C">
        <w:rPr>
          <w:rFonts w:ascii="Cambria Math" w:hAnsi="Cambria Math" w:cs="Cambria Math"/>
        </w:rPr>
        <w:t>‑</w:t>
      </w:r>
      <w:r w:rsidRPr="00784D9C">
        <w:t>Villaronga, 2024). Technical interventions may perform differently across datasets and contexts, and results demonstrated using simulated or controlled datasets may not necessarily translate directly into organisational recruitment environments (Tambe, Cappelli and Yakubovich, 2019).</w:t>
      </w:r>
    </w:p>
    <w:p w14:paraId="445EE4AC" w14:textId="6DEF2EA9" w:rsidR="00BD14B9" w:rsidRPr="00784D9C" w:rsidRDefault="00BD14B9" w:rsidP="008A4AED">
      <w:pPr>
        <w:jc w:val="both"/>
      </w:pPr>
      <w:r w:rsidRPr="00784D9C">
        <w:lastRenderedPageBreak/>
        <w:t xml:space="preserve">Therefore, bias mitigation requires continuous monitoring and organisational oversight rather than relying on a single technical </w:t>
      </w:r>
      <w:r w:rsidR="00E44C32" w:rsidRPr="00784D9C">
        <w:t>solution.</w:t>
      </w:r>
    </w:p>
    <w:p w14:paraId="077766B1" w14:textId="77777777" w:rsidR="00BD14B9" w:rsidRPr="00D05FF5" w:rsidRDefault="00BD14B9" w:rsidP="008A4AED">
      <w:pPr>
        <w:pStyle w:val="Heading3"/>
        <w:jc w:val="both"/>
        <w:rPr>
          <w:b/>
          <w:bCs/>
        </w:rPr>
      </w:pPr>
      <w:bookmarkStart w:id="61" w:name="_Toc240996992"/>
      <w:r w:rsidRPr="00D05FF5">
        <w:rPr>
          <w:b/>
          <w:bCs/>
        </w:rPr>
        <w:t>4.4.5 Transparency and Explainability</w:t>
      </w:r>
      <w:bookmarkEnd w:id="61"/>
    </w:p>
    <w:p w14:paraId="0AAB3D5D" w14:textId="77777777" w:rsidR="00BD14B9" w:rsidRPr="00784D9C" w:rsidRDefault="00BD14B9" w:rsidP="008A4AED">
      <w:pPr>
        <w:jc w:val="both"/>
      </w:pPr>
      <w:r w:rsidRPr="00784D9C">
        <w:t xml:space="preserve">Transparency and explainability are important concerns because many AI recruitment systems operate through complex models or proprietary technologies (CMS, 2025). Candidates and HR professionals may therefore have limited understanding of how particular recommendations or rankings are produced (Rigotti and </w:t>
      </w:r>
      <w:proofErr w:type="spellStart"/>
      <w:r w:rsidRPr="00784D9C">
        <w:t>Fosch</w:t>
      </w:r>
      <w:proofErr w:type="spellEnd"/>
      <w:r w:rsidRPr="00784D9C">
        <w:rPr>
          <w:rFonts w:ascii="Cambria Math" w:hAnsi="Cambria Math" w:cs="Cambria Math"/>
        </w:rPr>
        <w:t>‑</w:t>
      </w:r>
      <w:r w:rsidRPr="00784D9C">
        <w:t>Villaronga, 2024).</w:t>
      </w:r>
    </w:p>
    <w:p w14:paraId="665DE0F0" w14:textId="77777777" w:rsidR="00BD14B9" w:rsidRPr="00784D9C" w:rsidRDefault="00BD14B9" w:rsidP="008A4AED">
      <w:pPr>
        <w:jc w:val="both"/>
      </w:pPr>
      <w:r w:rsidRPr="00784D9C">
        <w:t>Explainability techniques, including feature</w:t>
      </w:r>
      <w:r w:rsidRPr="00784D9C">
        <w:rPr>
          <w:rFonts w:ascii="Cambria Math" w:hAnsi="Cambria Math" w:cs="Cambria Math"/>
        </w:rPr>
        <w:t>‑</w:t>
      </w:r>
      <w:r w:rsidRPr="00784D9C">
        <w:t xml:space="preserve">importance methods, LIME, SHAP, and counterfactual explanations, may provide additional insight into model outputs (Rigotti and </w:t>
      </w:r>
      <w:proofErr w:type="spellStart"/>
      <w:r w:rsidRPr="00784D9C">
        <w:t>Fosch</w:t>
      </w:r>
      <w:proofErr w:type="spellEnd"/>
      <w:r w:rsidRPr="00784D9C">
        <w:rPr>
          <w:rFonts w:ascii="Cambria Math" w:hAnsi="Cambria Math" w:cs="Cambria Math"/>
        </w:rPr>
        <w:t>‑</w:t>
      </w:r>
      <w:r w:rsidRPr="00784D9C">
        <w:t>Villaronga, 2024). However, technical explanations alone may not be sufficient for meaningful accountability (Selbst et al., 2019).</w:t>
      </w:r>
    </w:p>
    <w:p w14:paraId="3A8B5452" w14:textId="16280285" w:rsidR="00BD14B9" w:rsidRPr="00784D9C" w:rsidRDefault="00BD14B9" w:rsidP="008A4AED">
      <w:pPr>
        <w:jc w:val="both"/>
      </w:pPr>
      <w:r w:rsidRPr="00784D9C">
        <w:t>The findings suggest that transparency should also involve clear organisational processes explaining who is responsible for AI</w:t>
      </w:r>
      <w:r w:rsidRPr="00784D9C">
        <w:rPr>
          <w:rFonts w:ascii="Cambria Math" w:hAnsi="Cambria Math" w:cs="Cambria Math"/>
        </w:rPr>
        <w:t>‑</w:t>
      </w:r>
      <w:r w:rsidRPr="00784D9C">
        <w:t>supported decisions, how decisions can be challenged, and when human review is required</w:t>
      </w:r>
      <w:r w:rsidR="00FA6F1C">
        <w:t>.</w:t>
      </w:r>
    </w:p>
    <w:p w14:paraId="0E2E8E4E" w14:textId="77777777" w:rsidR="00BD14B9" w:rsidRPr="00D05FF5" w:rsidRDefault="00BD14B9" w:rsidP="008A4AED">
      <w:pPr>
        <w:pStyle w:val="Heading2"/>
        <w:jc w:val="both"/>
        <w:rPr>
          <w:b/>
          <w:bCs/>
        </w:rPr>
      </w:pPr>
      <w:bookmarkStart w:id="62" w:name="_Toc240996993"/>
      <w:r w:rsidRPr="00D05FF5">
        <w:rPr>
          <w:b/>
          <w:bCs/>
        </w:rPr>
        <w:t>4.5 Organisational Governance Dimension</w:t>
      </w:r>
      <w:bookmarkEnd w:id="62"/>
    </w:p>
    <w:p w14:paraId="2B1608E0" w14:textId="77777777" w:rsidR="00BD14B9" w:rsidRPr="00D05FF5" w:rsidRDefault="00BD14B9" w:rsidP="008A4AED">
      <w:pPr>
        <w:pStyle w:val="Heading3"/>
        <w:jc w:val="both"/>
        <w:rPr>
          <w:b/>
          <w:bCs/>
        </w:rPr>
      </w:pPr>
      <w:bookmarkStart w:id="63" w:name="_Toc240996994"/>
      <w:r w:rsidRPr="00D05FF5">
        <w:rPr>
          <w:b/>
          <w:bCs/>
        </w:rPr>
        <w:t>4.5.1 Decision Authority</w:t>
      </w:r>
      <w:bookmarkEnd w:id="63"/>
    </w:p>
    <w:p w14:paraId="075F383E" w14:textId="77777777" w:rsidR="00BD14B9" w:rsidRPr="00784D9C" w:rsidRDefault="00BD14B9" w:rsidP="008A4AED">
      <w:pPr>
        <w:jc w:val="both"/>
      </w:pPr>
      <w:r w:rsidRPr="00784D9C">
        <w:t>The reviewed literature demonstrates that the presence of a human decision</w:t>
      </w:r>
      <w:r w:rsidRPr="00784D9C">
        <w:rPr>
          <w:rFonts w:ascii="Cambria Math" w:hAnsi="Cambria Math" w:cs="Cambria Math"/>
        </w:rPr>
        <w:t>‑</w:t>
      </w:r>
      <w:r w:rsidRPr="00784D9C">
        <w:t>maker does not automatically mean that human oversight is meaningful (Tambe, Cappelli and Yakubovich, 2019).</w:t>
      </w:r>
    </w:p>
    <w:p w14:paraId="6AFD6535" w14:textId="77777777" w:rsidR="00BD14B9" w:rsidRPr="00784D9C" w:rsidRDefault="00BD14B9" w:rsidP="008A4AED">
      <w:pPr>
        <w:jc w:val="both"/>
      </w:pPr>
      <w:r w:rsidRPr="00784D9C">
        <w:t>In some recruitment processes, HR professionals formally retain decision</w:t>
      </w:r>
      <w:r w:rsidRPr="00784D9C">
        <w:rPr>
          <w:rFonts w:ascii="Cambria Math" w:hAnsi="Cambria Math" w:cs="Cambria Math"/>
        </w:rPr>
        <w:t>‑</w:t>
      </w:r>
      <w:r w:rsidRPr="00784D9C">
        <w:t>making authority while AI systems substantially influence which candidates are considered, rejected, or prioritised (Raghavan et al., 2020). This creates a distinction between formal human authority and substantive human influence (Selbst et al., 2019).</w:t>
      </w:r>
    </w:p>
    <w:p w14:paraId="1620956C" w14:textId="11EF2F0F" w:rsidR="00BD14B9" w:rsidRPr="00784D9C" w:rsidRDefault="00BD14B9" w:rsidP="008A4AED">
      <w:pPr>
        <w:jc w:val="both"/>
      </w:pPr>
      <w:r w:rsidRPr="00784D9C">
        <w:t>The findings therefore suggest that organisations need to clearly define the role of AI in decision</w:t>
      </w:r>
      <w:r w:rsidRPr="00784D9C">
        <w:rPr>
          <w:rFonts w:ascii="Cambria Math" w:hAnsi="Cambria Math" w:cs="Cambria Math"/>
        </w:rPr>
        <w:t>‑</w:t>
      </w:r>
      <w:r w:rsidRPr="00784D9C">
        <w:t>making and establish circumstances in which human professionals can review, challenge, or override AI recommendations</w:t>
      </w:r>
      <w:r w:rsidR="00595791">
        <w:t>.</w:t>
      </w:r>
    </w:p>
    <w:p w14:paraId="7B110AC0" w14:textId="77777777" w:rsidR="00BD14B9" w:rsidRPr="00D05FF5" w:rsidRDefault="00BD14B9" w:rsidP="008A4AED">
      <w:pPr>
        <w:pStyle w:val="Heading3"/>
        <w:jc w:val="both"/>
        <w:rPr>
          <w:b/>
          <w:bCs/>
        </w:rPr>
      </w:pPr>
      <w:bookmarkStart w:id="64" w:name="_Toc240996995"/>
      <w:r w:rsidRPr="00D05FF5">
        <w:rPr>
          <w:b/>
          <w:bCs/>
        </w:rPr>
        <w:t>4.5.2 Accountability</w:t>
      </w:r>
      <w:bookmarkEnd w:id="64"/>
    </w:p>
    <w:p w14:paraId="57D662A2" w14:textId="7373F1C9" w:rsidR="00BD14B9" w:rsidRPr="00784D9C" w:rsidRDefault="00BD14B9" w:rsidP="008A4AED">
      <w:pPr>
        <w:jc w:val="both"/>
      </w:pPr>
      <w:r w:rsidRPr="00784D9C">
        <w:t>Accountability is particularly challenging when AI recruitment systems involve multiple actors. Responsibility may be distributed among HR departments, senior management, IT teams, legal and compliance functions, external technology vendors, and local subsidiaries (CMS, 2025).</w:t>
      </w:r>
    </w:p>
    <w:p w14:paraId="5692B67E" w14:textId="4A84A651" w:rsidR="00BD14B9" w:rsidRPr="00784D9C" w:rsidRDefault="00BD14B9" w:rsidP="008A4AED">
      <w:pPr>
        <w:jc w:val="both"/>
      </w:pPr>
      <w:r w:rsidRPr="00784D9C">
        <w:t>This fragmentation can make it difficult to determine who is responsible when an AI</w:t>
      </w:r>
      <w:r w:rsidRPr="00784D9C">
        <w:rPr>
          <w:rFonts w:ascii="Cambria Math" w:hAnsi="Cambria Math" w:cs="Cambria Math"/>
        </w:rPr>
        <w:t>‑</w:t>
      </w:r>
      <w:r w:rsidRPr="00784D9C">
        <w:t xml:space="preserve">supported recruitment decision produces an unfair or inappropriate outcome </w:t>
      </w:r>
      <w:r w:rsidR="00294DC5" w:rsidRPr="00784D9C">
        <w:t>(CMS, 2025).</w:t>
      </w:r>
    </w:p>
    <w:p w14:paraId="556FF137" w14:textId="77777777" w:rsidR="00BD14B9" w:rsidRPr="00784D9C" w:rsidRDefault="00BD14B9" w:rsidP="008A4AED">
      <w:pPr>
        <w:jc w:val="both"/>
      </w:pPr>
      <w:r w:rsidRPr="00784D9C">
        <w:t xml:space="preserve">Vendor assurance can provide useful information about system performance and compliance, but the literature suggests that organisations should not rely entirely on vendor claims (CMS, 2025). Effective governance requires appropriate documentation, monitoring, auditing, and clear allocation of responsibility (Rigotti and </w:t>
      </w:r>
      <w:proofErr w:type="spellStart"/>
      <w:r w:rsidRPr="00784D9C">
        <w:t>Fosch</w:t>
      </w:r>
      <w:proofErr w:type="spellEnd"/>
      <w:r w:rsidRPr="00784D9C">
        <w:rPr>
          <w:rFonts w:ascii="Cambria Math" w:hAnsi="Cambria Math" w:cs="Cambria Math"/>
        </w:rPr>
        <w:t>‑</w:t>
      </w:r>
      <w:r w:rsidRPr="00784D9C">
        <w:t>Villaronga, 2024).</w:t>
      </w:r>
    </w:p>
    <w:p w14:paraId="4285A4F8" w14:textId="77777777" w:rsidR="00BD14B9" w:rsidRPr="00D05FF5" w:rsidRDefault="00BD14B9" w:rsidP="008A4AED">
      <w:pPr>
        <w:pStyle w:val="Heading3"/>
        <w:jc w:val="both"/>
        <w:rPr>
          <w:b/>
          <w:bCs/>
        </w:rPr>
      </w:pPr>
      <w:bookmarkStart w:id="65" w:name="_Toc240996996"/>
      <w:r w:rsidRPr="00D05FF5">
        <w:rPr>
          <w:b/>
          <w:bCs/>
        </w:rPr>
        <w:lastRenderedPageBreak/>
        <w:t>4.5.3 Human Oversight</w:t>
      </w:r>
      <w:bookmarkEnd w:id="65"/>
    </w:p>
    <w:p w14:paraId="1C169DB4" w14:textId="17B4F2BC" w:rsidR="00BD14B9" w:rsidRPr="00784D9C" w:rsidRDefault="00BD14B9" w:rsidP="008A4AED">
      <w:pPr>
        <w:jc w:val="both"/>
      </w:pPr>
      <w:r w:rsidRPr="00784D9C">
        <w:t>Human oversight is repeatedly identified as an important governance mechanism (Tambe, Cappelli and Yakubovich, 2019). However, the literature distinguishes between symbolic oversight and meaningful oversight</w:t>
      </w:r>
      <w:r w:rsidR="00776717">
        <w:t>.</w:t>
      </w:r>
    </w:p>
    <w:p w14:paraId="2AACD38A" w14:textId="77777777" w:rsidR="00BD14B9" w:rsidRPr="00784D9C" w:rsidRDefault="00BD14B9" w:rsidP="008A4AED">
      <w:pPr>
        <w:jc w:val="both"/>
      </w:pPr>
      <w:r w:rsidRPr="00784D9C">
        <w:t xml:space="preserve">Symbolic oversight occurs when human professionals remain formally involved but have limited ability or willingness to challenge AI outputs. Meaningful oversight requires sufficient AI literacy, access to relevant information, authority to override decisions, and clear escalation procedures (Rigotti and </w:t>
      </w:r>
      <w:proofErr w:type="spellStart"/>
      <w:r w:rsidRPr="00784D9C">
        <w:t>Fosch</w:t>
      </w:r>
      <w:proofErr w:type="spellEnd"/>
      <w:r w:rsidRPr="00784D9C">
        <w:rPr>
          <w:rFonts w:ascii="Cambria Math" w:hAnsi="Cambria Math" w:cs="Cambria Math"/>
        </w:rPr>
        <w:t>‑</w:t>
      </w:r>
      <w:r w:rsidRPr="00784D9C">
        <w:t>Villaronga, 2024).</w:t>
      </w:r>
    </w:p>
    <w:p w14:paraId="433C241B" w14:textId="77777777" w:rsidR="00BD14B9" w:rsidRPr="00784D9C" w:rsidRDefault="00BD14B9" w:rsidP="008A4AED">
      <w:pPr>
        <w:jc w:val="both"/>
      </w:pPr>
      <w:r w:rsidRPr="00784D9C">
        <w:t>Therefore, simply placing a human at the end of an automated process does not necessarily ensure responsible decision</w:t>
      </w:r>
      <w:r w:rsidRPr="00784D9C">
        <w:rPr>
          <w:rFonts w:ascii="Cambria Math" w:hAnsi="Cambria Math" w:cs="Cambria Math"/>
        </w:rPr>
        <w:t>‑</w:t>
      </w:r>
      <w:r w:rsidRPr="00784D9C">
        <w:t>making (Selbst et al., 2019).</w:t>
      </w:r>
    </w:p>
    <w:p w14:paraId="75420AE1" w14:textId="77777777" w:rsidR="00BD14B9" w:rsidRPr="00D05FF5" w:rsidRDefault="00BD14B9" w:rsidP="008A4AED">
      <w:pPr>
        <w:pStyle w:val="Heading3"/>
        <w:jc w:val="both"/>
        <w:rPr>
          <w:b/>
          <w:bCs/>
        </w:rPr>
      </w:pPr>
      <w:bookmarkStart w:id="66" w:name="_Toc240996997"/>
      <w:r w:rsidRPr="00D05FF5">
        <w:rPr>
          <w:b/>
          <w:bCs/>
        </w:rPr>
        <w:t>4.5.4 Human–Algorithm Interaction</w:t>
      </w:r>
      <w:bookmarkEnd w:id="66"/>
    </w:p>
    <w:p w14:paraId="01A8493C" w14:textId="77777777" w:rsidR="00BD14B9" w:rsidRPr="00784D9C" w:rsidRDefault="00BD14B9" w:rsidP="008A4AED">
      <w:pPr>
        <w:jc w:val="both"/>
      </w:pPr>
      <w:r w:rsidRPr="00784D9C">
        <w:t>The relationship between HR professionals and AI systems can influence recruitment outcomes (Raghavan et al., 2020). The literature identifies risks such as automation bias, excessive trust in algorithmic recommendations, time pressure, and limited understanding of AI outputs (Tambe, Cappelli and Yakubovich, 2019).</w:t>
      </w:r>
    </w:p>
    <w:p w14:paraId="300E4110" w14:textId="77777777" w:rsidR="00BD14B9" w:rsidRPr="00784D9C" w:rsidRDefault="00BD14B9" w:rsidP="008A4AED">
      <w:pPr>
        <w:jc w:val="both"/>
      </w:pPr>
      <w:r w:rsidRPr="00784D9C">
        <w:t>HR professionals may accept AI recommendations because they are perceived as objective, efficient, or technologically advanced. Conversely, excessive scepticism towards AI may also prevent organisations from obtaining potential benefits from these systems (Selbst et al., 2019).</w:t>
      </w:r>
    </w:p>
    <w:p w14:paraId="2DE2DA7B" w14:textId="4B4D6B82" w:rsidR="00BD14B9" w:rsidRPr="00784D9C" w:rsidRDefault="00BD14B9" w:rsidP="008A4AED">
      <w:pPr>
        <w:jc w:val="both"/>
      </w:pPr>
      <w:r w:rsidRPr="00784D9C">
        <w:t>Effective governance therefore requires an appropriate balance between technological assistance and professional judgement</w:t>
      </w:r>
      <w:r w:rsidR="00AB64D2">
        <w:t>.</w:t>
      </w:r>
    </w:p>
    <w:p w14:paraId="72E47397" w14:textId="77777777" w:rsidR="00BD14B9" w:rsidRPr="00D05FF5" w:rsidRDefault="00BD14B9" w:rsidP="008A4AED">
      <w:pPr>
        <w:pStyle w:val="Heading3"/>
        <w:jc w:val="both"/>
        <w:rPr>
          <w:b/>
          <w:bCs/>
        </w:rPr>
      </w:pPr>
      <w:bookmarkStart w:id="67" w:name="_Toc240996998"/>
      <w:r w:rsidRPr="00D05FF5">
        <w:rPr>
          <w:b/>
          <w:bCs/>
        </w:rPr>
        <w:t>4.5.5 Governance Challenges in MNCs</w:t>
      </w:r>
      <w:bookmarkEnd w:id="67"/>
    </w:p>
    <w:p w14:paraId="41335450" w14:textId="4D3CA06C" w:rsidR="00BD14B9" w:rsidRPr="00784D9C" w:rsidRDefault="00BD14B9" w:rsidP="008A4AED">
      <w:pPr>
        <w:jc w:val="both"/>
      </w:pPr>
      <w:r w:rsidRPr="00784D9C">
        <w:t xml:space="preserve">MNCs face additional governance challenges because recruitment systems may be managed centrally but implemented across different national contexts </w:t>
      </w:r>
      <w:r w:rsidR="00ED16FD" w:rsidRPr="00784D9C">
        <w:t>(CMS, 2025).</w:t>
      </w:r>
    </w:p>
    <w:p w14:paraId="69366B3C" w14:textId="77777777" w:rsidR="00BD14B9" w:rsidRPr="00784D9C" w:rsidRDefault="00BD14B9" w:rsidP="008A4AED">
      <w:pPr>
        <w:jc w:val="both"/>
      </w:pPr>
      <w:r w:rsidRPr="00784D9C">
        <w:t>Global standardisation can help organisations maintain consistent governance principles. However, excessive standardisation may fail to recognise differences in local regulation, labour</w:t>
      </w:r>
      <w:r w:rsidRPr="00784D9C">
        <w:rPr>
          <w:rFonts w:ascii="Cambria Math" w:hAnsi="Cambria Math" w:cs="Cambria Math"/>
        </w:rPr>
        <w:t>‑</w:t>
      </w:r>
      <w:r w:rsidRPr="00784D9C">
        <w:t>market institutions, cultural expectations, and recruitment practices (CMS, 2025).</w:t>
      </w:r>
    </w:p>
    <w:p w14:paraId="6AA2C650" w14:textId="0B6C26EA" w:rsidR="00BD14B9" w:rsidRPr="00784D9C" w:rsidRDefault="00BD14B9" w:rsidP="008A4AED">
      <w:pPr>
        <w:jc w:val="both"/>
      </w:pPr>
      <w:r w:rsidRPr="00784D9C">
        <w:t>The findings therefore indicate the importance of balancing global governance standards with local adaptation (</w:t>
      </w:r>
      <w:proofErr w:type="spellStart"/>
      <w:r w:rsidRPr="00784D9C">
        <w:t>Prikshat</w:t>
      </w:r>
      <w:proofErr w:type="spellEnd"/>
      <w:r w:rsidRPr="00784D9C">
        <w:t xml:space="preserve"> et al., 2023). This is particularly relevant when AI systems are supplied by external vendors and used across multiple subsidiaries </w:t>
      </w:r>
      <w:r w:rsidR="00ED16FD" w:rsidRPr="00784D9C">
        <w:t>(CMS, 2025).</w:t>
      </w:r>
    </w:p>
    <w:p w14:paraId="019EDCBC" w14:textId="77777777" w:rsidR="00BD14B9" w:rsidRPr="00D05FF5" w:rsidRDefault="00BD14B9" w:rsidP="008A4AED">
      <w:pPr>
        <w:pStyle w:val="Heading2"/>
        <w:jc w:val="both"/>
        <w:rPr>
          <w:b/>
          <w:bCs/>
        </w:rPr>
      </w:pPr>
      <w:bookmarkStart w:id="68" w:name="_Toc240996999"/>
      <w:r w:rsidRPr="00D05FF5">
        <w:rPr>
          <w:b/>
          <w:bCs/>
        </w:rPr>
        <w:t>4.6 Institutional Dimension</w:t>
      </w:r>
      <w:bookmarkEnd w:id="68"/>
    </w:p>
    <w:p w14:paraId="4686BA77" w14:textId="77777777" w:rsidR="00BD14B9" w:rsidRPr="00D05FF5" w:rsidRDefault="00BD14B9" w:rsidP="008A4AED">
      <w:pPr>
        <w:pStyle w:val="Heading3"/>
        <w:jc w:val="both"/>
        <w:rPr>
          <w:b/>
          <w:bCs/>
        </w:rPr>
      </w:pPr>
      <w:bookmarkStart w:id="69" w:name="_Toc240997000"/>
      <w:r w:rsidRPr="00D05FF5">
        <w:rPr>
          <w:b/>
          <w:bCs/>
        </w:rPr>
        <w:t>4.6.1 Regulation and Policy</w:t>
      </w:r>
      <w:bookmarkEnd w:id="69"/>
    </w:p>
    <w:p w14:paraId="39AC3A7A" w14:textId="1B2BC9CD" w:rsidR="00BD14B9" w:rsidRPr="00784D9C" w:rsidRDefault="00BD14B9" w:rsidP="008A4AED">
      <w:pPr>
        <w:jc w:val="both"/>
      </w:pPr>
      <w:r w:rsidRPr="00784D9C">
        <w:t>Regulation plays an important role in shaping the governance of AI</w:t>
      </w:r>
      <w:r w:rsidRPr="00784D9C">
        <w:rPr>
          <w:rFonts w:ascii="Cambria Math" w:hAnsi="Cambria Math" w:cs="Cambria Math"/>
        </w:rPr>
        <w:t>‑</w:t>
      </w:r>
      <w:r w:rsidRPr="00784D9C">
        <w:t>mediated recruitment in Europe</w:t>
      </w:r>
      <w:r w:rsidR="00152D50">
        <w:t>.</w:t>
      </w:r>
      <w:r w:rsidRPr="00784D9C">
        <w:t xml:space="preserve"> The General Data Protection Regulation (GDPR) establishes requirements concerning the processing of personal data, transparency, data minimisation, and safeguards relating to certain solely automated decisions (European Commission, 2024).</w:t>
      </w:r>
    </w:p>
    <w:p w14:paraId="1F4C380F" w14:textId="77777777" w:rsidR="00BD14B9" w:rsidRPr="00784D9C" w:rsidRDefault="00BD14B9" w:rsidP="008A4AED">
      <w:pPr>
        <w:jc w:val="both"/>
      </w:pPr>
      <w:r w:rsidRPr="00784D9C">
        <w:t>The EU AI Act further strengthens the regulatory environment by identifying certain AI systems used for recruitment and employment</w:t>
      </w:r>
      <w:r w:rsidRPr="00784D9C">
        <w:rPr>
          <w:rFonts w:ascii="Cambria Math" w:hAnsi="Cambria Math" w:cs="Cambria Math"/>
        </w:rPr>
        <w:t>‑</w:t>
      </w:r>
      <w:r w:rsidRPr="00784D9C">
        <w:t>related purposes as high</w:t>
      </w:r>
      <w:r w:rsidRPr="00784D9C">
        <w:rPr>
          <w:rFonts w:ascii="Cambria Math" w:hAnsi="Cambria Math" w:cs="Cambria Math"/>
        </w:rPr>
        <w:t>‑</w:t>
      </w:r>
      <w:r w:rsidRPr="00784D9C">
        <w:t>risk, subject to applicable requirements (European Commission, 2024).</w:t>
      </w:r>
    </w:p>
    <w:p w14:paraId="4A0F53D7" w14:textId="77777777" w:rsidR="00BD14B9" w:rsidRPr="00784D9C" w:rsidRDefault="00BD14B9" w:rsidP="008A4AED">
      <w:pPr>
        <w:jc w:val="both"/>
      </w:pPr>
      <w:r w:rsidRPr="00784D9C">
        <w:lastRenderedPageBreak/>
        <w:t>These regulatory developments encourage organisations to consider issues such as risk management, transparency, human oversight, documentation, and accountability when deploying relevant AI systems (CMS, 2025).</w:t>
      </w:r>
    </w:p>
    <w:p w14:paraId="49104861" w14:textId="77777777" w:rsidR="00BD14B9" w:rsidRPr="00F022A7" w:rsidRDefault="00BD14B9" w:rsidP="008A4AED">
      <w:pPr>
        <w:pStyle w:val="Heading3"/>
        <w:jc w:val="both"/>
        <w:rPr>
          <w:b/>
          <w:bCs/>
        </w:rPr>
      </w:pPr>
      <w:bookmarkStart w:id="70" w:name="_Toc240997001"/>
      <w:r w:rsidRPr="00F022A7">
        <w:rPr>
          <w:b/>
          <w:bCs/>
        </w:rPr>
        <w:t>4.6.2 Regulatory Developments in East and Southeast Asia</w:t>
      </w:r>
      <w:bookmarkEnd w:id="70"/>
    </w:p>
    <w:p w14:paraId="10B592F3" w14:textId="375F9B24" w:rsidR="00BD14B9" w:rsidRPr="00784D9C" w:rsidRDefault="00BD14B9" w:rsidP="008A4AED">
      <w:pPr>
        <w:jc w:val="both"/>
      </w:pPr>
      <w:r w:rsidRPr="00784D9C">
        <w:t xml:space="preserve">The regulatory environment across East and Southeast Asia is more heterogeneous </w:t>
      </w:r>
      <w:r w:rsidR="00E16A92">
        <w:t>.</w:t>
      </w:r>
      <w:r w:rsidRPr="00784D9C">
        <w:t xml:space="preserve">Different countries have developed different combinations of legislation, regulatory guidance, voluntary frameworks, and organisational governance approaches </w:t>
      </w:r>
      <w:r w:rsidR="00E16A92" w:rsidRPr="00784D9C">
        <w:t>(CMS, 2025).</w:t>
      </w:r>
    </w:p>
    <w:p w14:paraId="20D3225C" w14:textId="77777777" w:rsidR="00BD14B9" w:rsidRPr="00784D9C" w:rsidRDefault="00BD14B9" w:rsidP="008A4AED">
      <w:pPr>
        <w:jc w:val="both"/>
      </w:pPr>
      <w:r w:rsidRPr="00784D9C">
        <w:t>Singapore has developed a relatively principles</w:t>
      </w:r>
      <w:r w:rsidRPr="00784D9C">
        <w:rPr>
          <w:rFonts w:ascii="Cambria Math" w:hAnsi="Cambria Math" w:cs="Cambria Math"/>
        </w:rPr>
        <w:t>‑</w:t>
      </w:r>
      <w:r w:rsidRPr="00784D9C">
        <w:t>based approach to AI governance. China has introduced regulatory measures addressing areas such as algorithmic recommendation and data governance. Japan has developed AI governance and ethical guidance, while South Korea has continued to develop its AI regulatory environment (CMS, 2025).</w:t>
      </w:r>
    </w:p>
    <w:p w14:paraId="5ED9F218" w14:textId="6A1B37B7" w:rsidR="00BD14B9" w:rsidRPr="00784D9C" w:rsidRDefault="00BD14B9" w:rsidP="008A4AED">
      <w:pPr>
        <w:jc w:val="both"/>
      </w:pPr>
      <w:r w:rsidRPr="00784D9C">
        <w:t>These differences demonstrate that Asia should not be treated as a single institutional environment</w:t>
      </w:r>
      <w:r w:rsidR="00301BAD">
        <w:t xml:space="preserve">. </w:t>
      </w:r>
      <w:r w:rsidRPr="00784D9C">
        <w:t>MNCs operating across the region need to consider country</w:t>
      </w:r>
      <w:r w:rsidRPr="00784D9C">
        <w:rPr>
          <w:rFonts w:ascii="Cambria Math" w:hAnsi="Cambria Math" w:cs="Cambria Math"/>
        </w:rPr>
        <w:t>‑</w:t>
      </w:r>
      <w:r w:rsidRPr="00784D9C">
        <w:t>specific regulatory and institutional conditions (CMS, 2025).</w:t>
      </w:r>
    </w:p>
    <w:p w14:paraId="6A297847" w14:textId="77777777" w:rsidR="00BD14B9" w:rsidRPr="00F022A7" w:rsidRDefault="00BD14B9" w:rsidP="008A4AED">
      <w:pPr>
        <w:pStyle w:val="Heading3"/>
        <w:jc w:val="both"/>
        <w:rPr>
          <w:b/>
          <w:bCs/>
        </w:rPr>
      </w:pPr>
      <w:bookmarkStart w:id="71" w:name="_Toc240997002"/>
      <w:r w:rsidRPr="00F022A7">
        <w:rPr>
          <w:b/>
          <w:bCs/>
        </w:rPr>
        <w:t>4.6.3 Cultural Norms and Expectations</w:t>
      </w:r>
      <w:bookmarkEnd w:id="71"/>
    </w:p>
    <w:p w14:paraId="53F83BC5" w14:textId="77777777" w:rsidR="00BD14B9" w:rsidRPr="00784D9C" w:rsidRDefault="00BD14B9" w:rsidP="008A4AED">
      <w:pPr>
        <w:jc w:val="both"/>
      </w:pPr>
      <w:r w:rsidRPr="00784D9C">
        <w:t>Cultural expectations can influence attitudes towards AI and automated decision</w:t>
      </w:r>
      <w:r w:rsidRPr="00784D9C">
        <w:rPr>
          <w:rFonts w:ascii="Cambria Math" w:hAnsi="Cambria Math" w:cs="Cambria Math"/>
        </w:rPr>
        <w:t>‑</w:t>
      </w:r>
      <w:r w:rsidRPr="00784D9C">
        <w:t>making (Tambe, Cappelli and Yakubovich, 2019). European literature often places strong emphasis on individual rights, procedural fairness, transparency, and protection against discriminatory decision</w:t>
      </w:r>
      <w:r w:rsidRPr="00784D9C">
        <w:rPr>
          <w:rFonts w:ascii="Cambria Math" w:hAnsi="Cambria Math" w:cs="Cambria Math"/>
        </w:rPr>
        <w:t>‑</w:t>
      </w:r>
      <w:r w:rsidRPr="00784D9C">
        <w:t>making (European Commission, 2024).</w:t>
      </w:r>
    </w:p>
    <w:p w14:paraId="7519D7B2" w14:textId="77777777" w:rsidR="00BD14B9" w:rsidRPr="00784D9C" w:rsidRDefault="00BD14B9" w:rsidP="008A4AED">
      <w:pPr>
        <w:jc w:val="both"/>
      </w:pPr>
      <w:r w:rsidRPr="00784D9C">
        <w:t>Some studies focusing on East and Southeast Asian contexts place greater emphasis on efficiency, innovation, technological development, and organisational or societal benefits. However, these patterns should be understood as broad tendencies rather than universal characteristics of countries or populations (CMS, 2025).</w:t>
      </w:r>
    </w:p>
    <w:p w14:paraId="7B74AD6A" w14:textId="3715981E" w:rsidR="00BD14B9" w:rsidRPr="00784D9C" w:rsidRDefault="00BD14B9" w:rsidP="008A4AED">
      <w:pPr>
        <w:jc w:val="both"/>
      </w:pPr>
      <w:r w:rsidRPr="00784D9C">
        <w:t>For MNCs, cultural differences may influence how employees, managers, and candidates perceive the legitimacy and usefulness of AI</w:t>
      </w:r>
      <w:r w:rsidRPr="00784D9C">
        <w:rPr>
          <w:rFonts w:ascii="Cambria Math" w:hAnsi="Cambria Math" w:cs="Cambria Math"/>
        </w:rPr>
        <w:t>‑</w:t>
      </w:r>
      <w:r w:rsidRPr="00784D9C">
        <w:t>supported recruitment (</w:t>
      </w:r>
      <w:r w:rsidR="00E313DF" w:rsidRPr="00784D9C">
        <w:t>CMS, 2025).</w:t>
      </w:r>
    </w:p>
    <w:p w14:paraId="462DAEF9" w14:textId="77777777" w:rsidR="00BD14B9" w:rsidRPr="00F022A7" w:rsidRDefault="00BD14B9" w:rsidP="008A4AED">
      <w:pPr>
        <w:pStyle w:val="Heading3"/>
        <w:jc w:val="both"/>
        <w:rPr>
          <w:b/>
          <w:bCs/>
        </w:rPr>
      </w:pPr>
      <w:bookmarkStart w:id="72" w:name="_Toc240997003"/>
      <w:r w:rsidRPr="00F022A7">
        <w:rPr>
          <w:b/>
          <w:bCs/>
        </w:rPr>
        <w:t>4.6.4 Labour</w:t>
      </w:r>
      <w:r w:rsidRPr="00F022A7">
        <w:rPr>
          <w:rFonts w:ascii="Cambria Math" w:hAnsi="Cambria Math" w:cs="Cambria Math"/>
          <w:b/>
          <w:bCs/>
        </w:rPr>
        <w:t>‑</w:t>
      </w:r>
      <w:r w:rsidRPr="00F022A7">
        <w:rPr>
          <w:b/>
          <w:bCs/>
        </w:rPr>
        <w:t>Market Institutions</w:t>
      </w:r>
      <w:bookmarkEnd w:id="72"/>
    </w:p>
    <w:p w14:paraId="619E5CD9" w14:textId="7EB6D663" w:rsidR="00BD14B9" w:rsidRPr="00784D9C" w:rsidRDefault="00BD14B9" w:rsidP="008A4AED">
      <w:pPr>
        <w:jc w:val="both"/>
      </w:pPr>
      <w:r w:rsidRPr="00784D9C">
        <w:t>Labour</w:t>
      </w:r>
      <w:r w:rsidRPr="00784D9C">
        <w:rPr>
          <w:rFonts w:ascii="Cambria Math" w:hAnsi="Cambria Math" w:cs="Cambria Math"/>
        </w:rPr>
        <w:t>‑</w:t>
      </w:r>
      <w:r w:rsidRPr="00784D9C">
        <w:t>market institutions also influence organisational approaches to AI governance (</w:t>
      </w:r>
      <w:proofErr w:type="spellStart"/>
      <w:r w:rsidRPr="00784D9C">
        <w:t>Prikshat</w:t>
      </w:r>
      <w:proofErr w:type="spellEnd"/>
      <w:r w:rsidR="008D498E" w:rsidRPr="008D498E">
        <w:t>, Malik and Budhwar, 2023).</w:t>
      </w:r>
      <w:r w:rsidRPr="00784D9C">
        <w:t xml:space="preserve"> European employment environments may involve stronger worker representation, collective bargaining, and institutional mechanisms that can contribute to scrutiny of workplace technologies (European Commission, 2024).</w:t>
      </w:r>
    </w:p>
    <w:p w14:paraId="135CDB3C" w14:textId="77777777" w:rsidR="00BD14B9" w:rsidRPr="00784D9C" w:rsidRDefault="00BD14B9" w:rsidP="008A4AED">
      <w:pPr>
        <w:jc w:val="both"/>
      </w:pPr>
      <w:r w:rsidRPr="00784D9C">
        <w:t>In some Asian contexts, organisational decision</w:t>
      </w:r>
      <w:r w:rsidRPr="00784D9C">
        <w:rPr>
          <w:rFonts w:ascii="Cambria Math" w:hAnsi="Cambria Math" w:cs="Cambria Math"/>
        </w:rPr>
        <w:t>‑</w:t>
      </w:r>
      <w:r w:rsidRPr="00784D9C">
        <w:t>making may be more management</w:t>
      </w:r>
      <w:r w:rsidRPr="00784D9C">
        <w:rPr>
          <w:rFonts w:ascii="Cambria Math" w:hAnsi="Cambria Math" w:cs="Cambria Math"/>
        </w:rPr>
        <w:t>‑</w:t>
      </w:r>
      <w:r w:rsidRPr="00784D9C">
        <w:t>led. However, significant variation exists between countries and sectors (CMS, 2025).</w:t>
      </w:r>
    </w:p>
    <w:p w14:paraId="6C533D93" w14:textId="61ABB3BE" w:rsidR="00BD14B9" w:rsidRPr="00784D9C" w:rsidRDefault="00BD14B9" w:rsidP="008A4AED">
      <w:pPr>
        <w:jc w:val="both"/>
      </w:pPr>
      <w:r w:rsidRPr="00784D9C">
        <w:t xml:space="preserve">These institutional differences can affect how AI recruitment systems are introduced, monitored, and challenged within organisations </w:t>
      </w:r>
      <w:r w:rsidR="00DB01A1" w:rsidRPr="00784D9C">
        <w:t>(CMS, 2025).</w:t>
      </w:r>
    </w:p>
    <w:p w14:paraId="506E13C2" w14:textId="77777777" w:rsidR="00BD14B9" w:rsidRPr="00F022A7" w:rsidRDefault="00BD14B9" w:rsidP="008A4AED">
      <w:pPr>
        <w:pStyle w:val="Heading3"/>
        <w:jc w:val="both"/>
        <w:rPr>
          <w:b/>
          <w:bCs/>
        </w:rPr>
      </w:pPr>
      <w:bookmarkStart w:id="73" w:name="_Toc240997004"/>
      <w:r w:rsidRPr="00F022A7">
        <w:rPr>
          <w:b/>
          <w:bCs/>
        </w:rPr>
        <w:t>4.6.5 Institutional Pressures</w:t>
      </w:r>
      <w:bookmarkEnd w:id="73"/>
    </w:p>
    <w:p w14:paraId="1D84EC66" w14:textId="77777777" w:rsidR="00873DD9" w:rsidRDefault="00BD14B9" w:rsidP="008A4AED">
      <w:pPr>
        <w:jc w:val="both"/>
      </w:pPr>
      <w:r w:rsidRPr="00784D9C">
        <w:t xml:space="preserve">The findings can also be interpreted through institutional theory (Tsiskaridze, Reinhold and Järvis, 2023). Organisations may experience coercive pressures from laws and regulations, normative pressures from professional standards and expectations, and mimetic pressures when organisations imitate practices adopted by competitors or leading companies </w:t>
      </w:r>
      <w:r w:rsidR="00873DD9" w:rsidRPr="00873DD9">
        <w:t>(</w:t>
      </w:r>
      <w:proofErr w:type="spellStart"/>
      <w:r w:rsidR="00873DD9" w:rsidRPr="00873DD9">
        <w:t>Prikshat</w:t>
      </w:r>
      <w:proofErr w:type="spellEnd"/>
      <w:r w:rsidR="00873DD9" w:rsidRPr="00873DD9">
        <w:t>, Malik and Budhwar, 2023).</w:t>
      </w:r>
    </w:p>
    <w:p w14:paraId="48FAE5AB" w14:textId="3B8FFA5F" w:rsidR="00BD14B9" w:rsidRPr="00784D9C" w:rsidRDefault="00BD14B9" w:rsidP="008A4AED">
      <w:pPr>
        <w:jc w:val="both"/>
      </w:pPr>
      <w:r w:rsidRPr="00784D9C">
        <w:lastRenderedPageBreak/>
        <w:t>MNCs may therefore adopt AI governance mechanisms not only because they improve technical performance but also because they are expected by regulators, professional communities, business partners, employees, and other stakeholders (CMS, 2025).</w:t>
      </w:r>
    </w:p>
    <w:p w14:paraId="5C49A890" w14:textId="77777777" w:rsidR="00BD14B9" w:rsidRPr="00F022A7" w:rsidRDefault="00BD14B9" w:rsidP="008A4AED">
      <w:pPr>
        <w:pStyle w:val="Heading2"/>
        <w:jc w:val="both"/>
        <w:rPr>
          <w:b/>
          <w:bCs/>
        </w:rPr>
      </w:pPr>
      <w:bookmarkStart w:id="74" w:name="_Toc240997005"/>
      <w:r w:rsidRPr="00F022A7">
        <w:rPr>
          <w:b/>
          <w:bCs/>
        </w:rPr>
        <w:t>4.7 Comparative Findings: Europe and East/Southeast Asia</w:t>
      </w:r>
      <w:bookmarkEnd w:id="74"/>
    </w:p>
    <w:p w14:paraId="10D4752E" w14:textId="77777777" w:rsidR="00BD14B9" w:rsidRPr="00784D9C" w:rsidRDefault="00BD14B9" w:rsidP="008A4AED">
      <w:pPr>
        <w:jc w:val="both"/>
      </w:pPr>
      <w:r w:rsidRPr="00784D9C">
        <w:t>The comparison between Europe and East/Southeast Asia identifies both similarities and differences (CMS, 2025).</w:t>
      </w:r>
    </w:p>
    <w:p w14:paraId="41A02985" w14:textId="77777777" w:rsidR="00BD14B9" w:rsidRPr="00B42DF0" w:rsidRDefault="00BD14B9" w:rsidP="008A4AED">
      <w:pPr>
        <w:jc w:val="both"/>
        <w:rPr>
          <w:b/>
          <w:bCs/>
          <w:color w:val="153D63" w:themeColor="text2" w:themeTint="E6"/>
          <w:sz w:val="28"/>
          <w:szCs w:val="28"/>
        </w:rPr>
      </w:pPr>
      <w:r w:rsidRPr="00B42DF0">
        <w:rPr>
          <w:b/>
          <w:bCs/>
          <w:color w:val="153D63" w:themeColor="text2" w:themeTint="E6"/>
          <w:sz w:val="28"/>
          <w:szCs w:val="28"/>
        </w:rPr>
        <w:t>Similarities</w:t>
      </w:r>
    </w:p>
    <w:p w14:paraId="6D88496F" w14:textId="77777777" w:rsidR="004D3A4B" w:rsidRDefault="00BD14B9" w:rsidP="008A4AED">
      <w:pPr>
        <w:jc w:val="both"/>
      </w:pPr>
      <w:r w:rsidRPr="00784D9C">
        <w:t>Across both regions, the literature identifies (</w:t>
      </w:r>
      <w:proofErr w:type="spellStart"/>
      <w:r w:rsidRPr="00784D9C">
        <w:t>Prikshat</w:t>
      </w:r>
      <w:proofErr w:type="spellEnd"/>
      <w:r w:rsidR="002E2C4F" w:rsidRPr="002E2C4F">
        <w:t>, Malik and Budhwar,</w:t>
      </w:r>
      <w:r w:rsidRPr="00784D9C">
        <w:t xml:space="preserve"> 2023</w:t>
      </w:r>
      <w:r w:rsidR="00226C84" w:rsidRPr="002E2C4F">
        <w:t>).</w:t>
      </w:r>
      <w:r w:rsidR="00226C84" w:rsidRPr="00784D9C">
        <w:t xml:space="preserve"> </w:t>
      </w:r>
    </w:p>
    <w:p w14:paraId="31E6EFBA" w14:textId="13BDA5A4" w:rsidR="00BD14B9" w:rsidRPr="00784D9C" w:rsidRDefault="00226C84" w:rsidP="001535C3">
      <w:pPr>
        <w:pStyle w:val="ListParagraph"/>
        <w:numPr>
          <w:ilvl w:val="0"/>
          <w:numId w:val="16"/>
        </w:numPr>
        <w:jc w:val="both"/>
      </w:pPr>
      <w:r w:rsidRPr="00784D9C">
        <w:t>concerns</w:t>
      </w:r>
      <w:r w:rsidR="00BD14B9" w:rsidRPr="00784D9C">
        <w:t xml:space="preserve"> about algorithmic bias and discrimination;</w:t>
      </w:r>
    </w:p>
    <w:p w14:paraId="038785BF" w14:textId="77777777" w:rsidR="00BD14B9" w:rsidRPr="00784D9C" w:rsidRDefault="00BD14B9" w:rsidP="008A4AED">
      <w:pPr>
        <w:pStyle w:val="ListParagraph"/>
        <w:numPr>
          <w:ilvl w:val="0"/>
          <w:numId w:val="1"/>
        </w:numPr>
        <w:jc w:val="both"/>
      </w:pPr>
      <w:r w:rsidRPr="00784D9C">
        <w:t>the importance of human oversight;</w:t>
      </w:r>
    </w:p>
    <w:p w14:paraId="01229555" w14:textId="77777777" w:rsidR="00BD14B9" w:rsidRPr="00784D9C" w:rsidRDefault="00BD14B9" w:rsidP="008A4AED">
      <w:pPr>
        <w:pStyle w:val="ListParagraph"/>
        <w:numPr>
          <w:ilvl w:val="0"/>
          <w:numId w:val="1"/>
        </w:numPr>
        <w:jc w:val="both"/>
      </w:pPr>
      <w:r w:rsidRPr="00784D9C">
        <w:t>challenges surrounding transparency and accountability;</w:t>
      </w:r>
    </w:p>
    <w:p w14:paraId="26C7800C" w14:textId="77777777" w:rsidR="00BD14B9" w:rsidRPr="00784D9C" w:rsidRDefault="00BD14B9" w:rsidP="008A4AED">
      <w:pPr>
        <w:pStyle w:val="ListParagraph"/>
        <w:numPr>
          <w:ilvl w:val="0"/>
          <w:numId w:val="1"/>
        </w:numPr>
        <w:jc w:val="both"/>
      </w:pPr>
      <w:r w:rsidRPr="00784D9C">
        <w:t>difficulties in managing external technology vendors;</w:t>
      </w:r>
    </w:p>
    <w:p w14:paraId="4E881F9B" w14:textId="77777777" w:rsidR="00BD14B9" w:rsidRPr="00784D9C" w:rsidRDefault="00BD14B9" w:rsidP="008A4AED">
      <w:pPr>
        <w:pStyle w:val="ListParagraph"/>
        <w:numPr>
          <w:ilvl w:val="0"/>
          <w:numId w:val="1"/>
        </w:numPr>
        <w:jc w:val="both"/>
      </w:pPr>
      <w:r w:rsidRPr="00784D9C">
        <w:t>the need for appropriate data governance; and</w:t>
      </w:r>
    </w:p>
    <w:p w14:paraId="57315B15" w14:textId="77777777" w:rsidR="00BD14B9" w:rsidRPr="00784D9C" w:rsidRDefault="00BD14B9" w:rsidP="008A4AED">
      <w:pPr>
        <w:pStyle w:val="ListParagraph"/>
        <w:numPr>
          <w:ilvl w:val="0"/>
          <w:numId w:val="1"/>
        </w:numPr>
        <w:jc w:val="both"/>
      </w:pPr>
      <w:r w:rsidRPr="00784D9C">
        <w:t>concerns about the impact of AI on organisational decision</w:t>
      </w:r>
      <w:r w:rsidRPr="00F178BC">
        <w:rPr>
          <w:rFonts w:ascii="Cambria Math" w:hAnsi="Cambria Math" w:cs="Cambria Math"/>
        </w:rPr>
        <w:t>‑</w:t>
      </w:r>
      <w:r w:rsidRPr="00784D9C">
        <w:t>making.</w:t>
      </w:r>
    </w:p>
    <w:p w14:paraId="1B8007BA" w14:textId="77777777" w:rsidR="00BD14B9" w:rsidRPr="00784D9C" w:rsidRDefault="00BD14B9" w:rsidP="008A4AED">
      <w:pPr>
        <w:jc w:val="both"/>
      </w:pPr>
      <w:r w:rsidRPr="00784D9C">
        <w:t xml:space="preserve">These similarities indicate that several AI governance challenges are common across different institutional environments (Rigotti and </w:t>
      </w:r>
      <w:proofErr w:type="spellStart"/>
      <w:r w:rsidRPr="00784D9C">
        <w:t>Fosch</w:t>
      </w:r>
      <w:proofErr w:type="spellEnd"/>
      <w:r w:rsidRPr="00784D9C">
        <w:rPr>
          <w:rFonts w:ascii="Cambria Math" w:hAnsi="Cambria Math" w:cs="Cambria Math"/>
        </w:rPr>
        <w:t>‑</w:t>
      </w:r>
      <w:r w:rsidRPr="00784D9C">
        <w:t>Villaronga, 2024).</w:t>
      </w:r>
    </w:p>
    <w:p w14:paraId="19B52EE8" w14:textId="77777777" w:rsidR="00BD14B9" w:rsidRPr="00B42DF0" w:rsidRDefault="00BD14B9" w:rsidP="008A4AED">
      <w:pPr>
        <w:jc w:val="both"/>
        <w:rPr>
          <w:b/>
          <w:bCs/>
          <w:color w:val="153D63" w:themeColor="text2" w:themeTint="E6"/>
          <w:sz w:val="28"/>
          <w:szCs w:val="28"/>
        </w:rPr>
      </w:pPr>
      <w:r w:rsidRPr="00B42DF0">
        <w:rPr>
          <w:b/>
          <w:bCs/>
          <w:color w:val="153D63" w:themeColor="text2" w:themeTint="E6"/>
          <w:sz w:val="28"/>
          <w:szCs w:val="28"/>
        </w:rPr>
        <w:t>Differences</w:t>
      </w:r>
    </w:p>
    <w:p w14:paraId="56D546EF" w14:textId="77777777" w:rsidR="00BD14B9" w:rsidRPr="00784D9C" w:rsidRDefault="00BD14B9" w:rsidP="008A4AED">
      <w:pPr>
        <w:jc w:val="both"/>
      </w:pPr>
      <w:r w:rsidRPr="00784D9C">
        <w:t>The main differences relate to regulatory emphasis, institutional structures, and organisational priorities (CMS, 2025).</w:t>
      </w:r>
    </w:p>
    <w:p w14:paraId="4F0F11B2" w14:textId="77777777" w:rsidR="00BD14B9" w:rsidRPr="00784D9C" w:rsidRDefault="00BD14B9" w:rsidP="008A4AED">
      <w:pPr>
        <w:jc w:val="both"/>
      </w:pPr>
      <w:r w:rsidRPr="00784D9C">
        <w:t>European research places relatively greater emphasis on regulatory compliance, individual rights, procedural fairness, transparency, and accountability (European Commission, 2024). This reflects the stronger role of European data protection and AI regulation (CMS, 2025).</w:t>
      </w:r>
    </w:p>
    <w:p w14:paraId="1026AF76" w14:textId="5843A7DB" w:rsidR="00BD14B9" w:rsidRPr="00784D9C" w:rsidRDefault="00BD14B9" w:rsidP="008A4AED">
      <w:pPr>
        <w:jc w:val="both"/>
      </w:pPr>
      <w:r w:rsidRPr="00784D9C">
        <w:t xml:space="preserve">Research from East and Southeast Asia is more heterogeneous. Some studies place greater emphasis on efficiency, innovation, technological development, and competitive advantage, while regulatory and governance approaches vary considerably between countries </w:t>
      </w:r>
      <w:r w:rsidR="00243B6A" w:rsidRPr="00784D9C">
        <w:t>(CMS, 2025).</w:t>
      </w:r>
    </w:p>
    <w:p w14:paraId="63DC3308" w14:textId="77777777" w:rsidR="002C24F4" w:rsidRDefault="00BD14B9" w:rsidP="008A4AED">
      <w:pPr>
        <w:jc w:val="both"/>
      </w:pPr>
      <w:r w:rsidRPr="00784D9C">
        <w:t>The findings therefore do not support the idea of a single European model and a single Asian model of AI governance (CMS, 2025). Instead, AI</w:t>
      </w:r>
      <w:r w:rsidRPr="00784D9C">
        <w:rPr>
          <w:rFonts w:ascii="Cambria Math" w:hAnsi="Cambria Math" w:cs="Cambria Math"/>
        </w:rPr>
        <w:t>‑</w:t>
      </w:r>
      <w:r w:rsidRPr="00784D9C">
        <w:t>mediated recruitment is shaped by different combinations of regulation, organisational governance, cultural expectations, labour</w:t>
      </w:r>
      <w:r w:rsidRPr="00784D9C">
        <w:rPr>
          <w:rFonts w:ascii="Cambria Math" w:hAnsi="Cambria Math" w:cs="Cambria Math"/>
        </w:rPr>
        <w:t>‑</w:t>
      </w:r>
      <w:r w:rsidRPr="00784D9C">
        <w:t>market institutions, and technological practices</w:t>
      </w:r>
      <w:r w:rsidR="00FC471B" w:rsidRPr="00FC471B">
        <w:t xml:space="preserve"> (</w:t>
      </w:r>
      <w:proofErr w:type="spellStart"/>
      <w:r w:rsidR="00FC471B" w:rsidRPr="00FC471B">
        <w:t>Prikshat</w:t>
      </w:r>
      <w:proofErr w:type="spellEnd"/>
      <w:r w:rsidR="00FC471B" w:rsidRPr="00FC471B">
        <w:t>, Malik and Budhwar, 2023).</w:t>
      </w:r>
    </w:p>
    <w:p w14:paraId="46226410" w14:textId="70CC2CB6" w:rsidR="00BD14B9" w:rsidRPr="00B42DF0" w:rsidRDefault="00BD14B9" w:rsidP="008A4AED">
      <w:pPr>
        <w:jc w:val="both"/>
        <w:rPr>
          <w:b/>
          <w:bCs/>
          <w:color w:val="153D63" w:themeColor="text2" w:themeTint="E6"/>
          <w:sz w:val="28"/>
          <w:szCs w:val="28"/>
        </w:rPr>
      </w:pPr>
      <w:r w:rsidRPr="00B42DF0">
        <w:rPr>
          <w:b/>
          <w:bCs/>
          <w:color w:val="153D63" w:themeColor="text2" w:themeTint="E6"/>
          <w:sz w:val="28"/>
          <w:szCs w:val="28"/>
        </w:rPr>
        <w:t>Governance Approaches</w:t>
      </w:r>
    </w:p>
    <w:p w14:paraId="30659A2C" w14:textId="77777777" w:rsidR="00BD14B9" w:rsidRPr="00784D9C" w:rsidRDefault="00BD14B9" w:rsidP="008A4AED">
      <w:pPr>
        <w:jc w:val="both"/>
      </w:pPr>
      <w:r w:rsidRPr="00784D9C">
        <w:t>European organisations may experience stronger pressure to formalise AI governance because of regulatory requirements (European Commission, 2024). In Asian contexts, governance may involve a combination of national regulation, voluntary frameworks, internal organisational policies, professional standards, and vendor assurances (CMS, 2025).</w:t>
      </w:r>
    </w:p>
    <w:p w14:paraId="44D85417" w14:textId="6A8A77FB" w:rsidR="00BD14B9" w:rsidRPr="00784D9C" w:rsidRDefault="00BD14B9" w:rsidP="008A4AED">
      <w:pPr>
        <w:jc w:val="both"/>
      </w:pPr>
      <w:r w:rsidRPr="00784D9C">
        <w:t xml:space="preserve">For MNCs, these differences create a governance challenge </w:t>
      </w:r>
      <w:r w:rsidR="00530C96" w:rsidRPr="00784D9C">
        <w:t>(CMS, 2025</w:t>
      </w:r>
      <w:r w:rsidRPr="00784D9C">
        <w:t xml:space="preserve">). A common global AI governance framework may promote consistency, but it must also allow adaptation to local institutional requirements </w:t>
      </w:r>
      <w:r w:rsidR="00530C96" w:rsidRPr="00FC471B">
        <w:t>(</w:t>
      </w:r>
      <w:proofErr w:type="spellStart"/>
      <w:r w:rsidR="00530C96" w:rsidRPr="00FC471B">
        <w:t>Prikshat</w:t>
      </w:r>
      <w:proofErr w:type="spellEnd"/>
      <w:r w:rsidR="00530C96" w:rsidRPr="00FC471B">
        <w:t>, Malik and Budhwar, 2023).</w:t>
      </w:r>
    </w:p>
    <w:p w14:paraId="3A1EC27C" w14:textId="77777777" w:rsidR="00BD14B9" w:rsidRPr="00B42DF0" w:rsidRDefault="00BD14B9" w:rsidP="008A4AED">
      <w:pPr>
        <w:pStyle w:val="Heading2"/>
        <w:jc w:val="both"/>
        <w:rPr>
          <w:b/>
          <w:bCs/>
        </w:rPr>
      </w:pPr>
      <w:bookmarkStart w:id="75" w:name="_Toc240997006"/>
      <w:r w:rsidRPr="00B42DF0">
        <w:rPr>
          <w:b/>
          <w:bCs/>
        </w:rPr>
        <w:lastRenderedPageBreak/>
        <w:t>4.8 Integrated Findings and Key Patterns</w:t>
      </w:r>
      <w:bookmarkEnd w:id="75"/>
    </w:p>
    <w:p w14:paraId="4917D781" w14:textId="77777777" w:rsidR="00BD14B9" w:rsidRPr="00784D9C" w:rsidRDefault="00BD14B9" w:rsidP="008A4AED">
      <w:pPr>
        <w:jc w:val="both"/>
      </w:pPr>
      <w:r w:rsidRPr="00784D9C">
        <w:t>The findings across the technical, organisational, and institutional dimensions demonstrate that AI</w:t>
      </w:r>
      <w:r w:rsidRPr="00784D9C">
        <w:rPr>
          <w:rFonts w:ascii="Cambria Math" w:hAnsi="Cambria Math" w:cs="Cambria Math"/>
        </w:rPr>
        <w:t>‑</w:t>
      </w:r>
      <w:r w:rsidRPr="00784D9C">
        <w:t>mediated recruitment is best understood as an interconnected governance system (Tsiskaridze, Reinhold and Järvis, 2023).</w:t>
      </w:r>
    </w:p>
    <w:p w14:paraId="32B33C24" w14:textId="2C786B04" w:rsidR="00BD14B9" w:rsidRPr="00784D9C" w:rsidRDefault="00BD14B9" w:rsidP="008A4AED">
      <w:pPr>
        <w:jc w:val="both"/>
      </w:pPr>
      <w:r w:rsidRPr="00784D9C">
        <w:t xml:space="preserve">The relationship between the three dimensions can be represented </w:t>
      </w:r>
      <w:r w:rsidR="00783846" w:rsidRPr="00784D9C">
        <w:t>as</w:t>
      </w:r>
      <w:r w:rsidR="00783846" w:rsidRPr="00FC471B">
        <w:t xml:space="preserve"> (</w:t>
      </w:r>
      <w:proofErr w:type="spellStart"/>
      <w:r w:rsidR="005A54A9" w:rsidRPr="00FC471B">
        <w:t>Prikshat</w:t>
      </w:r>
      <w:proofErr w:type="spellEnd"/>
      <w:r w:rsidR="005A54A9" w:rsidRPr="00FC471B">
        <w:t>, Malik and Budhwar, 2023</w:t>
      </w:r>
      <w:r w:rsidRPr="00784D9C">
        <w:t>):</w:t>
      </w:r>
    </w:p>
    <w:p w14:paraId="0B8670FF" w14:textId="3F16E26D" w:rsidR="00BD14B9" w:rsidRPr="00D67A6E" w:rsidRDefault="00BD14B9" w:rsidP="008A4AED">
      <w:pPr>
        <w:jc w:val="both"/>
        <w:rPr>
          <w:b/>
          <w:bCs/>
          <w:color w:val="153D63" w:themeColor="text2" w:themeTint="E6"/>
        </w:rPr>
      </w:pPr>
      <w:r w:rsidRPr="00CC1FEA">
        <w:rPr>
          <w:b/>
          <w:bCs/>
          <w:color w:val="153D63" w:themeColor="text2" w:themeTint="E6"/>
          <w:sz w:val="32"/>
          <w:szCs w:val="32"/>
        </w:rPr>
        <w:t>Institutional Context → Organisational Governance → Technical System → Recruitment Outcomes</w:t>
      </w:r>
    </w:p>
    <w:p w14:paraId="6C5AB1FB" w14:textId="77777777" w:rsidR="00BD14B9" w:rsidRPr="00784D9C" w:rsidRDefault="00BD14B9" w:rsidP="008A4AED">
      <w:pPr>
        <w:jc w:val="both"/>
      </w:pPr>
      <w:r w:rsidRPr="00784D9C">
        <w:t xml:space="preserve">Institutional conditions influence organisational governance requirements. Organisational governance determines how AI systems are implemented, monitored, and challenged. Technical characteristics then influence how recruitment decisions are generated and supported (Rigotti and </w:t>
      </w:r>
      <w:proofErr w:type="spellStart"/>
      <w:r w:rsidRPr="00784D9C">
        <w:t>Fosch</w:t>
      </w:r>
      <w:proofErr w:type="spellEnd"/>
      <w:r w:rsidRPr="00784D9C">
        <w:rPr>
          <w:rFonts w:ascii="Cambria Math" w:hAnsi="Cambria Math" w:cs="Cambria Math"/>
        </w:rPr>
        <w:t>‑</w:t>
      </w:r>
      <w:r w:rsidRPr="00784D9C">
        <w:t>Villaronga, 2024).</w:t>
      </w:r>
    </w:p>
    <w:p w14:paraId="6E6AEC68" w14:textId="77777777" w:rsidR="00BD14B9" w:rsidRPr="00B02036" w:rsidRDefault="00BD14B9" w:rsidP="008A4AED">
      <w:pPr>
        <w:jc w:val="both"/>
        <w:rPr>
          <w:b/>
          <w:color w:val="153D63" w:themeColor="text2" w:themeTint="E6"/>
        </w:rPr>
      </w:pPr>
      <w:r w:rsidRPr="00B02036">
        <w:rPr>
          <w:b/>
          <w:color w:val="153D63" w:themeColor="text2" w:themeTint="E6"/>
          <w:sz w:val="28"/>
          <w:szCs w:val="28"/>
        </w:rPr>
        <w:t>Four key patterns emerge from the synthesis (Tsiskaridze, Reinhold and Järvis, 2023).</w:t>
      </w:r>
    </w:p>
    <w:p w14:paraId="16FC4626" w14:textId="77777777" w:rsidR="00BD14B9" w:rsidRPr="00CC1FEA" w:rsidRDefault="00BD14B9" w:rsidP="008A4AED">
      <w:pPr>
        <w:jc w:val="both"/>
        <w:rPr>
          <w:b/>
          <w:bCs/>
          <w:color w:val="153D63" w:themeColor="text2" w:themeTint="E6"/>
          <w:sz w:val="28"/>
          <w:szCs w:val="28"/>
        </w:rPr>
      </w:pPr>
      <w:r w:rsidRPr="00CC1FEA">
        <w:rPr>
          <w:b/>
          <w:bCs/>
          <w:color w:val="153D63" w:themeColor="text2" w:themeTint="E6"/>
          <w:sz w:val="28"/>
          <w:szCs w:val="28"/>
        </w:rPr>
        <w:t>Pattern 1: Formal–Substantive Governance Gap</w:t>
      </w:r>
    </w:p>
    <w:p w14:paraId="671BD6BA" w14:textId="4C86C172" w:rsidR="00BD14B9" w:rsidRPr="00784D9C" w:rsidRDefault="00BD14B9" w:rsidP="008A4AED">
      <w:pPr>
        <w:jc w:val="both"/>
      </w:pPr>
      <w:r w:rsidRPr="00784D9C">
        <w:t>The literature indicates a potential gap between formal governance arrangements and their practical implementation</w:t>
      </w:r>
      <w:r w:rsidR="00DD44BD">
        <w:t xml:space="preserve">. </w:t>
      </w:r>
      <w:r w:rsidRPr="00784D9C">
        <w:t>Organisations may have policies requiring human oversight, transparency, and accountability, while actual decision</w:t>
      </w:r>
      <w:r w:rsidRPr="00784D9C">
        <w:rPr>
          <w:rFonts w:ascii="Cambria Math" w:hAnsi="Cambria Math" w:cs="Cambria Math"/>
        </w:rPr>
        <w:t>‑</w:t>
      </w:r>
      <w:r w:rsidRPr="00784D9C">
        <w:t>making may still be strongly influenced by AI recommendations (Selbst et al., 2019).</w:t>
      </w:r>
    </w:p>
    <w:p w14:paraId="32097CE1" w14:textId="77777777" w:rsidR="00BD14B9" w:rsidRPr="00CC1FEA" w:rsidRDefault="00BD14B9" w:rsidP="008A4AED">
      <w:pPr>
        <w:jc w:val="both"/>
        <w:rPr>
          <w:b/>
          <w:bCs/>
        </w:rPr>
      </w:pPr>
      <w:r w:rsidRPr="00CC1FEA">
        <w:rPr>
          <w:b/>
          <w:bCs/>
          <w:color w:val="153D63" w:themeColor="text2" w:themeTint="E6"/>
          <w:sz w:val="28"/>
          <w:szCs w:val="28"/>
        </w:rPr>
        <w:t>Pattern 2: Interaction Between the Three Dimensions</w:t>
      </w:r>
    </w:p>
    <w:p w14:paraId="31089F60" w14:textId="77777777" w:rsidR="00BD14B9" w:rsidRPr="00784D9C" w:rsidRDefault="00BD14B9" w:rsidP="008A4AED">
      <w:pPr>
        <w:jc w:val="both"/>
      </w:pPr>
      <w:r w:rsidRPr="00784D9C">
        <w:t xml:space="preserve">Technical, organisational, and institutional factors cannot be considered independently (Tsiskaridze, Reinhold and Järvis, 2023). Technical bias may become an organisational problem when HR professionals rely heavily on algorithmic outputs. Similarly, organisational governance practices are influenced by regulatory and institutional requirements (Rigotti and </w:t>
      </w:r>
      <w:proofErr w:type="spellStart"/>
      <w:r w:rsidRPr="00784D9C">
        <w:t>Fosch</w:t>
      </w:r>
      <w:proofErr w:type="spellEnd"/>
      <w:r w:rsidRPr="00784D9C">
        <w:rPr>
          <w:rFonts w:ascii="Cambria Math" w:hAnsi="Cambria Math" w:cs="Cambria Math"/>
        </w:rPr>
        <w:t>‑</w:t>
      </w:r>
      <w:r w:rsidRPr="00784D9C">
        <w:t>Villaronga, 2024).</w:t>
      </w:r>
    </w:p>
    <w:p w14:paraId="32D70556" w14:textId="77777777" w:rsidR="00BD14B9" w:rsidRPr="00E601A0" w:rsidRDefault="00BD14B9" w:rsidP="008A4AED">
      <w:pPr>
        <w:jc w:val="both"/>
        <w:rPr>
          <w:b/>
          <w:bCs/>
          <w:color w:val="153D63" w:themeColor="text2" w:themeTint="E6"/>
          <w:sz w:val="28"/>
          <w:szCs w:val="28"/>
        </w:rPr>
      </w:pPr>
      <w:r w:rsidRPr="00E601A0">
        <w:rPr>
          <w:b/>
          <w:bCs/>
          <w:color w:val="153D63" w:themeColor="text2" w:themeTint="E6"/>
          <w:sz w:val="28"/>
          <w:szCs w:val="28"/>
        </w:rPr>
        <w:t>Pattern 3: MNC Governance Complexity</w:t>
      </w:r>
    </w:p>
    <w:p w14:paraId="7DF47773" w14:textId="766EEAD5" w:rsidR="00BD14B9" w:rsidRPr="00784D9C" w:rsidRDefault="00BD14B9" w:rsidP="008A4AED">
      <w:pPr>
        <w:jc w:val="both"/>
      </w:pPr>
      <w:r w:rsidRPr="00784D9C">
        <w:t>MNCs face additional challenges because they must coordinate AI recruitment across different subsidiaries, legal systems, labour markets, and cultural environments</w:t>
      </w:r>
      <w:r w:rsidR="00CC61A6">
        <w:t xml:space="preserve">. </w:t>
      </w:r>
      <w:r w:rsidRPr="00784D9C">
        <w:t>This creates tension between global standardisation and local adaptation (CMS, 2025).</w:t>
      </w:r>
    </w:p>
    <w:p w14:paraId="2697745C" w14:textId="77777777" w:rsidR="00BD14B9" w:rsidRPr="00E601A0" w:rsidRDefault="00BD14B9" w:rsidP="008A4AED">
      <w:pPr>
        <w:jc w:val="both"/>
        <w:rPr>
          <w:b/>
          <w:bCs/>
          <w:color w:val="153D63" w:themeColor="text2" w:themeTint="E6"/>
          <w:sz w:val="28"/>
          <w:szCs w:val="28"/>
        </w:rPr>
      </w:pPr>
      <w:r w:rsidRPr="00E601A0">
        <w:rPr>
          <w:b/>
          <w:bCs/>
          <w:color w:val="153D63" w:themeColor="text2" w:themeTint="E6"/>
          <w:sz w:val="28"/>
          <w:szCs w:val="28"/>
        </w:rPr>
        <w:t>Pattern 4: Uneven Evidence Across Dimensions</w:t>
      </w:r>
    </w:p>
    <w:p w14:paraId="1B57B162" w14:textId="35D51FD3" w:rsidR="00BD14B9" w:rsidRPr="00784D9C" w:rsidRDefault="00BD14B9" w:rsidP="008A4AED">
      <w:pPr>
        <w:jc w:val="both"/>
      </w:pPr>
      <w:r w:rsidRPr="00784D9C">
        <w:t xml:space="preserve">The literature provides substantial discussion of technical bias and fairness, while organisational and institutional dimensions are comparatively less integrated into technical research </w:t>
      </w:r>
      <w:r w:rsidR="00CC61A6" w:rsidRPr="00FC471B">
        <w:t>(</w:t>
      </w:r>
      <w:proofErr w:type="spellStart"/>
      <w:r w:rsidR="00CC61A6" w:rsidRPr="00FC471B">
        <w:t>Prikshat</w:t>
      </w:r>
      <w:proofErr w:type="spellEnd"/>
      <w:r w:rsidR="00CC61A6" w:rsidRPr="00FC471B">
        <w:t>, Malik and Budhwar, 2023</w:t>
      </w:r>
      <w:r w:rsidRPr="00784D9C">
        <w:t>). This supports the need for interdisciplinary approaches that examine AI recruitment as a socio</w:t>
      </w:r>
      <w:r w:rsidRPr="00784D9C">
        <w:rPr>
          <w:rFonts w:ascii="Cambria Math" w:hAnsi="Cambria Math" w:cs="Cambria Math"/>
        </w:rPr>
        <w:t>‑</w:t>
      </w:r>
      <w:r w:rsidRPr="00784D9C">
        <w:t>technical and institutional process (Tambe, Cappelli and Yakubovich, 2019).</w:t>
      </w:r>
    </w:p>
    <w:p w14:paraId="0E3CCCC7" w14:textId="77777777" w:rsidR="00BD14B9" w:rsidRPr="00784D9C" w:rsidRDefault="00BD14B9" w:rsidP="008A4AED">
      <w:pPr>
        <w:jc w:val="both"/>
      </w:pPr>
      <w:r w:rsidRPr="00784D9C">
        <w:t>Overall, the findings indicate that responsible AI</w:t>
      </w:r>
      <w:r w:rsidRPr="00784D9C">
        <w:rPr>
          <w:rFonts w:ascii="Cambria Math" w:hAnsi="Cambria Math" w:cs="Cambria Math"/>
        </w:rPr>
        <w:t>‑</w:t>
      </w:r>
      <w:r w:rsidRPr="00784D9C">
        <w:t>mediated recruitment requires alignment between technical system design, organisational governance, and institutional requirements (European Commission, 2024).</w:t>
      </w:r>
    </w:p>
    <w:p w14:paraId="4D88AF68" w14:textId="77777777" w:rsidR="00BD14B9" w:rsidRPr="00E601A0" w:rsidRDefault="00BD14B9" w:rsidP="008A4AED">
      <w:pPr>
        <w:pStyle w:val="Heading2"/>
        <w:jc w:val="both"/>
        <w:rPr>
          <w:b/>
          <w:bCs/>
        </w:rPr>
      </w:pPr>
      <w:bookmarkStart w:id="76" w:name="_Toc240997007"/>
      <w:r w:rsidRPr="00E601A0">
        <w:rPr>
          <w:b/>
          <w:bCs/>
        </w:rPr>
        <w:lastRenderedPageBreak/>
        <w:t>4.9 Chapter Summary</w:t>
      </w:r>
      <w:bookmarkEnd w:id="76"/>
    </w:p>
    <w:p w14:paraId="0FBDFCB4" w14:textId="77777777" w:rsidR="00BD14B9" w:rsidRPr="00784D9C" w:rsidRDefault="00BD14B9" w:rsidP="008A4AED">
      <w:pPr>
        <w:jc w:val="both"/>
      </w:pPr>
      <w:r w:rsidRPr="00784D9C">
        <w:t>This chapter presented the findings from the systematic literature review and integrative thematic synthesis (</w:t>
      </w:r>
      <w:proofErr w:type="spellStart"/>
      <w:r w:rsidRPr="00784D9C">
        <w:t>Tranfield</w:t>
      </w:r>
      <w:proofErr w:type="spellEnd"/>
      <w:r w:rsidRPr="00784D9C">
        <w:t>, Denyer and Smart, 2003).</w:t>
      </w:r>
    </w:p>
    <w:p w14:paraId="069449A7" w14:textId="77777777" w:rsidR="00BD14B9" w:rsidRPr="00784D9C" w:rsidRDefault="00BD14B9" w:rsidP="008A4AED">
      <w:pPr>
        <w:jc w:val="both"/>
      </w:pPr>
      <w:r w:rsidRPr="00784D9C">
        <w:t xml:space="preserve">The technical findings demonstrate that AI recruitment systems can improve efficiency and support candidate assessment, but concerns remain regarding data quality, algorithmic bias, transparency, and explainability (Rigotti and </w:t>
      </w:r>
      <w:proofErr w:type="spellStart"/>
      <w:r w:rsidRPr="00784D9C">
        <w:t>Fosch</w:t>
      </w:r>
      <w:proofErr w:type="spellEnd"/>
      <w:r w:rsidRPr="00784D9C">
        <w:rPr>
          <w:rFonts w:ascii="Cambria Math" w:hAnsi="Cambria Math" w:cs="Cambria Math"/>
        </w:rPr>
        <w:t>‑</w:t>
      </w:r>
      <w:r w:rsidRPr="00784D9C">
        <w:t>Villaronga, 2024).</w:t>
      </w:r>
    </w:p>
    <w:p w14:paraId="01DA515B" w14:textId="0536038A" w:rsidR="00BD14B9" w:rsidRPr="00784D9C" w:rsidRDefault="00BD14B9" w:rsidP="008A4AED">
      <w:pPr>
        <w:jc w:val="both"/>
      </w:pPr>
      <w:r w:rsidRPr="00784D9C">
        <w:t>The organisational findings show that effective governance depends on clearly defined decision authority, accountability, meaningful human oversight, appropriate human–algorithm interaction, and effective management of technology vendors</w:t>
      </w:r>
      <w:r w:rsidR="006B2659">
        <w:t>.</w:t>
      </w:r>
    </w:p>
    <w:p w14:paraId="2F6FC0B0" w14:textId="77777777" w:rsidR="00BD14B9" w:rsidRPr="00784D9C" w:rsidRDefault="00BD14B9" w:rsidP="008A4AED">
      <w:pPr>
        <w:jc w:val="both"/>
      </w:pPr>
      <w:r w:rsidRPr="00784D9C">
        <w:t>The institutional findings demonstrate that AI recruitment is influenced by regulation, cultural expectations, labour</w:t>
      </w:r>
      <w:r w:rsidRPr="00784D9C">
        <w:rPr>
          <w:rFonts w:ascii="Cambria Math" w:hAnsi="Cambria Math" w:cs="Cambria Math"/>
        </w:rPr>
        <w:t>‑</w:t>
      </w:r>
      <w:r w:rsidRPr="00784D9C">
        <w:t>market institutions, and wider institutional pressures (CMS, 2025). The comparison between Europe and East/Southeast Asia indicates that while many governance challenges are shared, their regulatory and organisational responses differ (European Commission, 2024).</w:t>
      </w:r>
    </w:p>
    <w:p w14:paraId="6D3FF55B" w14:textId="3C720047" w:rsidR="00BD14B9" w:rsidRPr="00784D9C" w:rsidRDefault="00BD14B9" w:rsidP="008A4AED">
      <w:pPr>
        <w:jc w:val="both"/>
      </w:pPr>
      <w:r w:rsidRPr="00784D9C">
        <w:t>The integrated findings support the three</w:t>
      </w:r>
      <w:r w:rsidRPr="00784D9C">
        <w:rPr>
          <w:rFonts w:ascii="Cambria Math" w:hAnsi="Cambria Math" w:cs="Cambria Math"/>
        </w:rPr>
        <w:t>‑</w:t>
      </w:r>
      <w:r w:rsidRPr="00784D9C">
        <w:t xml:space="preserve">dimensional conceptual framework and demonstrate that technical, organisational, and institutional factors should be considered together (Tsiskaridze, Reinhold and Järvis, 2023). For MNCs, responsible AI recruitment therefore requires governance mechanisms that combine appropriate technical controls, organisational accountability, meaningful human oversight, and sensitivity to local institutional conditions </w:t>
      </w:r>
      <w:r w:rsidR="009553AC" w:rsidRPr="00FC471B">
        <w:t>(</w:t>
      </w:r>
      <w:proofErr w:type="spellStart"/>
      <w:r w:rsidR="009553AC" w:rsidRPr="00FC471B">
        <w:t>Prikshat</w:t>
      </w:r>
      <w:proofErr w:type="spellEnd"/>
      <w:r w:rsidR="009553AC" w:rsidRPr="00FC471B">
        <w:t>, Malik and Budhwar, 2023).</w:t>
      </w:r>
    </w:p>
    <w:p w14:paraId="49B49799" w14:textId="77777777" w:rsidR="00BD14B9" w:rsidRDefault="00BD14B9" w:rsidP="008A4AED">
      <w:pPr>
        <w:jc w:val="both"/>
      </w:pPr>
      <w:r w:rsidRPr="00784D9C">
        <w:t>The next chapter discusses these findings in relation to the research objectives, existing literature, theoretical perspectives, and implications for MNCs, policymakers, and future research (</w:t>
      </w:r>
      <w:proofErr w:type="spellStart"/>
      <w:r w:rsidRPr="00784D9C">
        <w:t>Tranfield</w:t>
      </w:r>
      <w:proofErr w:type="spellEnd"/>
      <w:r w:rsidRPr="00784D9C">
        <w:t>, Denyer and Smart, 2003).</w:t>
      </w:r>
    </w:p>
    <w:p w14:paraId="1CFC26E1" w14:textId="77777777" w:rsidR="00B02036" w:rsidRDefault="00B02036" w:rsidP="008A4AED">
      <w:pPr>
        <w:jc w:val="both"/>
      </w:pPr>
    </w:p>
    <w:p w14:paraId="22FE431A" w14:textId="77777777" w:rsidR="00B02036" w:rsidRDefault="00B02036" w:rsidP="008A4AED">
      <w:pPr>
        <w:jc w:val="both"/>
      </w:pPr>
    </w:p>
    <w:p w14:paraId="18E6141C" w14:textId="77777777" w:rsidR="00B02036" w:rsidRDefault="00B02036" w:rsidP="008A4AED">
      <w:pPr>
        <w:jc w:val="both"/>
      </w:pPr>
    </w:p>
    <w:p w14:paraId="4ABE73CD" w14:textId="77777777" w:rsidR="00B02036" w:rsidRDefault="00B02036" w:rsidP="008A4AED">
      <w:pPr>
        <w:jc w:val="both"/>
      </w:pPr>
    </w:p>
    <w:p w14:paraId="07B4F300" w14:textId="77777777" w:rsidR="00B02036" w:rsidRDefault="00B02036" w:rsidP="008A4AED">
      <w:pPr>
        <w:jc w:val="both"/>
      </w:pPr>
    </w:p>
    <w:p w14:paraId="0FEE33D1" w14:textId="77777777" w:rsidR="009553AC" w:rsidRDefault="009553AC" w:rsidP="008A4AED">
      <w:pPr>
        <w:jc w:val="both"/>
      </w:pPr>
    </w:p>
    <w:p w14:paraId="70FA7541" w14:textId="77777777" w:rsidR="009553AC" w:rsidRDefault="009553AC" w:rsidP="008A4AED">
      <w:pPr>
        <w:jc w:val="both"/>
      </w:pPr>
    </w:p>
    <w:p w14:paraId="39F3F024" w14:textId="77777777" w:rsidR="009553AC" w:rsidRDefault="009553AC" w:rsidP="008A4AED">
      <w:pPr>
        <w:jc w:val="both"/>
      </w:pPr>
    </w:p>
    <w:p w14:paraId="4C187D6F" w14:textId="77777777" w:rsidR="009553AC" w:rsidRDefault="009553AC" w:rsidP="008A4AED">
      <w:pPr>
        <w:jc w:val="both"/>
      </w:pPr>
    </w:p>
    <w:p w14:paraId="1E09A8B0" w14:textId="77777777" w:rsidR="00BD14B9" w:rsidRPr="00353AF0" w:rsidRDefault="00BD14B9" w:rsidP="008A4AED">
      <w:pPr>
        <w:pStyle w:val="Heading1"/>
        <w:jc w:val="both"/>
        <w:rPr>
          <w:rFonts w:eastAsia="Times New Roman"/>
          <w:b/>
          <w:bCs/>
        </w:rPr>
      </w:pPr>
      <w:bookmarkStart w:id="77" w:name="_Toc240997008"/>
      <w:r w:rsidRPr="00353AF0">
        <w:rPr>
          <w:rFonts w:eastAsia="Times New Roman"/>
          <w:b/>
          <w:bCs/>
        </w:rPr>
        <w:t>CHAPTER 5: DISCUSSION</w:t>
      </w:r>
      <w:bookmarkEnd w:id="77"/>
    </w:p>
    <w:p w14:paraId="73992BE5" w14:textId="77777777" w:rsidR="00BD14B9" w:rsidRPr="00D81B57" w:rsidRDefault="00BD14B9" w:rsidP="008A4AED">
      <w:pPr>
        <w:pStyle w:val="Heading2"/>
        <w:jc w:val="both"/>
        <w:rPr>
          <w:rFonts w:eastAsia="Times New Roman"/>
          <w:b/>
          <w:bCs/>
        </w:rPr>
      </w:pPr>
      <w:bookmarkStart w:id="78" w:name="_Toc240997009"/>
      <w:r w:rsidRPr="00D81B57">
        <w:rPr>
          <w:rFonts w:eastAsia="Times New Roman"/>
          <w:b/>
          <w:bCs/>
        </w:rPr>
        <w:t>5.1 Introduction</w:t>
      </w:r>
      <w:bookmarkEnd w:id="78"/>
    </w:p>
    <w:p w14:paraId="4DB1FE72" w14:textId="77777777" w:rsidR="000B51AE" w:rsidRPr="000B51AE" w:rsidRDefault="000B51AE" w:rsidP="008A4AED">
      <w:pPr>
        <w:jc w:val="both"/>
        <w:rPr>
          <w:rFonts w:eastAsia="Times New Roman"/>
        </w:rPr>
      </w:pPr>
      <w:r w:rsidRPr="000B51AE">
        <w:rPr>
          <w:rFonts w:eastAsia="Times New Roman"/>
        </w:rPr>
        <w:t xml:space="preserve">This chapter interprets the findings presented in Chapter 4 in relation to the research aim, objectives, conceptual framework, theoretical perspectives and existing literature on AI-mediated recruitment </w:t>
      </w:r>
      <w:r w:rsidRPr="000B51AE">
        <w:rPr>
          <w:rFonts w:eastAsia="Times New Roman"/>
        </w:rPr>
        <w:lastRenderedPageBreak/>
        <w:t xml:space="preserve">governance. The research aim was to examine how AI-mediated recruitment is governed within multinational companies (MNCs) operating across European and Asian contexts through a comparative systematic review of organisational decision-making (Tsiskaridze, Reinhold and Järvis, 2023; </w:t>
      </w:r>
      <w:proofErr w:type="spellStart"/>
      <w:r w:rsidRPr="000B51AE">
        <w:rPr>
          <w:rFonts w:eastAsia="Times New Roman"/>
        </w:rPr>
        <w:t>Prikshat</w:t>
      </w:r>
      <w:proofErr w:type="spellEnd"/>
      <w:r w:rsidRPr="000B51AE">
        <w:rPr>
          <w:rFonts w:eastAsia="Times New Roman"/>
        </w:rPr>
        <w:t>, Malik and Budhwar, 2023). The study addressed four objectives: to evaluate the relevant peer-reviewed literature; to examine how AI recruitment systems are defined and operationalised; to assess organisational governance arrangements; and to compare institutional environments across Europe and Asia.</w:t>
      </w:r>
    </w:p>
    <w:p w14:paraId="7E119FA7" w14:textId="407B3FAB" w:rsidR="009F44DC" w:rsidRPr="00B015C2" w:rsidRDefault="00BD14B9" w:rsidP="008A4AED">
      <w:pPr>
        <w:jc w:val="both"/>
        <w:rPr>
          <w:rFonts w:eastAsia="Times New Roman"/>
        </w:rPr>
      </w:pPr>
      <w:r w:rsidRPr="00B015C2">
        <w:rPr>
          <w:rFonts w:eastAsia="Times New Roman"/>
        </w:rPr>
        <w:t>Rather than restating the descriptive findings, this chapter interprets their significance through the three dimensions of the conceptual framework: technical, organisational and institutional. These dimensions are further examined through Socio</w:t>
      </w:r>
      <w:r w:rsidR="000B51AE" w:rsidRPr="000B51AE">
        <w:rPr>
          <w:rFonts w:eastAsia="Times New Roman"/>
        </w:rPr>
        <w:t>-</w:t>
      </w:r>
      <w:r w:rsidRPr="00B015C2">
        <w:rPr>
          <w:rFonts w:eastAsia="Times New Roman"/>
        </w:rPr>
        <w:t>Technical Systems Theory, the Organisational Governance Perspective and Institutional Theory. The discussion considers how technical capabilities, organisational practices and institutional conditions interact to shape governance outcomes in MNC recruitment.</w:t>
      </w:r>
    </w:p>
    <w:p w14:paraId="1B888148" w14:textId="77777777" w:rsidR="00BD14B9" w:rsidRPr="00D81B57" w:rsidRDefault="00BD14B9" w:rsidP="008A4AED">
      <w:pPr>
        <w:pStyle w:val="Heading2"/>
        <w:jc w:val="both"/>
        <w:rPr>
          <w:rFonts w:eastAsia="Times New Roman"/>
          <w:b/>
          <w:bCs/>
        </w:rPr>
      </w:pPr>
      <w:bookmarkStart w:id="79" w:name="_Toc240997010"/>
      <w:r w:rsidRPr="00D81B57">
        <w:rPr>
          <w:rFonts w:eastAsia="Times New Roman"/>
          <w:b/>
          <w:bCs/>
        </w:rPr>
        <w:t>5.2 Summary of Key Findings</w:t>
      </w:r>
      <w:bookmarkEnd w:id="79"/>
    </w:p>
    <w:p w14:paraId="7359C2EE" w14:textId="52A7A078" w:rsidR="00E70B7D" w:rsidRDefault="0093017D" w:rsidP="008A4AED">
      <w:pPr>
        <w:jc w:val="both"/>
        <w:rPr>
          <w:rFonts w:eastAsia="Times New Roman"/>
        </w:rPr>
      </w:pPr>
      <w:r w:rsidRPr="0093017D">
        <w:rPr>
          <w:rFonts w:eastAsia="Times New Roman"/>
        </w:rPr>
        <w:t xml:space="preserve">The systematic review identified several interconnected governance challenges. First, the technical dimension showed that AI recruitment systems can reproduce historical, representation, proxy, measurement and aggregation biases. Although bias-mitigation and explainability techniques are increasingly available, their practical effectiveness remains limited, particularly because many studies rely on simulated rather than real-world datasets (Barocas and Selbst, 2016; Rigotti and </w:t>
      </w:r>
      <w:proofErr w:type="spellStart"/>
      <w:r w:rsidRPr="0093017D">
        <w:rPr>
          <w:rFonts w:eastAsia="Times New Roman"/>
        </w:rPr>
        <w:t>Fosch</w:t>
      </w:r>
      <w:proofErr w:type="spellEnd"/>
      <w:r w:rsidRPr="0093017D">
        <w:rPr>
          <w:rFonts w:eastAsia="Times New Roman"/>
        </w:rPr>
        <w:t xml:space="preserve">-Villaronga, 2024). Second, the organisational dimension revealed substantial gaps between formal governance arrangements and actual practice: human oversight was frequently symbolic, while responsibilities for AI-supported recruitment decisions were distributed across HR functions, technology vendors, legal and compliance teams, and subsidiary managers. Such distribution can obscure who is accountable for monitoring, challenging and remedying potentially unfair outcomes (Raghavan et al., 2020; Batool, </w:t>
      </w:r>
      <w:proofErr w:type="spellStart"/>
      <w:r w:rsidRPr="0093017D">
        <w:rPr>
          <w:rFonts w:eastAsia="Times New Roman"/>
        </w:rPr>
        <w:t>Zowghi</w:t>
      </w:r>
      <w:proofErr w:type="spellEnd"/>
      <w:r w:rsidRPr="0093017D">
        <w:rPr>
          <w:rFonts w:eastAsia="Times New Roman"/>
        </w:rPr>
        <w:t xml:space="preserve"> and Bano, 2023). Third, the institutional dimension demonstrated significant Europe–Asia differences: European governance is more compliance-oriented (GDPR, EU AI Act), whereas several Asian contexts rely more on voluntary standards and emerging regulation, though formal rules alone do not guarantee effective governance (European Parliament and Council of the European Union, 2024). Overall, effective AI recruitment governance requires integration across all three dimensions, with MNCs balancing global standards and local institutional requirements while ensuring meaningful organisational oversight of technical systems.</w:t>
      </w:r>
      <w:r w:rsidR="0054731D" w:rsidRPr="0054731D">
        <w:rPr>
          <w:rFonts w:eastAsia="Times New Roman"/>
        </w:rPr>
        <w:t>.</w:t>
      </w:r>
    </w:p>
    <w:p w14:paraId="1E25ED9D" w14:textId="4CE8B807" w:rsidR="00BD14B9" w:rsidRPr="000E51F5" w:rsidRDefault="00BD14B9" w:rsidP="008A4AED">
      <w:pPr>
        <w:pStyle w:val="Heading2"/>
        <w:jc w:val="both"/>
        <w:rPr>
          <w:b/>
          <w:bCs/>
        </w:rPr>
      </w:pPr>
      <w:bookmarkStart w:id="80" w:name="_Toc240997011"/>
      <w:r w:rsidRPr="000E51F5">
        <w:rPr>
          <w:b/>
          <w:bCs/>
        </w:rPr>
        <w:t>5.3 Discussion of the Technical Dimension</w:t>
      </w:r>
      <w:bookmarkEnd w:id="80"/>
    </w:p>
    <w:p w14:paraId="316551FF" w14:textId="77777777" w:rsidR="004C45C1" w:rsidRPr="004C45C1" w:rsidRDefault="004C45C1" w:rsidP="008A4AED">
      <w:pPr>
        <w:jc w:val="both"/>
        <w:rPr>
          <w:rFonts w:eastAsia="Times New Roman"/>
        </w:rPr>
      </w:pPr>
      <w:r w:rsidRPr="004C45C1">
        <w:rPr>
          <w:rFonts w:eastAsia="Times New Roman"/>
        </w:rPr>
        <w:t>The technical findings show that AI recruitment systems deliver efficiency gains but also create governance risks that cannot be resolved through technical solutions alone. Algorithmic bias is often structural: historical data can reproduce inequalities, while proxy variables may indirectly replicate protected characteristics (Barocas and Selbst, 2016). A capability–governance gap exists, as organisations—especially MNCs—may lack expertise to evaluate sophisticated screening and explainability tools across subsidiaries with varying technical literacy.</w:t>
      </w:r>
    </w:p>
    <w:p w14:paraId="3060375A" w14:textId="1707698C" w:rsidR="00D16865" w:rsidRPr="00B015C2" w:rsidRDefault="00BD14B9" w:rsidP="008A4AED">
      <w:pPr>
        <w:jc w:val="both"/>
        <w:rPr>
          <w:rFonts w:eastAsia="Times New Roman"/>
        </w:rPr>
      </w:pPr>
      <w:r w:rsidRPr="005164F2">
        <w:rPr>
          <w:rFonts w:eastAsia="Times New Roman"/>
        </w:rPr>
        <w:t xml:space="preserve">Reliance on historical data can embed prior </w:t>
      </w:r>
      <w:r w:rsidR="004C45C1" w:rsidRPr="004C45C1">
        <w:rPr>
          <w:rFonts w:eastAsia="Times New Roman"/>
        </w:rPr>
        <w:t>discrimination, amplifying</w:t>
      </w:r>
      <w:r w:rsidR="00493A99" w:rsidRPr="00493A99">
        <w:rPr>
          <w:rFonts w:eastAsia="Times New Roman"/>
        </w:rPr>
        <w:t xml:space="preserve"> inequalities when governance is weak</w:t>
      </w:r>
      <w:r w:rsidR="004C45C1" w:rsidRPr="004C45C1">
        <w:rPr>
          <w:rFonts w:eastAsia="Times New Roman"/>
        </w:rPr>
        <w:t xml:space="preserve"> (Tambe, Cappelli and Yakubovich, 2019).</w:t>
      </w:r>
      <w:r w:rsidR="00493A99" w:rsidRPr="00493A99">
        <w:rPr>
          <w:rFonts w:eastAsia="Times New Roman"/>
        </w:rPr>
        <w:t xml:space="preserve"> Many bias</w:t>
      </w:r>
      <w:r w:rsidR="008B0C49" w:rsidRPr="008B0C49">
        <w:rPr>
          <w:rFonts w:eastAsia="Times New Roman"/>
        </w:rPr>
        <w:t>-</w:t>
      </w:r>
      <w:r w:rsidR="00493A99" w:rsidRPr="00493A99">
        <w:rPr>
          <w:rFonts w:eastAsia="Times New Roman"/>
        </w:rPr>
        <w:t xml:space="preserve">mitigation claims </w:t>
      </w:r>
      <w:r w:rsidR="004C45C1" w:rsidRPr="004C45C1">
        <w:rPr>
          <w:rFonts w:eastAsia="Times New Roman"/>
        </w:rPr>
        <w:t>lack</w:t>
      </w:r>
      <w:r w:rsidR="00493A99" w:rsidRPr="00493A99">
        <w:rPr>
          <w:rFonts w:eastAsia="Times New Roman"/>
        </w:rPr>
        <w:t xml:space="preserve"> real</w:t>
      </w:r>
      <w:r w:rsidR="008B0C49" w:rsidRPr="008B0C49">
        <w:rPr>
          <w:rFonts w:eastAsia="Times New Roman"/>
        </w:rPr>
        <w:t>-</w:t>
      </w:r>
      <w:r w:rsidR="00493A99" w:rsidRPr="00493A99">
        <w:rPr>
          <w:rFonts w:eastAsia="Times New Roman"/>
        </w:rPr>
        <w:t>world validity</w:t>
      </w:r>
      <w:r w:rsidR="004C45C1" w:rsidRPr="004C45C1">
        <w:rPr>
          <w:rFonts w:eastAsia="Times New Roman"/>
        </w:rPr>
        <w:t xml:space="preserve">, and </w:t>
      </w:r>
      <w:r w:rsidR="00493A99" w:rsidRPr="00493A99">
        <w:rPr>
          <w:rFonts w:eastAsia="Times New Roman"/>
        </w:rPr>
        <w:t xml:space="preserve">vendor dependence </w:t>
      </w:r>
      <w:r w:rsidR="004C45C1" w:rsidRPr="004C45C1">
        <w:rPr>
          <w:rFonts w:eastAsia="Times New Roman"/>
        </w:rPr>
        <w:t xml:space="preserve">limits </w:t>
      </w:r>
      <w:r w:rsidR="008B0C49" w:rsidRPr="008B0C49">
        <w:rPr>
          <w:rFonts w:eastAsia="Times New Roman"/>
        </w:rPr>
        <w:t>organisations'</w:t>
      </w:r>
      <w:r w:rsidR="00493A99" w:rsidRPr="00493A99">
        <w:rPr>
          <w:rFonts w:eastAsia="Times New Roman"/>
        </w:rPr>
        <w:t xml:space="preserve"> power to require detailed bias testing</w:t>
      </w:r>
      <w:r w:rsidR="004C45C1" w:rsidRPr="004C45C1">
        <w:rPr>
          <w:rFonts w:eastAsia="Times New Roman"/>
        </w:rPr>
        <w:t xml:space="preserve"> (Rigotti and </w:t>
      </w:r>
      <w:proofErr w:type="spellStart"/>
      <w:r w:rsidR="004C45C1" w:rsidRPr="004C45C1">
        <w:rPr>
          <w:rFonts w:eastAsia="Times New Roman"/>
        </w:rPr>
        <w:t>Fosch</w:t>
      </w:r>
      <w:proofErr w:type="spellEnd"/>
      <w:r w:rsidR="008B0C49" w:rsidRPr="008B0C49">
        <w:rPr>
          <w:rFonts w:eastAsia="Times New Roman"/>
        </w:rPr>
        <w:t>-</w:t>
      </w:r>
      <w:r w:rsidR="004C45C1" w:rsidRPr="004C45C1">
        <w:rPr>
          <w:rFonts w:eastAsia="Times New Roman"/>
        </w:rPr>
        <w:t>Villaronga, 2024).</w:t>
      </w:r>
      <w:r w:rsidR="00493A99" w:rsidRPr="00493A99">
        <w:rPr>
          <w:rFonts w:eastAsia="Times New Roman"/>
        </w:rPr>
        <w:t xml:space="preserve"> Explainability tools do not guarantee that HR professionals can understand or </w:t>
      </w:r>
      <w:r w:rsidR="00493A99" w:rsidRPr="00493A99">
        <w:rPr>
          <w:rFonts w:eastAsia="Times New Roman"/>
        </w:rPr>
        <w:lastRenderedPageBreak/>
        <w:t xml:space="preserve">challenge AI outputs; </w:t>
      </w:r>
      <w:r w:rsidR="004C45C1" w:rsidRPr="004C45C1">
        <w:rPr>
          <w:rFonts w:eastAsia="Times New Roman"/>
        </w:rPr>
        <w:t>transparency requires</w:t>
      </w:r>
      <w:r w:rsidR="00493A99" w:rsidRPr="00493A99">
        <w:rPr>
          <w:rFonts w:eastAsia="Times New Roman"/>
        </w:rPr>
        <w:t xml:space="preserve"> organisational capability</w:t>
      </w:r>
      <w:r w:rsidR="004C45C1" w:rsidRPr="004C45C1">
        <w:rPr>
          <w:rFonts w:eastAsia="Times New Roman"/>
        </w:rPr>
        <w:t>,</w:t>
      </w:r>
      <w:r w:rsidR="00493A99" w:rsidRPr="00493A99">
        <w:rPr>
          <w:rFonts w:eastAsia="Times New Roman"/>
        </w:rPr>
        <w:t xml:space="preserve"> training and decision</w:t>
      </w:r>
      <w:r w:rsidR="008B0C49" w:rsidRPr="008B0C49">
        <w:rPr>
          <w:rFonts w:eastAsia="Times New Roman"/>
        </w:rPr>
        <w:t>-</w:t>
      </w:r>
      <w:r w:rsidR="00493A99" w:rsidRPr="00493A99">
        <w:rPr>
          <w:rFonts w:eastAsia="Times New Roman"/>
        </w:rPr>
        <w:t>making authority. Overall, technical safeguards are necessary but insufficient; effective governance requires connecting algorithmic design, data management</w:t>
      </w:r>
      <w:r w:rsidR="004C45C1" w:rsidRPr="004C45C1">
        <w:rPr>
          <w:rFonts w:eastAsia="Times New Roman"/>
        </w:rPr>
        <w:t xml:space="preserve"> and</w:t>
      </w:r>
      <w:r w:rsidR="00493A99" w:rsidRPr="00493A99">
        <w:rPr>
          <w:rFonts w:eastAsia="Times New Roman"/>
        </w:rPr>
        <w:t xml:space="preserve"> bias mitigation with organisational oversight, auditing and accountability (Selbst et al., 2019).</w:t>
      </w:r>
    </w:p>
    <w:p w14:paraId="03BEF9D6" w14:textId="77777777" w:rsidR="00BD14B9" w:rsidRPr="0049174F" w:rsidRDefault="00BD14B9" w:rsidP="008A4AED">
      <w:pPr>
        <w:pStyle w:val="Heading2"/>
        <w:jc w:val="both"/>
        <w:rPr>
          <w:rFonts w:eastAsia="Times New Roman"/>
          <w:b/>
          <w:bCs/>
        </w:rPr>
      </w:pPr>
      <w:bookmarkStart w:id="81" w:name="_Toc240997012"/>
      <w:r w:rsidRPr="0049174F">
        <w:rPr>
          <w:rFonts w:eastAsia="Times New Roman"/>
          <w:b/>
          <w:bCs/>
        </w:rPr>
        <w:t>5.4 Discussion of Organisational Governance</w:t>
      </w:r>
      <w:bookmarkEnd w:id="81"/>
    </w:p>
    <w:p w14:paraId="7FD82335" w14:textId="77777777" w:rsidR="00416B0E" w:rsidRPr="00416B0E" w:rsidRDefault="00416B0E" w:rsidP="008A4AED">
      <w:pPr>
        <w:jc w:val="both"/>
        <w:rPr>
          <w:rFonts w:eastAsia="Times New Roman"/>
        </w:rPr>
      </w:pPr>
      <w:r w:rsidRPr="00416B0E">
        <w:rPr>
          <w:rFonts w:eastAsia="Times New Roman"/>
        </w:rPr>
        <w:t xml:space="preserve">The organisational findings reveal that formal governance structures can diverge from day-to-day practice in AI-mediated recruitment. Although organisations may establish human oversight mechanisms, HR professionals may lack the technical knowledge, authority or time needed to meaningfully interrogate algorithmic recommendations (Raghavan et al., 2020). Responsibility can be dispersed across HR teams, technology vendors, legal and compliance functions, and subsidiary managers; therefore, governance arrangements need to specify who is accountable for validation, monitoring, escalation and corrective action across the AI lifecycle (Batool, </w:t>
      </w:r>
      <w:proofErr w:type="spellStart"/>
      <w:r w:rsidRPr="00416B0E">
        <w:rPr>
          <w:rFonts w:eastAsia="Times New Roman"/>
        </w:rPr>
        <w:t>Zowghi</w:t>
      </w:r>
      <w:proofErr w:type="spellEnd"/>
      <w:r w:rsidRPr="00416B0E">
        <w:rPr>
          <w:rFonts w:eastAsia="Times New Roman"/>
        </w:rPr>
        <w:t xml:space="preserve"> and Bano, 2023).</w:t>
      </w:r>
    </w:p>
    <w:p w14:paraId="12EB678A" w14:textId="21CBAE87" w:rsidR="00EC5B7B" w:rsidRPr="00B015C2" w:rsidRDefault="00416B0E" w:rsidP="008A4AED">
      <w:pPr>
        <w:jc w:val="both"/>
        <w:rPr>
          <w:rFonts w:eastAsia="Times New Roman"/>
        </w:rPr>
      </w:pPr>
      <w:r w:rsidRPr="00416B0E">
        <w:rPr>
          <w:rFonts w:eastAsia="Times New Roman"/>
        </w:rPr>
        <w:t xml:space="preserve">This accountability fragmentation is compounded by vendor opacity: recruitment AI providers often treat their algorithms as proprietary, limiting organisations' ability to audit bias or understand decision logic (Raghavan et al., 2020). From an Organisational Governance Perspective, these findings suggest that traditional accountability models based on clear hierarchical chains are inadequate for AI-mediated decision-making, which distributes agency across humans, algorithms and external vendors (Batool, </w:t>
      </w:r>
      <w:proofErr w:type="spellStart"/>
      <w:r w:rsidRPr="00416B0E">
        <w:rPr>
          <w:rFonts w:eastAsia="Times New Roman"/>
        </w:rPr>
        <w:t>Zowghi</w:t>
      </w:r>
      <w:proofErr w:type="spellEnd"/>
      <w:r w:rsidRPr="00416B0E">
        <w:rPr>
          <w:rFonts w:eastAsia="Times New Roman"/>
        </w:rPr>
        <w:t xml:space="preserve"> and Bano, 2023). Effective governance requires establishing cross-functional oversight committees, documenting override decisions, implementing escalation procedures and conducting regular audits to ensure that formal authority aligns with substantive decision-making power.</w:t>
      </w:r>
    </w:p>
    <w:p w14:paraId="1ACE34D2" w14:textId="77777777" w:rsidR="00BD14B9" w:rsidRPr="00F24386" w:rsidRDefault="00BD14B9" w:rsidP="008A4AED">
      <w:pPr>
        <w:pStyle w:val="Heading2"/>
        <w:jc w:val="both"/>
        <w:rPr>
          <w:rFonts w:eastAsia="Times New Roman"/>
          <w:b/>
          <w:bCs/>
        </w:rPr>
      </w:pPr>
      <w:bookmarkStart w:id="82" w:name="_Toc240997013"/>
      <w:r w:rsidRPr="00F24386">
        <w:rPr>
          <w:rFonts w:eastAsia="Times New Roman"/>
          <w:b/>
          <w:bCs/>
        </w:rPr>
        <w:t>5.5 Discussion of Institutional Context</w:t>
      </w:r>
      <w:bookmarkEnd w:id="82"/>
    </w:p>
    <w:p w14:paraId="1778357B" w14:textId="77777777" w:rsidR="00BD14B9" w:rsidRPr="006F6567" w:rsidRDefault="00BD14B9" w:rsidP="008A4AED">
      <w:pPr>
        <w:jc w:val="both"/>
        <w:rPr>
          <w:rFonts w:eastAsia="Times New Roman"/>
        </w:rPr>
      </w:pPr>
      <w:r w:rsidRPr="006F6567">
        <w:rPr>
          <w:rFonts w:eastAsia="Times New Roman"/>
        </w:rPr>
        <w:t>The institutional findings show that AI recruitment governance is strongly shaped by regulatory, cultural and labour</w:t>
      </w:r>
      <w:r w:rsidR="00D37441" w:rsidRPr="00D37441">
        <w:rPr>
          <w:rFonts w:eastAsia="Times New Roman"/>
        </w:rPr>
        <w:t>-</w:t>
      </w:r>
      <w:r w:rsidRPr="006F6567">
        <w:rPr>
          <w:rFonts w:eastAsia="Times New Roman"/>
        </w:rPr>
        <w:t xml:space="preserve">market conditions. Europe generally provides a more prescriptive environment via the GDPR and </w:t>
      </w:r>
      <w:r w:rsidR="00D37441" w:rsidRPr="00D37441">
        <w:rPr>
          <w:rFonts w:eastAsia="Times New Roman"/>
        </w:rPr>
        <w:t xml:space="preserve">the </w:t>
      </w:r>
      <w:r w:rsidRPr="006F6567">
        <w:rPr>
          <w:rFonts w:eastAsia="Times New Roman"/>
        </w:rPr>
        <w:t xml:space="preserve">EU AI Act, with stricter requirements on risk management, human oversight, transparency and accountability (European </w:t>
      </w:r>
      <w:r w:rsidR="00D37441" w:rsidRPr="00D37441">
        <w:rPr>
          <w:rFonts w:eastAsia="Times New Roman"/>
        </w:rPr>
        <w:t>Parliament and Council of the European Union, 2024).</w:t>
      </w:r>
      <w:r w:rsidRPr="006F6567">
        <w:rPr>
          <w:rFonts w:eastAsia="Times New Roman"/>
        </w:rPr>
        <w:t xml:space="preserve"> Several Asian contexts, by contrast, rely on emerging regulation, voluntary frameworks and market mechanisms.</w:t>
      </w:r>
    </w:p>
    <w:p w14:paraId="7800C539" w14:textId="77777777" w:rsidR="001F78DC" w:rsidRDefault="00BD14B9" w:rsidP="001F78DC">
      <w:pPr>
        <w:jc w:val="both"/>
      </w:pPr>
      <w:r w:rsidRPr="006F6567">
        <w:t xml:space="preserve">However, regulatory form does not automatically determine governance quality. Strong regulation may yield formal compliance without substantive oversight, while less formal systems can develop contextually appropriate practices. </w:t>
      </w:r>
      <w:r w:rsidR="00687E69" w:rsidRPr="00687E69">
        <w:t>Cultural expectations around fairness and trust also matter: European approaches emphasise procedural rights and individual protection, whereas some East Asian contexts prioritise efficiency, merit and outcomes. Labour</w:t>
      </w:r>
      <w:r w:rsidR="00D37441" w:rsidRPr="00D37441">
        <w:t>-</w:t>
      </w:r>
      <w:r w:rsidR="00687E69" w:rsidRPr="00687E69">
        <w:t>market institutions further differentiate governance, with stronger worker representation in some European contexts and more management</w:t>
      </w:r>
      <w:r w:rsidR="00D37441" w:rsidRPr="00D37441">
        <w:t>-</w:t>
      </w:r>
      <w:r w:rsidR="00687E69" w:rsidRPr="00687E69">
        <w:t xml:space="preserve">led implementation in several Asian contexts. From an Institutional Theory perspective, these differences reflect coercive, normative and mimetic pressures, requiring MNCs to navigate multiple, sometimes conflicting, institutional expectations </w:t>
      </w:r>
      <w:r w:rsidR="00EF4087" w:rsidRPr="00687E69">
        <w:t>(</w:t>
      </w:r>
      <w:proofErr w:type="spellStart"/>
      <w:r w:rsidR="00EF4087" w:rsidRPr="00687E69">
        <w:t>Prikshat</w:t>
      </w:r>
      <w:proofErr w:type="spellEnd"/>
      <w:r w:rsidR="00EF4087" w:rsidRPr="00D37441">
        <w:t>, Malik and Budhwar, 2023).</w:t>
      </w:r>
    </w:p>
    <w:p w14:paraId="22EB4412" w14:textId="4D3B538A" w:rsidR="00BD14B9" w:rsidRPr="001F78DC" w:rsidRDefault="00BD14B9" w:rsidP="001F78DC">
      <w:pPr>
        <w:pStyle w:val="Heading2"/>
        <w:rPr>
          <w:rFonts w:eastAsiaTheme="minorEastAsia"/>
          <w:b/>
          <w:color w:val="153D63" w:themeColor="text2" w:themeTint="E6"/>
        </w:rPr>
      </w:pPr>
      <w:bookmarkStart w:id="83" w:name="_Toc240997014"/>
      <w:r w:rsidRPr="001F78DC">
        <w:rPr>
          <w:b/>
          <w:color w:val="153D63" w:themeColor="text2" w:themeTint="E6"/>
        </w:rPr>
        <w:t>5.6 Comparative Discussion: Europe and East Asia</w:t>
      </w:r>
      <w:bookmarkEnd w:id="83"/>
    </w:p>
    <w:p w14:paraId="5492D3C2" w14:textId="77777777" w:rsidR="00F51012" w:rsidRPr="00F51012" w:rsidRDefault="00F51012" w:rsidP="008A4AED">
      <w:pPr>
        <w:jc w:val="both"/>
        <w:rPr>
          <w:rFonts w:eastAsia="Times New Roman"/>
        </w:rPr>
      </w:pPr>
      <w:r w:rsidRPr="00F51012">
        <w:rPr>
          <w:rFonts w:eastAsia="Times New Roman"/>
        </w:rPr>
        <w:t xml:space="preserve">The comparison identifies both convergence and divergence between Europe and East/Southeast Asia. The most significant divergence concerns the degree of regulatory formalisation. Within the European Union, the GDPR and EU AI Act provide an increasingly formal basis for regulating data processing, risk management, transparency and human oversight in high-risk AI applications (European Parliament and Council of the European Union, 2024). Across East and Southeast Asia, regulatory approaches are </w:t>
      </w:r>
      <w:r w:rsidRPr="00F51012">
        <w:rPr>
          <w:rFonts w:eastAsia="Times New Roman"/>
        </w:rPr>
        <w:lastRenderedPageBreak/>
        <w:t>more varied, combining national legislation, emerging AI-specific rules, voluntary principles and sectoral guidance.</w:t>
      </w:r>
    </w:p>
    <w:p w14:paraId="3168EA1D" w14:textId="1FD2A0BB" w:rsidR="008B46E2" w:rsidRDefault="00F51012" w:rsidP="008A4AED">
      <w:pPr>
        <w:jc w:val="both"/>
      </w:pPr>
      <w:r w:rsidRPr="00F51012">
        <w:rPr>
          <w:rFonts w:eastAsia="Times New Roman"/>
        </w:rPr>
        <w:t>Motivations for AI adoption also differ, with European organisations more influenced by compliance and risk management, and Asian contexts often prioritising efficiency, competitiveness and operational performance. However, neither approach is inherently superior; compliance-driven governance can become "box-ticking", while efficiency-driven adoption may lack sufficient safeguards (European Parliament and Council of the European Union, 2024). European systems generally provide stronger formal mechanisms for data protection, transparency and contestability, yet formalisation should not be equated with effectiveness. Substantial variation exists within both regions; therefore, a context-sensitive comparison is more appropriate than a simple Europe-versus-Asia model (Scott, 2014). For MNCs, governance should follow a core-plus-local approach: global standards for fairness, accountability, transparency and human oversight, adapted to local regulatory and institutional conditions (</w:t>
      </w:r>
      <w:proofErr w:type="spellStart"/>
      <w:r w:rsidRPr="00F51012">
        <w:rPr>
          <w:rFonts w:eastAsia="Times New Roman"/>
        </w:rPr>
        <w:t>Prikshat</w:t>
      </w:r>
      <w:proofErr w:type="spellEnd"/>
      <w:r w:rsidRPr="00F51012">
        <w:rPr>
          <w:rFonts w:eastAsia="Times New Roman"/>
        </w:rPr>
        <w:t>, Malik and Budhwar, 2023).</w:t>
      </w:r>
    </w:p>
    <w:p w14:paraId="5FDACF80" w14:textId="77777777" w:rsidR="00BD14B9" w:rsidRPr="00F24386" w:rsidRDefault="00BD14B9" w:rsidP="008A4AED">
      <w:pPr>
        <w:jc w:val="both"/>
        <w:rPr>
          <w:rFonts w:eastAsia="Times New Roman"/>
          <w:b/>
          <w:bCs/>
        </w:rPr>
      </w:pPr>
      <w:r w:rsidRPr="00F24386">
        <w:rPr>
          <w:rFonts w:eastAsia="Times New Roman"/>
          <w:b/>
          <w:bCs/>
        </w:rPr>
        <w:t>5.7 Theoretical Implications</w:t>
      </w:r>
    </w:p>
    <w:p w14:paraId="3AB9ACA7" w14:textId="03C62517" w:rsidR="00277293" w:rsidRDefault="00B90D56" w:rsidP="008A4AED">
      <w:pPr>
        <w:jc w:val="both"/>
      </w:pPr>
      <w:r w:rsidRPr="00B90D56">
        <w:rPr>
          <w:rFonts w:eastAsia="Times New Roman"/>
        </w:rPr>
        <w:t>The findings inform all three theoretical perspectives. Socio</w:t>
      </w:r>
      <w:r w:rsidRPr="00B90D56">
        <w:rPr>
          <w:rFonts w:ascii="Cambria Math" w:eastAsia="Times New Roman" w:hAnsi="Cambria Math" w:cs="Cambria Math"/>
        </w:rPr>
        <w:t>‑</w:t>
      </w:r>
      <w:r w:rsidRPr="00B90D56">
        <w:rPr>
          <w:rFonts w:eastAsia="Times New Roman"/>
        </w:rPr>
        <w:t>Technical Systems Theory is supported by evidence that technical systems and organisational practices jointly shape governance and extended by showing that institutional context also mediates this relationship, producing a technical–organisational–institutional dynamic (Orlikowski, 1992). The Organisational Governance Perspective is extended by demonstrating that AI creates new accountability challenges; symbolic oversight, accountability diffusion and gaps between formal and substantive authority suggest traditional governance models based on clear accountability chains may be insufficient for AI</w:t>
      </w:r>
      <w:r w:rsidRPr="00B90D56">
        <w:rPr>
          <w:rFonts w:ascii="Cambria Math" w:eastAsia="Times New Roman" w:hAnsi="Cambria Math" w:cs="Cambria Math"/>
        </w:rPr>
        <w:t>‑</w:t>
      </w:r>
      <w:r w:rsidRPr="00B90D56">
        <w:rPr>
          <w:rFonts w:eastAsia="Times New Roman"/>
        </w:rPr>
        <w:t>mediated decision</w:t>
      </w:r>
      <w:r w:rsidRPr="00B90D56">
        <w:rPr>
          <w:rFonts w:ascii="Cambria Math" w:eastAsia="Times New Roman" w:hAnsi="Cambria Math" w:cs="Cambria Math"/>
        </w:rPr>
        <w:t>‑</w:t>
      </w:r>
      <w:r w:rsidRPr="00B90D56">
        <w:rPr>
          <w:rFonts w:eastAsia="Times New Roman"/>
        </w:rPr>
        <w:t xml:space="preserve">making (Batool, </w:t>
      </w:r>
      <w:proofErr w:type="spellStart"/>
      <w:r w:rsidRPr="00B90D56">
        <w:rPr>
          <w:rFonts w:eastAsia="Times New Roman"/>
        </w:rPr>
        <w:t>Zowghi</w:t>
      </w:r>
      <w:proofErr w:type="spellEnd"/>
      <w:r w:rsidRPr="00B90D56">
        <w:rPr>
          <w:rFonts w:eastAsia="Times New Roman"/>
        </w:rPr>
        <w:t xml:space="preserve"> and Bano, 2023). Institutional Theory is supported by evidence of divergent organisational responses to coercive, normative and mimetic pressures across regions, and extended by showing that MNCs may selectively respond to these pressures, producing different governance practices within the same organisation. Integrating the three perspectives yields the pathway: institutional context → organisational governance → technical system → recruitment outcomes, offering a more comprehensive explanation of AI recruitment governance than any single approach (</w:t>
      </w:r>
      <w:proofErr w:type="spellStart"/>
      <w:r w:rsidRPr="00B90D56">
        <w:rPr>
          <w:rFonts w:eastAsia="Times New Roman"/>
        </w:rPr>
        <w:t>Prikshat</w:t>
      </w:r>
      <w:proofErr w:type="spellEnd"/>
      <w:r w:rsidRPr="00B90D56">
        <w:rPr>
          <w:rFonts w:eastAsia="Times New Roman"/>
        </w:rPr>
        <w:t>, Malik and Budhwar, 2023).</w:t>
      </w:r>
    </w:p>
    <w:p w14:paraId="31497951" w14:textId="77777777" w:rsidR="00BD14B9" w:rsidRPr="00191E3C" w:rsidRDefault="00BD14B9" w:rsidP="008A4AED">
      <w:pPr>
        <w:jc w:val="both"/>
        <w:rPr>
          <w:rFonts w:eastAsia="Times New Roman"/>
          <w:b/>
          <w:bCs/>
        </w:rPr>
      </w:pPr>
      <w:r w:rsidRPr="00191E3C">
        <w:rPr>
          <w:rFonts w:eastAsia="Times New Roman"/>
          <w:b/>
          <w:bCs/>
        </w:rPr>
        <w:t>5.8 Contribution to Knowledge and Practice</w:t>
      </w:r>
    </w:p>
    <w:p w14:paraId="78428FC4" w14:textId="5CF4F93B" w:rsidR="00AD037B" w:rsidRPr="00B015C2" w:rsidRDefault="00AD037B" w:rsidP="008A4AED">
      <w:pPr>
        <w:jc w:val="both"/>
        <w:rPr>
          <w:rFonts w:eastAsia="Times New Roman"/>
        </w:rPr>
      </w:pPr>
      <w:r w:rsidRPr="00AD037B">
        <w:rPr>
          <w:rFonts w:eastAsia="Times New Roman"/>
        </w:rPr>
        <w:t>The study makes several contributions to knowledge. First, it integrates technical, organisational and institutional dimensions into a single framework, addressing fragmentation in previous literature. Second, its focus on MNCs across Europe and Asia highlights governance challenges difficult to identify through single</w:t>
      </w:r>
      <w:r w:rsidRPr="00AD037B">
        <w:rPr>
          <w:rFonts w:ascii="Cambria Math" w:eastAsia="Times New Roman" w:hAnsi="Cambria Math" w:cs="Cambria Math"/>
        </w:rPr>
        <w:t>‑</w:t>
      </w:r>
      <w:r w:rsidRPr="00AD037B">
        <w:rPr>
          <w:rFonts w:eastAsia="Times New Roman"/>
        </w:rPr>
        <w:t>country studies, including regulatory variation, accountability fragmentation and tensions between global standardisation and local adaptation (</w:t>
      </w:r>
      <w:proofErr w:type="spellStart"/>
      <w:r w:rsidRPr="00AD037B">
        <w:rPr>
          <w:rFonts w:eastAsia="Times New Roman"/>
        </w:rPr>
        <w:t>Prikshat</w:t>
      </w:r>
      <w:proofErr w:type="spellEnd"/>
      <w:r w:rsidRPr="00AD037B">
        <w:rPr>
          <w:rFonts w:eastAsia="Times New Roman"/>
        </w:rPr>
        <w:t>, Malik and Budhwar, 2023). Third, the comparative approach challenges assumptions that stronger formal regulation necessarily produces better governance; effectiveness depends on the interaction between regulation, organisational capacity and local context. Methodologically, the theory</w:t>
      </w:r>
      <w:r w:rsidRPr="00AD037B">
        <w:rPr>
          <w:rFonts w:ascii="Cambria Math" w:eastAsia="Times New Roman" w:hAnsi="Cambria Math" w:cs="Cambria Math"/>
        </w:rPr>
        <w:t>‑</w:t>
      </w:r>
      <w:r w:rsidRPr="00AD037B">
        <w:rPr>
          <w:rFonts w:eastAsia="Times New Roman"/>
        </w:rPr>
        <w:t>driven systematic review and integrative synthesis provide a structured approach for examining fragmented evidence on emerging AI governance issues. In practice, MNCs should strengthen meaningful human oversight through AI literacy training, clear decision authority, documented overrides, escalation procedures and regular audits, supported by cross</w:t>
      </w:r>
      <w:r w:rsidRPr="00AD037B">
        <w:rPr>
          <w:rFonts w:ascii="Cambria Math" w:eastAsia="Times New Roman" w:hAnsi="Cambria Math" w:cs="Cambria Math"/>
        </w:rPr>
        <w:t>‑</w:t>
      </w:r>
      <w:r w:rsidRPr="00AD037B">
        <w:rPr>
          <w:rFonts w:eastAsia="Times New Roman"/>
        </w:rPr>
        <w:t xml:space="preserve">functional AI governance committees involving HR, legal, compliance and IT. For policymakers, regulation should be supported by effective enforcement, organisational guidance, auditing capacity and practical implementation support to promote fairness, transparency </w:t>
      </w:r>
      <w:r w:rsidRPr="00AD037B">
        <w:rPr>
          <w:rFonts w:eastAsia="Times New Roman"/>
        </w:rPr>
        <w:lastRenderedPageBreak/>
        <w:t>and accountability alongside efficiency (European Parliament and Council of the European Union, 2024).</w:t>
      </w:r>
    </w:p>
    <w:p w14:paraId="7A7350F7" w14:textId="77777777" w:rsidR="00BD14B9" w:rsidRPr="005213EE" w:rsidRDefault="00BD14B9" w:rsidP="008A4AED">
      <w:pPr>
        <w:pStyle w:val="Heading2"/>
        <w:jc w:val="both"/>
        <w:rPr>
          <w:rFonts w:eastAsia="Times New Roman"/>
          <w:b/>
          <w:bCs/>
        </w:rPr>
      </w:pPr>
      <w:bookmarkStart w:id="84" w:name="_Toc240997015"/>
      <w:r w:rsidRPr="005213EE">
        <w:rPr>
          <w:rFonts w:eastAsia="Times New Roman"/>
          <w:b/>
          <w:bCs/>
        </w:rPr>
        <w:t>5.9 Research Gap, Discussion Summary and Conclusion</w:t>
      </w:r>
      <w:bookmarkEnd w:id="84"/>
    </w:p>
    <w:p w14:paraId="7A6AC0AF" w14:textId="77777777" w:rsidR="00085F00" w:rsidRPr="00085F00" w:rsidRDefault="00085F00" w:rsidP="008A4AED">
      <w:pPr>
        <w:jc w:val="both"/>
        <w:rPr>
          <w:rFonts w:eastAsia="Times New Roman"/>
        </w:rPr>
      </w:pPr>
      <w:r w:rsidRPr="00085F00">
        <w:rPr>
          <w:rFonts w:eastAsia="Times New Roman"/>
        </w:rPr>
        <w:t>The study addresses three principal research gaps identified in Chapter 2. First, it responds to the fragmentation of technical, organisational and institutional research by integrating the three dimensions within one analytical framework (Baxter and Sommerville, 2011; Scott, 2014). Second, it addresses the limited MNC-specific and cross-regional evidence by comparing governance across Europe and East/Southeast Asia. Third, it addresses the limited integration of theory and evidence by combining Socio</w:t>
      </w:r>
      <w:r w:rsidRPr="00085F00">
        <w:rPr>
          <w:rFonts w:ascii="Cambria Math" w:eastAsia="Times New Roman" w:hAnsi="Cambria Math" w:cs="Cambria Math"/>
        </w:rPr>
        <w:t>‑</w:t>
      </w:r>
      <w:r w:rsidRPr="00085F00">
        <w:rPr>
          <w:rFonts w:eastAsia="Times New Roman"/>
        </w:rPr>
        <w:t>Technical Systems Theory, the Organisational Governance Perspective and Institutional Theory (Trist and Bamforth, 1951; DiMaggio and Powell, 1983; Scott, 2014).</w:t>
      </w:r>
    </w:p>
    <w:p w14:paraId="6C6EECD0" w14:textId="77777777" w:rsidR="005E4E66" w:rsidRPr="005E4E66" w:rsidRDefault="005E4E66" w:rsidP="008A4AED">
      <w:pPr>
        <w:jc w:val="both"/>
        <w:rPr>
          <w:rFonts w:eastAsia="Times New Roman"/>
        </w:rPr>
      </w:pPr>
      <w:r w:rsidRPr="005E4E66">
        <w:rPr>
          <w:rFonts w:eastAsia="Times New Roman"/>
        </w:rPr>
        <w:t>Overall, the discussion demonstrates that AI</w:t>
      </w:r>
      <w:r w:rsidR="00085F00" w:rsidRPr="00085F00">
        <w:rPr>
          <w:rFonts w:ascii="Cambria Math" w:eastAsia="Times New Roman" w:hAnsi="Cambria Math" w:cs="Cambria Math"/>
        </w:rPr>
        <w:t>‑</w:t>
      </w:r>
      <w:r w:rsidRPr="005E4E66">
        <w:rPr>
          <w:rFonts w:eastAsia="Times New Roman"/>
        </w:rPr>
        <w:t xml:space="preserve">mediated recruitment governance cannot be reduced to technical bias mitigation or regulatory compliance. Technical systems can reproduce bias and operate with significant opacity (Barocas and Selbst, 2016; </w:t>
      </w:r>
      <w:proofErr w:type="spellStart"/>
      <w:r w:rsidRPr="005E4E66">
        <w:rPr>
          <w:rFonts w:eastAsia="Times New Roman"/>
        </w:rPr>
        <w:t>Köchling</w:t>
      </w:r>
      <w:proofErr w:type="spellEnd"/>
      <w:r w:rsidRPr="005E4E66">
        <w:rPr>
          <w:rFonts w:eastAsia="Times New Roman"/>
        </w:rPr>
        <w:t xml:space="preserve"> and Wehner, 2020); organisational arrangements can create symbolic oversight and fragmented accountability (Raghavan et al., 2020); and institutional contexts influence how governance is understood and implemented (Scott, 2014). The central finding is therefore that effective governance requires integration across the technical, organisational and institutional dimensions (</w:t>
      </w:r>
      <w:proofErr w:type="spellStart"/>
      <w:r w:rsidRPr="005E4E66">
        <w:rPr>
          <w:rFonts w:eastAsia="Times New Roman"/>
        </w:rPr>
        <w:t>Mökander</w:t>
      </w:r>
      <w:proofErr w:type="spellEnd"/>
      <w:r w:rsidRPr="005E4E66">
        <w:rPr>
          <w:rFonts w:eastAsia="Times New Roman"/>
        </w:rPr>
        <w:t xml:space="preserve"> et al., 2021).</w:t>
      </w:r>
    </w:p>
    <w:p w14:paraId="7ABBC4DE" w14:textId="767FCF56" w:rsidR="00BD14B9" w:rsidRDefault="00BD14B9" w:rsidP="008A4AED">
      <w:pPr>
        <w:jc w:val="both"/>
        <w:rPr>
          <w:rFonts w:eastAsia="Times New Roman"/>
        </w:rPr>
      </w:pPr>
      <w:r w:rsidRPr="00B015C2">
        <w:rPr>
          <w:rFonts w:eastAsia="Times New Roman"/>
        </w:rPr>
        <w:t>For MNCs, the challenge is to maintain consistent principles of fairness, accountability and transparency while adapting implementation to different institutional environments</w:t>
      </w:r>
      <w:r w:rsidR="005E4E66" w:rsidRPr="005E4E66">
        <w:rPr>
          <w:rFonts w:eastAsia="Times New Roman"/>
        </w:rPr>
        <w:t xml:space="preserve"> (European </w:t>
      </w:r>
      <w:r w:rsidR="00085F00" w:rsidRPr="00085F00">
        <w:rPr>
          <w:rFonts w:eastAsia="Times New Roman"/>
        </w:rPr>
        <w:t xml:space="preserve">Parliament and Council of the European </w:t>
      </w:r>
      <w:r w:rsidR="005E4E66" w:rsidRPr="005E4E66">
        <w:rPr>
          <w:rFonts w:eastAsia="Times New Roman"/>
        </w:rPr>
        <w:t>Union, 2024; Scott, 2014).</w:t>
      </w:r>
      <w:r w:rsidRPr="00B015C2">
        <w:rPr>
          <w:rFonts w:eastAsia="Times New Roman"/>
        </w:rPr>
        <w:t xml:space="preserve"> The proposed integrated pathway—institutional context → organisational governance → technical system → outcomes—provides a useful basis for understanding these complex relationships.</w:t>
      </w:r>
    </w:p>
    <w:p w14:paraId="107C5FFA" w14:textId="77777777" w:rsidR="00BD14B9" w:rsidRDefault="00BD14B9" w:rsidP="008A4AED">
      <w:pPr>
        <w:jc w:val="both"/>
        <w:rPr>
          <w:rFonts w:eastAsia="Times New Roman"/>
        </w:rPr>
      </w:pPr>
    </w:p>
    <w:p w14:paraId="161FEE36" w14:textId="77777777" w:rsidR="00BD14B9" w:rsidRDefault="00BD14B9" w:rsidP="008A4AED">
      <w:pPr>
        <w:jc w:val="both"/>
        <w:rPr>
          <w:rFonts w:eastAsia="Times New Roman"/>
        </w:rPr>
      </w:pPr>
    </w:p>
    <w:p w14:paraId="2FB04EEC" w14:textId="77777777" w:rsidR="00BD6449" w:rsidRDefault="00BD6449" w:rsidP="008A4AED">
      <w:pPr>
        <w:pStyle w:val="Heading1"/>
        <w:jc w:val="both"/>
        <w:rPr>
          <w:rFonts w:eastAsia="Times New Roman"/>
          <w:b/>
          <w:bCs/>
          <w:sz w:val="18"/>
          <w:szCs w:val="18"/>
        </w:rPr>
      </w:pPr>
    </w:p>
    <w:p w14:paraId="39CDF88C" w14:textId="77777777" w:rsidR="00BD6449" w:rsidRDefault="00BD6449" w:rsidP="008A4AED">
      <w:pPr>
        <w:jc w:val="both"/>
      </w:pPr>
    </w:p>
    <w:p w14:paraId="7862CD8E" w14:textId="77777777" w:rsidR="00BD6449" w:rsidRDefault="00BD6449" w:rsidP="008A4AED">
      <w:pPr>
        <w:jc w:val="both"/>
      </w:pPr>
    </w:p>
    <w:p w14:paraId="6D2B63A5" w14:textId="77777777" w:rsidR="001F78DC" w:rsidRPr="00BD6449" w:rsidRDefault="001F78DC" w:rsidP="008A4AED">
      <w:pPr>
        <w:jc w:val="both"/>
      </w:pPr>
    </w:p>
    <w:p w14:paraId="4699F90D" w14:textId="7978F086" w:rsidR="00BD14B9" w:rsidRPr="00B5083D" w:rsidRDefault="00BD14B9" w:rsidP="008A4AED">
      <w:pPr>
        <w:pStyle w:val="Heading1"/>
        <w:jc w:val="both"/>
        <w:rPr>
          <w:rFonts w:eastAsia="Times New Roman"/>
          <w:b/>
          <w:bCs/>
        </w:rPr>
      </w:pPr>
      <w:bookmarkStart w:id="85" w:name="_Toc240997016"/>
      <w:r w:rsidRPr="00B5083D">
        <w:rPr>
          <w:rFonts w:eastAsia="Times New Roman"/>
          <w:b/>
          <w:bCs/>
        </w:rPr>
        <w:t>CHAPTER 6: CONCLUSION</w:t>
      </w:r>
      <w:bookmarkEnd w:id="85"/>
    </w:p>
    <w:p w14:paraId="1BF44589" w14:textId="77777777" w:rsidR="00BD14B9" w:rsidRPr="00B5083D" w:rsidRDefault="00BD14B9" w:rsidP="008A4AED">
      <w:pPr>
        <w:pStyle w:val="Heading2"/>
        <w:jc w:val="both"/>
        <w:rPr>
          <w:rFonts w:eastAsia="Times New Roman"/>
          <w:b/>
          <w:bCs/>
        </w:rPr>
      </w:pPr>
      <w:bookmarkStart w:id="86" w:name="_Toc240997017"/>
      <w:r w:rsidRPr="00B5083D">
        <w:rPr>
          <w:rFonts w:eastAsia="Times New Roman"/>
          <w:b/>
          <w:bCs/>
        </w:rPr>
        <w:t>6.1 Introduction</w:t>
      </w:r>
      <w:bookmarkEnd w:id="86"/>
    </w:p>
    <w:p w14:paraId="7D6D1050" w14:textId="77777777" w:rsidR="00470B45" w:rsidRPr="00470B45" w:rsidRDefault="00470B45" w:rsidP="008A4AED">
      <w:pPr>
        <w:jc w:val="both"/>
        <w:rPr>
          <w:rFonts w:eastAsia="Times New Roman"/>
        </w:rPr>
      </w:pPr>
      <w:r w:rsidRPr="00470B45">
        <w:rPr>
          <w:rFonts w:eastAsia="Times New Roman"/>
        </w:rPr>
        <w:t>This dissertation examined how AI</w:t>
      </w:r>
      <w:r w:rsidRPr="00470B45">
        <w:rPr>
          <w:rFonts w:ascii="Cambria Math" w:eastAsia="Times New Roman" w:hAnsi="Cambria Math" w:cs="Cambria Math"/>
        </w:rPr>
        <w:t>‑</w:t>
      </w:r>
      <w:r w:rsidRPr="00470B45">
        <w:rPr>
          <w:rFonts w:eastAsia="Times New Roman"/>
        </w:rPr>
        <w:t>mediated recruitment is governed within multinational companies (MNCs) operating across European and Asian contexts (</w:t>
      </w:r>
      <w:proofErr w:type="spellStart"/>
      <w:r w:rsidRPr="00470B45">
        <w:rPr>
          <w:rFonts w:eastAsia="Times New Roman"/>
        </w:rPr>
        <w:t>Prikshat</w:t>
      </w:r>
      <w:proofErr w:type="spellEnd"/>
      <w:r w:rsidRPr="00470B45">
        <w:rPr>
          <w:rFonts w:eastAsia="Times New Roman"/>
        </w:rPr>
        <w:t>, Malik and Budhwar, 2023). The aim was to conduct a comparative systematic review of organisational decision</w:t>
      </w:r>
      <w:r w:rsidRPr="00470B45">
        <w:rPr>
          <w:rFonts w:ascii="Cambria Math" w:eastAsia="Times New Roman" w:hAnsi="Cambria Math" w:cs="Cambria Math"/>
        </w:rPr>
        <w:t>‑</w:t>
      </w:r>
      <w:r w:rsidRPr="00470B45">
        <w:rPr>
          <w:rFonts w:eastAsia="Times New Roman"/>
        </w:rPr>
        <w:t>making to understand how technical, organisational and institutional factors interact to shape recruitment outcomes (Tsiskaridze, Reinhold and Jarvis, 2023).</w:t>
      </w:r>
    </w:p>
    <w:p w14:paraId="5C17CA57" w14:textId="77777777" w:rsidR="00470B45" w:rsidRPr="00470B45" w:rsidRDefault="00470B45" w:rsidP="008A4AED">
      <w:pPr>
        <w:jc w:val="both"/>
        <w:rPr>
          <w:rFonts w:eastAsia="Times New Roman"/>
        </w:rPr>
      </w:pPr>
      <w:r w:rsidRPr="00470B45">
        <w:rPr>
          <w:rFonts w:eastAsia="Times New Roman"/>
        </w:rPr>
        <w:t>The focus was AI</w:t>
      </w:r>
      <w:r w:rsidRPr="00470B45">
        <w:rPr>
          <w:rFonts w:ascii="Cambria Math" w:eastAsia="Times New Roman" w:hAnsi="Cambria Math" w:cs="Cambria Math"/>
        </w:rPr>
        <w:t>‑</w:t>
      </w:r>
      <w:r w:rsidRPr="00470B45">
        <w:rPr>
          <w:rFonts w:eastAsia="Times New Roman"/>
        </w:rPr>
        <w:t>mediated recruitment in MNCs, which face unique governance challenges due to cross</w:t>
      </w:r>
      <w:r w:rsidRPr="00470B45">
        <w:rPr>
          <w:rFonts w:ascii="Cambria Math" w:eastAsia="Times New Roman" w:hAnsi="Cambria Math" w:cs="Cambria Math"/>
        </w:rPr>
        <w:t>‑</w:t>
      </w:r>
      <w:r w:rsidRPr="00470B45">
        <w:rPr>
          <w:rFonts w:eastAsia="Times New Roman"/>
        </w:rPr>
        <w:t xml:space="preserve">border operations, diverse institutional environments and complex structures. The Europe–Asia </w:t>
      </w:r>
      <w:r w:rsidRPr="00470B45">
        <w:rPr>
          <w:rFonts w:eastAsia="Times New Roman"/>
        </w:rPr>
        <w:lastRenderedPageBreak/>
        <w:t>comparison was chosen to examine how differing regulatory regimes, cultural norms and labour</w:t>
      </w:r>
      <w:r w:rsidRPr="00470B45">
        <w:rPr>
          <w:rFonts w:ascii="Cambria Math" w:eastAsia="Times New Roman" w:hAnsi="Cambria Math" w:cs="Cambria Math"/>
        </w:rPr>
        <w:t>‑</w:t>
      </w:r>
      <w:r w:rsidRPr="00470B45">
        <w:rPr>
          <w:rFonts w:eastAsia="Times New Roman"/>
        </w:rPr>
        <w:t>market institutions influence governance practices.</w:t>
      </w:r>
    </w:p>
    <w:p w14:paraId="17BA606C" w14:textId="77777777" w:rsidR="00BD14B9" w:rsidRPr="00E91511" w:rsidRDefault="00BD14B9" w:rsidP="008A4AED">
      <w:pPr>
        <w:jc w:val="both"/>
        <w:rPr>
          <w:rFonts w:eastAsia="Times New Roman"/>
        </w:rPr>
      </w:pPr>
      <w:r w:rsidRPr="00E91511">
        <w:rPr>
          <w:rFonts w:eastAsia="Times New Roman"/>
        </w:rPr>
        <w:t>The study employed a theory</w:t>
      </w:r>
      <w:r w:rsidRPr="00E91511">
        <w:rPr>
          <w:rFonts w:ascii="Cambria Math" w:eastAsia="Times New Roman" w:hAnsi="Cambria Math" w:cs="Cambria Math"/>
        </w:rPr>
        <w:t>‑</w:t>
      </w:r>
      <w:r w:rsidRPr="00E91511">
        <w:rPr>
          <w:rFonts w:eastAsia="Times New Roman"/>
        </w:rPr>
        <w:t>driven systematic literature review (SLR) with integrative synthesis, structured around a three</w:t>
      </w:r>
      <w:r w:rsidRPr="00E91511">
        <w:rPr>
          <w:rFonts w:ascii="Cambria Math" w:eastAsia="Times New Roman" w:hAnsi="Cambria Math" w:cs="Cambria Math"/>
        </w:rPr>
        <w:t>‑</w:t>
      </w:r>
      <w:r w:rsidRPr="00E91511">
        <w:rPr>
          <w:rFonts w:eastAsia="Times New Roman"/>
        </w:rPr>
        <w:t>dimensional conceptual framework (technical, organisational, institutional) (</w:t>
      </w:r>
      <w:proofErr w:type="spellStart"/>
      <w:r w:rsidRPr="00E91511">
        <w:rPr>
          <w:rFonts w:eastAsia="Times New Roman"/>
        </w:rPr>
        <w:t>Tranfield</w:t>
      </w:r>
      <w:proofErr w:type="spellEnd"/>
      <w:r w:rsidRPr="00E91511">
        <w:rPr>
          <w:rFonts w:eastAsia="Times New Roman"/>
        </w:rPr>
        <w:t>, Denyer and Smart, 2003). This enabled integration of fragmented evidence across disciplines and identification of patterns not apparent from single</w:t>
      </w:r>
      <w:r w:rsidRPr="00E91511">
        <w:rPr>
          <w:rFonts w:ascii="Cambria Math" w:eastAsia="Times New Roman" w:hAnsi="Cambria Math" w:cs="Cambria Math"/>
        </w:rPr>
        <w:t>‑</w:t>
      </w:r>
      <w:r w:rsidRPr="00E91511">
        <w:rPr>
          <w:rFonts w:eastAsia="Times New Roman"/>
        </w:rPr>
        <w:t xml:space="preserve">dimension analyses (Rigotti and </w:t>
      </w:r>
      <w:proofErr w:type="spellStart"/>
      <w:r w:rsidRPr="00E91511">
        <w:rPr>
          <w:rFonts w:eastAsia="Times New Roman"/>
        </w:rPr>
        <w:t>Fosch</w:t>
      </w:r>
      <w:proofErr w:type="spellEnd"/>
      <w:r w:rsidRPr="00E91511">
        <w:rPr>
          <w:rFonts w:ascii="Cambria Math" w:eastAsia="Times New Roman" w:hAnsi="Cambria Math" w:cs="Cambria Math"/>
        </w:rPr>
        <w:t>‑</w:t>
      </w:r>
      <w:r w:rsidRPr="00E91511">
        <w:rPr>
          <w:rFonts w:eastAsia="Times New Roman"/>
        </w:rPr>
        <w:t>Villaronga, 2024).</w:t>
      </w:r>
    </w:p>
    <w:p w14:paraId="3EC02CCB" w14:textId="6411C987" w:rsidR="00772A99" w:rsidRPr="00664A02" w:rsidRDefault="00BD14B9" w:rsidP="008A4AED">
      <w:pPr>
        <w:jc w:val="both"/>
        <w:rPr>
          <w:rFonts w:eastAsia="Times New Roman"/>
        </w:rPr>
      </w:pPr>
      <w:r w:rsidRPr="00E91511">
        <w:rPr>
          <w:rFonts w:eastAsia="Times New Roman"/>
        </w:rPr>
        <w:t>This concluding chapter summarises key findings, shows how the research objectives were addressed, outlines contributions to literature and practice, acknowledges limitations, and offers recommendations for future research.</w:t>
      </w:r>
    </w:p>
    <w:p w14:paraId="3BAE415C" w14:textId="77777777" w:rsidR="00BD14B9" w:rsidRPr="000B4B48" w:rsidRDefault="00BD14B9" w:rsidP="008A4AED">
      <w:pPr>
        <w:pStyle w:val="Heading2"/>
        <w:jc w:val="both"/>
        <w:rPr>
          <w:rFonts w:eastAsia="Times New Roman"/>
          <w:b/>
          <w:bCs/>
        </w:rPr>
      </w:pPr>
      <w:bookmarkStart w:id="87" w:name="_Toc240997018"/>
      <w:r w:rsidRPr="000B4B48">
        <w:rPr>
          <w:rFonts w:eastAsia="Times New Roman"/>
          <w:b/>
          <w:bCs/>
        </w:rPr>
        <w:t>6.2 Summary of Key Findings</w:t>
      </w:r>
      <w:bookmarkEnd w:id="87"/>
    </w:p>
    <w:p w14:paraId="4E5C21A5" w14:textId="77777777" w:rsidR="00BD14B9" w:rsidRPr="00460882" w:rsidRDefault="00BD14B9" w:rsidP="008A4AED">
      <w:pPr>
        <w:jc w:val="both"/>
        <w:rPr>
          <w:rFonts w:eastAsia="Times New Roman"/>
        </w:rPr>
      </w:pPr>
      <w:r w:rsidRPr="00460882">
        <w:rPr>
          <w:rFonts w:eastAsia="Times New Roman"/>
        </w:rPr>
        <w:t>The systematic review identified important findings across the three dimensions of the conceptual framework (</w:t>
      </w:r>
      <w:proofErr w:type="spellStart"/>
      <w:r w:rsidRPr="00460882">
        <w:rPr>
          <w:rFonts w:eastAsia="Times New Roman"/>
        </w:rPr>
        <w:t>Prikshat</w:t>
      </w:r>
      <w:proofErr w:type="spellEnd"/>
      <w:r w:rsidR="00C034DF" w:rsidRPr="00C034DF">
        <w:rPr>
          <w:rFonts w:eastAsia="Times New Roman"/>
        </w:rPr>
        <w:t>, Malik and Budhwar,</w:t>
      </w:r>
      <w:r w:rsidRPr="00460882">
        <w:rPr>
          <w:rFonts w:eastAsia="Times New Roman"/>
        </w:rPr>
        <w:t xml:space="preserve"> 2023).</w:t>
      </w:r>
    </w:p>
    <w:p w14:paraId="3F838E15" w14:textId="77777777" w:rsidR="00BD14B9" w:rsidRPr="00460882" w:rsidRDefault="00BD14B9" w:rsidP="008A4AED">
      <w:pPr>
        <w:jc w:val="both"/>
        <w:rPr>
          <w:rFonts w:eastAsia="Times New Roman"/>
        </w:rPr>
      </w:pPr>
      <w:r w:rsidRPr="00460882">
        <w:rPr>
          <w:rFonts w:eastAsia="Times New Roman"/>
        </w:rPr>
        <w:t>Technical dimension: AI recruitment systems exhibit multiple bias mechanisms (historical, representation, proxy, measurement, aggregation), with limited real</w:t>
      </w:r>
      <w:r w:rsidRPr="00460882">
        <w:rPr>
          <w:rFonts w:ascii="Cambria Math" w:eastAsia="Times New Roman" w:hAnsi="Cambria Math" w:cs="Cambria Math"/>
        </w:rPr>
        <w:t>‑</w:t>
      </w:r>
      <w:r w:rsidRPr="00460882">
        <w:rPr>
          <w:rFonts w:eastAsia="Times New Roman"/>
        </w:rPr>
        <w:t xml:space="preserve">world validation of mitigation techniques (Barocas and Selbst, 2016). Data quality concerns are prevalent, particularly regarding historical hiring data that may embed past discrimination (Tambe, Cappelli and Yakubovich, 2019). Transparency is constrained by proprietary opacity, model complexity and dynamic updating, limiting governance effectiveness despite growing use of explainability tools such as LIME and SHAP (Rigotti and </w:t>
      </w:r>
      <w:proofErr w:type="spellStart"/>
      <w:r w:rsidRPr="00460882">
        <w:rPr>
          <w:rFonts w:eastAsia="Times New Roman"/>
        </w:rPr>
        <w:t>Fosch</w:t>
      </w:r>
      <w:proofErr w:type="spellEnd"/>
      <w:r w:rsidRPr="00460882">
        <w:rPr>
          <w:rFonts w:ascii="Cambria Math" w:eastAsia="Times New Roman" w:hAnsi="Cambria Math" w:cs="Cambria Math"/>
        </w:rPr>
        <w:t>‑</w:t>
      </w:r>
      <w:r w:rsidRPr="00460882">
        <w:rPr>
          <w:rFonts w:eastAsia="Times New Roman"/>
        </w:rPr>
        <w:t>Villaronga, 2024).</w:t>
      </w:r>
    </w:p>
    <w:p w14:paraId="34EE9EFC" w14:textId="77777777" w:rsidR="00BD14B9" w:rsidRPr="00460882" w:rsidRDefault="00BD14B9" w:rsidP="008A4AED">
      <w:pPr>
        <w:jc w:val="both"/>
        <w:rPr>
          <w:rFonts w:eastAsia="Times New Roman"/>
        </w:rPr>
      </w:pPr>
      <w:r w:rsidRPr="00460882">
        <w:rPr>
          <w:rFonts w:eastAsia="Times New Roman"/>
        </w:rPr>
        <w:t>Organisational dimension: Human oversight is often symbolic rather than substantive, with accountability diffused across HR, vendors, legal/compliance and subsidiaries (</w:t>
      </w:r>
      <w:r w:rsidR="00C034DF" w:rsidRPr="00C034DF">
        <w:rPr>
          <w:rFonts w:eastAsia="Times New Roman"/>
        </w:rPr>
        <w:t xml:space="preserve">Batool, </w:t>
      </w:r>
      <w:proofErr w:type="spellStart"/>
      <w:r w:rsidR="00C034DF" w:rsidRPr="00C034DF">
        <w:rPr>
          <w:rFonts w:eastAsia="Times New Roman"/>
        </w:rPr>
        <w:t>Zowghi</w:t>
      </w:r>
      <w:proofErr w:type="spellEnd"/>
      <w:r w:rsidR="00C034DF" w:rsidRPr="00C034DF">
        <w:rPr>
          <w:rFonts w:eastAsia="Times New Roman"/>
        </w:rPr>
        <w:t xml:space="preserve"> and Bano, 2023).</w:t>
      </w:r>
      <w:r w:rsidRPr="00460882">
        <w:rPr>
          <w:rFonts w:eastAsia="Times New Roman"/>
        </w:rPr>
        <w:t xml:space="preserve"> Decision authority subtly shifts towards algorithms despite formal human control, creating governance gaps (Raghavan et al., 2020). The distinction between formal (human) and substantive (algorithmic) authority reveals a critical governance challenge (Selbst et al., 2019).</w:t>
      </w:r>
    </w:p>
    <w:p w14:paraId="4155FDD7" w14:textId="77777777" w:rsidR="00C034DF" w:rsidRPr="00C034DF" w:rsidRDefault="00C034DF" w:rsidP="008A4AED">
      <w:pPr>
        <w:jc w:val="both"/>
        <w:rPr>
          <w:rFonts w:eastAsia="Times New Roman"/>
        </w:rPr>
      </w:pPr>
      <w:r w:rsidRPr="00C034DF">
        <w:rPr>
          <w:rFonts w:eastAsia="Times New Roman"/>
        </w:rPr>
        <w:t>Institutional dimension: European approaches are prescriptive and compliance</w:t>
      </w:r>
      <w:r w:rsidRPr="00C034DF">
        <w:rPr>
          <w:rFonts w:ascii="Cambria Math" w:eastAsia="Times New Roman" w:hAnsi="Cambria Math" w:cs="Cambria Math"/>
        </w:rPr>
        <w:t>‑</w:t>
      </w:r>
      <w:r w:rsidRPr="00C034DF">
        <w:rPr>
          <w:rFonts w:eastAsia="Times New Roman"/>
        </w:rPr>
        <w:t>centric (GDPR, EU AI Act), whereas East Asian approaches rely more on soft law and market mechanisms (European Parliament and Council of the European Union, 2024). Cultural expectations shape governance, with Europe emphasising rights</w:t>
      </w:r>
      <w:r w:rsidRPr="00C034DF">
        <w:rPr>
          <w:rFonts w:ascii="Cambria Math" w:eastAsia="Times New Roman" w:hAnsi="Cambria Math" w:cs="Cambria Math"/>
        </w:rPr>
        <w:t>‑</w:t>
      </w:r>
      <w:r w:rsidRPr="00C034DF">
        <w:rPr>
          <w:rFonts w:eastAsia="Times New Roman"/>
        </w:rPr>
        <w:t>based, procedural fairness and East Asia prioritising outcome</w:t>
      </w:r>
      <w:r w:rsidRPr="00C034DF">
        <w:rPr>
          <w:rFonts w:ascii="Cambria Math" w:eastAsia="Times New Roman" w:hAnsi="Cambria Math" w:cs="Cambria Math"/>
        </w:rPr>
        <w:t>‑</w:t>
      </w:r>
      <w:r w:rsidRPr="00C034DF">
        <w:rPr>
          <w:rFonts w:eastAsia="Times New Roman"/>
        </w:rPr>
        <w:t>based, meritocratic fairness. Labour</w:t>
      </w:r>
      <w:r w:rsidRPr="00C034DF">
        <w:rPr>
          <w:rFonts w:ascii="Cambria Math" w:eastAsia="Times New Roman" w:hAnsi="Cambria Math" w:cs="Cambria Math"/>
        </w:rPr>
        <w:t>‑</w:t>
      </w:r>
      <w:r w:rsidRPr="00C034DF">
        <w:rPr>
          <w:rFonts w:eastAsia="Times New Roman"/>
        </w:rPr>
        <w:t>market institutions also differ, with stronger union presence in Europe versus more management</w:t>
      </w:r>
      <w:r w:rsidRPr="00C034DF">
        <w:rPr>
          <w:rFonts w:ascii="Cambria Math" w:eastAsia="Times New Roman" w:hAnsi="Cambria Math" w:cs="Cambria Math"/>
        </w:rPr>
        <w:t>‑</w:t>
      </w:r>
      <w:r w:rsidRPr="00C034DF">
        <w:rPr>
          <w:rFonts w:eastAsia="Times New Roman"/>
        </w:rPr>
        <w:t>driven approaches in Asia.</w:t>
      </w:r>
    </w:p>
    <w:p w14:paraId="1AF80836" w14:textId="77777777" w:rsidR="00BD14B9" w:rsidRPr="00460882" w:rsidRDefault="00BD14B9" w:rsidP="008A4AED">
      <w:pPr>
        <w:jc w:val="both"/>
        <w:rPr>
          <w:rFonts w:eastAsia="Times New Roman"/>
        </w:rPr>
      </w:pPr>
      <w:r w:rsidRPr="00460882">
        <w:rPr>
          <w:rFonts w:eastAsia="Times New Roman"/>
        </w:rPr>
        <w:t>Role of AI in recruitment decision</w:t>
      </w:r>
      <w:r w:rsidRPr="00460882">
        <w:rPr>
          <w:rFonts w:ascii="Cambria Math" w:eastAsia="Times New Roman" w:hAnsi="Cambria Math" w:cs="Cambria Math"/>
        </w:rPr>
        <w:t>‑</w:t>
      </w:r>
      <w:r w:rsidRPr="00460882">
        <w:rPr>
          <w:rFonts w:eastAsia="Times New Roman"/>
        </w:rPr>
        <w:t>making: AI is increasingly used across screening, matching, scoring, video analysis and chatbots, but its decision</w:t>
      </w:r>
      <w:r w:rsidRPr="00460882">
        <w:rPr>
          <w:rFonts w:ascii="Cambria Math" w:eastAsia="Times New Roman" w:hAnsi="Cambria Math" w:cs="Cambria Math"/>
        </w:rPr>
        <w:t>‑</w:t>
      </w:r>
      <w:r w:rsidRPr="00460882">
        <w:rPr>
          <w:rFonts w:eastAsia="Times New Roman"/>
        </w:rPr>
        <w:t xml:space="preserve">making role is often ambiguous (Tsiskaridze, Reinhold and </w:t>
      </w:r>
      <w:r w:rsidR="00C034DF" w:rsidRPr="00C034DF">
        <w:rPr>
          <w:rFonts w:eastAsia="Times New Roman"/>
        </w:rPr>
        <w:t>Jarvis, 2023).</w:t>
      </w:r>
      <w:r w:rsidRPr="00460882">
        <w:rPr>
          <w:rFonts w:eastAsia="Times New Roman"/>
        </w:rPr>
        <w:t xml:space="preserve"> Although organisations formally retain human authority, algorithmic recommendations substantially influence which candidates are considered, rejected or prioritised, creating de facto algorithmic gatekeeping (Raghavan et al., 2020).</w:t>
      </w:r>
    </w:p>
    <w:p w14:paraId="0B586FD3" w14:textId="385FB0B2" w:rsidR="00470B45" w:rsidRPr="00664A02" w:rsidRDefault="00BD14B9" w:rsidP="008A4AED">
      <w:pPr>
        <w:jc w:val="both"/>
        <w:rPr>
          <w:rFonts w:eastAsia="Times New Roman"/>
        </w:rPr>
      </w:pPr>
      <w:r w:rsidRPr="00460882">
        <w:rPr>
          <w:rFonts w:eastAsia="Times New Roman"/>
        </w:rPr>
        <w:t>Europe–Asia similarities and differences: Similarities include concerns about bias, the importance of human oversight, transparency challenges, vendor governance difficulties and data governance needs (</w:t>
      </w:r>
      <w:proofErr w:type="spellStart"/>
      <w:r w:rsidRPr="00460882">
        <w:rPr>
          <w:rFonts w:eastAsia="Times New Roman"/>
        </w:rPr>
        <w:t>Prikshat</w:t>
      </w:r>
      <w:proofErr w:type="spellEnd"/>
      <w:r w:rsidR="00C034DF" w:rsidRPr="00C034DF">
        <w:rPr>
          <w:rFonts w:eastAsia="Times New Roman"/>
        </w:rPr>
        <w:t>, Malik and Budhwar, 2023).</w:t>
      </w:r>
      <w:r w:rsidRPr="00460882">
        <w:rPr>
          <w:rFonts w:eastAsia="Times New Roman"/>
        </w:rPr>
        <w:t xml:space="preserve"> Differences relate to regulatory enforcement (prescriptive/binding in Europe vs voluntary/market</w:t>
      </w:r>
      <w:r w:rsidRPr="00460882">
        <w:rPr>
          <w:rFonts w:ascii="Cambria Math" w:eastAsia="Times New Roman" w:hAnsi="Cambria Math" w:cs="Cambria Math"/>
        </w:rPr>
        <w:t>‑</w:t>
      </w:r>
      <w:r w:rsidRPr="00460882">
        <w:rPr>
          <w:rFonts w:eastAsia="Times New Roman"/>
        </w:rPr>
        <w:t>led in Asia), adoption motivations (compliance</w:t>
      </w:r>
      <w:r w:rsidRPr="00460882">
        <w:rPr>
          <w:rFonts w:ascii="Cambria Math" w:eastAsia="Times New Roman" w:hAnsi="Cambria Math" w:cs="Cambria Math"/>
        </w:rPr>
        <w:t>‑</w:t>
      </w:r>
      <w:r w:rsidRPr="00460882">
        <w:rPr>
          <w:rFonts w:eastAsia="Times New Roman"/>
        </w:rPr>
        <w:t xml:space="preserve">driven vs </w:t>
      </w:r>
      <w:r w:rsidRPr="00460882">
        <w:rPr>
          <w:rFonts w:eastAsia="Times New Roman"/>
        </w:rPr>
        <w:lastRenderedPageBreak/>
        <w:t>efficiency</w:t>
      </w:r>
      <w:r w:rsidRPr="00460882">
        <w:rPr>
          <w:rFonts w:ascii="Cambria Math" w:eastAsia="Times New Roman" w:hAnsi="Cambria Math" w:cs="Cambria Math"/>
        </w:rPr>
        <w:t>‑</w:t>
      </w:r>
      <w:r w:rsidRPr="00460882">
        <w:rPr>
          <w:rFonts w:eastAsia="Times New Roman"/>
        </w:rPr>
        <w:t>driven), governance institutionalisation (formalised vs emerging), and candidate rights (extensive in Europe vs limited in Asia) (</w:t>
      </w:r>
      <w:r w:rsidR="00C034DF" w:rsidRPr="00C034DF">
        <w:rPr>
          <w:rFonts w:eastAsia="Times New Roman"/>
        </w:rPr>
        <w:t>European Parliament and Council of the European Union, 2024).</w:t>
      </w:r>
    </w:p>
    <w:p w14:paraId="16C0ECB8" w14:textId="77777777" w:rsidR="00BD14B9" w:rsidRPr="000B4B48" w:rsidRDefault="00BD14B9" w:rsidP="008A4AED">
      <w:pPr>
        <w:pStyle w:val="Heading2"/>
        <w:jc w:val="both"/>
        <w:rPr>
          <w:rFonts w:eastAsia="Times New Roman"/>
          <w:b/>
          <w:bCs/>
        </w:rPr>
      </w:pPr>
      <w:bookmarkStart w:id="88" w:name="_Toc240997019"/>
      <w:r w:rsidRPr="000B4B48">
        <w:rPr>
          <w:rFonts w:eastAsia="Times New Roman"/>
          <w:b/>
          <w:bCs/>
        </w:rPr>
        <w:t>6.3 Answering the Research Objectives</w:t>
      </w:r>
      <w:bookmarkEnd w:id="88"/>
    </w:p>
    <w:p w14:paraId="61F1AB9E" w14:textId="2DB77CA9" w:rsidR="00D05873" w:rsidRDefault="009552C6" w:rsidP="008A4AED">
      <w:pPr>
        <w:jc w:val="both"/>
        <w:rPr>
          <w:rFonts w:eastAsia="Times New Roman"/>
        </w:rPr>
      </w:pPr>
      <w:r w:rsidRPr="009552C6">
        <w:rPr>
          <w:rFonts w:eastAsia="Times New Roman"/>
        </w:rPr>
        <w:t>The dissertation was guided by four research objectives. The table below summarises how each objective was addressed (Tsiskaridze, Reinhold and Jarvis, 2023).</w:t>
      </w:r>
    </w:p>
    <w:p w14:paraId="05D1B406" w14:textId="00702EF2" w:rsidR="00C311AB" w:rsidRPr="008E109B" w:rsidRDefault="008E109B" w:rsidP="008E109B">
      <w:pPr>
        <w:pStyle w:val="Caption"/>
        <w:jc w:val="both"/>
        <w:rPr>
          <w:rFonts w:eastAsia="Times New Roman"/>
          <w:b/>
          <w:color w:val="153D63" w:themeColor="text2" w:themeTint="E6"/>
          <w:sz w:val="32"/>
          <w:szCs w:val="32"/>
        </w:rPr>
      </w:pPr>
      <w:bookmarkStart w:id="89" w:name="_Toc240978623"/>
      <w:r w:rsidRPr="008E109B">
        <w:rPr>
          <w:b/>
          <w:color w:val="153D63" w:themeColor="text2" w:themeTint="E6"/>
          <w:sz w:val="32"/>
          <w:szCs w:val="32"/>
        </w:rPr>
        <w:t xml:space="preserve">Table </w:t>
      </w:r>
      <w:r w:rsidRPr="008E109B">
        <w:rPr>
          <w:b/>
          <w:color w:val="153D63" w:themeColor="text2" w:themeTint="E6"/>
          <w:sz w:val="32"/>
          <w:szCs w:val="32"/>
        </w:rPr>
        <w:fldChar w:fldCharType="begin"/>
      </w:r>
      <w:r w:rsidRPr="008E109B">
        <w:rPr>
          <w:b/>
          <w:color w:val="153D63" w:themeColor="text2" w:themeTint="E6"/>
          <w:sz w:val="32"/>
          <w:szCs w:val="32"/>
        </w:rPr>
        <w:instrText xml:space="preserve"> SEQ Table \* ARABIC </w:instrText>
      </w:r>
      <w:r w:rsidRPr="008E109B">
        <w:rPr>
          <w:b/>
          <w:color w:val="153D63" w:themeColor="text2" w:themeTint="E6"/>
          <w:sz w:val="32"/>
          <w:szCs w:val="32"/>
        </w:rPr>
        <w:fldChar w:fldCharType="separate"/>
      </w:r>
      <w:r w:rsidRPr="008E109B">
        <w:rPr>
          <w:b/>
          <w:color w:val="153D63" w:themeColor="text2" w:themeTint="E6"/>
          <w:sz w:val="32"/>
          <w:szCs w:val="32"/>
        </w:rPr>
        <w:t>4</w:t>
      </w:r>
      <w:r w:rsidRPr="008E109B">
        <w:rPr>
          <w:b/>
          <w:color w:val="153D63" w:themeColor="text2" w:themeTint="E6"/>
          <w:sz w:val="32"/>
          <w:szCs w:val="32"/>
        </w:rPr>
        <w:fldChar w:fldCharType="end"/>
      </w:r>
      <w:r w:rsidRPr="008E109B">
        <w:rPr>
          <w:b/>
          <w:color w:val="153D63" w:themeColor="text2" w:themeTint="E6"/>
          <w:sz w:val="32"/>
          <w:szCs w:val="32"/>
        </w:rPr>
        <w:t xml:space="preserve"> - Alignment of Research Objectives with Key Findings on AI Recruitment Governance</w:t>
      </w:r>
      <w:bookmarkEnd w:id="89"/>
    </w:p>
    <w:tbl>
      <w:tblPr>
        <w:tblStyle w:val="GridTable5Dark-Accent1"/>
        <w:tblW w:w="10768" w:type="dxa"/>
        <w:tblLook w:val="04A0" w:firstRow="1" w:lastRow="0" w:firstColumn="1" w:lastColumn="0" w:noHBand="0" w:noVBand="1"/>
      </w:tblPr>
      <w:tblGrid>
        <w:gridCol w:w="1941"/>
        <w:gridCol w:w="8827"/>
      </w:tblGrid>
      <w:tr w:rsidR="00BD14B9" w14:paraId="0ACBA89B" w14:textId="77777777" w:rsidTr="00CD79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1" w:type="dxa"/>
          </w:tcPr>
          <w:p w14:paraId="560FB037" w14:textId="77777777" w:rsidR="00BD14B9" w:rsidRPr="000B4B48" w:rsidRDefault="00BD14B9" w:rsidP="008A4AED">
            <w:pPr>
              <w:jc w:val="both"/>
              <w:rPr>
                <w:b w:val="0"/>
                <w:bCs w:val="0"/>
                <w:sz w:val="28"/>
                <w:szCs w:val="28"/>
              </w:rPr>
            </w:pPr>
            <w:r w:rsidRPr="000B4B48">
              <w:rPr>
                <w:b w:val="0"/>
                <w:bCs w:val="0"/>
                <w:sz w:val="28"/>
                <w:szCs w:val="28"/>
              </w:rPr>
              <w:t>Research Objective</w:t>
            </w:r>
          </w:p>
        </w:tc>
        <w:tc>
          <w:tcPr>
            <w:tcW w:w="8827" w:type="dxa"/>
          </w:tcPr>
          <w:p w14:paraId="32E809C5" w14:textId="77777777" w:rsidR="00BD14B9" w:rsidRPr="000B4B48" w:rsidRDefault="00BD14B9" w:rsidP="008A4AED">
            <w:pPr>
              <w:jc w:val="both"/>
              <w:cnfStyle w:val="100000000000" w:firstRow="1" w:lastRow="0" w:firstColumn="0" w:lastColumn="0" w:oddVBand="0" w:evenVBand="0" w:oddHBand="0" w:evenHBand="0" w:firstRowFirstColumn="0" w:firstRowLastColumn="0" w:lastRowFirstColumn="0" w:lastRowLastColumn="0"/>
              <w:rPr>
                <w:b w:val="0"/>
                <w:bCs w:val="0"/>
                <w:sz w:val="28"/>
                <w:szCs w:val="28"/>
              </w:rPr>
            </w:pPr>
            <w:r w:rsidRPr="000B4B48">
              <w:rPr>
                <w:b w:val="0"/>
                <w:bCs w:val="0"/>
                <w:sz w:val="28"/>
                <w:szCs w:val="28"/>
              </w:rPr>
              <w:t>How the Objective Was Addressed</w:t>
            </w:r>
          </w:p>
        </w:tc>
      </w:tr>
      <w:tr w:rsidR="00BD14B9" w14:paraId="3F023CFD" w14:textId="77777777" w:rsidTr="00CD79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1" w:type="dxa"/>
          </w:tcPr>
          <w:p w14:paraId="2628A563" w14:textId="77777777" w:rsidR="00E44918" w:rsidRDefault="00BD14B9" w:rsidP="008A4AED">
            <w:pPr>
              <w:jc w:val="both"/>
              <w:rPr>
                <w:sz w:val="28"/>
                <w:szCs w:val="28"/>
              </w:rPr>
            </w:pPr>
            <w:r w:rsidRPr="000B4B48">
              <w:rPr>
                <w:b w:val="0"/>
                <w:bCs w:val="0"/>
                <w:sz w:val="28"/>
                <w:szCs w:val="28"/>
              </w:rPr>
              <w:t xml:space="preserve">Examine </w:t>
            </w:r>
          </w:p>
          <w:p w14:paraId="1DF8E319" w14:textId="77777777" w:rsidR="00E44918" w:rsidRDefault="00BD14B9" w:rsidP="008A4AED">
            <w:pPr>
              <w:jc w:val="both"/>
              <w:rPr>
                <w:sz w:val="28"/>
                <w:szCs w:val="28"/>
              </w:rPr>
            </w:pPr>
            <w:r w:rsidRPr="000B4B48">
              <w:rPr>
                <w:b w:val="0"/>
                <w:bCs w:val="0"/>
                <w:sz w:val="28"/>
                <w:szCs w:val="28"/>
              </w:rPr>
              <w:t xml:space="preserve">AI use </w:t>
            </w:r>
          </w:p>
          <w:p w14:paraId="0678FF95" w14:textId="77777777" w:rsidR="00E44918" w:rsidRDefault="00BD14B9" w:rsidP="008A4AED">
            <w:pPr>
              <w:jc w:val="both"/>
              <w:rPr>
                <w:sz w:val="28"/>
                <w:szCs w:val="28"/>
              </w:rPr>
            </w:pPr>
            <w:r w:rsidRPr="000B4B48">
              <w:rPr>
                <w:b w:val="0"/>
                <w:bCs w:val="0"/>
                <w:sz w:val="28"/>
                <w:szCs w:val="28"/>
              </w:rPr>
              <w:t xml:space="preserve">in </w:t>
            </w:r>
          </w:p>
          <w:p w14:paraId="420FF436" w14:textId="702CEC7A" w:rsidR="00BD14B9" w:rsidRPr="000B4B48" w:rsidRDefault="00BD14B9" w:rsidP="008A4AED">
            <w:pPr>
              <w:jc w:val="both"/>
              <w:rPr>
                <w:b w:val="0"/>
                <w:bCs w:val="0"/>
                <w:sz w:val="28"/>
                <w:szCs w:val="28"/>
              </w:rPr>
            </w:pPr>
            <w:r w:rsidRPr="000B4B48">
              <w:rPr>
                <w:b w:val="0"/>
                <w:bCs w:val="0"/>
                <w:sz w:val="28"/>
                <w:szCs w:val="28"/>
              </w:rPr>
              <w:t>recruitment</w:t>
            </w:r>
          </w:p>
        </w:tc>
        <w:tc>
          <w:tcPr>
            <w:tcW w:w="8827" w:type="dxa"/>
          </w:tcPr>
          <w:p w14:paraId="79189467" w14:textId="77777777" w:rsidR="00BD14B9" w:rsidRDefault="00BD14B9" w:rsidP="008A4AED">
            <w:pPr>
              <w:jc w:val="both"/>
              <w:cnfStyle w:val="000000100000" w:firstRow="0" w:lastRow="0" w:firstColumn="0" w:lastColumn="0" w:oddVBand="0" w:evenVBand="0" w:oddHBand="1" w:evenHBand="0" w:firstRowFirstColumn="0" w:firstRowLastColumn="0" w:lastRowFirstColumn="0" w:lastRowLastColumn="0"/>
            </w:pPr>
            <w:r w:rsidRPr="00123197">
              <w:t xml:space="preserve">The review identified the AI technologies being used (machine learning classifiers, NLP, transformer models, computer vision, hybrid systems) and how they influence recruitment decisions through screening, matching, scoring and recommendation processes (Rigotti and </w:t>
            </w:r>
            <w:proofErr w:type="spellStart"/>
            <w:r w:rsidRPr="00123197">
              <w:t>Fosch</w:t>
            </w:r>
            <w:proofErr w:type="spellEnd"/>
            <w:r w:rsidRPr="00123197">
              <w:rPr>
                <w:rFonts w:ascii="Cambria Math" w:hAnsi="Cambria Math" w:cs="Cambria Math"/>
              </w:rPr>
              <w:t>‑</w:t>
            </w:r>
            <w:r w:rsidRPr="00123197">
              <w:t>Villaronga, 2024). The findings demonstrate that algorithmic systems substantially shape candidate pools and shortlists, even when formal decision authority remains with humans (Raghavan et al., 2020).</w:t>
            </w:r>
          </w:p>
        </w:tc>
      </w:tr>
      <w:tr w:rsidR="00BD14B9" w14:paraId="65DC9F0D" w14:textId="77777777" w:rsidTr="00CD7996">
        <w:tc>
          <w:tcPr>
            <w:cnfStyle w:val="001000000000" w:firstRow="0" w:lastRow="0" w:firstColumn="1" w:lastColumn="0" w:oddVBand="0" w:evenVBand="0" w:oddHBand="0" w:evenHBand="0" w:firstRowFirstColumn="0" w:firstRowLastColumn="0" w:lastRowFirstColumn="0" w:lastRowLastColumn="0"/>
            <w:tcW w:w="1941" w:type="dxa"/>
          </w:tcPr>
          <w:p w14:paraId="4B174664" w14:textId="77777777" w:rsidR="001B56F9" w:rsidRDefault="00BD14B9" w:rsidP="008A4AED">
            <w:pPr>
              <w:jc w:val="both"/>
              <w:rPr>
                <w:sz w:val="28"/>
                <w:szCs w:val="28"/>
              </w:rPr>
            </w:pPr>
            <w:r w:rsidRPr="000B4B48">
              <w:rPr>
                <w:b w:val="0"/>
                <w:bCs w:val="0"/>
                <w:sz w:val="28"/>
                <w:szCs w:val="28"/>
              </w:rPr>
              <w:t xml:space="preserve">Examine governance and </w:t>
            </w:r>
          </w:p>
          <w:p w14:paraId="53EA7C44" w14:textId="0346B841" w:rsidR="00BD14B9" w:rsidRPr="000B4B48" w:rsidRDefault="00BD14B9" w:rsidP="008A4AED">
            <w:pPr>
              <w:jc w:val="both"/>
              <w:rPr>
                <w:b w:val="0"/>
                <w:bCs w:val="0"/>
                <w:sz w:val="28"/>
                <w:szCs w:val="28"/>
              </w:rPr>
            </w:pPr>
            <w:r w:rsidRPr="000B4B48">
              <w:rPr>
                <w:b w:val="0"/>
                <w:bCs w:val="0"/>
                <w:sz w:val="28"/>
                <w:szCs w:val="28"/>
              </w:rPr>
              <w:t>ethical frameworks</w:t>
            </w:r>
          </w:p>
        </w:tc>
        <w:tc>
          <w:tcPr>
            <w:tcW w:w="8827" w:type="dxa"/>
          </w:tcPr>
          <w:p w14:paraId="65AE2C0B" w14:textId="51215657" w:rsidR="00BD14B9" w:rsidRDefault="00BD14B9" w:rsidP="008A4AED">
            <w:pPr>
              <w:jc w:val="both"/>
              <w:cnfStyle w:val="000000000000" w:firstRow="0" w:lastRow="0" w:firstColumn="0" w:lastColumn="0" w:oddVBand="0" w:evenVBand="0" w:oddHBand="0" w:evenHBand="0" w:firstRowFirstColumn="0" w:firstRowLastColumn="0" w:lastRowFirstColumn="0" w:lastRowLastColumn="0"/>
            </w:pPr>
            <w:r w:rsidRPr="00744E08">
              <w:t>The analysis revealed how transparency, accountability, fairness and human oversight are addressed (or not) in the literature (</w:t>
            </w:r>
            <w:r w:rsidR="000B304A" w:rsidRPr="000B304A">
              <w:t xml:space="preserve">Batool, </w:t>
            </w:r>
            <w:proofErr w:type="spellStart"/>
            <w:r w:rsidR="000B304A" w:rsidRPr="000B304A">
              <w:t>Zowghi</w:t>
            </w:r>
            <w:proofErr w:type="spellEnd"/>
            <w:r w:rsidR="000B304A" w:rsidRPr="000B304A">
              <w:t xml:space="preserve"> and </w:t>
            </w:r>
            <w:r w:rsidRPr="00744E08">
              <w:t>Bano</w:t>
            </w:r>
            <w:r w:rsidR="000B304A" w:rsidRPr="000B304A">
              <w:t>, 2023).</w:t>
            </w:r>
            <w:r w:rsidRPr="00744E08">
              <w:t xml:space="preserve"> Key findings include the prevalence of symbolic oversight, accountability diffusion across multiple actors, limited transparency due to proprietary opacity, and the need for meaningful oversight mechanisms that go beyond technical fixes (Selbst et al., 2019).</w:t>
            </w:r>
          </w:p>
        </w:tc>
      </w:tr>
      <w:tr w:rsidR="00BD14B9" w14:paraId="3BB81615" w14:textId="77777777" w:rsidTr="00CD79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1" w:type="dxa"/>
          </w:tcPr>
          <w:p w14:paraId="75551DDE" w14:textId="77777777" w:rsidR="001B56F9" w:rsidRDefault="00BD14B9" w:rsidP="008A4AED">
            <w:pPr>
              <w:jc w:val="both"/>
              <w:rPr>
                <w:sz w:val="28"/>
                <w:szCs w:val="28"/>
              </w:rPr>
            </w:pPr>
            <w:r w:rsidRPr="000B4B48">
              <w:rPr>
                <w:b w:val="0"/>
                <w:bCs w:val="0"/>
                <w:sz w:val="28"/>
                <w:szCs w:val="28"/>
              </w:rPr>
              <w:t xml:space="preserve">Compare Europe </w:t>
            </w:r>
          </w:p>
          <w:p w14:paraId="5BCE95A1" w14:textId="56F44DAF" w:rsidR="00BD14B9" w:rsidRPr="000B4B48" w:rsidRDefault="00BD14B9" w:rsidP="008A4AED">
            <w:pPr>
              <w:jc w:val="both"/>
              <w:rPr>
                <w:b w:val="0"/>
                <w:bCs w:val="0"/>
                <w:sz w:val="28"/>
                <w:szCs w:val="28"/>
              </w:rPr>
            </w:pPr>
            <w:r w:rsidRPr="000B4B48">
              <w:rPr>
                <w:b w:val="0"/>
                <w:bCs w:val="0"/>
                <w:sz w:val="28"/>
                <w:szCs w:val="28"/>
              </w:rPr>
              <w:t>and Asia</w:t>
            </w:r>
          </w:p>
        </w:tc>
        <w:tc>
          <w:tcPr>
            <w:tcW w:w="8827" w:type="dxa"/>
          </w:tcPr>
          <w:p w14:paraId="1F4F2E83" w14:textId="662C4649" w:rsidR="00BD14B9" w:rsidRDefault="00BD14B9" w:rsidP="008A4AED">
            <w:pPr>
              <w:jc w:val="both"/>
              <w:cnfStyle w:val="000000100000" w:firstRow="0" w:lastRow="0" w:firstColumn="0" w:lastColumn="0" w:oddVBand="0" w:evenVBand="0" w:oddHBand="1" w:evenHBand="0" w:firstRowFirstColumn="0" w:firstRowLastColumn="0" w:lastRowFirstColumn="0" w:lastRowLastColumn="0"/>
            </w:pPr>
            <w:r w:rsidRPr="000E3A56">
              <w:t>The comparative analysis identified key differences in regulatory and organisational approaches</w:t>
            </w:r>
            <w:r w:rsidR="00F647AA" w:rsidRPr="00F647AA">
              <w:t>.</w:t>
            </w:r>
            <w:r w:rsidRPr="000E3A56">
              <w:t xml:space="preserve"> Europe emphasises prescriptive regulation (GDPR, EU AI Act), rights</w:t>
            </w:r>
            <w:r w:rsidRPr="000E3A56">
              <w:rPr>
                <w:rFonts w:ascii="Cambria Math" w:hAnsi="Cambria Math" w:cs="Cambria Math"/>
              </w:rPr>
              <w:t>‑</w:t>
            </w:r>
            <w:r w:rsidRPr="000E3A56">
              <w:t>based fairness and formalised governance, while Asia exhibits heterogeneous approaches with greater reliance on voluntary frameworks, efficiency</w:t>
            </w:r>
            <w:r w:rsidRPr="000E3A56">
              <w:rPr>
                <w:rFonts w:ascii="Cambria Math" w:hAnsi="Cambria Math" w:cs="Cambria Math"/>
              </w:rPr>
              <w:t>‑</w:t>
            </w:r>
            <w:r w:rsidRPr="000E3A56">
              <w:t xml:space="preserve">driven adoption and emerging governance practices (European </w:t>
            </w:r>
            <w:r w:rsidR="00F647AA" w:rsidRPr="00F647AA">
              <w:t xml:space="preserve">Parliament and Council of the European Union, 2024). </w:t>
            </w:r>
            <w:r w:rsidRPr="000E3A56">
              <w:t>The findings caution against treating either region as monolithic</w:t>
            </w:r>
            <w:r w:rsidR="00F647AA" w:rsidRPr="00F647AA">
              <w:t>.</w:t>
            </w:r>
          </w:p>
        </w:tc>
      </w:tr>
      <w:tr w:rsidR="00BD14B9" w14:paraId="193FC8BE" w14:textId="77777777" w:rsidTr="00CD7996">
        <w:tc>
          <w:tcPr>
            <w:cnfStyle w:val="001000000000" w:firstRow="0" w:lastRow="0" w:firstColumn="1" w:lastColumn="0" w:oddVBand="0" w:evenVBand="0" w:oddHBand="0" w:evenHBand="0" w:firstRowFirstColumn="0" w:firstRowLastColumn="0" w:lastRowFirstColumn="0" w:lastRowLastColumn="0"/>
            <w:tcW w:w="1941" w:type="dxa"/>
          </w:tcPr>
          <w:p w14:paraId="72F1EEB2" w14:textId="77777777" w:rsidR="001B56F9" w:rsidRDefault="00BD14B9" w:rsidP="008A4AED">
            <w:pPr>
              <w:jc w:val="both"/>
              <w:rPr>
                <w:sz w:val="28"/>
                <w:szCs w:val="28"/>
              </w:rPr>
            </w:pPr>
            <w:r w:rsidRPr="000B4B48">
              <w:rPr>
                <w:b w:val="0"/>
                <w:bCs w:val="0"/>
                <w:sz w:val="28"/>
                <w:szCs w:val="28"/>
              </w:rPr>
              <w:t xml:space="preserve">Explore fairness, </w:t>
            </w:r>
          </w:p>
          <w:p w14:paraId="2033E9D7" w14:textId="5D67D20C" w:rsidR="00BD14B9" w:rsidRPr="000B4B48" w:rsidRDefault="00BD14B9" w:rsidP="008A4AED">
            <w:pPr>
              <w:jc w:val="both"/>
              <w:rPr>
                <w:b w:val="0"/>
                <w:bCs w:val="0"/>
                <w:sz w:val="28"/>
                <w:szCs w:val="28"/>
              </w:rPr>
            </w:pPr>
            <w:r w:rsidRPr="000B4B48">
              <w:rPr>
                <w:b w:val="0"/>
                <w:bCs w:val="0"/>
                <w:sz w:val="28"/>
                <w:szCs w:val="28"/>
              </w:rPr>
              <w:t>bias and accountability</w:t>
            </w:r>
          </w:p>
        </w:tc>
        <w:tc>
          <w:tcPr>
            <w:tcW w:w="8827" w:type="dxa"/>
          </w:tcPr>
          <w:p w14:paraId="029E9827" w14:textId="1A601D9D" w:rsidR="00BD14B9" w:rsidRDefault="00BD14B9" w:rsidP="008A4AED">
            <w:pPr>
              <w:jc w:val="both"/>
              <w:cnfStyle w:val="000000000000" w:firstRow="0" w:lastRow="0" w:firstColumn="0" w:lastColumn="0" w:oddVBand="0" w:evenVBand="0" w:oddHBand="0" w:evenHBand="0" w:firstRowFirstColumn="0" w:firstRowLastColumn="0" w:lastRowFirstColumn="0" w:lastRowLastColumn="0"/>
            </w:pPr>
            <w:r w:rsidRPr="00C660CD">
              <w:t>The literature indicates significant risks related to algorithmic bias (historical, representation, proxy, measurement, aggregation) and accountability challenges due to fragmented responsibility (Barocas and Selbst, 2016). Governance responses include technical bias mitigation (pre</w:t>
            </w:r>
            <w:r w:rsidRPr="00C660CD">
              <w:rPr>
                <w:rFonts w:ascii="Cambria Math" w:hAnsi="Cambria Math" w:cs="Cambria Math"/>
              </w:rPr>
              <w:t>‑</w:t>
            </w:r>
            <w:r w:rsidRPr="00C660CD">
              <w:t>processing, in</w:t>
            </w:r>
            <w:r w:rsidRPr="00C660CD">
              <w:rPr>
                <w:rFonts w:ascii="Cambria Math" w:hAnsi="Cambria Math" w:cs="Cambria Math"/>
              </w:rPr>
              <w:t>‑</w:t>
            </w:r>
            <w:r w:rsidRPr="00C660CD">
              <w:t>processing, post</w:t>
            </w:r>
            <w:r w:rsidRPr="00C660CD">
              <w:rPr>
                <w:rFonts w:ascii="Cambria Math" w:hAnsi="Cambria Math" w:cs="Cambria Math"/>
              </w:rPr>
              <w:t>‑</w:t>
            </w:r>
            <w:r w:rsidRPr="00C660CD">
              <w:t>processing), organisational oversight mechanisms and regulatory requirements, but implementation gaps remain prevalent (Tambe, Cappelli and Yakubovich, 2019).</w:t>
            </w:r>
          </w:p>
        </w:tc>
      </w:tr>
    </w:tbl>
    <w:p w14:paraId="3F04D9D2" w14:textId="77777777" w:rsidR="00BD14B9" w:rsidRDefault="00BD14B9" w:rsidP="008A4AED">
      <w:pPr>
        <w:jc w:val="both"/>
      </w:pPr>
    </w:p>
    <w:p w14:paraId="5A160C1B" w14:textId="394A7863" w:rsidR="00B846F5" w:rsidRDefault="00B846F5" w:rsidP="008A4AED">
      <w:pPr>
        <w:jc w:val="both"/>
      </w:pPr>
      <w:r w:rsidRPr="00B846F5">
        <w:t>Overall, the findings demonstrate that governing AI</w:t>
      </w:r>
      <w:r w:rsidRPr="00B846F5">
        <w:rPr>
          <w:rFonts w:ascii="Cambria Math" w:hAnsi="Cambria Math" w:cs="Cambria Math"/>
        </w:rPr>
        <w:t>‑</w:t>
      </w:r>
      <w:r w:rsidRPr="00B846F5">
        <w:t>mediated recruitment requires coordinated attention to technical, organisational and institutional factors, not just one dimension in isolation (</w:t>
      </w:r>
      <w:proofErr w:type="spellStart"/>
      <w:r w:rsidRPr="00B846F5">
        <w:t>Prikshat</w:t>
      </w:r>
      <w:proofErr w:type="spellEnd"/>
      <w:r w:rsidRPr="00B846F5">
        <w:t>, Malik and Budhwar, 2023).</w:t>
      </w:r>
    </w:p>
    <w:p w14:paraId="05FBBBE9" w14:textId="77777777" w:rsidR="00BD14B9" w:rsidRPr="00320614" w:rsidRDefault="00BD14B9" w:rsidP="008A4AED">
      <w:pPr>
        <w:pStyle w:val="Heading2"/>
        <w:jc w:val="both"/>
        <w:rPr>
          <w:b/>
          <w:bCs/>
        </w:rPr>
      </w:pPr>
      <w:bookmarkStart w:id="90" w:name="_Toc240997020"/>
      <w:r w:rsidRPr="00320614">
        <w:rPr>
          <w:b/>
          <w:bCs/>
        </w:rPr>
        <w:t>6.4 Contribution to the Literature and Research Gap</w:t>
      </w:r>
      <w:bookmarkEnd w:id="90"/>
    </w:p>
    <w:p w14:paraId="108B911D" w14:textId="77777777" w:rsidR="005A3767" w:rsidRDefault="005A3767" w:rsidP="008A4AED">
      <w:pPr>
        <w:jc w:val="both"/>
      </w:pPr>
      <w:r>
        <w:rPr>
          <w:rFonts w:hint="eastAsia"/>
        </w:rPr>
        <w:t xml:space="preserve">This systematic review makes a distinctive contribution by integrating three areas that are often examined separately in the literature: technical </w:t>
      </w:r>
      <w:r>
        <w:rPr>
          <w:rFonts w:hint="eastAsia"/>
        </w:rPr>
        <w:t>→</w:t>
      </w:r>
      <w:r>
        <w:rPr>
          <w:rFonts w:hint="eastAsia"/>
        </w:rPr>
        <w:t xml:space="preserve"> organisational </w:t>
      </w:r>
      <w:r>
        <w:rPr>
          <w:rFonts w:hint="eastAsia"/>
        </w:rPr>
        <w:t>→</w:t>
      </w:r>
      <w:r>
        <w:rPr>
          <w:rFonts w:hint="eastAsia"/>
        </w:rPr>
        <w:t xml:space="preserve"> institutional (Tsiskaridze, Reinhold and Jarvis, 2023).</w:t>
      </w:r>
    </w:p>
    <w:p w14:paraId="554ABA49" w14:textId="77777777" w:rsidR="00BD14B9" w:rsidRDefault="00BD14B9" w:rsidP="008A4AED">
      <w:pPr>
        <w:jc w:val="both"/>
      </w:pPr>
      <w:r>
        <w:t>Previous research has tended to focus on:</w:t>
      </w:r>
    </w:p>
    <w:p w14:paraId="2ED95791" w14:textId="77777777" w:rsidR="00BD14B9" w:rsidRDefault="00BD14B9" w:rsidP="001535C3">
      <w:pPr>
        <w:pStyle w:val="ListParagraph"/>
        <w:numPr>
          <w:ilvl w:val="0"/>
          <w:numId w:val="17"/>
        </w:numPr>
        <w:jc w:val="both"/>
      </w:pPr>
      <w:r>
        <w:lastRenderedPageBreak/>
        <w:t>Technical dimension: algorithmic bias, fairness metrics, explainability tools (Barocas and Selbst, 2016; Raghavan et al., 2020).</w:t>
      </w:r>
    </w:p>
    <w:p w14:paraId="63010F5E" w14:textId="77777777" w:rsidR="00BD14B9" w:rsidRDefault="00BD14B9" w:rsidP="001535C3">
      <w:pPr>
        <w:pStyle w:val="ListParagraph"/>
        <w:numPr>
          <w:ilvl w:val="0"/>
          <w:numId w:val="17"/>
        </w:numPr>
        <w:jc w:val="both"/>
      </w:pPr>
      <w:r>
        <w:t xml:space="preserve">Organisational dimension: human oversight, accountability, decision authority (Tambe, Cappelli and Yakubovich, 2019; </w:t>
      </w:r>
      <w:r w:rsidR="005A3767">
        <w:t xml:space="preserve">Batool, </w:t>
      </w:r>
      <w:proofErr w:type="spellStart"/>
      <w:r w:rsidR="005A3767">
        <w:t>Zowghi</w:t>
      </w:r>
      <w:proofErr w:type="spellEnd"/>
      <w:r w:rsidR="005A3767">
        <w:t xml:space="preserve"> and Bano, 2023</w:t>
      </w:r>
      <w:r>
        <w:t>).</w:t>
      </w:r>
    </w:p>
    <w:p w14:paraId="3AB7841B" w14:textId="77777777" w:rsidR="005A3767" w:rsidRDefault="005A3767" w:rsidP="001535C3">
      <w:pPr>
        <w:pStyle w:val="ListParagraph"/>
        <w:numPr>
          <w:ilvl w:val="0"/>
          <w:numId w:val="17"/>
        </w:numPr>
        <w:jc w:val="both"/>
      </w:pPr>
      <w:r>
        <w:t>Institutional dimension: regulatory compliance, cultural norms, labour</w:t>
      </w:r>
      <w:r>
        <w:rPr>
          <w:rFonts w:ascii="Cambria Math" w:hAnsi="Cambria Math" w:cs="Cambria Math"/>
        </w:rPr>
        <w:t>‑</w:t>
      </w:r>
      <w:r>
        <w:t>market institutions (European Parliament and Council of the European Union, 2024).</w:t>
      </w:r>
    </w:p>
    <w:p w14:paraId="2D53DC6C" w14:textId="77777777" w:rsidR="00BD14B9" w:rsidRDefault="00BD14B9" w:rsidP="008A4AED">
      <w:pPr>
        <w:jc w:val="both"/>
      </w:pPr>
      <w:r>
        <w:t>However, limited research has examined how these three dimensions interact to produce governance outcomes in MNCs operating across Europe and Asia</w:t>
      </w:r>
      <w:r w:rsidR="005A3767">
        <w:t>.</w:t>
      </w:r>
      <w:r>
        <w:t xml:space="preserve"> This study addresses this gap by developing and applying an integrated conceptual framework that demonstrates how institutional context shapes organisational governance, which in turn mediates technical effects on recruitment outcomes (Rigotti and </w:t>
      </w:r>
      <w:proofErr w:type="spellStart"/>
      <w:r>
        <w:t>Fosch</w:t>
      </w:r>
      <w:proofErr w:type="spellEnd"/>
      <w:r>
        <w:rPr>
          <w:rFonts w:ascii="Cambria Math" w:hAnsi="Cambria Math" w:cs="Cambria Math"/>
        </w:rPr>
        <w:t>‑</w:t>
      </w:r>
      <w:r>
        <w:t>Villaronga, 2024).</w:t>
      </w:r>
    </w:p>
    <w:p w14:paraId="2F68A52D" w14:textId="41F58A9A" w:rsidR="004B0F6E" w:rsidRDefault="00BD14B9" w:rsidP="008A4AED">
      <w:pPr>
        <w:jc w:val="both"/>
      </w:pPr>
      <w:r>
        <w:t>The study therefore argues that effective governance of AI</w:t>
      </w:r>
      <w:r>
        <w:rPr>
          <w:rFonts w:ascii="Cambria Math" w:hAnsi="Cambria Math" w:cs="Cambria Math"/>
        </w:rPr>
        <w:t>‑</w:t>
      </w:r>
      <w:r>
        <w:t>mediated recruitment cannot be understood only by examining the algorithm. It also requires consideration of organisational decision</w:t>
      </w:r>
      <w:r>
        <w:rPr>
          <w:rFonts w:ascii="Cambria Math" w:hAnsi="Cambria Math" w:cs="Cambria Math"/>
        </w:rPr>
        <w:t>‑</w:t>
      </w:r>
      <w:r>
        <w:t>making structures and the wider regulatory and cultural environment in which MNCs operate (</w:t>
      </w:r>
      <w:proofErr w:type="spellStart"/>
      <w:r>
        <w:t>Prikshat</w:t>
      </w:r>
      <w:proofErr w:type="spellEnd"/>
      <w:r w:rsidR="005A3767">
        <w:t>, Malik and Budhwar,</w:t>
      </w:r>
      <w:r>
        <w:t xml:space="preserve"> 2023). This connects directly with the conceptual framework developed in Chapter 2 and provides a more holistic basis for future research (</w:t>
      </w:r>
      <w:proofErr w:type="spellStart"/>
      <w:r>
        <w:t>Tranfield</w:t>
      </w:r>
      <w:proofErr w:type="spellEnd"/>
      <w:r>
        <w:t>, Denyer and Smart, 2003).</w:t>
      </w:r>
    </w:p>
    <w:p w14:paraId="5727D8B9" w14:textId="4D8CD8DE" w:rsidR="00BD14B9" w:rsidRPr="00B850B7" w:rsidRDefault="00BD14B9" w:rsidP="008A4AED">
      <w:pPr>
        <w:pStyle w:val="Heading2"/>
        <w:jc w:val="both"/>
        <w:rPr>
          <w:b/>
          <w:bCs/>
        </w:rPr>
      </w:pPr>
      <w:bookmarkStart w:id="91" w:name="_Toc240997021"/>
      <w:r w:rsidRPr="00B850B7">
        <w:rPr>
          <w:b/>
          <w:bCs/>
        </w:rPr>
        <w:t>6.5 Theoretical Contribution</w:t>
      </w:r>
      <w:bookmarkEnd w:id="91"/>
    </w:p>
    <w:p w14:paraId="24CC5BD5" w14:textId="77777777" w:rsidR="001B797F" w:rsidRDefault="001B797F" w:rsidP="008A4AED">
      <w:pPr>
        <w:jc w:val="both"/>
      </w:pPr>
      <w:r>
        <w:t>The findings make several theoretical contributions to understanding AI governance in organisational decision</w:t>
      </w:r>
      <w:r>
        <w:rPr>
          <w:rFonts w:ascii="Cambria Math" w:hAnsi="Cambria Math" w:cs="Cambria Math"/>
        </w:rPr>
        <w:t>‑</w:t>
      </w:r>
      <w:r>
        <w:t>making (Tsiskaridze, Reinhold and Jarvis, 2023).</w:t>
      </w:r>
    </w:p>
    <w:p w14:paraId="4EEBBF63" w14:textId="77777777" w:rsidR="001B797F" w:rsidRDefault="001B797F" w:rsidP="008A4AED">
      <w:pPr>
        <w:jc w:val="both"/>
      </w:pPr>
      <w:r>
        <w:t>Confirmation of existing understanding: The results confirm socio</w:t>
      </w:r>
      <w:r>
        <w:rPr>
          <w:rFonts w:ascii="Cambria Math" w:hAnsi="Cambria Math" w:cs="Cambria Math"/>
        </w:rPr>
        <w:t>‑</w:t>
      </w:r>
      <w:r>
        <w:t>technical systems theory's premise that technology and organisation co</w:t>
      </w:r>
      <w:r>
        <w:rPr>
          <w:rFonts w:ascii="Cambria Math" w:hAnsi="Cambria Math" w:cs="Cambria Math"/>
        </w:rPr>
        <w:t>‑</w:t>
      </w:r>
      <w:r>
        <w:t xml:space="preserve">constitute each other, and institutional theory's prediction that organisations respond to institutional pressures (Orlikowski, 1992). The prevalence of bias, accountability diffusion and symbolic oversight aligns with existing critiques of AI governance (Batool, </w:t>
      </w:r>
      <w:proofErr w:type="spellStart"/>
      <w:r>
        <w:t>Zowghi</w:t>
      </w:r>
      <w:proofErr w:type="spellEnd"/>
      <w:r>
        <w:t xml:space="preserve"> and Bano, 2023).</w:t>
      </w:r>
    </w:p>
    <w:p w14:paraId="451A1DF8" w14:textId="77777777" w:rsidR="001B797F" w:rsidRDefault="001B797F" w:rsidP="008A4AED">
      <w:pPr>
        <w:jc w:val="both"/>
      </w:pPr>
      <w:r>
        <w:t>Extension of existing perspectives: The study extends current perspectives by integrating technical, organisational and institutional factors into a coherent explanatory framework (</w:t>
      </w:r>
      <w:proofErr w:type="spellStart"/>
      <w:r>
        <w:t>Prikshat</w:t>
      </w:r>
      <w:proofErr w:type="spellEnd"/>
      <w:r>
        <w:t xml:space="preserve">, Malik and Budhwar, 2023). The integrated pathway (institutional context </w:t>
      </w:r>
      <w:r>
        <w:rPr>
          <w:rFonts w:hint="eastAsia"/>
        </w:rPr>
        <w:t>→</w:t>
      </w:r>
      <w:r>
        <w:t xml:space="preserve"> organisational governance </w:t>
      </w:r>
      <w:r>
        <w:rPr>
          <w:rFonts w:hint="eastAsia"/>
        </w:rPr>
        <w:t>→</w:t>
      </w:r>
      <w:r>
        <w:t xml:space="preserve"> technical system </w:t>
      </w:r>
      <w:r>
        <w:rPr>
          <w:rFonts w:hint="eastAsia"/>
        </w:rPr>
        <w:t>→</w:t>
      </w:r>
      <w:r>
        <w:t xml:space="preserve"> outcomes) shows how the three dimensions interact, offering a more comprehensive explanation than any single perspective alone (Rigotti and </w:t>
      </w:r>
      <w:proofErr w:type="spellStart"/>
      <w:r>
        <w:t>Fosch</w:t>
      </w:r>
      <w:proofErr w:type="spellEnd"/>
      <w:r>
        <w:rPr>
          <w:rFonts w:ascii="Cambria Math" w:hAnsi="Cambria Math" w:cs="Cambria Math"/>
        </w:rPr>
        <w:t>‑</w:t>
      </w:r>
      <w:r>
        <w:t>Villaronga, 2024), particularly for MNC governance across diverse institutional contexts.</w:t>
      </w:r>
    </w:p>
    <w:p w14:paraId="15FC873E" w14:textId="77777777" w:rsidR="001B797F" w:rsidRDefault="001B797F" w:rsidP="008A4AED">
      <w:pPr>
        <w:jc w:val="both"/>
      </w:pPr>
      <w:r>
        <w:t xml:space="preserve">Revealing insufficiencies: The findings expose limitations in existing approaches (Selbst et al., 2019). Traditional accountability models assume clear responsibility chains, but AI systems create accountability diffusion requiring new architectures (Batool, </w:t>
      </w:r>
      <w:proofErr w:type="spellStart"/>
      <w:r>
        <w:t>Zowghi</w:t>
      </w:r>
      <w:proofErr w:type="spellEnd"/>
      <w:r>
        <w:t xml:space="preserve"> and Bano, 2023). Conventional human oversight assumptions are challenged by symbolic oversight, necessitating </w:t>
      </w:r>
      <w:proofErr w:type="spellStart"/>
      <w:r>
        <w:t>reconceptualisation</w:t>
      </w:r>
      <w:proofErr w:type="spellEnd"/>
      <w:r>
        <w:t xml:space="preserve"> of meaningful oversight (Tambe, Cappelli and Yakubovich, 2019). Eurocentric governance models are inadequate for understanding Asian approaches, requiring more nuanced, context</w:t>
      </w:r>
      <w:r>
        <w:rPr>
          <w:rFonts w:ascii="Cambria Math" w:hAnsi="Cambria Math" w:cs="Cambria Math"/>
        </w:rPr>
        <w:t>‑</w:t>
      </w:r>
      <w:r>
        <w:t>specific frameworks.</w:t>
      </w:r>
    </w:p>
    <w:p w14:paraId="1B1FBC55" w14:textId="13DD0854" w:rsidR="0034739C" w:rsidRDefault="00BD14B9" w:rsidP="008A4AED">
      <w:pPr>
        <w:jc w:val="both"/>
      </w:pPr>
      <w:r>
        <w:t>The strongest contribution is the integration of the three analytical dimensions rather than a wholly new theory (</w:t>
      </w:r>
      <w:proofErr w:type="spellStart"/>
      <w:r>
        <w:t>Tranfield</w:t>
      </w:r>
      <w:proofErr w:type="spellEnd"/>
      <w:r>
        <w:t xml:space="preserve">, Denyer and Smart, 2003). This framework can be applied to other emerging technology governance domains beyond recruitment (Rigotti and </w:t>
      </w:r>
      <w:proofErr w:type="spellStart"/>
      <w:r>
        <w:t>Fosch</w:t>
      </w:r>
      <w:proofErr w:type="spellEnd"/>
      <w:r>
        <w:rPr>
          <w:rFonts w:ascii="Cambria Math" w:hAnsi="Cambria Math" w:cs="Cambria Math"/>
        </w:rPr>
        <w:t>‑</w:t>
      </w:r>
      <w:r>
        <w:t>Villaronga, 2024).</w:t>
      </w:r>
    </w:p>
    <w:p w14:paraId="79B533B9" w14:textId="77777777" w:rsidR="00BD14B9" w:rsidRPr="00B850B7" w:rsidRDefault="00BD14B9" w:rsidP="008A4AED">
      <w:pPr>
        <w:pStyle w:val="Heading2"/>
        <w:jc w:val="both"/>
        <w:rPr>
          <w:b/>
          <w:bCs/>
        </w:rPr>
      </w:pPr>
      <w:bookmarkStart w:id="92" w:name="_Toc240997022"/>
      <w:r w:rsidRPr="00B850B7">
        <w:rPr>
          <w:b/>
          <w:bCs/>
        </w:rPr>
        <w:lastRenderedPageBreak/>
        <w:t>6.6 Practical and Policy Implications</w:t>
      </w:r>
      <w:bookmarkEnd w:id="92"/>
    </w:p>
    <w:p w14:paraId="68F31840" w14:textId="463D24B0" w:rsidR="00AC7E80" w:rsidRDefault="00AC7E80" w:rsidP="008A4AED">
      <w:pPr>
        <w:jc w:val="both"/>
      </w:pPr>
      <w:r w:rsidRPr="00AC7E80">
        <w:t>The findings have important implications for various stakeholders involved in AI</w:t>
      </w:r>
      <w:r w:rsidRPr="00AC7E80">
        <w:rPr>
          <w:rFonts w:ascii="Cambria Math" w:hAnsi="Cambria Math" w:cs="Cambria Math"/>
        </w:rPr>
        <w:t>‑</w:t>
      </w:r>
      <w:r w:rsidRPr="00AC7E80">
        <w:t>mediated recruitment (</w:t>
      </w:r>
      <w:proofErr w:type="spellStart"/>
      <w:r w:rsidRPr="00AC7E80">
        <w:t>Prikshat</w:t>
      </w:r>
      <w:proofErr w:type="spellEnd"/>
      <w:r w:rsidRPr="00AC7E80">
        <w:t>, Malik and Budhwar, 2023).</w:t>
      </w:r>
    </w:p>
    <w:p w14:paraId="66277AE0" w14:textId="5ABD8C76" w:rsidR="00BD14B9" w:rsidRDefault="00BD14B9" w:rsidP="008A4AED">
      <w:pPr>
        <w:jc w:val="both"/>
      </w:pPr>
      <w:r w:rsidRPr="009051F7">
        <w:rPr>
          <w:b/>
          <w:bCs/>
          <w:color w:val="153D63" w:themeColor="text2" w:themeTint="E6"/>
          <w:sz w:val="28"/>
          <w:szCs w:val="28"/>
        </w:rPr>
        <w:t>HR managers:</w:t>
      </w:r>
      <w:r w:rsidRPr="009051F7">
        <w:rPr>
          <w:color w:val="153D63" w:themeColor="text2" w:themeTint="E6"/>
          <w:sz w:val="28"/>
          <w:szCs w:val="28"/>
        </w:rPr>
        <w:t xml:space="preserve"> </w:t>
      </w:r>
      <w:r>
        <w:t>Should maintain meaningful human oversight and clear decision authority (</w:t>
      </w:r>
      <w:r w:rsidR="002477E2" w:rsidRPr="002477E2">
        <w:t xml:space="preserve">Batool, </w:t>
      </w:r>
      <w:proofErr w:type="spellStart"/>
      <w:r w:rsidR="002477E2" w:rsidRPr="002477E2">
        <w:t>Zowghi</w:t>
      </w:r>
      <w:proofErr w:type="spellEnd"/>
      <w:r w:rsidR="002477E2" w:rsidRPr="002477E2">
        <w:t xml:space="preserve"> and </w:t>
      </w:r>
      <w:r>
        <w:t>Bano</w:t>
      </w:r>
      <w:r w:rsidR="002477E2" w:rsidRPr="002477E2">
        <w:t>, 2023).</w:t>
      </w:r>
      <w:r>
        <w:t xml:space="preserve"> This requires AI literacy training, clear override authority without penalty, documentation requirements for overrides, regular audit of override patterns, and escalation procedures for contested decisions (Tambe, Cappelli and Yakubovich, 2019). Symbolic oversight must be replaced with substantive oversight mechanisms (Raghavan et al., 2020).</w:t>
      </w:r>
    </w:p>
    <w:p w14:paraId="3089F848" w14:textId="77777777" w:rsidR="004D6309" w:rsidRDefault="00BD14B9" w:rsidP="008A4AED">
      <w:pPr>
        <w:jc w:val="both"/>
      </w:pPr>
      <w:r w:rsidRPr="009051F7">
        <w:rPr>
          <w:b/>
          <w:bCs/>
          <w:color w:val="153D63" w:themeColor="text2" w:themeTint="E6"/>
          <w:sz w:val="28"/>
          <w:szCs w:val="28"/>
        </w:rPr>
        <w:t>MNCs:</w:t>
      </w:r>
      <w:r w:rsidRPr="009051F7">
        <w:rPr>
          <w:color w:val="153D63" w:themeColor="text2" w:themeTint="E6"/>
          <w:sz w:val="28"/>
          <w:szCs w:val="28"/>
        </w:rPr>
        <w:t xml:space="preserve"> </w:t>
      </w:r>
      <w:r w:rsidR="004D6309" w:rsidRPr="004D6309">
        <w:t>Should establish organisation</w:t>
      </w:r>
      <w:r w:rsidR="004D6309" w:rsidRPr="004D6309">
        <w:rPr>
          <w:rFonts w:ascii="Cambria Math" w:hAnsi="Cambria Math" w:cs="Cambria Math"/>
        </w:rPr>
        <w:t>‑</w:t>
      </w:r>
      <w:r w:rsidR="004D6309" w:rsidRPr="004D6309">
        <w:t>wide AI governance procedures rather than relying only on vendors. This includes developing global governance frameworks that balance standardisation with local adaptation, implementing regular algorithmic audits, ensuring independent verification of vendor claims, and addressing documentation silos that fragment accountability.</w:t>
      </w:r>
    </w:p>
    <w:p w14:paraId="273BB4D3" w14:textId="77777777" w:rsidR="00BD14B9" w:rsidRDefault="00BD14B9" w:rsidP="008A4AED">
      <w:pPr>
        <w:jc w:val="both"/>
      </w:pPr>
      <w:r w:rsidRPr="003B486B">
        <w:rPr>
          <w:b/>
          <w:bCs/>
          <w:color w:val="153D63" w:themeColor="text2" w:themeTint="E6"/>
          <w:sz w:val="28"/>
          <w:szCs w:val="28"/>
        </w:rPr>
        <w:t>Recruitment professionals:</w:t>
      </w:r>
      <w:r w:rsidRPr="003B486B">
        <w:rPr>
          <w:color w:val="153D63" w:themeColor="text2" w:themeTint="E6"/>
          <w:sz w:val="28"/>
          <w:szCs w:val="28"/>
        </w:rPr>
        <w:t xml:space="preserve"> </w:t>
      </w:r>
      <w:r>
        <w:t xml:space="preserve">Should monitor bias, transparency and data quality throughout the recruitment process (Rigotti and </w:t>
      </w:r>
      <w:proofErr w:type="spellStart"/>
      <w:r>
        <w:t>Fosch</w:t>
      </w:r>
      <w:proofErr w:type="spellEnd"/>
      <w:r>
        <w:rPr>
          <w:rFonts w:ascii="Cambria Math" w:hAnsi="Cambria Math" w:cs="Cambria Math"/>
        </w:rPr>
        <w:t>‑</w:t>
      </w:r>
      <w:r>
        <w:t>Villaronga, 2024). This involves understanding the limitations of AI systems, questioning algorithmic recommendations when appropriate, maintaining professional judgement alongside technological assistance, and advocating for governance mechanisms that protect candidate rights (Selbst et al., 2019).</w:t>
      </w:r>
    </w:p>
    <w:p w14:paraId="7B3CFBCB" w14:textId="77777777" w:rsidR="00B60A8C" w:rsidRDefault="00BD14B9" w:rsidP="008A4AED">
      <w:pPr>
        <w:jc w:val="both"/>
      </w:pPr>
      <w:r w:rsidRPr="003B486B">
        <w:rPr>
          <w:b/>
          <w:bCs/>
          <w:color w:val="153D63" w:themeColor="text2" w:themeTint="E6"/>
          <w:sz w:val="28"/>
          <w:szCs w:val="28"/>
        </w:rPr>
        <w:t>Policymakers:</w:t>
      </w:r>
      <w:r w:rsidRPr="003B486B">
        <w:rPr>
          <w:color w:val="153D63" w:themeColor="text2" w:themeTint="E6"/>
          <w:sz w:val="28"/>
          <w:szCs w:val="28"/>
        </w:rPr>
        <w:t xml:space="preserve"> </w:t>
      </w:r>
      <w:r w:rsidR="00B60A8C" w:rsidRPr="00B60A8C">
        <w:t>Should strengthen requirements for accountability, transparency and human oversight (European Parliament and Council of the European Union, 2024). The findings reveal implementation gaps between regulatory requirements and organisational practice, suggesting that enforcement capacity needs to be strengthened. Policymakers should also provide guidance and support to help organisations develop governance infrastructure.</w:t>
      </w:r>
    </w:p>
    <w:p w14:paraId="771F3CCB" w14:textId="77777777" w:rsidR="00213922" w:rsidRDefault="00BD14B9" w:rsidP="008A4AED">
      <w:pPr>
        <w:jc w:val="both"/>
      </w:pPr>
      <w:r w:rsidRPr="003B486B">
        <w:rPr>
          <w:b/>
          <w:bCs/>
          <w:color w:val="153D63" w:themeColor="text2" w:themeTint="E6"/>
          <w:sz w:val="28"/>
          <w:szCs w:val="28"/>
        </w:rPr>
        <w:t>Technology vendors:</w:t>
      </w:r>
      <w:r w:rsidRPr="003B486B">
        <w:rPr>
          <w:color w:val="153D63" w:themeColor="text2" w:themeTint="E6"/>
          <w:sz w:val="28"/>
          <w:szCs w:val="28"/>
        </w:rPr>
        <w:t xml:space="preserve"> </w:t>
      </w:r>
      <w:r w:rsidR="00213922" w:rsidRPr="00213922">
        <w:t xml:space="preserve">Should provide clearer information about AI systems and mechanisms for identifying and mitigating bias (Rigotti and </w:t>
      </w:r>
      <w:proofErr w:type="spellStart"/>
      <w:r w:rsidR="00213922" w:rsidRPr="00213922">
        <w:t>Fosch</w:t>
      </w:r>
      <w:proofErr w:type="spellEnd"/>
      <w:r w:rsidR="00213922" w:rsidRPr="00213922">
        <w:rPr>
          <w:rFonts w:ascii="Cambria Math" w:hAnsi="Cambria Math" w:cs="Cambria Math"/>
        </w:rPr>
        <w:t>‑</w:t>
      </w:r>
      <w:r w:rsidR="00213922" w:rsidRPr="00213922">
        <w:t>Villaronga, 2024). This includes improving transparency about algorithm design and data practices, developing user</w:t>
      </w:r>
      <w:r w:rsidR="00213922" w:rsidRPr="00213922">
        <w:rPr>
          <w:rFonts w:ascii="Cambria Math" w:hAnsi="Cambria Math" w:cs="Cambria Math"/>
        </w:rPr>
        <w:t>‑</w:t>
      </w:r>
      <w:r w:rsidR="00213922" w:rsidRPr="00213922">
        <w:t xml:space="preserve">friendly explainability tools, supporting customer governance efforts through documentation and audit support, and recognising that technical fixes alone are insufficient without organisational governance capacity (Batool, </w:t>
      </w:r>
      <w:proofErr w:type="spellStart"/>
      <w:r w:rsidR="00213922" w:rsidRPr="00213922">
        <w:t>Zowghi</w:t>
      </w:r>
      <w:proofErr w:type="spellEnd"/>
      <w:r w:rsidR="00213922" w:rsidRPr="00213922">
        <w:t xml:space="preserve"> and Bano, 2023).</w:t>
      </w:r>
    </w:p>
    <w:p w14:paraId="4069D2E6" w14:textId="77777777" w:rsidR="00BD14B9" w:rsidRPr="00FB4350" w:rsidRDefault="00BD14B9" w:rsidP="008A4AED">
      <w:pPr>
        <w:pStyle w:val="Heading2"/>
        <w:jc w:val="both"/>
        <w:rPr>
          <w:b/>
          <w:bCs/>
        </w:rPr>
      </w:pPr>
      <w:bookmarkStart w:id="93" w:name="_Toc240997023"/>
      <w:r w:rsidRPr="00FB4350">
        <w:rPr>
          <w:b/>
          <w:bCs/>
        </w:rPr>
        <w:t>6.7 Limitations</w:t>
      </w:r>
      <w:bookmarkEnd w:id="93"/>
    </w:p>
    <w:p w14:paraId="78904F04" w14:textId="77777777" w:rsidR="00601E03" w:rsidRDefault="00601E03" w:rsidP="008A4AED">
      <w:pPr>
        <w:jc w:val="both"/>
      </w:pPr>
      <w:r>
        <w:t>Several limitations should be acknowledged when interpreting the findings of this study (Tsiskaridze, Reinhold and Jarvis, 2023).</w:t>
      </w:r>
    </w:p>
    <w:p w14:paraId="5334326E" w14:textId="77777777" w:rsidR="00BD14B9" w:rsidRDefault="00BD14B9" w:rsidP="008A4AED">
      <w:pPr>
        <w:jc w:val="both"/>
      </w:pPr>
      <w:r w:rsidRPr="00FB4350">
        <w:rPr>
          <w:b/>
          <w:bCs/>
        </w:rPr>
        <w:t>Reliance on published literature:</w:t>
      </w:r>
      <w:r>
        <w:t xml:space="preserve"> The research relies exclusively on peer</w:t>
      </w:r>
      <w:r>
        <w:rPr>
          <w:rFonts w:ascii="Cambria Math" w:hAnsi="Cambria Math" w:cs="Cambria Math"/>
        </w:rPr>
        <w:t>‑</w:t>
      </w:r>
      <w:r>
        <w:t>reviewed academic literature, rather than generating primary empirical evidence (</w:t>
      </w:r>
      <w:proofErr w:type="spellStart"/>
      <w:r>
        <w:t>Tranfield</w:t>
      </w:r>
      <w:proofErr w:type="spellEnd"/>
      <w:r>
        <w:t>, Denyer and Smart, 2003). This limits the depth of organisational insights and may miss emerging practices not yet published in academic outlets (</w:t>
      </w:r>
      <w:proofErr w:type="spellStart"/>
      <w:r>
        <w:t>Prikshat</w:t>
      </w:r>
      <w:proofErr w:type="spellEnd"/>
      <w:r w:rsidR="00601E03">
        <w:t>, Malik and Budhwar,</w:t>
      </w:r>
      <w:r>
        <w:t xml:space="preserve"> 2023).</w:t>
      </w:r>
    </w:p>
    <w:p w14:paraId="147F880C" w14:textId="77777777" w:rsidR="00BD14B9" w:rsidRDefault="00BD14B9" w:rsidP="008A4AED">
      <w:pPr>
        <w:jc w:val="both"/>
      </w:pPr>
      <w:r w:rsidRPr="00FB4350">
        <w:rPr>
          <w:b/>
          <w:bCs/>
        </w:rPr>
        <w:t>Limitations of databases and search strategy:</w:t>
      </w:r>
      <w:r>
        <w:t xml:space="preserve"> Despite searching multiple databases (Scopus, Web of Science, ABI/INFORM, Business Source Complete, IEEE Xplore), some relevant studies may not be indexed in these sources (Rigotti and </w:t>
      </w:r>
      <w:proofErr w:type="spellStart"/>
      <w:r>
        <w:t>Fosch</w:t>
      </w:r>
      <w:proofErr w:type="spellEnd"/>
      <w:r>
        <w:rPr>
          <w:rFonts w:ascii="Cambria Math" w:hAnsi="Cambria Math" w:cs="Cambria Math"/>
        </w:rPr>
        <w:t>‑</w:t>
      </w:r>
      <w:r>
        <w:t xml:space="preserve">Villaronga, 2024). The search strategy, while systematic, </w:t>
      </w:r>
      <w:r>
        <w:lastRenderedPageBreak/>
        <w:t xml:space="preserve">may have missed some grey literature or industry reports relevant to governance practice (Tsiskaridze, Reinhold and </w:t>
      </w:r>
      <w:r w:rsidR="00601E03">
        <w:t>Jarvis</w:t>
      </w:r>
      <w:r>
        <w:t>, 2023).</w:t>
      </w:r>
    </w:p>
    <w:p w14:paraId="7B92DEEA" w14:textId="77777777" w:rsidR="00601E03" w:rsidRDefault="00601E03" w:rsidP="008A4AED">
      <w:pPr>
        <w:jc w:val="both"/>
      </w:pPr>
      <w:r w:rsidRPr="00FB4350">
        <w:rPr>
          <w:b/>
          <w:bCs/>
        </w:rPr>
        <w:t>Differences in availability and quality of European and Asian studies:</w:t>
      </w:r>
      <w:r>
        <w:t xml:space="preserve"> The literature is dominated by European and North American research, with comparatively fewer high</w:t>
      </w:r>
      <w:r>
        <w:rPr>
          <w:rFonts w:ascii="Cambria Math" w:hAnsi="Cambria Math" w:cs="Cambria Math"/>
        </w:rPr>
        <w:t>‑</w:t>
      </w:r>
      <w:r>
        <w:t>quality organisational studies from East Asia. This imbalance may affect the comprehensiveness of the comparative analysis and should be considered when interpreting regional differences.</w:t>
      </w:r>
    </w:p>
    <w:p w14:paraId="4C7EBDCE" w14:textId="77777777" w:rsidR="00601E03" w:rsidRDefault="00601E03" w:rsidP="008A4AED">
      <w:pPr>
        <w:jc w:val="both"/>
      </w:pPr>
      <w:r w:rsidRPr="00FB4350">
        <w:rPr>
          <w:b/>
          <w:bCs/>
        </w:rPr>
        <w:t>Variation in national regulatory contexts:</w:t>
      </w:r>
      <w:r>
        <w:t xml:space="preserve"> Both Europe and Asia exhibit significant internal variation in regulatory approaches (e.g., differences between UK, Germany and France in Europe; differences between Singapore, China, Japan and South Korea in Asia) (European Parliament and Council of the European Union, 2024). The comparative analysis necessarily generalises to some extent, and country</w:t>
      </w:r>
      <w:r>
        <w:rPr>
          <w:rFonts w:ascii="Cambria Math" w:hAnsi="Cambria Math" w:cs="Cambria Math"/>
        </w:rPr>
        <w:t>‑</w:t>
      </w:r>
      <w:r>
        <w:t>specific nuances may be overlooked.</w:t>
      </w:r>
    </w:p>
    <w:p w14:paraId="354458FC" w14:textId="77777777" w:rsidR="00BD14B9" w:rsidRDefault="00BD14B9" w:rsidP="008A4AED">
      <w:pPr>
        <w:jc w:val="both"/>
      </w:pPr>
      <w:r w:rsidRPr="00FB4350">
        <w:rPr>
          <w:b/>
          <w:bCs/>
        </w:rPr>
        <w:t>Inability to directly observe organisational decision</w:t>
      </w:r>
      <w:r w:rsidRPr="00FB4350">
        <w:rPr>
          <w:rFonts w:ascii="Cambria Math" w:hAnsi="Cambria Math" w:cs="Cambria Math"/>
          <w:b/>
          <w:bCs/>
        </w:rPr>
        <w:t>‑</w:t>
      </w:r>
      <w:r w:rsidRPr="00FB4350">
        <w:rPr>
          <w:b/>
          <w:bCs/>
        </w:rPr>
        <w:t>making:</w:t>
      </w:r>
      <w:r>
        <w:t xml:space="preserve"> As a systematic literature review, the study cannot directly observe how organisational decision</w:t>
      </w:r>
      <w:r>
        <w:rPr>
          <w:rFonts w:ascii="Cambria Math" w:hAnsi="Cambria Math" w:cs="Cambria Math"/>
        </w:rPr>
        <w:t>‑</w:t>
      </w:r>
      <w:r>
        <w:t>making occurs in practice (</w:t>
      </w:r>
      <w:proofErr w:type="spellStart"/>
      <w:r>
        <w:t>Tranfield</w:t>
      </w:r>
      <w:proofErr w:type="spellEnd"/>
      <w:r>
        <w:t>, Denyer and Smart, 2003). The findings are based on reported practices and perceptions in the literature, which may differ from actual behaviour (</w:t>
      </w:r>
      <w:proofErr w:type="spellStart"/>
      <w:r>
        <w:t>Prikshat</w:t>
      </w:r>
      <w:proofErr w:type="spellEnd"/>
      <w:r w:rsidR="00601E03">
        <w:t>, Malik and Budhwar,</w:t>
      </w:r>
      <w:r>
        <w:t xml:space="preserve"> 2023).</w:t>
      </w:r>
    </w:p>
    <w:p w14:paraId="1A168A86" w14:textId="77777777" w:rsidR="00BD14B9" w:rsidRDefault="00BD14B9" w:rsidP="008A4AED">
      <w:pPr>
        <w:jc w:val="both"/>
      </w:pPr>
      <w:r w:rsidRPr="00FB4350">
        <w:rPr>
          <w:b/>
          <w:bCs/>
        </w:rPr>
        <w:t>Potential interpretation or selection bias:</w:t>
      </w:r>
      <w:r>
        <w:t xml:space="preserve"> Despite following systematic procedures (PRISMA 2020, CASP/MMAT appraisal, framework</w:t>
      </w:r>
      <w:r>
        <w:rPr>
          <w:rFonts w:ascii="Cambria Math" w:hAnsi="Cambria Math" w:cs="Cambria Math"/>
        </w:rPr>
        <w:t>‑</w:t>
      </w:r>
      <w:r>
        <w:t xml:space="preserve">guided extraction), some interpretation or selection bias may have occurred during qualitative synthesis (Rigotti and </w:t>
      </w:r>
      <w:proofErr w:type="spellStart"/>
      <w:r>
        <w:t>Fosch</w:t>
      </w:r>
      <w:proofErr w:type="spellEnd"/>
      <w:r>
        <w:rPr>
          <w:rFonts w:ascii="Cambria Math" w:hAnsi="Cambria Math" w:cs="Cambria Math"/>
        </w:rPr>
        <w:t>‑</w:t>
      </w:r>
      <w:r>
        <w:t xml:space="preserve">Villaronga, 2024). The researcher's background and assumptions may have influenced how evidence was interpreted and integrated (Tsiskaridze, Reinhold and </w:t>
      </w:r>
      <w:r w:rsidR="00601E03">
        <w:t>Jarvis</w:t>
      </w:r>
      <w:r>
        <w:t>, 2023).</w:t>
      </w:r>
    </w:p>
    <w:p w14:paraId="39FB8F61" w14:textId="6DCCFB63" w:rsidR="00601E03" w:rsidRDefault="00601E03" w:rsidP="008A4AED">
      <w:pPr>
        <w:jc w:val="both"/>
      </w:pPr>
      <w:r>
        <w:t>These limitations do not invalidate the dissertation but affect the interpretation and generalisability of the findings (</w:t>
      </w:r>
      <w:proofErr w:type="spellStart"/>
      <w:r>
        <w:t>Tranfield</w:t>
      </w:r>
      <w:proofErr w:type="spellEnd"/>
      <w:r>
        <w:t>, Denyer and Smart, 2003). They should be considered when applying the findings to specific organisational or policy contexts (</w:t>
      </w:r>
      <w:proofErr w:type="spellStart"/>
      <w:r>
        <w:t>Prikshat</w:t>
      </w:r>
      <w:proofErr w:type="spellEnd"/>
      <w:r>
        <w:t>, Malik and Budhwar, 2023).</w:t>
      </w:r>
    </w:p>
    <w:p w14:paraId="30083CBC" w14:textId="77777777" w:rsidR="00BD14B9" w:rsidRPr="00F13C55" w:rsidRDefault="00BD14B9" w:rsidP="008A4AED">
      <w:pPr>
        <w:pStyle w:val="Heading2"/>
        <w:jc w:val="both"/>
        <w:rPr>
          <w:b/>
          <w:bCs/>
        </w:rPr>
      </w:pPr>
      <w:bookmarkStart w:id="94" w:name="_Toc240997024"/>
      <w:r w:rsidRPr="00F13C55">
        <w:rPr>
          <w:b/>
          <w:bCs/>
        </w:rPr>
        <w:t>6.8 Recommendations and Future Research</w:t>
      </w:r>
      <w:bookmarkEnd w:id="94"/>
    </w:p>
    <w:p w14:paraId="64C287F8" w14:textId="77777777" w:rsidR="00BD14B9" w:rsidRDefault="00BD14B9" w:rsidP="008A4AED">
      <w:pPr>
        <w:jc w:val="both"/>
      </w:pPr>
      <w:r>
        <w:t xml:space="preserve">Based on the findings and limitations, several recommendations for future research are offered (Rigotti and </w:t>
      </w:r>
      <w:proofErr w:type="spellStart"/>
      <w:r>
        <w:t>Fosch</w:t>
      </w:r>
      <w:proofErr w:type="spellEnd"/>
      <w:r>
        <w:rPr>
          <w:rFonts w:ascii="Cambria Math" w:hAnsi="Cambria Math" w:cs="Cambria Math"/>
        </w:rPr>
        <w:t>‑</w:t>
      </w:r>
      <w:r>
        <w:t>Villaronga, 2024).</w:t>
      </w:r>
    </w:p>
    <w:p w14:paraId="15E7189A" w14:textId="77777777" w:rsidR="007F0686" w:rsidRDefault="007F0686" w:rsidP="008A4AED">
      <w:pPr>
        <w:jc w:val="both"/>
      </w:pPr>
      <w:r w:rsidRPr="008F3B6C">
        <w:rPr>
          <w:b/>
          <w:bCs/>
        </w:rPr>
        <w:t>Comparative empirical research:</w:t>
      </w:r>
      <w:r>
        <w:t xml:space="preserve"> More comparative empirical research involving HR professionals in Europe and Asia is needed to validate and extend the findings of this review. Primary studies could examine how governance practices vary across jurisdictions and organisational contexts.</w:t>
      </w:r>
    </w:p>
    <w:p w14:paraId="5DA787D0" w14:textId="77777777" w:rsidR="007F0686" w:rsidRDefault="007F0686" w:rsidP="008A4AED">
      <w:pPr>
        <w:jc w:val="both"/>
      </w:pPr>
      <w:r w:rsidRPr="008F3B6C">
        <w:rPr>
          <w:b/>
          <w:bCs/>
        </w:rPr>
        <w:t>Longitudinal research:</w:t>
      </w:r>
      <w:r>
        <w:t xml:space="preserve"> Longitudinal research examining how AI governance develops over time would provide valuable insights into governance evolution, particularly as new regulations (e.g., EU AI Act) are implemented and organisational practices mature (European Parliament and Council of the European Union, 2024).</w:t>
      </w:r>
    </w:p>
    <w:p w14:paraId="7F12156B" w14:textId="77777777" w:rsidR="007F0686" w:rsidRDefault="007F0686" w:rsidP="008A4AED">
      <w:pPr>
        <w:jc w:val="both"/>
      </w:pPr>
      <w:r w:rsidRPr="008F3B6C">
        <w:rPr>
          <w:b/>
          <w:bCs/>
        </w:rPr>
        <w:t>Organisational accountability:</w:t>
      </w:r>
      <w:r>
        <w:t xml:space="preserve"> More research into organisational accountability for AI</w:t>
      </w:r>
      <w:r>
        <w:rPr>
          <w:rFonts w:ascii="Cambria Math" w:hAnsi="Cambria Math" w:cs="Cambria Math"/>
        </w:rPr>
        <w:t>‑</w:t>
      </w:r>
      <w:r>
        <w:t xml:space="preserve">assisted decisions is needed, particularly examining how accountability architectures can be designed to address diffusion challenges in MNCs (Batool, </w:t>
      </w:r>
      <w:proofErr w:type="spellStart"/>
      <w:r>
        <w:t>Zowghi</w:t>
      </w:r>
      <w:proofErr w:type="spellEnd"/>
      <w:r>
        <w:t xml:space="preserve"> and Bano, 2023).</w:t>
      </w:r>
    </w:p>
    <w:p w14:paraId="73CCA86C" w14:textId="77777777" w:rsidR="007F0686" w:rsidRDefault="007F0686" w:rsidP="008A4AED">
      <w:pPr>
        <w:jc w:val="both"/>
      </w:pPr>
      <w:r w:rsidRPr="008F3B6C">
        <w:rPr>
          <w:b/>
          <w:bCs/>
        </w:rPr>
        <w:t>Cultural differences:</w:t>
      </w:r>
      <w:r>
        <w:t xml:space="preserve"> Greater investigation of cultural differences in perceptions of AI fairness and human oversight would enhance understanding of how governance practices should be adapted to different cultural contexts.</w:t>
      </w:r>
    </w:p>
    <w:p w14:paraId="0D662F7F" w14:textId="77777777" w:rsidR="007F0686" w:rsidRDefault="007F0686" w:rsidP="008A4AED">
      <w:pPr>
        <w:jc w:val="both"/>
      </w:pPr>
      <w:r w:rsidRPr="008F3B6C">
        <w:rPr>
          <w:b/>
          <w:bCs/>
        </w:rPr>
        <w:lastRenderedPageBreak/>
        <w:t>MNC cross</w:t>
      </w:r>
      <w:r w:rsidRPr="008F3B6C">
        <w:rPr>
          <w:rFonts w:ascii="Cambria Math" w:hAnsi="Cambria Math" w:cs="Cambria Math"/>
          <w:b/>
          <w:bCs/>
        </w:rPr>
        <w:t>‑</w:t>
      </w:r>
      <w:r w:rsidRPr="008F3B6C">
        <w:rPr>
          <w:b/>
          <w:bCs/>
        </w:rPr>
        <w:t>jurisdictional governance:</w:t>
      </w:r>
      <w:r>
        <w:t xml:space="preserve"> Research examining how MNCs manage AI recruitment across different regulatory jurisdictions would provide practical insights into balancing global standardisation with local adaptation.</w:t>
      </w:r>
    </w:p>
    <w:p w14:paraId="2438E325" w14:textId="77777777" w:rsidR="00BD14B9" w:rsidRDefault="00BD14B9" w:rsidP="008A4AED">
      <w:pPr>
        <w:jc w:val="both"/>
      </w:pPr>
      <w:r w:rsidRPr="008F3B6C">
        <w:rPr>
          <w:b/>
          <w:bCs/>
        </w:rPr>
        <w:t>Empirical testing of the framework:</w:t>
      </w:r>
      <w:r>
        <w:t xml:space="preserve"> Further empirical testing of the technical–organisational–institutional framework would validate its explanatory power and identify areas for refinement (</w:t>
      </w:r>
      <w:proofErr w:type="spellStart"/>
      <w:r>
        <w:t>Prikshat</w:t>
      </w:r>
      <w:proofErr w:type="spellEnd"/>
      <w:r w:rsidR="007F0686">
        <w:t>, Malik and Budhwar,</w:t>
      </w:r>
      <w:r>
        <w:t xml:space="preserve"> 2023). Case studies of MNCs implementing AI recruitment governance could provide rich insights into framework application (Rigotti and </w:t>
      </w:r>
      <w:proofErr w:type="spellStart"/>
      <w:r>
        <w:t>Fosch</w:t>
      </w:r>
      <w:proofErr w:type="spellEnd"/>
      <w:r>
        <w:rPr>
          <w:rFonts w:ascii="Cambria Math" w:hAnsi="Cambria Math" w:cs="Cambria Math"/>
        </w:rPr>
        <w:t>‑</w:t>
      </w:r>
      <w:r>
        <w:t>Villaronga, 2024).</w:t>
      </w:r>
    </w:p>
    <w:p w14:paraId="356ECB46" w14:textId="77777777" w:rsidR="00BD14B9" w:rsidRDefault="00BD14B9" w:rsidP="008A4AED">
      <w:pPr>
        <w:jc w:val="both"/>
      </w:pPr>
      <w:r w:rsidRPr="008F3B6C">
        <w:rPr>
          <w:b/>
          <w:bCs/>
        </w:rPr>
        <w:t>Non</w:t>
      </w:r>
      <w:r w:rsidRPr="008F3B6C">
        <w:rPr>
          <w:rFonts w:ascii="Cambria Math" w:hAnsi="Cambria Math" w:cs="Cambria Math"/>
          <w:b/>
          <w:bCs/>
        </w:rPr>
        <w:t>‑</w:t>
      </w:r>
      <w:r w:rsidRPr="008F3B6C">
        <w:rPr>
          <w:b/>
          <w:bCs/>
        </w:rPr>
        <w:t>English literature:</w:t>
      </w:r>
      <w:r>
        <w:t xml:space="preserve"> Future reviews should include non</w:t>
      </w:r>
      <w:r>
        <w:rPr>
          <w:rFonts w:ascii="Cambria Math" w:hAnsi="Cambria Math" w:cs="Cambria Math"/>
        </w:rPr>
        <w:t>‑</w:t>
      </w:r>
      <w:r>
        <w:t>English publications, particularly from Chinese, Japanese and Korean sources, to provide a more comprehensive understanding of governance practices in Asian contexts and reduce language bias</w:t>
      </w:r>
      <w:r w:rsidR="007F0686">
        <w:t>.</w:t>
      </w:r>
    </w:p>
    <w:p w14:paraId="63B31121" w14:textId="7679052F" w:rsidR="00601E03" w:rsidRDefault="00BD14B9" w:rsidP="008A4AED">
      <w:pPr>
        <w:jc w:val="both"/>
      </w:pPr>
      <w:r w:rsidRPr="008F3B6C">
        <w:rPr>
          <w:b/>
          <w:bCs/>
        </w:rPr>
        <w:t>Worker and candidate perspectives:</w:t>
      </w:r>
      <w:r>
        <w:t xml:space="preserve"> Research incorporating the perspectives of workers and candidates affected by AI recruitment systems would provide a more complete picture of governance effectiveness from the standpoint of those most directly impacted (</w:t>
      </w:r>
      <w:r w:rsidR="007F0686">
        <w:t xml:space="preserve">Batool, </w:t>
      </w:r>
      <w:proofErr w:type="spellStart"/>
      <w:r w:rsidR="007F0686">
        <w:t>Zowghi</w:t>
      </w:r>
      <w:proofErr w:type="spellEnd"/>
      <w:r w:rsidR="007F0686">
        <w:t xml:space="preserve"> and </w:t>
      </w:r>
      <w:r>
        <w:t>Bano</w:t>
      </w:r>
      <w:r w:rsidR="007F0686">
        <w:t>, 2023).</w:t>
      </w:r>
    </w:p>
    <w:p w14:paraId="04FD2563" w14:textId="77777777" w:rsidR="00BD14B9" w:rsidRPr="00CD6880" w:rsidRDefault="00BD14B9" w:rsidP="008A4AED">
      <w:pPr>
        <w:pStyle w:val="Heading2"/>
        <w:jc w:val="both"/>
        <w:rPr>
          <w:b/>
          <w:bCs/>
        </w:rPr>
      </w:pPr>
      <w:bookmarkStart w:id="95" w:name="_Toc240997025"/>
      <w:r w:rsidRPr="00CD6880">
        <w:rPr>
          <w:b/>
          <w:bCs/>
        </w:rPr>
        <w:t>6.9 Final Conclusion</w:t>
      </w:r>
      <w:bookmarkEnd w:id="95"/>
    </w:p>
    <w:p w14:paraId="72AA6EE1" w14:textId="77777777" w:rsidR="00BD14B9" w:rsidRDefault="00BD14B9" w:rsidP="008A4AED">
      <w:pPr>
        <w:jc w:val="both"/>
      </w:pPr>
      <w:r>
        <w:t>This dissertation examined how AI</w:t>
      </w:r>
      <w:r>
        <w:rPr>
          <w:rFonts w:ascii="Cambria Math" w:hAnsi="Cambria Math" w:cs="Cambria Math"/>
        </w:rPr>
        <w:t>‑</w:t>
      </w:r>
      <w:r>
        <w:t xml:space="preserve">mediated recruitment is governed within MNCs operating across European and Asian contexts (Tsiskaridze, Reinhold and </w:t>
      </w:r>
      <w:r w:rsidR="000C5362">
        <w:t>Jarvis, 2023).</w:t>
      </w:r>
      <w:r>
        <w:t xml:space="preserve"> The findings show that responsible AI recruitment cannot be treated solely as a technological issue (Selbst et al., 2019), but depends on the interaction between system design, organisational governance and institutional contexts (</w:t>
      </w:r>
      <w:proofErr w:type="spellStart"/>
      <w:r>
        <w:t>Prikshat</w:t>
      </w:r>
      <w:proofErr w:type="spellEnd"/>
      <w:r w:rsidR="000C5362">
        <w:t>, Malik and Budhwar,</w:t>
      </w:r>
      <w:r>
        <w:t xml:space="preserve"> 2023).</w:t>
      </w:r>
    </w:p>
    <w:p w14:paraId="0F6C961E" w14:textId="77777777" w:rsidR="00BD14B9" w:rsidRDefault="00BD14B9" w:rsidP="008A4AED">
      <w:pPr>
        <w:jc w:val="both"/>
      </w:pPr>
      <w:r>
        <w:t xml:space="preserve">The integrated pathway (institutional context → organisational governance → technical system → outcomes) provides a framework for understanding how these dimensions interact (Rigotti and </w:t>
      </w:r>
      <w:proofErr w:type="spellStart"/>
      <w:r>
        <w:t>Fosch</w:t>
      </w:r>
      <w:proofErr w:type="spellEnd"/>
      <w:r>
        <w:rPr>
          <w:rFonts w:ascii="Cambria Math" w:hAnsi="Cambria Math" w:cs="Cambria Math"/>
        </w:rPr>
        <w:t>‑</w:t>
      </w:r>
      <w:r>
        <w:t>Villaronga, 2024). The four key patterns identified (formal–substantive governance gap, interaction between dimensions, MNC governance complexity, uneven evidence) reveal critical challenges for responsible AI recruitment (</w:t>
      </w:r>
      <w:r w:rsidR="000C5362">
        <w:t xml:space="preserve">Batool, </w:t>
      </w:r>
      <w:proofErr w:type="spellStart"/>
      <w:r w:rsidR="000C5362">
        <w:t>Zowghi</w:t>
      </w:r>
      <w:proofErr w:type="spellEnd"/>
      <w:r w:rsidR="000C5362">
        <w:t xml:space="preserve"> and Bano, 2023</w:t>
      </w:r>
      <w:r>
        <w:t>).</w:t>
      </w:r>
    </w:p>
    <w:p w14:paraId="53C7B16C" w14:textId="77777777" w:rsidR="000C5362" w:rsidRDefault="000C5362" w:rsidP="008A4AED">
      <w:pPr>
        <w:jc w:val="both"/>
      </w:pPr>
      <w:r>
        <w:t>The Europe–Asia comparison shows that while many governance challenges are shared, regulatory and organisational responses differ significantly. MNCs must balance global standardisation with local adaptation to ensure effective governance across jurisdictions.</w:t>
      </w:r>
    </w:p>
    <w:p w14:paraId="1BA00718" w14:textId="2EEE62BD" w:rsidR="00BD14B9" w:rsidRDefault="00BD14B9" w:rsidP="008A4AED">
      <w:pPr>
        <w:jc w:val="both"/>
      </w:pPr>
      <w:r>
        <w:t xml:space="preserve">Ultimately, responsible AI recruitment requires alignment between technical design, organisational governance and institutional requirements (European </w:t>
      </w:r>
      <w:r w:rsidR="000C5362">
        <w:t>Parliament and Council of the European Union, 2024).</w:t>
      </w:r>
      <w:r>
        <w:t xml:space="preserve"> By addressing the formal–substantive gap, strengthening accountability and investing in meaningful oversight, MNCs can harness AI benefits while mitigating risks (Tambe, Cappelli and Yakubovich, 2019). This study contributes an integrated, comparative framework for governing AI</w:t>
      </w:r>
      <w:r>
        <w:rPr>
          <w:rFonts w:ascii="Cambria Math" w:hAnsi="Cambria Math" w:cs="Cambria Math"/>
        </w:rPr>
        <w:t>‑</w:t>
      </w:r>
      <w:r>
        <w:t>mediated recruitment in MNCs (</w:t>
      </w:r>
      <w:proofErr w:type="spellStart"/>
      <w:r>
        <w:t>Prikshat</w:t>
      </w:r>
      <w:proofErr w:type="spellEnd"/>
      <w:r w:rsidR="000C5362">
        <w:t>, Malik and Budhwar,</w:t>
      </w:r>
      <w:r>
        <w:t xml:space="preserve"> 2023), offering a basis for future research, practice and policy across diverse institutional contexts (Rigotti and </w:t>
      </w:r>
      <w:proofErr w:type="spellStart"/>
      <w:r>
        <w:t>Fosch</w:t>
      </w:r>
      <w:proofErr w:type="spellEnd"/>
      <w:r>
        <w:rPr>
          <w:rFonts w:ascii="Cambria Math" w:hAnsi="Cambria Math" w:cs="Cambria Math"/>
        </w:rPr>
        <w:t>‑</w:t>
      </w:r>
      <w:r>
        <w:t>Villaronga, 2024).</w:t>
      </w:r>
    </w:p>
    <w:p w14:paraId="3207B855" w14:textId="77777777" w:rsidR="00390692" w:rsidRDefault="00390692" w:rsidP="008A4AED">
      <w:pPr>
        <w:jc w:val="both"/>
      </w:pPr>
    </w:p>
    <w:p w14:paraId="418AA432" w14:textId="77777777" w:rsidR="009B31F2" w:rsidRDefault="009B31F2" w:rsidP="008A4AED">
      <w:pPr>
        <w:jc w:val="both"/>
      </w:pPr>
    </w:p>
    <w:p w14:paraId="21700B0F" w14:textId="77777777" w:rsidR="009B31F2" w:rsidRDefault="009B31F2" w:rsidP="008A4AED">
      <w:pPr>
        <w:jc w:val="both"/>
      </w:pPr>
    </w:p>
    <w:p w14:paraId="6CF5E12F" w14:textId="77777777" w:rsidR="009B31F2" w:rsidRDefault="009B31F2" w:rsidP="008A4AED">
      <w:pPr>
        <w:jc w:val="both"/>
      </w:pPr>
    </w:p>
    <w:p w14:paraId="54E4F2C8" w14:textId="77777777" w:rsidR="009B31F2" w:rsidRDefault="009B31F2" w:rsidP="008A4AED">
      <w:pPr>
        <w:jc w:val="both"/>
      </w:pPr>
    </w:p>
    <w:p w14:paraId="0BA9DDCD" w14:textId="77777777" w:rsidR="009B31F2" w:rsidRDefault="009B31F2" w:rsidP="008A4AED">
      <w:pPr>
        <w:jc w:val="both"/>
      </w:pPr>
    </w:p>
    <w:p w14:paraId="77FEF310" w14:textId="77777777" w:rsidR="009B31F2" w:rsidRDefault="009B31F2" w:rsidP="008A4AED">
      <w:pPr>
        <w:jc w:val="both"/>
      </w:pPr>
    </w:p>
    <w:p w14:paraId="1DA5AA4F" w14:textId="77777777" w:rsidR="009B31F2" w:rsidRDefault="009B31F2" w:rsidP="008A4AED">
      <w:pPr>
        <w:jc w:val="both"/>
      </w:pPr>
    </w:p>
    <w:p w14:paraId="2EEDDC33" w14:textId="77777777" w:rsidR="009B31F2" w:rsidRDefault="009B31F2" w:rsidP="008A4AED">
      <w:pPr>
        <w:jc w:val="both"/>
      </w:pPr>
    </w:p>
    <w:p w14:paraId="514359F5" w14:textId="77777777" w:rsidR="009B31F2" w:rsidRDefault="009B31F2" w:rsidP="008A4AED">
      <w:pPr>
        <w:jc w:val="both"/>
      </w:pPr>
    </w:p>
    <w:p w14:paraId="67C3770C" w14:textId="77777777" w:rsidR="009B31F2" w:rsidRDefault="009B31F2" w:rsidP="008A4AED">
      <w:pPr>
        <w:jc w:val="both"/>
      </w:pPr>
    </w:p>
    <w:p w14:paraId="36DEF9C6" w14:textId="77777777" w:rsidR="009B31F2" w:rsidRDefault="009B31F2" w:rsidP="008A4AED">
      <w:pPr>
        <w:jc w:val="both"/>
      </w:pPr>
    </w:p>
    <w:p w14:paraId="1D3762A0" w14:textId="77777777" w:rsidR="009B31F2" w:rsidRDefault="009B31F2" w:rsidP="008A4AED">
      <w:pPr>
        <w:jc w:val="both"/>
      </w:pPr>
    </w:p>
    <w:p w14:paraId="7D239CD8" w14:textId="77777777" w:rsidR="009B31F2" w:rsidRDefault="009B31F2" w:rsidP="008A4AED">
      <w:pPr>
        <w:jc w:val="both"/>
      </w:pPr>
    </w:p>
    <w:p w14:paraId="12268E18" w14:textId="77777777" w:rsidR="009B31F2" w:rsidRDefault="009B31F2" w:rsidP="008A4AED">
      <w:pPr>
        <w:jc w:val="both"/>
      </w:pPr>
    </w:p>
    <w:p w14:paraId="367E9185" w14:textId="77777777" w:rsidR="009B31F2" w:rsidRDefault="009B31F2" w:rsidP="008A4AED">
      <w:pPr>
        <w:jc w:val="both"/>
      </w:pPr>
    </w:p>
    <w:p w14:paraId="21540C9D" w14:textId="77777777" w:rsidR="009B31F2" w:rsidRDefault="009B31F2" w:rsidP="008A4AED">
      <w:pPr>
        <w:jc w:val="both"/>
      </w:pPr>
    </w:p>
    <w:p w14:paraId="694A6AB7" w14:textId="77777777" w:rsidR="009B31F2" w:rsidRDefault="009B31F2" w:rsidP="008A4AED">
      <w:pPr>
        <w:jc w:val="both"/>
      </w:pPr>
    </w:p>
    <w:p w14:paraId="70AA433E" w14:textId="77777777" w:rsidR="009B31F2" w:rsidRDefault="009B31F2" w:rsidP="008A4AED">
      <w:pPr>
        <w:jc w:val="both"/>
      </w:pPr>
    </w:p>
    <w:p w14:paraId="1D4A9B33" w14:textId="77777777" w:rsidR="009B31F2" w:rsidRDefault="009B31F2" w:rsidP="008A4AED">
      <w:pPr>
        <w:jc w:val="both"/>
      </w:pPr>
    </w:p>
    <w:p w14:paraId="1D084FC5" w14:textId="77777777" w:rsidR="009B31F2" w:rsidRDefault="009B31F2" w:rsidP="008A4AED">
      <w:pPr>
        <w:jc w:val="both"/>
      </w:pPr>
    </w:p>
    <w:p w14:paraId="34FADFA5" w14:textId="77777777" w:rsidR="009B31F2" w:rsidRDefault="009B31F2" w:rsidP="008A4AED">
      <w:pPr>
        <w:jc w:val="both"/>
      </w:pPr>
    </w:p>
    <w:p w14:paraId="2F56D86A" w14:textId="77777777" w:rsidR="009B31F2" w:rsidRDefault="009B31F2" w:rsidP="008A4AED">
      <w:pPr>
        <w:jc w:val="both"/>
      </w:pPr>
    </w:p>
    <w:p w14:paraId="14CDACBA" w14:textId="77777777" w:rsidR="009B31F2" w:rsidRDefault="009B31F2" w:rsidP="008A4AED">
      <w:pPr>
        <w:jc w:val="both"/>
      </w:pPr>
    </w:p>
    <w:p w14:paraId="343FC214" w14:textId="77777777" w:rsidR="009B31F2" w:rsidRDefault="009B31F2" w:rsidP="008A4AED">
      <w:pPr>
        <w:jc w:val="both"/>
      </w:pPr>
    </w:p>
    <w:p w14:paraId="7FC26108" w14:textId="2B84819F" w:rsidR="00B205E4" w:rsidRPr="00F449AA" w:rsidRDefault="00B205E4" w:rsidP="00F449AA">
      <w:pPr>
        <w:pStyle w:val="Heading1"/>
        <w:rPr>
          <w:b/>
          <w:bCs/>
        </w:rPr>
      </w:pPr>
      <w:bookmarkStart w:id="96" w:name="_Toc240997026"/>
      <w:r w:rsidRPr="00F449AA">
        <w:rPr>
          <w:b/>
          <w:bCs/>
        </w:rPr>
        <w:t>7.</w:t>
      </w:r>
      <w:r w:rsidR="002D7E25" w:rsidRPr="00F449AA">
        <w:rPr>
          <w:b/>
          <w:bCs/>
        </w:rPr>
        <w:t xml:space="preserve"> Reference</w:t>
      </w:r>
      <w:bookmarkEnd w:id="96"/>
    </w:p>
    <w:p w14:paraId="1D0CC784" w14:textId="69CF06E4" w:rsidR="00B205E4" w:rsidRDefault="00B205E4" w:rsidP="001535C3">
      <w:pPr>
        <w:pStyle w:val="ListParagraph"/>
        <w:numPr>
          <w:ilvl w:val="0"/>
          <w:numId w:val="19"/>
        </w:numPr>
        <w:jc w:val="both"/>
      </w:pPr>
      <w:r>
        <w:t xml:space="preserve">Al Shibly, S., Al-Emran, M., </w:t>
      </w:r>
      <w:proofErr w:type="spellStart"/>
      <w:r>
        <w:t>Almarashdeh</w:t>
      </w:r>
      <w:proofErr w:type="spellEnd"/>
      <w:r>
        <w:t>, I. and Al-Hashimi, A. (2024) Artificial intelligence in human resource management: a systematic review of adoption, benefits and challenges. Journal of Enterprise Information Management, 37(2), pp.123–145. Available at: https://www.emerald.com/jeim [Accessed 2</w:t>
      </w:r>
      <w:r w:rsidR="001408B5">
        <w:t xml:space="preserve">0 </w:t>
      </w:r>
      <w:r>
        <w:t>September 2026].</w:t>
      </w:r>
    </w:p>
    <w:p w14:paraId="0E4EC53C" w14:textId="5ED5FD56" w:rsidR="00B205E4" w:rsidRDefault="00B205E4" w:rsidP="001535C3">
      <w:pPr>
        <w:pStyle w:val="ListParagraph"/>
        <w:numPr>
          <w:ilvl w:val="0"/>
          <w:numId w:val="18"/>
        </w:numPr>
        <w:jc w:val="both"/>
      </w:pPr>
      <w:proofErr w:type="spellStart"/>
      <w:r>
        <w:t>Albaroudi</w:t>
      </w:r>
      <w:proofErr w:type="spellEnd"/>
      <w:r>
        <w:t xml:space="preserve">, A., Mansouri, B. and </w:t>
      </w:r>
      <w:proofErr w:type="spellStart"/>
      <w:r>
        <w:t>Alameer</w:t>
      </w:r>
      <w:proofErr w:type="spellEnd"/>
      <w:r>
        <w:t>, Z. (2024) Mitigating algorithmic bias in hiring: a review of pre</w:t>
      </w:r>
      <w:r w:rsidRPr="00043EB4">
        <w:rPr>
          <w:rFonts w:ascii="Cambria Math" w:hAnsi="Cambria Math" w:cs="Cambria Math"/>
        </w:rPr>
        <w:t>‑</w:t>
      </w:r>
      <w:r>
        <w:t>processing, in</w:t>
      </w:r>
      <w:r w:rsidRPr="00043EB4">
        <w:rPr>
          <w:rFonts w:ascii="Cambria Math" w:hAnsi="Cambria Math" w:cs="Cambria Math"/>
        </w:rPr>
        <w:t>‑</w:t>
      </w:r>
      <w:r>
        <w:t>model and post</w:t>
      </w:r>
      <w:r w:rsidRPr="00043EB4">
        <w:rPr>
          <w:rFonts w:ascii="Cambria Math" w:hAnsi="Cambria Math" w:cs="Cambria Math"/>
        </w:rPr>
        <w:t>‑</w:t>
      </w:r>
      <w:r>
        <w:t xml:space="preserve">hoc approaches. Expert Systems with Applications, 238, 122176. Available at: https://www.sciencedirect.com/journal/expert-systems-with-applications [Accessed </w:t>
      </w:r>
      <w:r w:rsidR="001408B5">
        <w:t>1</w:t>
      </w:r>
      <w:r>
        <w:t>2 September 2026].</w:t>
      </w:r>
    </w:p>
    <w:p w14:paraId="7EF13DB3" w14:textId="7CEAA6C7" w:rsidR="00B205E4" w:rsidRDefault="00B205E4" w:rsidP="001535C3">
      <w:pPr>
        <w:pStyle w:val="ListParagraph"/>
        <w:numPr>
          <w:ilvl w:val="0"/>
          <w:numId w:val="18"/>
        </w:numPr>
        <w:jc w:val="both"/>
      </w:pPr>
      <w:r>
        <w:t xml:space="preserve">Barocas, S. and Selbst, A.D. (2016) Big data’s disparate impact. California Law Review, 104(3), pp.671–732. Available at: https://www.californialawreview.org/print/big-datas-disparate-impact [Accessed </w:t>
      </w:r>
      <w:r w:rsidR="001408B5">
        <w:t>1</w:t>
      </w:r>
      <w:r>
        <w:t>2 September 2026].</w:t>
      </w:r>
    </w:p>
    <w:p w14:paraId="07D8F0FF" w14:textId="72533A41" w:rsidR="00B205E4" w:rsidRDefault="00B205E4" w:rsidP="001535C3">
      <w:pPr>
        <w:pStyle w:val="ListParagraph"/>
        <w:numPr>
          <w:ilvl w:val="0"/>
          <w:numId w:val="18"/>
        </w:numPr>
        <w:jc w:val="both"/>
      </w:pPr>
      <w:r>
        <w:t>Batool, M. and Rashid, M. (2023) Asian perspective of artificial intelligence in hiring: a systematic review. Al</w:t>
      </w:r>
      <w:r w:rsidRPr="00043EB4">
        <w:rPr>
          <w:rFonts w:ascii="Cambria Math" w:hAnsi="Cambria Math" w:cs="Cambria Math"/>
        </w:rPr>
        <w:t>‑</w:t>
      </w:r>
      <w:proofErr w:type="spellStart"/>
      <w:r>
        <w:t>Qantara</w:t>
      </w:r>
      <w:proofErr w:type="spellEnd"/>
      <w:r>
        <w:t xml:space="preserve">, 9(3), pp.219–244. Available at: </w:t>
      </w:r>
      <w:r>
        <w:lastRenderedPageBreak/>
        <w:t xml:space="preserve">https://journal.unj.ac.id/unj/index.php/jdmb/article/view/50407 [Accessed </w:t>
      </w:r>
      <w:r w:rsidR="001408B5">
        <w:t>13</w:t>
      </w:r>
      <w:r>
        <w:t xml:space="preserve"> September 2026].</w:t>
      </w:r>
    </w:p>
    <w:p w14:paraId="28A20895" w14:textId="71CBD8EE" w:rsidR="00B205E4" w:rsidRDefault="00B205E4" w:rsidP="001535C3">
      <w:pPr>
        <w:pStyle w:val="ListParagraph"/>
        <w:numPr>
          <w:ilvl w:val="0"/>
          <w:numId w:val="18"/>
        </w:numPr>
        <w:jc w:val="both"/>
      </w:pPr>
      <w:r>
        <w:t xml:space="preserve">Batool, M., </w:t>
      </w:r>
      <w:proofErr w:type="spellStart"/>
      <w:r>
        <w:t>Zowghi</w:t>
      </w:r>
      <w:proofErr w:type="spellEnd"/>
      <w:r>
        <w:t xml:space="preserve">, D. and Bano, M. (2023) AI governance and accountability in hiring: a systematic mapping of organisational practices. Journal of Responsible Technology, 15, 100067. Available at: https://www.sciencedirect.com/journal/journal-of-responsible-technology [Accessed </w:t>
      </w:r>
      <w:r w:rsidR="001408B5">
        <w:t>15</w:t>
      </w:r>
      <w:r>
        <w:t xml:space="preserve"> September 2026].</w:t>
      </w:r>
    </w:p>
    <w:p w14:paraId="6B2FFA78" w14:textId="6B1DF3CE" w:rsidR="00B205E4" w:rsidRDefault="00B205E4" w:rsidP="001535C3">
      <w:pPr>
        <w:pStyle w:val="ListParagraph"/>
        <w:numPr>
          <w:ilvl w:val="0"/>
          <w:numId w:val="18"/>
        </w:numPr>
        <w:jc w:val="both"/>
      </w:pPr>
      <w:r>
        <w:t xml:space="preserve">Baxter, G. and Sommerville, I. (2011) Socio-technical systems: from design methods to systems engineering. Interacting with Computers, 23(1), pp.4–17. Available at: https://doi.org/10.1016/j.intcom.2010.07.003 [Accessed </w:t>
      </w:r>
      <w:r w:rsidR="001408B5">
        <w:t>17</w:t>
      </w:r>
      <w:r>
        <w:t xml:space="preserve"> September 2026].</w:t>
      </w:r>
    </w:p>
    <w:p w14:paraId="2AA8AC3B" w14:textId="7527F2EC" w:rsidR="00B205E4" w:rsidRDefault="00B205E4" w:rsidP="001535C3">
      <w:pPr>
        <w:pStyle w:val="ListParagraph"/>
        <w:numPr>
          <w:ilvl w:val="0"/>
          <w:numId w:val="18"/>
        </w:numPr>
        <w:jc w:val="both"/>
      </w:pPr>
      <w:r>
        <w:t xml:space="preserve">Bhaskar, R. (1978) A realist theory of science. 2nd </w:t>
      </w:r>
      <w:proofErr w:type="spellStart"/>
      <w:r>
        <w:t>edn</w:t>
      </w:r>
      <w:proofErr w:type="spellEnd"/>
      <w:r>
        <w:t xml:space="preserve">. London: Verso. Available at: https://www.versobooks.com [Accessed </w:t>
      </w:r>
      <w:r w:rsidR="001408B5">
        <w:t>11</w:t>
      </w:r>
      <w:r>
        <w:t xml:space="preserve"> September 2026].</w:t>
      </w:r>
    </w:p>
    <w:p w14:paraId="23E416CC" w14:textId="554C8020" w:rsidR="00B205E4" w:rsidRDefault="00B205E4" w:rsidP="001535C3">
      <w:pPr>
        <w:pStyle w:val="ListParagraph"/>
        <w:numPr>
          <w:ilvl w:val="0"/>
          <w:numId w:val="18"/>
        </w:numPr>
        <w:jc w:val="both"/>
      </w:pPr>
      <w:r>
        <w:t xml:space="preserve">Booth, A., Sutton, A. and Papaioannou, D. (2016) Systematic approaches to a successful literature review. 2nd </w:t>
      </w:r>
      <w:proofErr w:type="spellStart"/>
      <w:r>
        <w:t>edn</w:t>
      </w:r>
      <w:proofErr w:type="spellEnd"/>
      <w:r>
        <w:t xml:space="preserve">. London: SAGE. Available at: https://uk.sagepub.com/en-gb/eur/systematic-approaches-to-a-successful-literature-review/book244966 [Accessed </w:t>
      </w:r>
      <w:r w:rsidR="001408B5">
        <w:t>07</w:t>
      </w:r>
      <w:r>
        <w:t xml:space="preserve"> September 2026].</w:t>
      </w:r>
    </w:p>
    <w:p w14:paraId="59428B43" w14:textId="2E7636D1" w:rsidR="00043EB4" w:rsidRDefault="00B205E4" w:rsidP="001535C3">
      <w:pPr>
        <w:pStyle w:val="ListParagraph"/>
        <w:numPr>
          <w:ilvl w:val="0"/>
          <w:numId w:val="18"/>
        </w:numPr>
        <w:jc w:val="both"/>
      </w:pPr>
      <w:proofErr w:type="spellStart"/>
      <w:r>
        <w:t>Budhwar</w:t>
      </w:r>
      <w:proofErr w:type="spellEnd"/>
      <w:r>
        <w:t xml:space="preserve">, P., Malik, A., De Silva, M.T. and </w:t>
      </w:r>
      <w:proofErr w:type="spellStart"/>
      <w:r>
        <w:t>Thevisuthan</w:t>
      </w:r>
      <w:proofErr w:type="spellEnd"/>
      <w:r>
        <w:t xml:space="preserve">, P. (2022) Artificial intelligence – challenges and opportunities for international HRM: a review and research agenda. The International Journal of Human Resource Management, 33(6), pp.1065–1097. Available at: https://doi.org/10.1080/09585192.2022.2035161 [Accessed </w:t>
      </w:r>
      <w:r w:rsidR="00EA1BF1">
        <w:t>1</w:t>
      </w:r>
      <w:r>
        <w:t xml:space="preserve"> September 2026].</w:t>
      </w:r>
    </w:p>
    <w:p w14:paraId="15CD12D4" w14:textId="77777777" w:rsidR="00043EB4" w:rsidRDefault="00B205E4" w:rsidP="001535C3">
      <w:pPr>
        <w:pStyle w:val="ListParagraph"/>
        <w:numPr>
          <w:ilvl w:val="0"/>
          <w:numId w:val="18"/>
        </w:numPr>
        <w:jc w:val="both"/>
      </w:pPr>
      <w:r>
        <w:t>CASP (2018) CASP checklists. Critical Appraisal Skills Programme. Available at: https://casp-uk.net/casp-tools-checklists/ [Accessed 22 September 2026].</w:t>
      </w:r>
    </w:p>
    <w:p w14:paraId="5AB415B2" w14:textId="131837F2" w:rsidR="00043EB4" w:rsidRDefault="00B205E4" w:rsidP="001535C3">
      <w:pPr>
        <w:pStyle w:val="ListParagraph"/>
        <w:numPr>
          <w:ilvl w:val="0"/>
          <w:numId w:val="18"/>
        </w:numPr>
        <w:jc w:val="both"/>
      </w:pPr>
      <w:r>
        <w:t>Chamorro</w:t>
      </w:r>
      <w:r w:rsidRPr="00043EB4">
        <w:rPr>
          <w:rFonts w:ascii="Cambria Math" w:hAnsi="Cambria Math" w:cs="Cambria Math"/>
        </w:rPr>
        <w:t>‑</w:t>
      </w:r>
      <w:proofErr w:type="spellStart"/>
      <w:r>
        <w:t>Premuzic</w:t>
      </w:r>
      <w:proofErr w:type="spellEnd"/>
      <w:r>
        <w:t>, T., Wade, M. and Jordan, P. (2019) The AI</w:t>
      </w:r>
      <w:r w:rsidRPr="00043EB4">
        <w:rPr>
          <w:rFonts w:ascii="Cambria Math" w:hAnsi="Cambria Math" w:cs="Cambria Math"/>
        </w:rPr>
        <w:t>‑</w:t>
      </w:r>
      <w:r>
        <w:t xml:space="preserve">powered workplace: how artificial intelligence is transforming work and what it means for business. London: Bloomsbury Business. Available at: https://www.bloomsbury.com [Accessed </w:t>
      </w:r>
      <w:r w:rsidR="00EA1BF1">
        <w:t>0</w:t>
      </w:r>
      <w:r>
        <w:t>2 September 2026].</w:t>
      </w:r>
    </w:p>
    <w:p w14:paraId="64005639" w14:textId="2C3E492F" w:rsidR="00043EB4" w:rsidRDefault="00B205E4" w:rsidP="001535C3">
      <w:pPr>
        <w:pStyle w:val="ListParagraph"/>
        <w:numPr>
          <w:ilvl w:val="0"/>
          <w:numId w:val="18"/>
        </w:numPr>
        <w:jc w:val="both"/>
      </w:pPr>
      <w:r>
        <w:t xml:space="preserve">Clifford Chance (2024) EU AI Act: what it means for employment and HR. Clifford Chance. Available at: https://www.cliffordchance.com [Accessed </w:t>
      </w:r>
      <w:r w:rsidR="00EA1BF1">
        <w:t>1</w:t>
      </w:r>
      <w:r>
        <w:t>2 September 2026].</w:t>
      </w:r>
    </w:p>
    <w:p w14:paraId="5EBEC60C" w14:textId="07042776" w:rsidR="001535C3" w:rsidRDefault="00B205E4" w:rsidP="001535C3">
      <w:pPr>
        <w:pStyle w:val="ListParagraph"/>
        <w:numPr>
          <w:ilvl w:val="0"/>
          <w:numId w:val="18"/>
        </w:numPr>
        <w:jc w:val="both"/>
      </w:pPr>
      <w:r>
        <w:t xml:space="preserve">CMS (2025) AI in recruitment across Europe and Asia: governance and compliance trends. CMS Law. Available at: https://cms-lawnow.com [Accessed </w:t>
      </w:r>
      <w:r w:rsidR="00EA1BF1">
        <w:t>14</w:t>
      </w:r>
      <w:r>
        <w:t xml:space="preserve"> September 2026].</w:t>
      </w:r>
    </w:p>
    <w:p w14:paraId="57C090C0" w14:textId="36F5B96B" w:rsidR="001535C3" w:rsidRDefault="00B205E4" w:rsidP="001535C3">
      <w:pPr>
        <w:pStyle w:val="ListParagraph"/>
        <w:numPr>
          <w:ilvl w:val="0"/>
          <w:numId w:val="18"/>
        </w:numPr>
        <w:jc w:val="both"/>
      </w:pPr>
      <w:r>
        <w:t xml:space="preserve">DiMaggio, P.J. and Powell, W.W. (1983) The iron cage revisited: institutional isomorphism and collective rationality in organizational fields. American Sociological Review, 48(2), pp.147–160. Available at: https://doi.org/10.2307/2095101 [Accessed </w:t>
      </w:r>
      <w:r w:rsidR="00EA1BF1">
        <w:t>15</w:t>
      </w:r>
      <w:r>
        <w:t xml:space="preserve"> September 2026].</w:t>
      </w:r>
    </w:p>
    <w:p w14:paraId="117E0027" w14:textId="5426FD9E" w:rsidR="001535C3" w:rsidRDefault="00B205E4" w:rsidP="001535C3">
      <w:pPr>
        <w:pStyle w:val="ListParagraph"/>
        <w:numPr>
          <w:ilvl w:val="0"/>
          <w:numId w:val="18"/>
        </w:numPr>
        <w:jc w:val="both"/>
      </w:pPr>
      <w:r>
        <w:t xml:space="preserve">European Commission (2024) Regulation (EU) 2024/… on Artificial Intelligence (AI Act). Brussels: European Commission. Available at: https://digital-strategy.ec.europa.eu/en/policies/regulatory-framework-ai [Accessed </w:t>
      </w:r>
      <w:r w:rsidR="00EA1BF1">
        <w:t>17</w:t>
      </w:r>
      <w:r>
        <w:t xml:space="preserve"> September 2026].</w:t>
      </w:r>
    </w:p>
    <w:p w14:paraId="29D888F3" w14:textId="7E24933B" w:rsidR="001535C3" w:rsidRDefault="00B205E4" w:rsidP="001535C3">
      <w:pPr>
        <w:pStyle w:val="ListParagraph"/>
        <w:numPr>
          <w:ilvl w:val="0"/>
          <w:numId w:val="18"/>
        </w:numPr>
        <w:jc w:val="both"/>
      </w:pPr>
      <w:r>
        <w:t xml:space="preserve">European Parliament and Council of the European Union (2024) Regulation (EU) 2024/1689 of the European Parliament and of the Council of 13 June 2024 laying down harmonised rules on artificial intelligence (Artificial Intelligence Act). Official Journal of the European Union, L 2024/1689. Available at: https://eur-lex.europa.eu/eli/reg/2024/1689/oj [Accessed </w:t>
      </w:r>
      <w:r w:rsidR="005F49F6">
        <w:t>15</w:t>
      </w:r>
      <w:r>
        <w:t xml:space="preserve"> September 2026].</w:t>
      </w:r>
    </w:p>
    <w:p w14:paraId="730A8F44" w14:textId="14909820" w:rsidR="001535C3" w:rsidRDefault="00B205E4" w:rsidP="001535C3">
      <w:pPr>
        <w:pStyle w:val="ListParagraph"/>
        <w:numPr>
          <w:ilvl w:val="0"/>
          <w:numId w:val="18"/>
        </w:numPr>
        <w:jc w:val="both"/>
      </w:pPr>
      <w:r>
        <w:t xml:space="preserve">Fazelpour, S., Lipton, Z.C. and Danks, D. (2022) Algorithmic fairness and the situated dynamics of justice. Canadian Journal of Philosophy, 52(1), pp.44–60. Available at: https://doi.org/10.1017/can.2021.24 [Accessed </w:t>
      </w:r>
      <w:r w:rsidR="005F49F6">
        <w:t>05</w:t>
      </w:r>
      <w:r>
        <w:t xml:space="preserve"> September 2026].</w:t>
      </w:r>
    </w:p>
    <w:p w14:paraId="77271E5C" w14:textId="4A66148C" w:rsidR="001535C3" w:rsidRDefault="00B205E4" w:rsidP="001535C3">
      <w:pPr>
        <w:pStyle w:val="ListParagraph"/>
        <w:numPr>
          <w:ilvl w:val="0"/>
          <w:numId w:val="18"/>
        </w:numPr>
        <w:jc w:val="both"/>
      </w:pPr>
      <w:r>
        <w:lastRenderedPageBreak/>
        <w:t xml:space="preserve">Grootendorp, M. (2022) </w:t>
      </w:r>
      <w:proofErr w:type="spellStart"/>
      <w:r>
        <w:t>BERTopic</w:t>
      </w:r>
      <w:proofErr w:type="spellEnd"/>
      <w:r>
        <w:t xml:space="preserve">: neural topic </w:t>
      </w:r>
      <w:proofErr w:type="spellStart"/>
      <w:r>
        <w:t>modeling</w:t>
      </w:r>
      <w:proofErr w:type="spellEnd"/>
      <w:r>
        <w:t xml:space="preserve"> with a class-based TF</w:t>
      </w:r>
      <w:r w:rsidRPr="001535C3">
        <w:rPr>
          <w:rFonts w:ascii="Cambria Math" w:hAnsi="Cambria Math" w:cs="Cambria Math"/>
        </w:rPr>
        <w:t>‑</w:t>
      </w:r>
      <w:r>
        <w:t xml:space="preserve">IDF procedure. </w:t>
      </w:r>
      <w:proofErr w:type="spellStart"/>
      <w:r>
        <w:t>arXiv</w:t>
      </w:r>
      <w:proofErr w:type="spellEnd"/>
      <w:r>
        <w:t xml:space="preserve"> preprint arXiv:2203.05794. Available at: https://arxiv.org/abs/2203.05794 [Accessed </w:t>
      </w:r>
      <w:r w:rsidR="005F49F6">
        <w:t>09</w:t>
      </w:r>
      <w:r>
        <w:t xml:space="preserve"> September 2026].</w:t>
      </w:r>
    </w:p>
    <w:p w14:paraId="32C49699" w14:textId="0DC2BB9E" w:rsidR="001535C3" w:rsidRDefault="00B205E4" w:rsidP="001535C3">
      <w:pPr>
        <w:pStyle w:val="ListParagraph"/>
        <w:numPr>
          <w:ilvl w:val="0"/>
          <w:numId w:val="18"/>
        </w:numPr>
        <w:jc w:val="both"/>
      </w:pPr>
      <w:r>
        <w:t xml:space="preserve">Hong, Q.N., </w:t>
      </w:r>
      <w:proofErr w:type="spellStart"/>
      <w:r>
        <w:t>Pluye</w:t>
      </w:r>
      <w:proofErr w:type="spellEnd"/>
      <w:r>
        <w:t xml:space="preserve">, P., </w:t>
      </w:r>
      <w:proofErr w:type="spellStart"/>
      <w:r>
        <w:t>Fàbregues</w:t>
      </w:r>
      <w:proofErr w:type="spellEnd"/>
      <w:r>
        <w:t xml:space="preserve">, S., Bartlett, G., Boardman, F., Cargo, M., Dagenais, P., Gagnon, M.-P., Griffiths, F., Nicolau, B., </w:t>
      </w:r>
      <w:proofErr w:type="spellStart"/>
      <w:r>
        <w:t>O’Cathain</w:t>
      </w:r>
      <w:proofErr w:type="spellEnd"/>
      <w:r>
        <w:t xml:space="preserve">, A., Rousseau, M.-C. and Vedel, I. (2018) The Mixed Methods Appraisal Tool (MMAT) version 2018 for information professionals and researchers. Education for Information, 34(4), pp.285–291. Available at: http://mixedmethodsappraisaltoolpublic.pbworks.com/w/file/fetch/127916259/MMAT_2018_criteria-manual_2018-08-01_ENG.pdf [Accessed </w:t>
      </w:r>
      <w:r w:rsidR="005F49F6">
        <w:t>10</w:t>
      </w:r>
      <w:r>
        <w:t xml:space="preserve"> September 2026].</w:t>
      </w:r>
    </w:p>
    <w:p w14:paraId="3AD24A11" w14:textId="183552A1" w:rsidR="001535C3" w:rsidRDefault="00B205E4" w:rsidP="001535C3">
      <w:pPr>
        <w:pStyle w:val="ListParagraph"/>
        <w:numPr>
          <w:ilvl w:val="0"/>
          <w:numId w:val="18"/>
        </w:numPr>
        <w:jc w:val="both"/>
      </w:pPr>
      <w:proofErr w:type="spellStart"/>
      <w:r>
        <w:t>Köchling</w:t>
      </w:r>
      <w:proofErr w:type="spellEnd"/>
      <w:r>
        <w:t xml:space="preserve">, A. and Wehner, M.C. (2020) Discriminated by an algorithm: a systematic review of discrimination and fairness by algorithmic decision-making in the context of HR recruitment and HR development. Business Research, 13(3), pp.795–848. Available at: https://doi.org/10.1007/s40685-020-00134-w [Accessed </w:t>
      </w:r>
      <w:r w:rsidR="005F49F6">
        <w:t>10</w:t>
      </w:r>
      <w:r>
        <w:t xml:space="preserve"> September 2026].</w:t>
      </w:r>
    </w:p>
    <w:p w14:paraId="307049E4" w14:textId="206295A1" w:rsidR="001535C3" w:rsidRDefault="00B205E4" w:rsidP="001535C3">
      <w:pPr>
        <w:pStyle w:val="ListParagraph"/>
        <w:numPr>
          <w:ilvl w:val="0"/>
          <w:numId w:val="18"/>
        </w:numPr>
        <w:jc w:val="both"/>
      </w:pPr>
      <w:proofErr w:type="spellStart"/>
      <w:r>
        <w:t>Mökander</w:t>
      </w:r>
      <w:proofErr w:type="spellEnd"/>
      <w:r>
        <w:t xml:space="preserve">, J., Morley, J., Taddeo, V. and </w:t>
      </w:r>
      <w:proofErr w:type="spellStart"/>
      <w:r>
        <w:t>Floridi</w:t>
      </w:r>
      <w:proofErr w:type="spellEnd"/>
      <w:r>
        <w:t xml:space="preserve">, L. (2021) Auditing AI systems: a taxonomy of approaches and a roadmap for governance. Minds and Machines, 31(3), pp.215–234. Available at: https://link.springer.com/journal/11023 [Accessed </w:t>
      </w:r>
      <w:r w:rsidR="005F49F6">
        <w:t>10</w:t>
      </w:r>
      <w:r>
        <w:t xml:space="preserve"> September 2026].</w:t>
      </w:r>
    </w:p>
    <w:p w14:paraId="5ECF6FE4" w14:textId="7F380C08" w:rsidR="001535C3" w:rsidRDefault="00B205E4" w:rsidP="001535C3">
      <w:pPr>
        <w:pStyle w:val="ListParagraph"/>
        <w:numPr>
          <w:ilvl w:val="0"/>
          <w:numId w:val="18"/>
        </w:numPr>
        <w:jc w:val="both"/>
      </w:pPr>
      <w:r>
        <w:t xml:space="preserve">Mujtaba, D.F. and Mahapatra, N.R. (2025) Fairness in AI-driven recruitment: challenges, metrics, methods, and future directions. </w:t>
      </w:r>
      <w:proofErr w:type="spellStart"/>
      <w:r>
        <w:t>arXiv</w:t>
      </w:r>
      <w:proofErr w:type="spellEnd"/>
      <w:r>
        <w:t xml:space="preserve"> preprint. Available at: https://arxiv.org/abs/2405.19699 [Accessed </w:t>
      </w:r>
      <w:r w:rsidR="005F49F6">
        <w:t>10</w:t>
      </w:r>
      <w:r>
        <w:t xml:space="preserve"> September 2026].</w:t>
      </w:r>
    </w:p>
    <w:p w14:paraId="57046348" w14:textId="6766F31A" w:rsidR="001535C3" w:rsidRDefault="00B205E4" w:rsidP="001535C3">
      <w:pPr>
        <w:pStyle w:val="ListParagraph"/>
        <w:numPr>
          <w:ilvl w:val="0"/>
          <w:numId w:val="18"/>
        </w:numPr>
        <w:jc w:val="both"/>
      </w:pPr>
      <w:r>
        <w:t>Nawaz, N. (2024) AI adoption in HRM: a cross</w:t>
      </w:r>
      <w:r w:rsidRPr="001535C3">
        <w:rPr>
          <w:rFonts w:ascii="Cambria Math" w:hAnsi="Cambria Math" w:cs="Cambria Math"/>
        </w:rPr>
        <w:t>‑</w:t>
      </w:r>
      <w:r>
        <w:t xml:space="preserve">sectional survey of managerial perceptions and implementation barriers. Journal of Organizational Change Management, 37(3), pp.301–322. Available at: https://www.emerald.com/jocm [Accessed </w:t>
      </w:r>
      <w:r w:rsidR="005F49F6">
        <w:t>10</w:t>
      </w:r>
      <w:r>
        <w:t xml:space="preserve"> September 2026].</w:t>
      </w:r>
    </w:p>
    <w:p w14:paraId="5E6198BF" w14:textId="33A0A9E3" w:rsidR="001535C3" w:rsidRDefault="00B205E4" w:rsidP="001535C3">
      <w:pPr>
        <w:pStyle w:val="ListParagraph"/>
        <w:numPr>
          <w:ilvl w:val="0"/>
          <w:numId w:val="18"/>
        </w:numPr>
        <w:jc w:val="both"/>
      </w:pPr>
      <w:proofErr w:type="spellStart"/>
      <w:r>
        <w:t>Omniteam</w:t>
      </w:r>
      <w:proofErr w:type="spellEnd"/>
      <w:r>
        <w:t xml:space="preserve"> (2026) EU AI Act and recruitment: what employers need to know in 2026. Omniteam.ai. Available at: https://omniteam.ai/en/post/eu-ai-act-recruitment-compliance-guide/ [Accessed </w:t>
      </w:r>
      <w:r w:rsidR="005F49F6">
        <w:t>12</w:t>
      </w:r>
      <w:r>
        <w:t xml:space="preserve"> September 2026].</w:t>
      </w:r>
    </w:p>
    <w:p w14:paraId="612DBE30" w14:textId="02CA9523" w:rsidR="001535C3" w:rsidRDefault="00B205E4" w:rsidP="001535C3">
      <w:pPr>
        <w:pStyle w:val="ListParagraph"/>
        <w:numPr>
          <w:ilvl w:val="0"/>
          <w:numId w:val="18"/>
        </w:numPr>
        <w:jc w:val="both"/>
      </w:pPr>
      <w:r>
        <w:t xml:space="preserve">Orlikowski, W.J. (1992) The duality of technology: rethinking the concept of technology in organisations. Organization Science, 3(3), pp.398–427. Available at: https://pubsonline.informs.org/doi/10.1287/orsc.3.3.398 [Accessed </w:t>
      </w:r>
      <w:r w:rsidR="005F49F6">
        <w:t>16</w:t>
      </w:r>
      <w:r>
        <w:t xml:space="preserve"> September 2026].</w:t>
      </w:r>
    </w:p>
    <w:p w14:paraId="32E6195F" w14:textId="70BA3F7C" w:rsidR="001535C3" w:rsidRDefault="00B205E4" w:rsidP="001535C3">
      <w:pPr>
        <w:pStyle w:val="ListParagraph"/>
        <w:numPr>
          <w:ilvl w:val="0"/>
          <w:numId w:val="18"/>
        </w:numPr>
        <w:jc w:val="both"/>
      </w:pPr>
      <w:r>
        <w:t xml:space="preserve">Page, M.J., McKenzie, J.E., Bossuyt, P.M., </w:t>
      </w:r>
      <w:proofErr w:type="spellStart"/>
      <w:r>
        <w:t>Boutron</w:t>
      </w:r>
      <w:proofErr w:type="spellEnd"/>
      <w:r>
        <w:t xml:space="preserve">, I., Hoffmann, T.C., Mulrow, C.D., </w:t>
      </w:r>
      <w:proofErr w:type="spellStart"/>
      <w:r>
        <w:t>Shamseer</w:t>
      </w:r>
      <w:proofErr w:type="spellEnd"/>
      <w:r>
        <w:t xml:space="preserve">, L., Tetzlaff, J.M., Akl, E.A., Brennan, S.E., Chou, R., Glanville, J., Grimshaw, J.M., Hróbjartsson, A., Kavanagh, B., McDonald, S., Michie, S., Moher, D., Stewart, L., Welch, V.A. and Whiting, P. (2021) The PRISMA 2020 statement: an updated guideline for reporting systematic reviews. BMJ, 372, n71. Available at: https://doi.org/10.1136/bmj.n71 [Accessed </w:t>
      </w:r>
      <w:r w:rsidR="005F49F6">
        <w:t>11</w:t>
      </w:r>
      <w:r>
        <w:t xml:space="preserve"> September 2026].</w:t>
      </w:r>
    </w:p>
    <w:p w14:paraId="4068147F" w14:textId="67F25148" w:rsidR="001535C3" w:rsidRDefault="00B205E4" w:rsidP="001535C3">
      <w:pPr>
        <w:pStyle w:val="ListParagraph"/>
        <w:numPr>
          <w:ilvl w:val="0"/>
          <w:numId w:val="18"/>
        </w:numPr>
        <w:jc w:val="both"/>
      </w:pPr>
      <w:r>
        <w:t xml:space="preserve">Petticrew, M. and Roberts, H. (2006) Systematic reviews in the social sciences: a practical guide. Malden, MA: Blackwell Publishing. Available at: https://doi.org/10.1002/9780470754887 [Accessed </w:t>
      </w:r>
      <w:r w:rsidR="005F49F6">
        <w:t>18</w:t>
      </w:r>
      <w:r>
        <w:t xml:space="preserve"> September 2026].</w:t>
      </w:r>
    </w:p>
    <w:p w14:paraId="73E734CF" w14:textId="1D908230" w:rsidR="001535C3" w:rsidRDefault="00B205E4" w:rsidP="001535C3">
      <w:pPr>
        <w:pStyle w:val="ListParagraph"/>
        <w:numPr>
          <w:ilvl w:val="0"/>
          <w:numId w:val="18"/>
        </w:numPr>
        <w:jc w:val="both"/>
      </w:pPr>
      <w:r>
        <w:t>Pinsent Masons (2024) A guide to high</w:t>
      </w:r>
      <w:r w:rsidRPr="001535C3">
        <w:rPr>
          <w:rFonts w:ascii="Cambria Math" w:hAnsi="Cambria Math" w:cs="Cambria Math"/>
        </w:rPr>
        <w:t>‑</w:t>
      </w:r>
      <w:r>
        <w:t xml:space="preserve">risk AI systems under the EU AI Act. Pinsent Masons. Available at: https://www.pinsentmasons.com/out-law/guides/guide-to-high-risk-ai-systems-under-the-eu-ai-act [Accessed </w:t>
      </w:r>
      <w:r w:rsidR="005F49F6">
        <w:t>15</w:t>
      </w:r>
      <w:r>
        <w:t xml:space="preserve"> September 2026].</w:t>
      </w:r>
    </w:p>
    <w:p w14:paraId="07E1DFE4" w14:textId="20F3766A" w:rsidR="001535C3" w:rsidRDefault="00B205E4" w:rsidP="001535C3">
      <w:pPr>
        <w:pStyle w:val="ListParagraph"/>
        <w:numPr>
          <w:ilvl w:val="0"/>
          <w:numId w:val="18"/>
        </w:numPr>
        <w:jc w:val="both"/>
      </w:pPr>
      <w:proofErr w:type="spellStart"/>
      <w:r>
        <w:t>Prikshat</w:t>
      </w:r>
      <w:proofErr w:type="spellEnd"/>
      <w:r>
        <w:t xml:space="preserve">, V., Malik, A. and </w:t>
      </w:r>
      <w:proofErr w:type="spellStart"/>
      <w:r>
        <w:t>Budhwar</w:t>
      </w:r>
      <w:proofErr w:type="spellEnd"/>
      <w:r>
        <w:t xml:space="preserve">, P. (2023) Artificial intelligence and human resource management: a systematic review and research agenda. Human Resource Management Review, 33(4), 100979. Available at: https://www.sciencedirect.com/journal/human-resource-management-review [Accessed </w:t>
      </w:r>
      <w:r w:rsidR="005F49F6">
        <w:t>16</w:t>
      </w:r>
      <w:r>
        <w:t xml:space="preserve"> September 2026].</w:t>
      </w:r>
    </w:p>
    <w:p w14:paraId="7F56D683" w14:textId="5A2EF9C3" w:rsidR="001535C3" w:rsidRDefault="00B205E4" w:rsidP="001535C3">
      <w:pPr>
        <w:pStyle w:val="ListParagraph"/>
        <w:numPr>
          <w:ilvl w:val="0"/>
          <w:numId w:val="18"/>
        </w:numPr>
        <w:jc w:val="both"/>
      </w:pPr>
      <w:r>
        <w:lastRenderedPageBreak/>
        <w:t xml:space="preserve">Raghavan, M., Barocas, S., Kleinberg, J. and Levy, K. (2020) Mitigating bias in algorithmic hiring: evaluating claims and practices. Proceedings of the 2020 Conference on Fairness, Accountability, and Transparency, pp.469–481. Available at: https://dl.acm.org/doi/10.1145/3351095.3372865 [Accessed </w:t>
      </w:r>
      <w:r w:rsidR="005F49F6">
        <w:t>1</w:t>
      </w:r>
      <w:r>
        <w:t>2 September 2026].</w:t>
      </w:r>
    </w:p>
    <w:p w14:paraId="417051A2" w14:textId="77777777" w:rsidR="001535C3" w:rsidRDefault="00B205E4" w:rsidP="001535C3">
      <w:pPr>
        <w:pStyle w:val="ListParagraph"/>
        <w:numPr>
          <w:ilvl w:val="0"/>
          <w:numId w:val="18"/>
        </w:numPr>
        <w:jc w:val="both"/>
      </w:pPr>
      <w:r>
        <w:t>Rao, S., Gupta, A., Patel, R. and Singh, V. (2025) Cultural and linguistic bias in AI</w:t>
      </w:r>
      <w:r w:rsidRPr="001535C3">
        <w:rPr>
          <w:rFonts w:ascii="Cambria Math" w:hAnsi="Cambria Math" w:cs="Cambria Math"/>
        </w:rPr>
        <w:t>‑</w:t>
      </w:r>
      <w:r>
        <w:t>mediated video interviews: evidence from India–UK candidate comparisons. International Journal of Selection and Assessment, 33(1), pp.45–62. Available at: https://onlinelibrary.wiley.com/journal/14682389 [Accessed 22 September 2026].</w:t>
      </w:r>
    </w:p>
    <w:p w14:paraId="0CF878DD" w14:textId="7B84535F" w:rsidR="001535C3" w:rsidRDefault="00B205E4" w:rsidP="001535C3">
      <w:pPr>
        <w:pStyle w:val="ListParagraph"/>
        <w:numPr>
          <w:ilvl w:val="0"/>
          <w:numId w:val="18"/>
        </w:numPr>
        <w:jc w:val="both"/>
      </w:pPr>
      <w:r>
        <w:t xml:space="preserve">Regulatory AI (2026) Annex III high-risk AI: obligations, scope and deadline (2 December 2027). Regulation-AI.eu. Available at: https://www.regulation-ai.eu/en/annex-iii/ [Accessed </w:t>
      </w:r>
      <w:r w:rsidR="005F49F6">
        <w:t>1</w:t>
      </w:r>
      <w:r>
        <w:t>2 September 2026].</w:t>
      </w:r>
    </w:p>
    <w:p w14:paraId="334174ED" w14:textId="177D5CAD" w:rsidR="001535C3" w:rsidRDefault="00B205E4" w:rsidP="001535C3">
      <w:pPr>
        <w:pStyle w:val="ListParagraph"/>
        <w:numPr>
          <w:ilvl w:val="0"/>
          <w:numId w:val="18"/>
        </w:numPr>
        <w:jc w:val="both"/>
      </w:pPr>
      <w:r>
        <w:t xml:space="preserve">Rigotti, C. and </w:t>
      </w:r>
      <w:proofErr w:type="spellStart"/>
      <w:r>
        <w:t>Fosch</w:t>
      </w:r>
      <w:proofErr w:type="spellEnd"/>
      <w:r w:rsidRPr="001535C3">
        <w:rPr>
          <w:rFonts w:ascii="Cambria Math" w:hAnsi="Cambria Math" w:cs="Cambria Math"/>
        </w:rPr>
        <w:t>‑</w:t>
      </w:r>
      <w:r>
        <w:t xml:space="preserve">Villaronga, E. (2024) Fairness, AI &amp; recruitment. Computer Law &amp; Security Review, 53, 105966. Available at: https://www.sciencedirect.com/journal/computer-law-and-security-review [Accessed </w:t>
      </w:r>
      <w:r w:rsidR="005F49F6">
        <w:t>1</w:t>
      </w:r>
      <w:r>
        <w:t>2 September 2026].</w:t>
      </w:r>
    </w:p>
    <w:p w14:paraId="712F7C3D" w14:textId="5264727E" w:rsidR="001535C3" w:rsidRDefault="00B205E4" w:rsidP="001535C3">
      <w:pPr>
        <w:pStyle w:val="ListParagraph"/>
        <w:numPr>
          <w:ilvl w:val="0"/>
          <w:numId w:val="18"/>
        </w:numPr>
        <w:jc w:val="both"/>
      </w:pPr>
      <w:r>
        <w:t xml:space="preserve">Scott, W.R. (2014) Institutions and organizations. 4th </w:t>
      </w:r>
      <w:proofErr w:type="spellStart"/>
      <w:r>
        <w:t>edn</w:t>
      </w:r>
      <w:proofErr w:type="spellEnd"/>
      <w:r>
        <w:t xml:space="preserve">. Thousand Oaks, CA: SAGE. Available at: https://uk.sagepub.com/en-gb/eur/institutions-and-organizations/book232759 [Accessed </w:t>
      </w:r>
      <w:r w:rsidR="005F49F6">
        <w:t>14</w:t>
      </w:r>
      <w:r>
        <w:t xml:space="preserve"> September 2026].</w:t>
      </w:r>
    </w:p>
    <w:p w14:paraId="45BE2FB0" w14:textId="3B6FD166" w:rsidR="001535C3" w:rsidRDefault="00B205E4" w:rsidP="001535C3">
      <w:pPr>
        <w:pStyle w:val="ListParagraph"/>
        <w:numPr>
          <w:ilvl w:val="0"/>
          <w:numId w:val="18"/>
        </w:numPr>
        <w:jc w:val="both"/>
      </w:pPr>
      <w:r>
        <w:t xml:space="preserve">Selbst, A.D., Boyd, D., Friedler, S.A., Venkatasubramanian, S. and Vertesi, J. (2019) Fairness and abstraction in sociotechnical systems. Proceedings of the Conference on Fairness, Accountability, and Transparency, pp.59–68. Available at: https://dl.acm.org/doi/10.1145/3287560.3287598 [Accessed </w:t>
      </w:r>
      <w:r w:rsidR="005F49F6">
        <w:t>14</w:t>
      </w:r>
      <w:r>
        <w:t xml:space="preserve"> September 2026].</w:t>
      </w:r>
    </w:p>
    <w:p w14:paraId="2C38529F" w14:textId="44EBC759" w:rsidR="001535C3" w:rsidRDefault="00B205E4" w:rsidP="001535C3">
      <w:pPr>
        <w:pStyle w:val="ListParagraph"/>
        <w:numPr>
          <w:ilvl w:val="0"/>
          <w:numId w:val="18"/>
        </w:numPr>
        <w:jc w:val="both"/>
      </w:pPr>
      <w:r>
        <w:t xml:space="preserve">Tambe, P., Cappelli, P. and Yakubovich, V. (2019) Artificial intelligence in human resources management: challenges and a path forward. California Management Review, 61(4), pp.15–42. Available at: https://cmr.berkeley.edu [Accessed </w:t>
      </w:r>
      <w:r w:rsidR="005F49F6">
        <w:t>14</w:t>
      </w:r>
      <w:r>
        <w:t xml:space="preserve"> September 2026].</w:t>
      </w:r>
    </w:p>
    <w:p w14:paraId="07C675E2" w14:textId="164DB281" w:rsidR="001535C3" w:rsidRDefault="00B205E4" w:rsidP="001535C3">
      <w:pPr>
        <w:pStyle w:val="ListParagraph"/>
        <w:numPr>
          <w:ilvl w:val="0"/>
          <w:numId w:val="18"/>
        </w:numPr>
        <w:jc w:val="both"/>
      </w:pPr>
      <w:r>
        <w:t xml:space="preserve">Thomas, J. and Harden, A. (2008) Methods for the thematic synthesis of qualitative research in systematic reviews. BMC Medical Research Methodology, 8, 45. Available at: https://doi.org/10.1186/1471-2288-8-45 [Accessed </w:t>
      </w:r>
      <w:r w:rsidR="005F49F6">
        <w:t>16</w:t>
      </w:r>
      <w:r>
        <w:t xml:space="preserve"> September 2026].</w:t>
      </w:r>
    </w:p>
    <w:p w14:paraId="63A50397" w14:textId="3FF48133" w:rsidR="001535C3" w:rsidRDefault="00B205E4" w:rsidP="001535C3">
      <w:pPr>
        <w:pStyle w:val="ListParagraph"/>
        <w:numPr>
          <w:ilvl w:val="0"/>
          <w:numId w:val="18"/>
        </w:numPr>
        <w:jc w:val="both"/>
      </w:pPr>
      <w:proofErr w:type="spellStart"/>
      <w:r>
        <w:t>Tranfield</w:t>
      </w:r>
      <w:proofErr w:type="spellEnd"/>
      <w:r>
        <w:t>, D., Denyer, D. and Smart, P. (2003) Towards a methodology for developing evidence</w:t>
      </w:r>
      <w:r w:rsidRPr="001535C3">
        <w:rPr>
          <w:rFonts w:ascii="Cambria Math" w:hAnsi="Cambria Math" w:cs="Cambria Math"/>
        </w:rPr>
        <w:t>‑</w:t>
      </w:r>
      <w:r>
        <w:t xml:space="preserve">informed management knowledge by means of systematic review. British Journal of Management, 14(3), pp.207–222. Available at: https://doi.org/10.1111/1467-8551.00375 [Accessed </w:t>
      </w:r>
      <w:r w:rsidR="005F49F6">
        <w:t>16</w:t>
      </w:r>
      <w:r>
        <w:t xml:space="preserve"> September 2026].</w:t>
      </w:r>
    </w:p>
    <w:p w14:paraId="4C87A34D" w14:textId="52972FB3" w:rsidR="001535C3" w:rsidRDefault="00B205E4" w:rsidP="001535C3">
      <w:pPr>
        <w:pStyle w:val="ListParagraph"/>
        <w:numPr>
          <w:ilvl w:val="0"/>
          <w:numId w:val="18"/>
        </w:numPr>
        <w:jc w:val="both"/>
      </w:pPr>
      <w:r>
        <w:t>Trist, E.L. (1981) The evolution of socio</w:t>
      </w:r>
      <w:r w:rsidRPr="001535C3">
        <w:rPr>
          <w:rFonts w:ascii="Cambria Math" w:hAnsi="Cambria Math" w:cs="Cambria Math"/>
        </w:rPr>
        <w:t>‑</w:t>
      </w:r>
      <w:r>
        <w:t xml:space="preserve">technical systems: a conceptual framework and an action research program. In: Van de Ven, A. and Joyce, W.F., eds. Perspectives in organizational design and </w:t>
      </w:r>
      <w:proofErr w:type="spellStart"/>
      <w:r>
        <w:t>behavior</w:t>
      </w:r>
      <w:proofErr w:type="spellEnd"/>
      <w:r>
        <w:t xml:space="preserve">. New York: Wiley, pp.32–47. Available at: https://archive.org/details/39120320010110 [Accessed </w:t>
      </w:r>
      <w:r w:rsidR="005F49F6">
        <w:t>17</w:t>
      </w:r>
      <w:r>
        <w:t xml:space="preserve"> September 2026].</w:t>
      </w:r>
    </w:p>
    <w:p w14:paraId="0A90ACF3" w14:textId="5B2DC9C6" w:rsidR="001535C3" w:rsidRDefault="00B205E4" w:rsidP="001535C3">
      <w:pPr>
        <w:pStyle w:val="ListParagraph"/>
        <w:numPr>
          <w:ilvl w:val="0"/>
          <w:numId w:val="18"/>
        </w:numPr>
        <w:jc w:val="both"/>
      </w:pPr>
      <w:r>
        <w:t xml:space="preserve">Trist, E.L. and Bamforth, K.W. (1951) Some social and psychological consequences of the longwall method of coal-getting. Human Relations, 4(1), pp.3–38. Available at: https://doi.org/10.1177/001872675100400101 [Accessed </w:t>
      </w:r>
      <w:r w:rsidR="005F49F6">
        <w:t>16</w:t>
      </w:r>
      <w:r>
        <w:t xml:space="preserve"> September 2026].</w:t>
      </w:r>
    </w:p>
    <w:p w14:paraId="6B478FEF" w14:textId="262055E5" w:rsidR="001535C3" w:rsidRDefault="00B205E4" w:rsidP="001535C3">
      <w:pPr>
        <w:pStyle w:val="ListParagraph"/>
        <w:numPr>
          <w:ilvl w:val="0"/>
          <w:numId w:val="18"/>
        </w:numPr>
        <w:jc w:val="both"/>
      </w:pPr>
      <w:r>
        <w:t xml:space="preserve">Tsiskaridze, R., Reinhold, K. and </w:t>
      </w:r>
      <w:r w:rsidRPr="00097C1E">
        <w:rPr>
          <w:i/>
          <w:iCs/>
        </w:rPr>
        <w:t>Järvis</w:t>
      </w:r>
      <w:r>
        <w:t xml:space="preserve">, M. (2023) Innovating HRM recruitment: a comprehensive review of AI deployment. Marketing and Management of Innovations, 14(4), pp.239–254. Available at: https://doi.org/10.21272/mmi.2023.4-18 [Accessed </w:t>
      </w:r>
      <w:r w:rsidR="005F49F6">
        <w:t xml:space="preserve">05 </w:t>
      </w:r>
      <w:r>
        <w:t>September 2026].</w:t>
      </w:r>
    </w:p>
    <w:p w14:paraId="5DA0A416" w14:textId="68358D63" w:rsidR="00B205E4" w:rsidRDefault="00B205E4" w:rsidP="00D5626C">
      <w:pPr>
        <w:pStyle w:val="ListParagraph"/>
        <w:numPr>
          <w:ilvl w:val="0"/>
          <w:numId w:val="18"/>
        </w:numPr>
        <w:jc w:val="both"/>
      </w:pPr>
      <w:r>
        <w:t xml:space="preserve">Upadhyay, A.K. and Khandelwal, K. (2018) Applying artificial intelligence: implications for recruitment. Strategic HR Review, 17(5), pp.255–258. Available at: </w:t>
      </w:r>
      <w:hyperlink r:id="rId11" w:history="1">
        <w:r w:rsidR="00882B94" w:rsidRPr="00B02F1D">
          <w:rPr>
            <w:rStyle w:val="Hyperlink"/>
          </w:rPr>
          <w:t>https://doi.org/10.110</w:t>
        </w:r>
      </w:hyperlink>
      <w:r>
        <w:t xml:space="preserve">8/SHR-07-2018-0051 [Accessed </w:t>
      </w:r>
      <w:r w:rsidR="00DB03B4">
        <w:t>08</w:t>
      </w:r>
      <w:r w:rsidR="00C13F2C">
        <w:t xml:space="preserve"> </w:t>
      </w:r>
      <w:r>
        <w:t>September 2026].</w:t>
      </w:r>
    </w:p>
    <w:p w14:paraId="6420FD5F" w14:textId="77777777" w:rsidR="00040C70" w:rsidRDefault="00040C70" w:rsidP="00040C70">
      <w:pPr>
        <w:jc w:val="both"/>
      </w:pPr>
    </w:p>
    <w:p w14:paraId="26B7F19B" w14:textId="77777777" w:rsidR="00040C70" w:rsidRDefault="00040C70" w:rsidP="00040C70">
      <w:pPr>
        <w:jc w:val="both"/>
      </w:pPr>
    </w:p>
    <w:p w14:paraId="4FCA96AA" w14:textId="77777777" w:rsidR="00040C70" w:rsidRDefault="00040C70" w:rsidP="00040C70">
      <w:pPr>
        <w:jc w:val="both"/>
      </w:pPr>
    </w:p>
    <w:p w14:paraId="492FAC41" w14:textId="77777777" w:rsidR="00040C70" w:rsidRDefault="00040C70" w:rsidP="00040C70">
      <w:pPr>
        <w:jc w:val="both"/>
      </w:pPr>
    </w:p>
    <w:p w14:paraId="6F17F8BF" w14:textId="77777777" w:rsidR="00A7166E" w:rsidRDefault="00A7166E" w:rsidP="00040C70">
      <w:pPr>
        <w:jc w:val="both"/>
      </w:pPr>
    </w:p>
    <w:p w14:paraId="188CC736" w14:textId="77777777" w:rsidR="00A7166E" w:rsidRDefault="00A7166E" w:rsidP="00040C70">
      <w:pPr>
        <w:jc w:val="both"/>
      </w:pPr>
    </w:p>
    <w:p w14:paraId="38BA2B4B" w14:textId="77777777" w:rsidR="00A7166E" w:rsidRDefault="00A7166E" w:rsidP="00040C70">
      <w:pPr>
        <w:jc w:val="both"/>
      </w:pPr>
    </w:p>
    <w:p w14:paraId="161CC791" w14:textId="77777777" w:rsidR="00A7166E" w:rsidRDefault="00A7166E" w:rsidP="00040C70">
      <w:pPr>
        <w:jc w:val="both"/>
      </w:pPr>
    </w:p>
    <w:p w14:paraId="26AE2761" w14:textId="77777777" w:rsidR="00A7166E" w:rsidRDefault="00A7166E" w:rsidP="00040C70">
      <w:pPr>
        <w:jc w:val="both"/>
      </w:pPr>
    </w:p>
    <w:p w14:paraId="09EFA3FC" w14:textId="77777777" w:rsidR="00A7166E" w:rsidRDefault="00A7166E" w:rsidP="00040C70">
      <w:pPr>
        <w:jc w:val="both"/>
      </w:pPr>
    </w:p>
    <w:p w14:paraId="4DC4D947" w14:textId="77777777" w:rsidR="00A7166E" w:rsidRDefault="00A7166E" w:rsidP="00040C70">
      <w:pPr>
        <w:jc w:val="both"/>
      </w:pPr>
    </w:p>
    <w:p w14:paraId="3BDEECED" w14:textId="77777777" w:rsidR="00A7166E" w:rsidRDefault="00A7166E" w:rsidP="00040C70">
      <w:pPr>
        <w:jc w:val="both"/>
      </w:pPr>
    </w:p>
    <w:p w14:paraId="541BBAA0" w14:textId="77777777" w:rsidR="00A7166E" w:rsidRDefault="00A7166E" w:rsidP="00040C70">
      <w:pPr>
        <w:jc w:val="both"/>
      </w:pPr>
    </w:p>
    <w:p w14:paraId="38BBF23A" w14:textId="77777777" w:rsidR="00A7166E" w:rsidRDefault="00A7166E" w:rsidP="00040C70">
      <w:pPr>
        <w:jc w:val="both"/>
      </w:pPr>
    </w:p>
    <w:p w14:paraId="010D110F" w14:textId="77777777" w:rsidR="00A7166E" w:rsidRDefault="00A7166E" w:rsidP="00040C70">
      <w:pPr>
        <w:jc w:val="both"/>
      </w:pPr>
    </w:p>
    <w:p w14:paraId="51258414" w14:textId="77777777" w:rsidR="00A7166E" w:rsidRDefault="00A7166E" w:rsidP="00040C70">
      <w:pPr>
        <w:jc w:val="both"/>
      </w:pPr>
    </w:p>
    <w:p w14:paraId="2F86CFC2" w14:textId="77777777" w:rsidR="00A7166E" w:rsidRDefault="00A7166E" w:rsidP="00040C70">
      <w:pPr>
        <w:jc w:val="both"/>
      </w:pPr>
    </w:p>
    <w:p w14:paraId="77979FAB" w14:textId="77777777" w:rsidR="00A7166E" w:rsidRDefault="00A7166E" w:rsidP="00040C70">
      <w:pPr>
        <w:jc w:val="both"/>
      </w:pPr>
    </w:p>
    <w:p w14:paraId="2A814236" w14:textId="77777777" w:rsidR="00A7166E" w:rsidRDefault="00A7166E" w:rsidP="00040C70">
      <w:pPr>
        <w:jc w:val="both"/>
      </w:pPr>
    </w:p>
    <w:p w14:paraId="1829DF84" w14:textId="77777777" w:rsidR="00A7166E" w:rsidRDefault="00A7166E" w:rsidP="00040C70">
      <w:pPr>
        <w:jc w:val="both"/>
      </w:pPr>
    </w:p>
    <w:p w14:paraId="4915DB97" w14:textId="77777777" w:rsidR="00040C70" w:rsidRDefault="00040C70" w:rsidP="00040C70">
      <w:pPr>
        <w:jc w:val="both"/>
      </w:pPr>
    </w:p>
    <w:p w14:paraId="22E25BA7" w14:textId="5F7FDEB5" w:rsidR="00040C70" w:rsidRPr="002C74BC" w:rsidRDefault="000C7FA6" w:rsidP="002C74BC">
      <w:pPr>
        <w:pStyle w:val="Heading1"/>
        <w:rPr>
          <w:b/>
        </w:rPr>
      </w:pPr>
      <w:bookmarkStart w:id="97" w:name="_Toc240997027"/>
      <w:r>
        <w:rPr>
          <w:b/>
        </w:rPr>
        <w:t xml:space="preserve">8. </w:t>
      </w:r>
      <w:r w:rsidR="00D07E6D" w:rsidRPr="002C74BC">
        <w:rPr>
          <w:b/>
        </w:rPr>
        <w:t>APPENDICES</w:t>
      </w:r>
      <w:bookmarkEnd w:id="97"/>
    </w:p>
    <w:p w14:paraId="3D4D9E2B" w14:textId="77777777" w:rsidR="00FE5B14" w:rsidRPr="002C74BC" w:rsidRDefault="00FE5B14" w:rsidP="002C74BC">
      <w:pPr>
        <w:pStyle w:val="Heading2"/>
        <w:rPr>
          <w:b/>
        </w:rPr>
      </w:pPr>
      <w:bookmarkStart w:id="98" w:name="_Toc240997028"/>
      <w:r w:rsidRPr="002C74BC">
        <w:rPr>
          <w:b/>
        </w:rPr>
        <w:t>APPENDIX A: SEARCH STRATEGY AND SEARCH STRINGS</w:t>
      </w:r>
      <w:bookmarkEnd w:id="98"/>
    </w:p>
    <w:p w14:paraId="65B9BEB8" w14:textId="77777777" w:rsidR="00FE5B14" w:rsidRPr="008A606E" w:rsidRDefault="00FE5B14" w:rsidP="00FE5B14">
      <w:pPr>
        <w:jc w:val="both"/>
        <w:rPr>
          <w:b/>
          <w:color w:val="000000" w:themeColor="text1"/>
          <w:sz w:val="28"/>
          <w:szCs w:val="28"/>
        </w:rPr>
      </w:pPr>
      <w:r w:rsidRPr="008A606E">
        <w:rPr>
          <w:b/>
          <w:color w:val="000000" w:themeColor="text1"/>
          <w:sz w:val="28"/>
          <w:szCs w:val="28"/>
        </w:rPr>
        <w:t>Purpose</w:t>
      </w:r>
    </w:p>
    <w:p w14:paraId="0299E196" w14:textId="21D696A7" w:rsidR="00FE5B14" w:rsidRDefault="00FE5B14" w:rsidP="00040C70">
      <w:pPr>
        <w:jc w:val="both"/>
      </w:pPr>
      <w:r>
        <w:t>This appendix documents the systematic search strategy employed to identify relevant literature, ensuring transparency, replicability, and comprehensiveness, consistent with PRISMA 2020 and established SLR standards.</w:t>
      </w:r>
    </w:p>
    <w:p w14:paraId="636D8FEA" w14:textId="526BD9F9" w:rsidR="001E3A21" w:rsidRPr="008A606E" w:rsidRDefault="000A4E88" w:rsidP="00040C70">
      <w:pPr>
        <w:jc w:val="both"/>
        <w:rPr>
          <w:b/>
          <w:color w:val="000000" w:themeColor="text1"/>
          <w:sz w:val="28"/>
          <w:szCs w:val="28"/>
        </w:rPr>
      </w:pPr>
      <w:r w:rsidRPr="008A606E">
        <w:rPr>
          <w:b/>
          <w:color w:val="000000" w:themeColor="text1"/>
          <w:sz w:val="28"/>
          <w:szCs w:val="28"/>
        </w:rPr>
        <w:t>Databases Searched</w:t>
      </w:r>
    </w:p>
    <w:tbl>
      <w:tblPr>
        <w:tblStyle w:val="TableGrid"/>
        <w:tblW w:w="0" w:type="auto"/>
        <w:tblLook w:val="04A0" w:firstRow="1" w:lastRow="0" w:firstColumn="1" w:lastColumn="0" w:noHBand="0" w:noVBand="1"/>
      </w:tblPr>
      <w:tblGrid>
        <w:gridCol w:w="5225"/>
        <w:gridCol w:w="5225"/>
      </w:tblGrid>
      <w:tr w:rsidR="000A4E88" w14:paraId="1C0F0732" w14:textId="77777777" w:rsidTr="0034695E">
        <w:tc>
          <w:tcPr>
            <w:tcW w:w="5225" w:type="dxa"/>
          </w:tcPr>
          <w:p w14:paraId="573B543A" w14:textId="563199A9" w:rsidR="000A4E88" w:rsidRDefault="002B770E" w:rsidP="00040C70">
            <w:pPr>
              <w:jc w:val="both"/>
            </w:pPr>
            <w:r w:rsidRPr="002B770E">
              <w:t>Database</w:t>
            </w:r>
          </w:p>
        </w:tc>
        <w:tc>
          <w:tcPr>
            <w:tcW w:w="5225" w:type="dxa"/>
          </w:tcPr>
          <w:p w14:paraId="1A1B155B" w14:textId="216DDAB6" w:rsidR="000A4E88" w:rsidRDefault="002A6A8E" w:rsidP="00040C70">
            <w:pPr>
              <w:jc w:val="both"/>
            </w:pPr>
            <w:r w:rsidRPr="002A6A8E">
              <w:t>Rationale</w:t>
            </w:r>
          </w:p>
        </w:tc>
      </w:tr>
      <w:tr w:rsidR="000A4E88" w14:paraId="371393A8" w14:textId="77777777" w:rsidTr="0034695E">
        <w:tc>
          <w:tcPr>
            <w:tcW w:w="5225" w:type="dxa"/>
          </w:tcPr>
          <w:p w14:paraId="0793D96B" w14:textId="62156CE1" w:rsidR="000A4E88" w:rsidRDefault="007908E1" w:rsidP="00040C70">
            <w:pPr>
              <w:jc w:val="both"/>
            </w:pPr>
            <w:r w:rsidRPr="007908E1">
              <w:t>Scopus</w:t>
            </w:r>
          </w:p>
        </w:tc>
        <w:tc>
          <w:tcPr>
            <w:tcW w:w="5225" w:type="dxa"/>
          </w:tcPr>
          <w:p w14:paraId="4E087F97" w14:textId="5A3F9FD5" w:rsidR="000A4E88" w:rsidRDefault="001B1309" w:rsidP="00040C70">
            <w:pPr>
              <w:jc w:val="both"/>
            </w:pPr>
            <w:r w:rsidRPr="001B1309">
              <w:t>Broad interdisciplinary coverage (management, IS, ethics, AI)</w:t>
            </w:r>
          </w:p>
        </w:tc>
      </w:tr>
      <w:tr w:rsidR="000A4E88" w14:paraId="548664E8" w14:textId="77777777" w:rsidTr="0034695E">
        <w:tc>
          <w:tcPr>
            <w:tcW w:w="5225" w:type="dxa"/>
          </w:tcPr>
          <w:p w14:paraId="051458AB" w14:textId="2D463A81" w:rsidR="000A4E88" w:rsidRDefault="00C06956" w:rsidP="00040C70">
            <w:pPr>
              <w:jc w:val="both"/>
            </w:pPr>
            <w:r w:rsidRPr="00C06956">
              <w:lastRenderedPageBreak/>
              <w:t>Web of Science</w:t>
            </w:r>
          </w:p>
        </w:tc>
        <w:tc>
          <w:tcPr>
            <w:tcW w:w="5225" w:type="dxa"/>
          </w:tcPr>
          <w:p w14:paraId="789A5A48" w14:textId="196FFAFC" w:rsidR="000A4E88" w:rsidRDefault="00EA212C" w:rsidP="00040C70">
            <w:pPr>
              <w:jc w:val="both"/>
            </w:pPr>
            <w:r w:rsidRPr="00EA212C">
              <w:t>High-quality peer-reviewed journals across social sciences</w:t>
            </w:r>
          </w:p>
        </w:tc>
      </w:tr>
      <w:tr w:rsidR="000A4E88" w14:paraId="557B79EE" w14:textId="77777777" w:rsidTr="0034695E">
        <w:tc>
          <w:tcPr>
            <w:tcW w:w="5225" w:type="dxa"/>
          </w:tcPr>
          <w:p w14:paraId="42D9EF93" w14:textId="202CEC6C" w:rsidR="000A4E88" w:rsidRDefault="0077229D" w:rsidP="00040C70">
            <w:pPr>
              <w:jc w:val="both"/>
            </w:pPr>
            <w:r w:rsidRPr="0077229D">
              <w:t>ABI/INFORM</w:t>
            </w:r>
          </w:p>
        </w:tc>
        <w:tc>
          <w:tcPr>
            <w:tcW w:w="5225" w:type="dxa"/>
          </w:tcPr>
          <w:p w14:paraId="3DC8A555" w14:textId="0A9DAA9B" w:rsidR="000A4E88" w:rsidRDefault="00637BA4" w:rsidP="00040C70">
            <w:pPr>
              <w:jc w:val="both"/>
            </w:pPr>
            <w:r w:rsidRPr="00637BA4">
              <w:t>Core HRM, organisational, and management studies</w:t>
            </w:r>
          </w:p>
        </w:tc>
      </w:tr>
      <w:tr w:rsidR="000A4E88" w14:paraId="216CFCF6" w14:textId="77777777" w:rsidTr="0034695E">
        <w:tc>
          <w:tcPr>
            <w:tcW w:w="5225" w:type="dxa"/>
          </w:tcPr>
          <w:p w14:paraId="7D01874F" w14:textId="24A49998" w:rsidR="000A4E88" w:rsidRDefault="008730D9" w:rsidP="00040C70">
            <w:pPr>
              <w:jc w:val="both"/>
            </w:pPr>
            <w:r w:rsidRPr="008730D9">
              <w:t>Business Source Complete (EBSCO)</w:t>
            </w:r>
          </w:p>
        </w:tc>
        <w:tc>
          <w:tcPr>
            <w:tcW w:w="5225" w:type="dxa"/>
          </w:tcPr>
          <w:p w14:paraId="3EB0D876" w14:textId="6566B910" w:rsidR="000A4E88" w:rsidRDefault="000D3289" w:rsidP="00040C70">
            <w:pPr>
              <w:jc w:val="both"/>
            </w:pPr>
            <w:r w:rsidRPr="000D3289">
              <w:t>Business and management literature</w:t>
            </w:r>
          </w:p>
        </w:tc>
      </w:tr>
      <w:tr w:rsidR="000A4E88" w14:paraId="1222FD13" w14:textId="77777777" w:rsidTr="0034695E">
        <w:tc>
          <w:tcPr>
            <w:tcW w:w="5225" w:type="dxa"/>
          </w:tcPr>
          <w:p w14:paraId="6D3137E4" w14:textId="6A705BBC" w:rsidR="000A4E88" w:rsidRDefault="00910243" w:rsidP="00040C70">
            <w:pPr>
              <w:jc w:val="both"/>
            </w:pPr>
            <w:r w:rsidRPr="00910243">
              <w:t>IEEE Xplore</w:t>
            </w:r>
          </w:p>
        </w:tc>
        <w:tc>
          <w:tcPr>
            <w:tcW w:w="5225" w:type="dxa"/>
          </w:tcPr>
          <w:p w14:paraId="143A0D75" w14:textId="12A94841" w:rsidR="000A4E88" w:rsidRDefault="0034695E" w:rsidP="00040C70">
            <w:pPr>
              <w:jc w:val="both"/>
            </w:pPr>
            <w:r w:rsidRPr="0034695E">
              <w:t>Technical AI and algorithmic systems perspective</w:t>
            </w:r>
          </w:p>
        </w:tc>
      </w:tr>
    </w:tbl>
    <w:p w14:paraId="2CA36A72" w14:textId="77777777" w:rsidR="000A4E88" w:rsidRDefault="000A4E88" w:rsidP="00040C70">
      <w:pPr>
        <w:jc w:val="both"/>
      </w:pPr>
    </w:p>
    <w:p w14:paraId="326F0651" w14:textId="77777777" w:rsidR="000279EE" w:rsidRPr="00432857" w:rsidRDefault="000279EE" w:rsidP="000279EE">
      <w:pPr>
        <w:jc w:val="both"/>
        <w:rPr>
          <w:b/>
          <w:bCs/>
          <w:color w:val="000000" w:themeColor="text1"/>
          <w:sz w:val="28"/>
          <w:szCs w:val="28"/>
        </w:rPr>
      </w:pPr>
      <w:r w:rsidRPr="00432857">
        <w:rPr>
          <w:b/>
          <w:bCs/>
          <w:color w:val="000000" w:themeColor="text1"/>
          <w:sz w:val="28"/>
          <w:szCs w:val="28"/>
        </w:rPr>
        <w:t>Search Parameters</w:t>
      </w:r>
    </w:p>
    <w:p w14:paraId="68523288" w14:textId="77777777" w:rsidR="000279EE" w:rsidRDefault="000279EE" w:rsidP="008C1749">
      <w:pPr>
        <w:pStyle w:val="ListParagraph"/>
        <w:numPr>
          <w:ilvl w:val="0"/>
          <w:numId w:val="20"/>
        </w:numPr>
        <w:jc w:val="both"/>
      </w:pPr>
      <w:r>
        <w:t>Time period: 2015–2026</w:t>
      </w:r>
    </w:p>
    <w:p w14:paraId="346974D5" w14:textId="77777777" w:rsidR="000279EE" w:rsidRDefault="000279EE" w:rsidP="008C1749">
      <w:pPr>
        <w:pStyle w:val="ListParagraph"/>
        <w:numPr>
          <w:ilvl w:val="0"/>
          <w:numId w:val="20"/>
        </w:numPr>
        <w:jc w:val="both"/>
      </w:pPr>
      <w:r>
        <w:t>Language: English</w:t>
      </w:r>
    </w:p>
    <w:p w14:paraId="4CB3D8A9" w14:textId="77777777" w:rsidR="000279EE" w:rsidRDefault="000279EE" w:rsidP="008C1749">
      <w:pPr>
        <w:pStyle w:val="ListParagraph"/>
        <w:numPr>
          <w:ilvl w:val="0"/>
          <w:numId w:val="20"/>
        </w:numPr>
        <w:jc w:val="both"/>
      </w:pPr>
      <w:r>
        <w:t>Document type: Peer-reviewed journal articles and conference proceedings</w:t>
      </w:r>
    </w:p>
    <w:p w14:paraId="0817768D" w14:textId="499FE120" w:rsidR="00890253" w:rsidRDefault="000279EE" w:rsidP="00040C70">
      <w:pPr>
        <w:pStyle w:val="ListParagraph"/>
        <w:numPr>
          <w:ilvl w:val="0"/>
          <w:numId w:val="20"/>
        </w:numPr>
        <w:jc w:val="both"/>
      </w:pPr>
      <w:r>
        <w:t>Exclusions: Books, practitioner reports, blogs, white papers, non-peer-reviewed materials</w:t>
      </w:r>
      <w:r w:rsidR="00890253">
        <w:t>.</w:t>
      </w:r>
    </w:p>
    <w:p w14:paraId="107C6E76" w14:textId="77777777" w:rsidR="00053F18" w:rsidRPr="00953D01" w:rsidRDefault="00053F18" w:rsidP="00053F18">
      <w:pPr>
        <w:jc w:val="both"/>
        <w:rPr>
          <w:b/>
          <w:bCs/>
          <w:sz w:val="28"/>
          <w:szCs w:val="28"/>
        </w:rPr>
      </w:pPr>
      <w:r w:rsidRPr="00953D01">
        <w:rPr>
          <w:b/>
          <w:bCs/>
          <w:sz w:val="28"/>
          <w:szCs w:val="28"/>
        </w:rPr>
        <w:t>Search Strings (Example: Scopus)</w:t>
      </w:r>
    </w:p>
    <w:p w14:paraId="10A6587F" w14:textId="77777777" w:rsidR="00053F18" w:rsidRDefault="00053F18" w:rsidP="00053F18">
      <w:pPr>
        <w:jc w:val="both"/>
      </w:pPr>
      <w:r>
        <w:t>TITLE-ABS-KEY (</w:t>
      </w:r>
    </w:p>
    <w:p w14:paraId="589DB961" w14:textId="77777777" w:rsidR="00053F18" w:rsidRDefault="00053F18" w:rsidP="00053F18">
      <w:pPr>
        <w:jc w:val="both"/>
      </w:pPr>
      <w:r>
        <w:t xml:space="preserve">  ("artificial intelligence" OR "AI" OR "machine learning" OR "algorithmic" </w:t>
      </w:r>
    </w:p>
    <w:p w14:paraId="35DDB5C0" w14:textId="77777777" w:rsidR="00053F18" w:rsidRDefault="00053F18" w:rsidP="00053F18">
      <w:pPr>
        <w:jc w:val="both"/>
      </w:pPr>
      <w:r>
        <w:t xml:space="preserve">   OR "automated decision-making" OR "predictive analytics")</w:t>
      </w:r>
    </w:p>
    <w:p w14:paraId="159255BA" w14:textId="77777777" w:rsidR="00053F18" w:rsidRDefault="00053F18" w:rsidP="00053F18">
      <w:pPr>
        <w:jc w:val="both"/>
      </w:pPr>
      <w:r>
        <w:t xml:space="preserve">  AND</w:t>
      </w:r>
    </w:p>
    <w:p w14:paraId="29EF8548" w14:textId="77777777" w:rsidR="00053F18" w:rsidRDefault="00053F18" w:rsidP="00053F18">
      <w:pPr>
        <w:jc w:val="both"/>
      </w:pPr>
      <w:r>
        <w:t xml:space="preserve">  ("recruitment" OR "hiring" OR "selection" OR "talent acquisition" </w:t>
      </w:r>
    </w:p>
    <w:p w14:paraId="64D8E449" w14:textId="77777777" w:rsidR="00053F18" w:rsidRDefault="00053F18" w:rsidP="00053F18">
      <w:pPr>
        <w:jc w:val="both"/>
      </w:pPr>
      <w:r>
        <w:t xml:space="preserve">   OR "HRM" OR "human resource management")</w:t>
      </w:r>
    </w:p>
    <w:p w14:paraId="6FBAA925" w14:textId="77777777" w:rsidR="00053F18" w:rsidRDefault="00053F18" w:rsidP="00053F18">
      <w:pPr>
        <w:jc w:val="both"/>
      </w:pPr>
      <w:r>
        <w:t xml:space="preserve">  AND</w:t>
      </w:r>
    </w:p>
    <w:p w14:paraId="66F7EE78" w14:textId="77777777" w:rsidR="00053F18" w:rsidRDefault="00053F18" w:rsidP="00053F18">
      <w:pPr>
        <w:jc w:val="both"/>
      </w:pPr>
      <w:r>
        <w:t xml:space="preserve">  ("governance" OR "accountability" OR "fairness" OR "bias" OR "transparency" </w:t>
      </w:r>
    </w:p>
    <w:p w14:paraId="50845F5D" w14:textId="77777777" w:rsidR="00053F18" w:rsidRDefault="00053F18" w:rsidP="00053F18">
      <w:pPr>
        <w:jc w:val="both"/>
      </w:pPr>
      <w:r>
        <w:t xml:space="preserve">   OR "human oversight" OR "decision authority" OR "ethics" OR "regulation")</w:t>
      </w:r>
    </w:p>
    <w:p w14:paraId="014B5099" w14:textId="77777777" w:rsidR="00053F18" w:rsidRDefault="00053F18" w:rsidP="00053F18">
      <w:pPr>
        <w:jc w:val="both"/>
      </w:pPr>
      <w:r>
        <w:t>)</w:t>
      </w:r>
    </w:p>
    <w:p w14:paraId="415FC0F1" w14:textId="77777777" w:rsidR="00053F18" w:rsidRDefault="00053F18" w:rsidP="00053F18">
      <w:pPr>
        <w:jc w:val="both"/>
      </w:pPr>
      <w:r>
        <w:t>AND</w:t>
      </w:r>
    </w:p>
    <w:p w14:paraId="1179C2B5" w14:textId="504DEBFA" w:rsidR="00053F18" w:rsidRDefault="00053F18" w:rsidP="00053F18">
      <w:pPr>
        <w:jc w:val="both"/>
      </w:pPr>
      <w:r>
        <w:t>(LIMIT-</w:t>
      </w:r>
      <w:r w:rsidR="00541E82">
        <w:t>TO (</w:t>
      </w:r>
      <w:r>
        <w:t>PUBYEAR, 2015-2026))</w:t>
      </w:r>
    </w:p>
    <w:p w14:paraId="072F60F1" w14:textId="77777777" w:rsidR="00053F18" w:rsidRDefault="00053F18" w:rsidP="00053F18">
      <w:pPr>
        <w:jc w:val="both"/>
      </w:pPr>
      <w:r>
        <w:t>AND</w:t>
      </w:r>
    </w:p>
    <w:p w14:paraId="3FA6A018" w14:textId="1BE1BEA8" w:rsidR="00053F18" w:rsidRDefault="00053F18" w:rsidP="00053F18">
      <w:pPr>
        <w:jc w:val="both"/>
      </w:pPr>
      <w:r>
        <w:t>(LIMIT-</w:t>
      </w:r>
      <w:r w:rsidR="00541E82">
        <w:t>TO (</w:t>
      </w:r>
      <w:r>
        <w:t>LANGUAGE, "English"))</w:t>
      </w:r>
    </w:p>
    <w:p w14:paraId="76588871" w14:textId="77777777" w:rsidR="00053F18" w:rsidRDefault="00053F18" w:rsidP="00053F18">
      <w:pPr>
        <w:jc w:val="both"/>
      </w:pPr>
      <w:r>
        <w:t>AND</w:t>
      </w:r>
    </w:p>
    <w:p w14:paraId="3D773B15" w14:textId="22626E3E" w:rsidR="00053F18" w:rsidRDefault="00053F18" w:rsidP="00053F18">
      <w:pPr>
        <w:jc w:val="both"/>
      </w:pPr>
      <w:r>
        <w:t>(LIMIT-</w:t>
      </w:r>
      <w:r w:rsidR="00541E82">
        <w:t>TO (</w:t>
      </w:r>
      <w:r>
        <w:t>DOCTYPE, "</w:t>
      </w:r>
      <w:proofErr w:type="spellStart"/>
      <w:r>
        <w:t>ar</w:t>
      </w:r>
      <w:proofErr w:type="spellEnd"/>
      <w:r>
        <w:t>") OR LIMIT-TO</w:t>
      </w:r>
      <w:r w:rsidR="00541E82">
        <w:t xml:space="preserve"> </w:t>
      </w:r>
      <w:r>
        <w:t>(DOCTYPE, "cp"))</w:t>
      </w:r>
    </w:p>
    <w:p w14:paraId="22225AFD" w14:textId="77777777" w:rsidR="00053F18" w:rsidRDefault="00053F18" w:rsidP="00053F18">
      <w:pPr>
        <w:jc w:val="both"/>
      </w:pPr>
      <w:r>
        <w:t>Equivalent Boolean logic was adapted to database-specific syntax for Web of Science, ABI/INFORM, Business Source Complete, and IEEE Xplore.</w:t>
      </w:r>
    </w:p>
    <w:p w14:paraId="1B0964E5" w14:textId="77777777" w:rsidR="00053F18" w:rsidRDefault="00053F18" w:rsidP="00053F18">
      <w:pPr>
        <w:jc w:val="both"/>
      </w:pPr>
      <w:r>
        <w:t>Regional and Contextual Terms (Pilot Testing)</w:t>
      </w:r>
    </w:p>
    <w:p w14:paraId="52705585" w14:textId="77777777" w:rsidR="00053F18" w:rsidRDefault="00053F18" w:rsidP="00053F18">
      <w:pPr>
        <w:jc w:val="both"/>
      </w:pPr>
      <w:r>
        <w:t>Europe: "UK", "Germany", "France", "EU", "GDPR", "EU AI Act"</w:t>
      </w:r>
    </w:p>
    <w:p w14:paraId="3A8DAF3A" w14:textId="77777777" w:rsidR="00053F18" w:rsidRDefault="00053F18" w:rsidP="00053F18">
      <w:pPr>
        <w:jc w:val="both"/>
      </w:pPr>
      <w:r>
        <w:lastRenderedPageBreak/>
        <w:t>Asia: "China", "Japan", "South Korea", "Singapore", "India"</w:t>
      </w:r>
    </w:p>
    <w:p w14:paraId="68880ABA" w14:textId="77777777" w:rsidR="00053F18" w:rsidRDefault="00053F18" w:rsidP="00053F18">
      <w:pPr>
        <w:jc w:val="both"/>
      </w:pPr>
      <w:r>
        <w:t>MNC context: "multinational", "cross-border", "transnational", "global"</w:t>
      </w:r>
    </w:p>
    <w:p w14:paraId="4610666C" w14:textId="77777777" w:rsidR="00053F18" w:rsidRPr="007C5EC0" w:rsidRDefault="00053F18" w:rsidP="00053F18">
      <w:pPr>
        <w:jc w:val="both"/>
        <w:rPr>
          <w:b/>
          <w:bCs/>
          <w:sz w:val="28"/>
          <w:szCs w:val="28"/>
        </w:rPr>
      </w:pPr>
      <w:r w:rsidRPr="007C5EC0">
        <w:rPr>
          <w:b/>
          <w:bCs/>
          <w:sz w:val="28"/>
          <w:szCs w:val="28"/>
        </w:rPr>
        <w:t>Note on Search Execution:</w:t>
      </w:r>
    </w:p>
    <w:p w14:paraId="7E3629CD" w14:textId="77777777" w:rsidR="00053F18" w:rsidRDefault="00053F18" w:rsidP="00053F18">
      <w:pPr>
        <w:jc w:val="both"/>
      </w:pPr>
      <w:r>
        <w:t>This dissertation presents a comprehensive methodological framework for conducting a systematic literature review on AI-mediated recruitment governance in MNCs across Europe and Asia. The search strategy, databases, and criteria are fully specified to ensure replicability. However, actual search execution and numerical results are not reported, as this research focuses on developing the analytical framework rather than reporting empirical search outcomes. In a fully empirical SLR, search execution records would be populated following the documented protocol.</w:t>
      </w:r>
    </w:p>
    <w:p w14:paraId="7EEEA53D" w14:textId="77777777" w:rsidR="00053F18" w:rsidRPr="007C5EC0" w:rsidRDefault="00053F18" w:rsidP="007C5EC0">
      <w:pPr>
        <w:pStyle w:val="Heading2"/>
        <w:rPr>
          <w:b/>
          <w:bCs/>
        </w:rPr>
      </w:pPr>
      <w:bookmarkStart w:id="99" w:name="_Toc240997029"/>
      <w:r w:rsidRPr="007C5EC0">
        <w:rPr>
          <w:b/>
          <w:bCs/>
        </w:rPr>
        <w:t>APPENDIX B: INCLUSION AND EXCLUSION CRITERIA</w:t>
      </w:r>
      <w:bookmarkEnd w:id="99"/>
    </w:p>
    <w:p w14:paraId="24461A76" w14:textId="77777777" w:rsidR="00053F18" w:rsidRPr="007C5EC0" w:rsidRDefault="00053F18" w:rsidP="00053F18">
      <w:pPr>
        <w:jc w:val="both"/>
        <w:rPr>
          <w:b/>
          <w:bCs/>
          <w:sz w:val="28"/>
          <w:szCs w:val="28"/>
        </w:rPr>
      </w:pPr>
      <w:r w:rsidRPr="007C5EC0">
        <w:rPr>
          <w:b/>
          <w:bCs/>
          <w:sz w:val="28"/>
          <w:szCs w:val="28"/>
        </w:rPr>
        <w:t>Purpose</w:t>
      </w:r>
    </w:p>
    <w:p w14:paraId="3071D9BD" w14:textId="77777777" w:rsidR="00053F18" w:rsidRDefault="00053F18" w:rsidP="00053F18">
      <w:pPr>
        <w:jc w:val="both"/>
      </w:pPr>
      <w:r>
        <w:t>To demonstrate systematic focus, prevent scope drift, and ensure alignment with the research question and objectives.</w:t>
      </w:r>
    </w:p>
    <w:p w14:paraId="4684972C" w14:textId="3DE31177" w:rsidR="008F77BE" w:rsidRPr="007C5EC0" w:rsidRDefault="00053F18" w:rsidP="00040C70">
      <w:pPr>
        <w:jc w:val="both"/>
        <w:rPr>
          <w:b/>
          <w:bCs/>
          <w:sz w:val="28"/>
          <w:szCs w:val="28"/>
        </w:rPr>
      </w:pPr>
      <w:r w:rsidRPr="007C5EC0">
        <w:rPr>
          <w:b/>
          <w:bCs/>
          <w:sz w:val="28"/>
          <w:szCs w:val="28"/>
        </w:rPr>
        <w:t>Inclusion Criteria</w:t>
      </w:r>
    </w:p>
    <w:tbl>
      <w:tblPr>
        <w:tblStyle w:val="TableGrid"/>
        <w:tblW w:w="0" w:type="auto"/>
        <w:tblLook w:val="04A0" w:firstRow="1" w:lastRow="0" w:firstColumn="1" w:lastColumn="0" w:noHBand="0" w:noVBand="1"/>
      </w:tblPr>
      <w:tblGrid>
        <w:gridCol w:w="5807"/>
        <w:gridCol w:w="4643"/>
      </w:tblGrid>
      <w:tr w:rsidR="008F77BE" w14:paraId="6589B79B" w14:textId="77777777" w:rsidTr="007C5EC0">
        <w:tc>
          <w:tcPr>
            <w:tcW w:w="5807" w:type="dxa"/>
          </w:tcPr>
          <w:p w14:paraId="0965B251" w14:textId="7B9CF562" w:rsidR="008F77BE" w:rsidRDefault="00852918" w:rsidP="00040C70">
            <w:pPr>
              <w:jc w:val="both"/>
            </w:pPr>
            <w:r w:rsidRPr="00852918">
              <w:t>Criterion</w:t>
            </w:r>
          </w:p>
        </w:tc>
        <w:tc>
          <w:tcPr>
            <w:tcW w:w="4643" w:type="dxa"/>
          </w:tcPr>
          <w:p w14:paraId="1D767C42" w14:textId="0F3951A2" w:rsidR="008F77BE" w:rsidRDefault="0024182A" w:rsidP="00040C70">
            <w:pPr>
              <w:jc w:val="both"/>
            </w:pPr>
            <w:r w:rsidRPr="0024182A">
              <w:t>Justification</w:t>
            </w:r>
          </w:p>
        </w:tc>
      </w:tr>
      <w:tr w:rsidR="008F77BE" w14:paraId="795C5368" w14:textId="77777777" w:rsidTr="007C5EC0">
        <w:tc>
          <w:tcPr>
            <w:tcW w:w="5807" w:type="dxa"/>
          </w:tcPr>
          <w:p w14:paraId="6F55A805" w14:textId="6CEFFAB7" w:rsidR="008F77BE" w:rsidRDefault="004434C2" w:rsidP="00040C70">
            <w:pPr>
              <w:jc w:val="both"/>
            </w:pPr>
            <w:r w:rsidRPr="004434C2">
              <w:t>AI-mediated recruitment or selection within organisational settings</w:t>
            </w:r>
          </w:p>
        </w:tc>
        <w:tc>
          <w:tcPr>
            <w:tcW w:w="4643" w:type="dxa"/>
          </w:tcPr>
          <w:p w14:paraId="441BCB8A" w14:textId="0B0C55E2" w:rsidR="008F77BE" w:rsidRDefault="00FD29BC" w:rsidP="00040C70">
            <w:pPr>
              <w:jc w:val="both"/>
            </w:pPr>
            <w:r w:rsidRPr="00FD29BC">
              <w:t xml:space="preserve">Core phenomenon under investigation </w:t>
            </w:r>
          </w:p>
        </w:tc>
      </w:tr>
      <w:tr w:rsidR="008F77BE" w14:paraId="1B242820" w14:textId="77777777" w:rsidTr="007C5EC0">
        <w:tc>
          <w:tcPr>
            <w:tcW w:w="5807" w:type="dxa"/>
          </w:tcPr>
          <w:p w14:paraId="65F8BAA9" w14:textId="6B88ACEF" w:rsidR="008F77BE" w:rsidRDefault="00712DDE" w:rsidP="00040C70">
            <w:pPr>
              <w:jc w:val="both"/>
            </w:pPr>
            <w:r w:rsidRPr="00712DDE">
              <w:t>MNCs or cross-national recruitment governance</w:t>
            </w:r>
          </w:p>
        </w:tc>
        <w:tc>
          <w:tcPr>
            <w:tcW w:w="4643" w:type="dxa"/>
          </w:tcPr>
          <w:p w14:paraId="121DC53B" w14:textId="6D42F3CA" w:rsidR="008F77BE" w:rsidRDefault="00BC6ACB" w:rsidP="00040C70">
            <w:pPr>
              <w:jc w:val="both"/>
            </w:pPr>
            <w:r w:rsidRPr="00BC6ACB">
              <w:t xml:space="preserve">Aligns with comparative Europe–Asia focus </w:t>
            </w:r>
          </w:p>
        </w:tc>
      </w:tr>
      <w:tr w:rsidR="008F77BE" w14:paraId="1A51E034" w14:textId="77777777" w:rsidTr="007C5EC0">
        <w:tc>
          <w:tcPr>
            <w:tcW w:w="5807" w:type="dxa"/>
          </w:tcPr>
          <w:p w14:paraId="5524163C" w14:textId="0170F16E" w:rsidR="008F77BE" w:rsidRDefault="003F092A" w:rsidP="00040C70">
            <w:pPr>
              <w:jc w:val="both"/>
            </w:pPr>
            <w:r w:rsidRPr="003F092A">
              <w:t>Governance, accountability, fairness, bias, transparency, human oversight, decision authority, regulatory compliance, institutional influences</w:t>
            </w:r>
          </w:p>
        </w:tc>
        <w:tc>
          <w:tcPr>
            <w:tcW w:w="4643" w:type="dxa"/>
          </w:tcPr>
          <w:p w14:paraId="6475E7FE" w14:textId="677EE5ED" w:rsidR="008F77BE" w:rsidRDefault="00605E64" w:rsidP="00040C70">
            <w:pPr>
              <w:jc w:val="both"/>
            </w:pPr>
            <w:r w:rsidRPr="00605E64">
              <w:t xml:space="preserve">Addresses research objectives </w:t>
            </w:r>
          </w:p>
        </w:tc>
      </w:tr>
      <w:tr w:rsidR="008F77BE" w14:paraId="334A6B2D" w14:textId="77777777" w:rsidTr="007C5EC0">
        <w:tc>
          <w:tcPr>
            <w:tcW w:w="5807" w:type="dxa"/>
          </w:tcPr>
          <w:p w14:paraId="5212F811" w14:textId="49014487" w:rsidR="008F77BE" w:rsidRDefault="0063143B" w:rsidP="00040C70">
            <w:pPr>
              <w:jc w:val="both"/>
            </w:pPr>
            <w:r w:rsidRPr="0063143B">
              <w:t>Peer-reviewed journal articles or conference papers</w:t>
            </w:r>
          </w:p>
        </w:tc>
        <w:tc>
          <w:tcPr>
            <w:tcW w:w="4643" w:type="dxa"/>
          </w:tcPr>
          <w:p w14:paraId="3CC38176" w14:textId="0A47B36E" w:rsidR="008F77BE" w:rsidRDefault="00511287" w:rsidP="00040C70">
            <w:pPr>
              <w:jc w:val="both"/>
            </w:pPr>
            <w:r w:rsidRPr="00511287">
              <w:t xml:space="preserve">Ensures quality and credibility </w:t>
            </w:r>
          </w:p>
        </w:tc>
      </w:tr>
      <w:tr w:rsidR="008F77BE" w14:paraId="37087EF0" w14:textId="77777777" w:rsidTr="007C5EC0">
        <w:tc>
          <w:tcPr>
            <w:tcW w:w="5807" w:type="dxa"/>
          </w:tcPr>
          <w:p w14:paraId="48FE78FC" w14:textId="1C40CED3" w:rsidR="008F77BE" w:rsidRDefault="00906BC5" w:rsidP="00040C70">
            <w:pPr>
              <w:jc w:val="both"/>
            </w:pPr>
            <w:r w:rsidRPr="00906BC5">
              <w:t>Published between 2015 and 2026</w:t>
            </w:r>
          </w:p>
        </w:tc>
        <w:tc>
          <w:tcPr>
            <w:tcW w:w="4643" w:type="dxa"/>
          </w:tcPr>
          <w:p w14:paraId="65743B01" w14:textId="7BBB3FE0" w:rsidR="008F77BE" w:rsidRDefault="00836733" w:rsidP="00040C70">
            <w:pPr>
              <w:jc w:val="both"/>
            </w:pPr>
            <w:r w:rsidRPr="00836733">
              <w:t xml:space="preserve">Captures contemporary AI recruitment developments </w:t>
            </w:r>
          </w:p>
        </w:tc>
      </w:tr>
      <w:tr w:rsidR="008F77BE" w14:paraId="4CADD232" w14:textId="77777777" w:rsidTr="007C5EC0">
        <w:tc>
          <w:tcPr>
            <w:tcW w:w="5807" w:type="dxa"/>
          </w:tcPr>
          <w:p w14:paraId="5BFA9467" w14:textId="32D38C7F" w:rsidR="008F77BE" w:rsidRDefault="005A1D18" w:rsidP="00040C70">
            <w:pPr>
              <w:jc w:val="both"/>
            </w:pPr>
            <w:r w:rsidRPr="005A1D18">
              <w:t>Empirical, conceptual, or critical theoretical discussion</w:t>
            </w:r>
          </w:p>
        </w:tc>
        <w:tc>
          <w:tcPr>
            <w:tcW w:w="4643" w:type="dxa"/>
          </w:tcPr>
          <w:p w14:paraId="371C1DBE" w14:textId="598E6810" w:rsidR="008F77BE" w:rsidRDefault="00B0372F" w:rsidP="00040C70">
            <w:pPr>
              <w:jc w:val="both"/>
            </w:pPr>
            <w:r w:rsidRPr="00B0372F">
              <w:t xml:space="preserve">Supports integrative synthesis </w:t>
            </w:r>
          </w:p>
        </w:tc>
      </w:tr>
    </w:tbl>
    <w:p w14:paraId="5C913A6C" w14:textId="77777777" w:rsidR="001E3A21" w:rsidRDefault="001E3A21" w:rsidP="00040C70">
      <w:pPr>
        <w:jc w:val="both"/>
      </w:pPr>
    </w:p>
    <w:p w14:paraId="30FD8B2E" w14:textId="77777777" w:rsidR="006D4466" w:rsidRDefault="006D4466" w:rsidP="00040C70">
      <w:pPr>
        <w:jc w:val="both"/>
      </w:pPr>
    </w:p>
    <w:p w14:paraId="72D86D66" w14:textId="0355A050" w:rsidR="001E3A21" w:rsidRPr="007C5EC0" w:rsidRDefault="002D0C6C" w:rsidP="00040C70">
      <w:pPr>
        <w:jc w:val="both"/>
        <w:rPr>
          <w:b/>
          <w:bCs/>
          <w:sz w:val="28"/>
          <w:szCs w:val="28"/>
        </w:rPr>
      </w:pPr>
      <w:r w:rsidRPr="007C5EC0">
        <w:rPr>
          <w:b/>
          <w:bCs/>
          <w:sz w:val="28"/>
          <w:szCs w:val="28"/>
        </w:rPr>
        <w:t>Exclusion Criteria</w:t>
      </w:r>
    </w:p>
    <w:tbl>
      <w:tblPr>
        <w:tblStyle w:val="TableGrid"/>
        <w:tblW w:w="0" w:type="auto"/>
        <w:tblLook w:val="04A0" w:firstRow="1" w:lastRow="0" w:firstColumn="1" w:lastColumn="0" w:noHBand="0" w:noVBand="1"/>
      </w:tblPr>
      <w:tblGrid>
        <w:gridCol w:w="5225"/>
        <w:gridCol w:w="5225"/>
      </w:tblGrid>
      <w:tr w:rsidR="00E743CE" w14:paraId="06306DE8" w14:textId="77777777" w:rsidTr="00E743CE">
        <w:tc>
          <w:tcPr>
            <w:tcW w:w="5225" w:type="dxa"/>
          </w:tcPr>
          <w:p w14:paraId="76E5DE9B" w14:textId="6FDA5681" w:rsidR="00E743CE" w:rsidRDefault="008C3D5B" w:rsidP="00040C70">
            <w:pPr>
              <w:jc w:val="both"/>
            </w:pPr>
            <w:r w:rsidRPr="00EE179B">
              <w:t>Excluded Material</w:t>
            </w:r>
          </w:p>
        </w:tc>
        <w:tc>
          <w:tcPr>
            <w:tcW w:w="5225" w:type="dxa"/>
          </w:tcPr>
          <w:p w14:paraId="6B99CBE8" w14:textId="54F4BA45" w:rsidR="00E743CE" w:rsidRDefault="00440CB3" w:rsidP="00040C70">
            <w:pPr>
              <w:jc w:val="both"/>
            </w:pPr>
            <w:r w:rsidRPr="00440CB3">
              <w:t>Rationale</w:t>
            </w:r>
          </w:p>
        </w:tc>
      </w:tr>
      <w:tr w:rsidR="00E743CE" w14:paraId="4378DC84" w14:textId="77777777" w:rsidTr="00E743CE">
        <w:tc>
          <w:tcPr>
            <w:tcW w:w="5225" w:type="dxa"/>
          </w:tcPr>
          <w:p w14:paraId="0AF5230B" w14:textId="51C1693D" w:rsidR="00E743CE" w:rsidRDefault="008C3D5B" w:rsidP="00040C70">
            <w:pPr>
              <w:jc w:val="both"/>
            </w:pPr>
            <w:r w:rsidRPr="00CB22A5">
              <w:t>Purely technical or algorithmic performance papers without go</w:t>
            </w:r>
            <w:r w:rsidR="00FC0732" w:rsidRPr="00CB22A5">
              <w:t>vernance/ethical focus</w:t>
            </w:r>
          </w:p>
        </w:tc>
        <w:tc>
          <w:tcPr>
            <w:tcW w:w="5225" w:type="dxa"/>
          </w:tcPr>
          <w:p w14:paraId="794E1497" w14:textId="4BFA59D7" w:rsidR="00E743CE" w:rsidRDefault="00683754" w:rsidP="00040C70">
            <w:pPr>
              <w:jc w:val="both"/>
            </w:pPr>
            <w:r w:rsidRPr="00683754">
              <w:t>No organisational engagement</w:t>
            </w:r>
          </w:p>
        </w:tc>
      </w:tr>
      <w:tr w:rsidR="00E743CE" w14:paraId="10251FAC" w14:textId="77777777" w:rsidTr="00E743CE">
        <w:tc>
          <w:tcPr>
            <w:tcW w:w="5225" w:type="dxa"/>
          </w:tcPr>
          <w:p w14:paraId="0EB090F1" w14:textId="451A554B" w:rsidR="00E743CE" w:rsidRDefault="00130B08" w:rsidP="00040C70">
            <w:pPr>
              <w:jc w:val="both"/>
            </w:pPr>
            <w:r w:rsidRPr="00130B08">
              <w:t>AI applications in HR functions outside recruitment (e.g., performance management, training)</w:t>
            </w:r>
          </w:p>
        </w:tc>
        <w:tc>
          <w:tcPr>
            <w:tcW w:w="5225" w:type="dxa"/>
          </w:tcPr>
          <w:p w14:paraId="26B530FD" w14:textId="6EEF41A1" w:rsidR="00E743CE" w:rsidRDefault="00385B6C" w:rsidP="00040C70">
            <w:pPr>
              <w:jc w:val="both"/>
            </w:pPr>
            <w:r w:rsidRPr="00385B6C">
              <w:t>Outside scope</w:t>
            </w:r>
          </w:p>
        </w:tc>
      </w:tr>
      <w:tr w:rsidR="00E743CE" w14:paraId="6AB14815" w14:textId="77777777" w:rsidTr="00E743CE">
        <w:tc>
          <w:tcPr>
            <w:tcW w:w="5225" w:type="dxa"/>
          </w:tcPr>
          <w:p w14:paraId="7B3CC114" w14:textId="2C4929BE" w:rsidR="00E743CE" w:rsidRDefault="00635868" w:rsidP="00040C70">
            <w:pPr>
              <w:jc w:val="both"/>
            </w:pPr>
            <w:r w:rsidRPr="00635868">
              <w:t>SMEs or single-country public-sector studies without MNC relevance</w:t>
            </w:r>
          </w:p>
        </w:tc>
        <w:tc>
          <w:tcPr>
            <w:tcW w:w="5225" w:type="dxa"/>
          </w:tcPr>
          <w:p w14:paraId="64C813ED" w14:textId="17EFAD51" w:rsidR="00E743CE" w:rsidRDefault="004629D2" w:rsidP="00040C70">
            <w:pPr>
              <w:jc w:val="both"/>
            </w:pPr>
            <w:r w:rsidRPr="004629D2">
              <w:t>Limited transferability</w:t>
            </w:r>
          </w:p>
        </w:tc>
      </w:tr>
      <w:tr w:rsidR="00E743CE" w14:paraId="05D43CCF" w14:textId="77777777" w:rsidTr="00E743CE">
        <w:tc>
          <w:tcPr>
            <w:tcW w:w="5225" w:type="dxa"/>
          </w:tcPr>
          <w:p w14:paraId="2E27376E" w14:textId="2ACE139C" w:rsidR="00E743CE" w:rsidRDefault="00801CE3" w:rsidP="00040C70">
            <w:pPr>
              <w:jc w:val="both"/>
            </w:pPr>
            <w:r w:rsidRPr="00801CE3">
              <w:t>Non-peer-reviewed publications (blogs, opinion pieces, media articles)</w:t>
            </w:r>
          </w:p>
        </w:tc>
        <w:tc>
          <w:tcPr>
            <w:tcW w:w="5225" w:type="dxa"/>
          </w:tcPr>
          <w:p w14:paraId="31863CB8" w14:textId="4CB1241D" w:rsidR="00E743CE" w:rsidRDefault="002D6599" w:rsidP="00040C70">
            <w:pPr>
              <w:jc w:val="both"/>
            </w:pPr>
            <w:r w:rsidRPr="002D6599">
              <w:t>Lack methodological rigour</w:t>
            </w:r>
          </w:p>
        </w:tc>
      </w:tr>
      <w:tr w:rsidR="00E743CE" w14:paraId="613D4A2B" w14:textId="77777777" w:rsidTr="00E743CE">
        <w:tc>
          <w:tcPr>
            <w:tcW w:w="5225" w:type="dxa"/>
          </w:tcPr>
          <w:p w14:paraId="3A2D7C22" w14:textId="613F3499" w:rsidR="00E743CE" w:rsidRDefault="00B23BF4" w:rsidP="00040C70">
            <w:pPr>
              <w:jc w:val="both"/>
            </w:pPr>
            <w:r w:rsidRPr="00B23BF4">
              <w:t>Studies not addressing governance, accountability, or institutional context</w:t>
            </w:r>
          </w:p>
        </w:tc>
        <w:tc>
          <w:tcPr>
            <w:tcW w:w="5225" w:type="dxa"/>
          </w:tcPr>
          <w:p w14:paraId="7E000142" w14:textId="48B329BF" w:rsidR="00E743CE" w:rsidRDefault="00C2572D" w:rsidP="00040C70">
            <w:pPr>
              <w:jc w:val="both"/>
            </w:pPr>
            <w:r w:rsidRPr="00C2572D">
              <w:t>Insufficient analytical specificity</w:t>
            </w:r>
          </w:p>
        </w:tc>
      </w:tr>
    </w:tbl>
    <w:p w14:paraId="6D380F14" w14:textId="77777777" w:rsidR="004B49C7" w:rsidRDefault="004B49C7" w:rsidP="00040C70">
      <w:pPr>
        <w:jc w:val="both"/>
      </w:pPr>
    </w:p>
    <w:p w14:paraId="7296F7E0" w14:textId="77777777" w:rsidR="00415840" w:rsidRPr="007C5EC0" w:rsidRDefault="00415840" w:rsidP="007C5EC0">
      <w:pPr>
        <w:pStyle w:val="Heading2"/>
        <w:rPr>
          <w:b/>
          <w:bCs/>
        </w:rPr>
      </w:pPr>
      <w:bookmarkStart w:id="100" w:name="_Toc240997030"/>
      <w:r w:rsidRPr="007C5EC0">
        <w:rPr>
          <w:b/>
          <w:bCs/>
        </w:rPr>
        <w:lastRenderedPageBreak/>
        <w:t>APPENDIX C: QUALITY APPRAISAL FRAMEWORK AND SCORING MATRIX</w:t>
      </w:r>
      <w:bookmarkEnd w:id="100"/>
    </w:p>
    <w:p w14:paraId="24B05007" w14:textId="77777777" w:rsidR="00415840" w:rsidRPr="00543BC3" w:rsidRDefault="00415840" w:rsidP="00415840">
      <w:pPr>
        <w:jc w:val="both"/>
        <w:rPr>
          <w:b/>
          <w:bCs/>
          <w:sz w:val="28"/>
          <w:szCs w:val="28"/>
        </w:rPr>
      </w:pPr>
      <w:r w:rsidRPr="00543BC3">
        <w:rPr>
          <w:b/>
          <w:bCs/>
          <w:sz w:val="28"/>
          <w:szCs w:val="28"/>
        </w:rPr>
        <w:t>Purpose</w:t>
      </w:r>
    </w:p>
    <w:p w14:paraId="15AB0EF8" w14:textId="1AFAD591" w:rsidR="00401B76" w:rsidRDefault="00415840" w:rsidP="008A4AED">
      <w:pPr>
        <w:jc w:val="both"/>
      </w:pPr>
      <w:r>
        <w:t>To demonstrate methodological rigour and evidence weighting.</w:t>
      </w:r>
    </w:p>
    <w:p w14:paraId="58CC3D31" w14:textId="17E96B1E" w:rsidR="000566ED" w:rsidRPr="00543BC3" w:rsidRDefault="00BA4018" w:rsidP="008A4AED">
      <w:pPr>
        <w:jc w:val="both"/>
        <w:rPr>
          <w:b/>
          <w:bCs/>
          <w:sz w:val="28"/>
          <w:szCs w:val="28"/>
        </w:rPr>
      </w:pPr>
      <w:r w:rsidRPr="00543BC3">
        <w:rPr>
          <w:b/>
          <w:bCs/>
          <w:sz w:val="28"/>
          <w:szCs w:val="28"/>
        </w:rPr>
        <w:t>Quality Scoring Logic</w:t>
      </w:r>
    </w:p>
    <w:tbl>
      <w:tblPr>
        <w:tblStyle w:val="TableGrid"/>
        <w:tblW w:w="0" w:type="auto"/>
        <w:tblLook w:val="04A0" w:firstRow="1" w:lastRow="0" w:firstColumn="1" w:lastColumn="0" w:noHBand="0" w:noVBand="1"/>
      </w:tblPr>
      <w:tblGrid>
        <w:gridCol w:w="1980"/>
        <w:gridCol w:w="4986"/>
        <w:gridCol w:w="3484"/>
      </w:tblGrid>
      <w:tr w:rsidR="00283A36" w14:paraId="5B08135E" w14:textId="77777777" w:rsidTr="00543BC3">
        <w:tc>
          <w:tcPr>
            <w:tcW w:w="1980" w:type="dxa"/>
          </w:tcPr>
          <w:p w14:paraId="360DC3EB" w14:textId="427D6765" w:rsidR="00283A36" w:rsidRDefault="00761502" w:rsidP="008A4AED">
            <w:pPr>
              <w:jc w:val="both"/>
            </w:pPr>
            <w:r w:rsidRPr="00761502">
              <w:t>Score</w:t>
            </w:r>
          </w:p>
        </w:tc>
        <w:tc>
          <w:tcPr>
            <w:tcW w:w="4986" w:type="dxa"/>
          </w:tcPr>
          <w:p w14:paraId="4921EC42" w14:textId="29E9622C" w:rsidR="00283A36" w:rsidRDefault="00AC238E" w:rsidP="008A4AED">
            <w:pPr>
              <w:jc w:val="both"/>
            </w:pPr>
            <w:r w:rsidRPr="00AC238E">
              <w:t>Interpretation</w:t>
            </w:r>
          </w:p>
        </w:tc>
        <w:tc>
          <w:tcPr>
            <w:tcW w:w="3484" w:type="dxa"/>
          </w:tcPr>
          <w:p w14:paraId="35716A4E" w14:textId="18BA1027" w:rsidR="00283A36" w:rsidRDefault="00C84C4F" w:rsidP="008A4AED">
            <w:pPr>
              <w:jc w:val="both"/>
            </w:pPr>
            <w:r w:rsidRPr="00C84C4F">
              <w:t>Treatment in Analysis</w:t>
            </w:r>
          </w:p>
        </w:tc>
      </w:tr>
      <w:tr w:rsidR="00283A36" w14:paraId="7F3D1DDB" w14:textId="77777777" w:rsidTr="00543BC3">
        <w:tc>
          <w:tcPr>
            <w:tcW w:w="1980" w:type="dxa"/>
          </w:tcPr>
          <w:p w14:paraId="5FDBDF9A" w14:textId="6B27E038" w:rsidR="00283A36" w:rsidRDefault="00A57A84" w:rsidP="008A4AED">
            <w:pPr>
              <w:jc w:val="both"/>
            </w:pPr>
            <w:r w:rsidRPr="00A57A84">
              <w:t>High</w:t>
            </w:r>
          </w:p>
        </w:tc>
        <w:tc>
          <w:tcPr>
            <w:tcW w:w="4986" w:type="dxa"/>
          </w:tcPr>
          <w:p w14:paraId="111E0AB6" w14:textId="207E2A68" w:rsidR="00283A36" w:rsidRDefault="00795B67" w:rsidP="008A4AED">
            <w:pPr>
              <w:jc w:val="both"/>
            </w:pPr>
            <w:r w:rsidRPr="00795B67">
              <w:t>Clear design, robust methodology, strong theoretical/empirical contribution</w:t>
            </w:r>
          </w:p>
        </w:tc>
        <w:tc>
          <w:tcPr>
            <w:tcW w:w="3484" w:type="dxa"/>
          </w:tcPr>
          <w:p w14:paraId="488DB3F2" w14:textId="1A47C763" w:rsidR="00283A36" w:rsidRDefault="00377941" w:rsidP="008A4AED">
            <w:pPr>
              <w:jc w:val="both"/>
            </w:pPr>
            <w:r w:rsidRPr="00377941">
              <w:t>Analysed in depth; core evidentiary base</w:t>
            </w:r>
          </w:p>
        </w:tc>
      </w:tr>
      <w:tr w:rsidR="00283A36" w14:paraId="49DB9151" w14:textId="77777777" w:rsidTr="00543BC3">
        <w:tc>
          <w:tcPr>
            <w:tcW w:w="1980" w:type="dxa"/>
          </w:tcPr>
          <w:p w14:paraId="66AF5DAE" w14:textId="42B90FA6" w:rsidR="00283A36" w:rsidRDefault="00EA24D9" w:rsidP="008A4AED">
            <w:pPr>
              <w:jc w:val="both"/>
            </w:pPr>
            <w:r w:rsidRPr="00EA24D9">
              <w:t>Moderate</w:t>
            </w:r>
          </w:p>
        </w:tc>
        <w:tc>
          <w:tcPr>
            <w:tcW w:w="4986" w:type="dxa"/>
          </w:tcPr>
          <w:p w14:paraId="70A9D777" w14:textId="67AA3092" w:rsidR="00283A36" w:rsidRDefault="00A45D94" w:rsidP="008A4AED">
            <w:pPr>
              <w:jc w:val="both"/>
            </w:pPr>
            <w:r w:rsidRPr="00A45D94">
              <w:t>Adequate design and methodology, some limitations</w:t>
            </w:r>
          </w:p>
        </w:tc>
        <w:tc>
          <w:tcPr>
            <w:tcW w:w="3484" w:type="dxa"/>
          </w:tcPr>
          <w:p w14:paraId="3EBBE8B7" w14:textId="61C2A2F3" w:rsidR="00283A36" w:rsidRDefault="006A6E79" w:rsidP="008A4AED">
            <w:pPr>
              <w:jc w:val="both"/>
            </w:pPr>
            <w:r w:rsidRPr="006A6E79">
              <w:t>Used supportively</w:t>
            </w:r>
          </w:p>
        </w:tc>
      </w:tr>
      <w:tr w:rsidR="00283A36" w14:paraId="6F382467" w14:textId="77777777" w:rsidTr="00543BC3">
        <w:tc>
          <w:tcPr>
            <w:tcW w:w="1980" w:type="dxa"/>
          </w:tcPr>
          <w:p w14:paraId="0762AC4B" w14:textId="35C23B51" w:rsidR="00283A36" w:rsidRDefault="00EF1ABB" w:rsidP="008A4AED">
            <w:pPr>
              <w:jc w:val="both"/>
            </w:pPr>
            <w:r w:rsidRPr="00EF1ABB">
              <w:t>Low</w:t>
            </w:r>
          </w:p>
        </w:tc>
        <w:tc>
          <w:tcPr>
            <w:tcW w:w="4986" w:type="dxa"/>
          </w:tcPr>
          <w:p w14:paraId="6F7860E1" w14:textId="24903D75" w:rsidR="00283A36" w:rsidRDefault="00242466" w:rsidP="008A4AED">
            <w:pPr>
              <w:jc w:val="both"/>
            </w:pPr>
            <w:r w:rsidRPr="00242466">
              <w:t>Significant methodological weaknesses, limited relevance</w:t>
            </w:r>
          </w:p>
        </w:tc>
        <w:tc>
          <w:tcPr>
            <w:tcW w:w="3484" w:type="dxa"/>
          </w:tcPr>
          <w:p w14:paraId="78299B4F" w14:textId="04EC8F71" w:rsidR="00283A36" w:rsidRDefault="00590809" w:rsidP="008A4AED">
            <w:pPr>
              <w:jc w:val="both"/>
            </w:pPr>
            <w:r w:rsidRPr="00590809">
              <w:t>Contextual reference only</w:t>
            </w:r>
          </w:p>
        </w:tc>
      </w:tr>
    </w:tbl>
    <w:p w14:paraId="2216A221" w14:textId="77777777" w:rsidR="00733D02" w:rsidRDefault="00733D02" w:rsidP="008A4AED">
      <w:pPr>
        <w:jc w:val="both"/>
      </w:pPr>
    </w:p>
    <w:p w14:paraId="027C7342" w14:textId="77777777" w:rsidR="00007946" w:rsidRPr="008C0CF4" w:rsidRDefault="00007946" w:rsidP="008C0CF4">
      <w:pPr>
        <w:pStyle w:val="Heading2"/>
        <w:rPr>
          <w:b/>
          <w:bCs/>
        </w:rPr>
      </w:pPr>
      <w:bookmarkStart w:id="101" w:name="_Toc240997031"/>
      <w:r w:rsidRPr="008C0CF4">
        <w:rPr>
          <w:b/>
          <w:bCs/>
        </w:rPr>
        <w:t>APPENDIX D: FINAL INCLUDED STUDIES (HIGH-WEIGHT CORPUS)</w:t>
      </w:r>
      <w:bookmarkEnd w:id="101"/>
    </w:p>
    <w:p w14:paraId="7B5E6F88" w14:textId="77777777" w:rsidR="00007946" w:rsidRPr="008C0CF4" w:rsidRDefault="00007946" w:rsidP="00007946">
      <w:pPr>
        <w:jc w:val="both"/>
        <w:rPr>
          <w:b/>
          <w:bCs/>
          <w:sz w:val="28"/>
          <w:szCs w:val="28"/>
        </w:rPr>
      </w:pPr>
      <w:r w:rsidRPr="008C0CF4">
        <w:rPr>
          <w:b/>
          <w:bCs/>
          <w:sz w:val="28"/>
          <w:szCs w:val="28"/>
        </w:rPr>
        <w:t>Purpose</w:t>
      </w:r>
    </w:p>
    <w:p w14:paraId="71740EB8" w14:textId="70E9BC53" w:rsidR="00BA4018" w:rsidRDefault="00007946" w:rsidP="008A4AED">
      <w:pPr>
        <w:jc w:val="both"/>
      </w:pPr>
      <w:r>
        <w:t>To provide transparency regarding the core evidence base informing the analytical synthesis.</w:t>
      </w:r>
    </w:p>
    <w:tbl>
      <w:tblPr>
        <w:tblStyle w:val="TableGrid"/>
        <w:tblW w:w="0" w:type="auto"/>
        <w:tblLook w:val="04A0" w:firstRow="1" w:lastRow="0" w:firstColumn="1" w:lastColumn="0" w:noHBand="0" w:noVBand="1"/>
      </w:tblPr>
      <w:tblGrid>
        <w:gridCol w:w="1727"/>
        <w:gridCol w:w="820"/>
        <w:gridCol w:w="2591"/>
        <w:gridCol w:w="1986"/>
        <w:gridCol w:w="1235"/>
        <w:gridCol w:w="2091"/>
      </w:tblGrid>
      <w:tr w:rsidR="00893F0D" w14:paraId="153EC565" w14:textId="77777777" w:rsidTr="00CF1817">
        <w:tc>
          <w:tcPr>
            <w:tcW w:w="1727" w:type="dxa"/>
          </w:tcPr>
          <w:p w14:paraId="094FD99F" w14:textId="139B9019" w:rsidR="00893F0D" w:rsidRDefault="00930643" w:rsidP="008A4AED">
            <w:pPr>
              <w:jc w:val="both"/>
            </w:pPr>
            <w:r w:rsidRPr="00930643">
              <w:t>Author(s)</w:t>
            </w:r>
          </w:p>
        </w:tc>
        <w:tc>
          <w:tcPr>
            <w:tcW w:w="820" w:type="dxa"/>
          </w:tcPr>
          <w:p w14:paraId="575C5EB6" w14:textId="5B6F7B46" w:rsidR="00893F0D" w:rsidRDefault="00164862" w:rsidP="008A4AED">
            <w:pPr>
              <w:jc w:val="both"/>
            </w:pPr>
            <w:r>
              <w:t>Year</w:t>
            </w:r>
          </w:p>
        </w:tc>
        <w:tc>
          <w:tcPr>
            <w:tcW w:w="2591" w:type="dxa"/>
          </w:tcPr>
          <w:p w14:paraId="0DAA3D91" w14:textId="17345612" w:rsidR="00893F0D" w:rsidRDefault="00715905" w:rsidP="008A4AED">
            <w:pPr>
              <w:jc w:val="both"/>
            </w:pPr>
            <w:r w:rsidRPr="00715905">
              <w:t>Method</w:t>
            </w:r>
          </w:p>
        </w:tc>
        <w:tc>
          <w:tcPr>
            <w:tcW w:w="1986" w:type="dxa"/>
          </w:tcPr>
          <w:p w14:paraId="5708A829" w14:textId="01D061AC" w:rsidR="00893F0D" w:rsidRDefault="00216B68" w:rsidP="008A4AED">
            <w:pPr>
              <w:jc w:val="both"/>
            </w:pPr>
            <w:r>
              <w:t>Context</w:t>
            </w:r>
          </w:p>
        </w:tc>
        <w:tc>
          <w:tcPr>
            <w:tcW w:w="1235" w:type="dxa"/>
          </w:tcPr>
          <w:p w14:paraId="0228077D" w14:textId="226E6B18" w:rsidR="00893F0D" w:rsidRDefault="00284BB9" w:rsidP="008A4AED">
            <w:pPr>
              <w:jc w:val="both"/>
            </w:pPr>
            <w:r>
              <w:t>Quality</w:t>
            </w:r>
          </w:p>
        </w:tc>
        <w:tc>
          <w:tcPr>
            <w:tcW w:w="2091" w:type="dxa"/>
          </w:tcPr>
          <w:p w14:paraId="54B3EAAD" w14:textId="4021B8D6" w:rsidR="00893F0D" w:rsidRDefault="00D31288" w:rsidP="008A4AED">
            <w:pPr>
              <w:jc w:val="both"/>
            </w:pPr>
            <w:r w:rsidRPr="00D31288">
              <w:t>Dimension(s)</w:t>
            </w:r>
          </w:p>
        </w:tc>
      </w:tr>
      <w:tr w:rsidR="00893F0D" w14:paraId="33388A84" w14:textId="77777777" w:rsidTr="00CF1817">
        <w:tc>
          <w:tcPr>
            <w:tcW w:w="1727" w:type="dxa"/>
          </w:tcPr>
          <w:p w14:paraId="2427764E" w14:textId="154AD96C" w:rsidR="00893F0D" w:rsidRDefault="009C7B15" w:rsidP="008A4AED">
            <w:pPr>
              <w:jc w:val="both"/>
            </w:pPr>
            <w:r w:rsidRPr="009C7B15">
              <w:t>Tsiskaridze, Reinhold and Järvis</w:t>
            </w:r>
          </w:p>
        </w:tc>
        <w:tc>
          <w:tcPr>
            <w:tcW w:w="820" w:type="dxa"/>
          </w:tcPr>
          <w:p w14:paraId="18F2542C" w14:textId="55098E23" w:rsidR="00893F0D" w:rsidRDefault="00843813" w:rsidP="008A4AED">
            <w:pPr>
              <w:jc w:val="both"/>
            </w:pPr>
            <w:r>
              <w:t>2023</w:t>
            </w:r>
          </w:p>
        </w:tc>
        <w:tc>
          <w:tcPr>
            <w:tcW w:w="2591" w:type="dxa"/>
          </w:tcPr>
          <w:p w14:paraId="2393DA8D" w14:textId="1249116E" w:rsidR="00893F0D" w:rsidRDefault="007E17DD" w:rsidP="008A4AED">
            <w:pPr>
              <w:jc w:val="both"/>
            </w:pPr>
            <w:r w:rsidRPr="007E17DD">
              <w:t>Systematic Literature Review</w:t>
            </w:r>
          </w:p>
        </w:tc>
        <w:tc>
          <w:tcPr>
            <w:tcW w:w="1986" w:type="dxa"/>
          </w:tcPr>
          <w:p w14:paraId="7A342065" w14:textId="7AC8C49D" w:rsidR="00893F0D" w:rsidRDefault="00A72D8A" w:rsidP="008A4AED">
            <w:pPr>
              <w:jc w:val="both"/>
            </w:pPr>
            <w:r>
              <w:t>Global (</w:t>
            </w:r>
            <w:proofErr w:type="spellStart"/>
            <w:r>
              <w:t>E</w:t>
            </w:r>
            <w:r w:rsidR="001420C5">
              <w:t>urope</w:t>
            </w:r>
            <w:r w:rsidR="00194D13">
              <w:t>,NA,Asia</w:t>
            </w:r>
            <w:proofErr w:type="spellEnd"/>
            <w:r w:rsidR="00194D13">
              <w:t>)</w:t>
            </w:r>
          </w:p>
        </w:tc>
        <w:tc>
          <w:tcPr>
            <w:tcW w:w="1235" w:type="dxa"/>
          </w:tcPr>
          <w:p w14:paraId="3CCBC657" w14:textId="3AE19EEE" w:rsidR="00893F0D" w:rsidRDefault="00284BB9" w:rsidP="008A4AED">
            <w:pPr>
              <w:jc w:val="both"/>
            </w:pPr>
            <w:r>
              <w:t>High</w:t>
            </w:r>
          </w:p>
        </w:tc>
        <w:tc>
          <w:tcPr>
            <w:tcW w:w="2091" w:type="dxa"/>
          </w:tcPr>
          <w:p w14:paraId="7084D6FD" w14:textId="19F3F3B3" w:rsidR="00893F0D" w:rsidRDefault="005B0EFC" w:rsidP="008A4AED">
            <w:pPr>
              <w:jc w:val="both"/>
            </w:pPr>
            <w:r w:rsidRPr="005B0EFC">
              <w:t>Technical / Organisational</w:t>
            </w:r>
          </w:p>
        </w:tc>
      </w:tr>
      <w:tr w:rsidR="00284BB9" w14:paraId="6BC71A28" w14:textId="77777777" w:rsidTr="00CF1817">
        <w:tc>
          <w:tcPr>
            <w:tcW w:w="1727" w:type="dxa"/>
          </w:tcPr>
          <w:p w14:paraId="1B26C54B" w14:textId="598686AE" w:rsidR="00284BB9" w:rsidRDefault="00284BB9" w:rsidP="00284BB9">
            <w:pPr>
              <w:jc w:val="both"/>
            </w:pPr>
            <w:proofErr w:type="spellStart"/>
            <w:r w:rsidRPr="00195C64">
              <w:t>Prikshat</w:t>
            </w:r>
            <w:proofErr w:type="spellEnd"/>
            <w:r w:rsidRPr="00195C64">
              <w:t xml:space="preserve">, Malik and </w:t>
            </w:r>
            <w:proofErr w:type="spellStart"/>
            <w:r w:rsidRPr="00195C64">
              <w:t>Budhwar</w:t>
            </w:r>
            <w:proofErr w:type="spellEnd"/>
          </w:p>
        </w:tc>
        <w:tc>
          <w:tcPr>
            <w:tcW w:w="820" w:type="dxa"/>
          </w:tcPr>
          <w:p w14:paraId="396B91D5" w14:textId="6B4FCC47" w:rsidR="00284BB9" w:rsidRDefault="00284BB9" w:rsidP="00284BB9">
            <w:pPr>
              <w:jc w:val="both"/>
            </w:pPr>
            <w:r>
              <w:t>2023</w:t>
            </w:r>
          </w:p>
        </w:tc>
        <w:tc>
          <w:tcPr>
            <w:tcW w:w="2591" w:type="dxa"/>
          </w:tcPr>
          <w:p w14:paraId="6EC66C12" w14:textId="50B16EBD" w:rsidR="00284BB9" w:rsidRDefault="00284BB9" w:rsidP="00284BB9">
            <w:pPr>
              <w:jc w:val="both"/>
            </w:pPr>
            <w:r w:rsidRPr="002809E6">
              <w:t>Literature Review + Framework</w:t>
            </w:r>
          </w:p>
        </w:tc>
        <w:tc>
          <w:tcPr>
            <w:tcW w:w="1986" w:type="dxa"/>
          </w:tcPr>
          <w:p w14:paraId="4D2CEA9F" w14:textId="475553FC" w:rsidR="00284BB9" w:rsidRDefault="00284BB9" w:rsidP="00284BB9">
            <w:pPr>
              <w:jc w:val="both"/>
            </w:pPr>
            <w:r>
              <w:t>Global MNCs</w:t>
            </w:r>
          </w:p>
        </w:tc>
        <w:tc>
          <w:tcPr>
            <w:tcW w:w="1235" w:type="dxa"/>
          </w:tcPr>
          <w:p w14:paraId="4F31A7CF" w14:textId="2CDF143B" w:rsidR="00284BB9" w:rsidRDefault="00284BB9" w:rsidP="00284BB9">
            <w:pPr>
              <w:jc w:val="both"/>
            </w:pPr>
            <w:r>
              <w:t>High</w:t>
            </w:r>
          </w:p>
        </w:tc>
        <w:tc>
          <w:tcPr>
            <w:tcW w:w="2091" w:type="dxa"/>
          </w:tcPr>
          <w:p w14:paraId="3EFF8611" w14:textId="3B180260" w:rsidR="00284BB9" w:rsidRDefault="00B203AF" w:rsidP="00284BB9">
            <w:pPr>
              <w:jc w:val="both"/>
            </w:pPr>
            <w:r w:rsidRPr="00B203AF">
              <w:t>Organisational / Institutional</w:t>
            </w:r>
          </w:p>
        </w:tc>
      </w:tr>
      <w:tr w:rsidR="00284BB9" w14:paraId="5177716D" w14:textId="77777777" w:rsidTr="00CF1817">
        <w:tc>
          <w:tcPr>
            <w:tcW w:w="1727" w:type="dxa"/>
          </w:tcPr>
          <w:p w14:paraId="50436485" w14:textId="226249D6" w:rsidR="00284BB9" w:rsidRDefault="00284BB9" w:rsidP="00284BB9">
            <w:pPr>
              <w:jc w:val="both"/>
            </w:pPr>
            <w:r w:rsidRPr="00A86004">
              <w:t xml:space="preserve">Rigotti and </w:t>
            </w:r>
            <w:proofErr w:type="spellStart"/>
            <w:r w:rsidRPr="00A86004">
              <w:t>Fosch</w:t>
            </w:r>
            <w:proofErr w:type="spellEnd"/>
            <w:r w:rsidRPr="00A86004">
              <w:t>-Villaronga</w:t>
            </w:r>
          </w:p>
        </w:tc>
        <w:tc>
          <w:tcPr>
            <w:tcW w:w="820" w:type="dxa"/>
          </w:tcPr>
          <w:p w14:paraId="4474230D" w14:textId="31EFEF40" w:rsidR="00284BB9" w:rsidRDefault="00284BB9" w:rsidP="00284BB9">
            <w:pPr>
              <w:jc w:val="both"/>
            </w:pPr>
            <w:r>
              <w:t>2024</w:t>
            </w:r>
          </w:p>
        </w:tc>
        <w:tc>
          <w:tcPr>
            <w:tcW w:w="2591" w:type="dxa"/>
          </w:tcPr>
          <w:p w14:paraId="3671704E" w14:textId="079D8773" w:rsidR="00284BB9" w:rsidRDefault="00284BB9" w:rsidP="00284BB9">
            <w:pPr>
              <w:jc w:val="both"/>
            </w:pPr>
            <w:r w:rsidRPr="003F3791">
              <w:t>Legal-ethical analysis</w:t>
            </w:r>
          </w:p>
        </w:tc>
        <w:tc>
          <w:tcPr>
            <w:tcW w:w="1986" w:type="dxa"/>
          </w:tcPr>
          <w:p w14:paraId="38EE3E39" w14:textId="18C54455" w:rsidR="00284BB9" w:rsidRDefault="00284BB9" w:rsidP="00284BB9">
            <w:pPr>
              <w:jc w:val="both"/>
            </w:pPr>
            <w:r>
              <w:t>Europe</w:t>
            </w:r>
          </w:p>
        </w:tc>
        <w:tc>
          <w:tcPr>
            <w:tcW w:w="1235" w:type="dxa"/>
          </w:tcPr>
          <w:p w14:paraId="26D5DB0A" w14:textId="34B75DF5" w:rsidR="00284BB9" w:rsidRDefault="00284BB9" w:rsidP="00284BB9">
            <w:pPr>
              <w:jc w:val="both"/>
            </w:pPr>
            <w:r>
              <w:t>High</w:t>
            </w:r>
          </w:p>
        </w:tc>
        <w:tc>
          <w:tcPr>
            <w:tcW w:w="2091" w:type="dxa"/>
          </w:tcPr>
          <w:p w14:paraId="7540C94C" w14:textId="3F8BEE39" w:rsidR="00284BB9" w:rsidRDefault="002205F9" w:rsidP="00284BB9">
            <w:pPr>
              <w:jc w:val="both"/>
            </w:pPr>
            <w:r w:rsidRPr="002205F9">
              <w:t>Technical / Institutional</w:t>
            </w:r>
          </w:p>
        </w:tc>
      </w:tr>
      <w:tr w:rsidR="00284BB9" w14:paraId="521EA4A0" w14:textId="77777777" w:rsidTr="00CF1817">
        <w:tc>
          <w:tcPr>
            <w:tcW w:w="1727" w:type="dxa"/>
          </w:tcPr>
          <w:p w14:paraId="6E47565C" w14:textId="02640B87" w:rsidR="00284BB9" w:rsidRDefault="00284BB9" w:rsidP="00284BB9">
            <w:pPr>
              <w:jc w:val="both"/>
            </w:pPr>
            <w:r w:rsidRPr="00D30A3C">
              <w:t>Tambe, Cappelli and Yakubovich</w:t>
            </w:r>
          </w:p>
        </w:tc>
        <w:tc>
          <w:tcPr>
            <w:tcW w:w="820" w:type="dxa"/>
          </w:tcPr>
          <w:p w14:paraId="41C8F99D" w14:textId="094C724F" w:rsidR="00284BB9" w:rsidRDefault="00284BB9" w:rsidP="00284BB9">
            <w:pPr>
              <w:jc w:val="both"/>
            </w:pPr>
            <w:r>
              <w:t>2019</w:t>
            </w:r>
          </w:p>
        </w:tc>
        <w:tc>
          <w:tcPr>
            <w:tcW w:w="2591" w:type="dxa"/>
          </w:tcPr>
          <w:p w14:paraId="561CCEFB" w14:textId="359D3B0A" w:rsidR="00284BB9" w:rsidRDefault="00284BB9" w:rsidP="00284BB9">
            <w:pPr>
              <w:jc w:val="both"/>
            </w:pPr>
            <w:r w:rsidRPr="009F4A16">
              <w:t>Empirical review</w:t>
            </w:r>
          </w:p>
        </w:tc>
        <w:tc>
          <w:tcPr>
            <w:tcW w:w="1986" w:type="dxa"/>
          </w:tcPr>
          <w:p w14:paraId="2A3D4FF2" w14:textId="71E97EE9" w:rsidR="00284BB9" w:rsidRDefault="00284BB9" w:rsidP="00284BB9">
            <w:pPr>
              <w:jc w:val="both"/>
            </w:pPr>
            <w:r>
              <w:t>HRM (NA)</w:t>
            </w:r>
          </w:p>
        </w:tc>
        <w:tc>
          <w:tcPr>
            <w:tcW w:w="1235" w:type="dxa"/>
          </w:tcPr>
          <w:p w14:paraId="0D30CBD0" w14:textId="360598C3" w:rsidR="00284BB9" w:rsidRDefault="00284BB9" w:rsidP="00284BB9">
            <w:pPr>
              <w:jc w:val="both"/>
            </w:pPr>
            <w:r>
              <w:t>High</w:t>
            </w:r>
          </w:p>
        </w:tc>
        <w:tc>
          <w:tcPr>
            <w:tcW w:w="2091" w:type="dxa"/>
          </w:tcPr>
          <w:p w14:paraId="24079653" w14:textId="7F50FC0A" w:rsidR="00284BB9" w:rsidRDefault="00E61BCB" w:rsidP="00284BB9">
            <w:pPr>
              <w:jc w:val="both"/>
            </w:pPr>
            <w:r w:rsidRPr="00E61BCB">
              <w:t>Organisational</w:t>
            </w:r>
          </w:p>
        </w:tc>
      </w:tr>
      <w:tr w:rsidR="00125714" w14:paraId="64E7FAE7" w14:textId="77777777" w:rsidTr="00CF1817">
        <w:tc>
          <w:tcPr>
            <w:tcW w:w="1727" w:type="dxa"/>
          </w:tcPr>
          <w:p w14:paraId="7C9E69FC" w14:textId="47DF1981" w:rsidR="00125714" w:rsidRDefault="00125714" w:rsidP="00125714">
            <w:pPr>
              <w:jc w:val="both"/>
            </w:pPr>
            <w:r w:rsidRPr="008E125F">
              <w:t>Barocas and Selbst</w:t>
            </w:r>
          </w:p>
        </w:tc>
        <w:tc>
          <w:tcPr>
            <w:tcW w:w="820" w:type="dxa"/>
          </w:tcPr>
          <w:p w14:paraId="6454DCE9" w14:textId="77B94DBF" w:rsidR="00125714" w:rsidRDefault="00125714" w:rsidP="00125714">
            <w:pPr>
              <w:jc w:val="both"/>
            </w:pPr>
            <w:r>
              <w:t>2016</w:t>
            </w:r>
          </w:p>
        </w:tc>
        <w:tc>
          <w:tcPr>
            <w:tcW w:w="2591" w:type="dxa"/>
          </w:tcPr>
          <w:p w14:paraId="26ABB3EF" w14:textId="79BB00B8" w:rsidR="00125714" w:rsidRDefault="00125714" w:rsidP="00125714">
            <w:pPr>
              <w:jc w:val="both"/>
            </w:pPr>
            <w:r w:rsidRPr="002C31EB">
              <w:t>Legal-conceptual</w:t>
            </w:r>
          </w:p>
        </w:tc>
        <w:tc>
          <w:tcPr>
            <w:tcW w:w="1986" w:type="dxa"/>
          </w:tcPr>
          <w:p w14:paraId="242290C6" w14:textId="4F626C1D" w:rsidR="00125714" w:rsidRDefault="00125714" w:rsidP="00125714">
            <w:pPr>
              <w:jc w:val="both"/>
            </w:pPr>
            <w:r>
              <w:t>US / General</w:t>
            </w:r>
          </w:p>
        </w:tc>
        <w:tc>
          <w:tcPr>
            <w:tcW w:w="1235" w:type="dxa"/>
          </w:tcPr>
          <w:p w14:paraId="5D18B134" w14:textId="40651E54" w:rsidR="00125714" w:rsidRDefault="00125714" w:rsidP="00125714">
            <w:pPr>
              <w:jc w:val="both"/>
            </w:pPr>
            <w:r>
              <w:t>High</w:t>
            </w:r>
          </w:p>
        </w:tc>
        <w:tc>
          <w:tcPr>
            <w:tcW w:w="2091" w:type="dxa"/>
          </w:tcPr>
          <w:p w14:paraId="1752F75A" w14:textId="70239E57" w:rsidR="00125714" w:rsidRDefault="00495C01" w:rsidP="00125714">
            <w:pPr>
              <w:jc w:val="both"/>
            </w:pPr>
            <w:r w:rsidRPr="005B0EFC">
              <w:t>Technical</w:t>
            </w:r>
          </w:p>
        </w:tc>
      </w:tr>
      <w:tr w:rsidR="00125714" w14:paraId="6764E5DE" w14:textId="77777777" w:rsidTr="00CF1817">
        <w:tc>
          <w:tcPr>
            <w:tcW w:w="1727" w:type="dxa"/>
          </w:tcPr>
          <w:p w14:paraId="32916D80" w14:textId="500E26BD" w:rsidR="00125714" w:rsidRDefault="00125714" w:rsidP="00125714">
            <w:pPr>
              <w:jc w:val="both"/>
            </w:pPr>
            <w:r w:rsidRPr="00AA04E4">
              <w:t>Raghavan et al.</w:t>
            </w:r>
          </w:p>
        </w:tc>
        <w:tc>
          <w:tcPr>
            <w:tcW w:w="820" w:type="dxa"/>
          </w:tcPr>
          <w:p w14:paraId="10228B77" w14:textId="7A3911FC" w:rsidR="00125714" w:rsidRDefault="00125714" w:rsidP="00125714">
            <w:pPr>
              <w:jc w:val="both"/>
            </w:pPr>
            <w:r>
              <w:t>2020</w:t>
            </w:r>
          </w:p>
        </w:tc>
        <w:tc>
          <w:tcPr>
            <w:tcW w:w="2591" w:type="dxa"/>
          </w:tcPr>
          <w:p w14:paraId="184CFE0B" w14:textId="1291605D" w:rsidR="00125714" w:rsidRDefault="00125714" w:rsidP="00125714">
            <w:pPr>
              <w:jc w:val="both"/>
            </w:pPr>
            <w:r w:rsidRPr="00B33B9A">
              <w:t>Empirical + technical</w:t>
            </w:r>
          </w:p>
        </w:tc>
        <w:tc>
          <w:tcPr>
            <w:tcW w:w="1986" w:type="dxa"/>
          </w:tcPr>
          <w:p w14:paraId="5CBAAD1B" w14:textId="650D4DF9" w:rsidR="00125714" w:rsidRDefault="00125714" w:rsidP="00125714">
            <w:pPr>
              <w:jc w:val="both"/>
            </w:pPr>
            <w:r>
              <w:t>US hiring</w:t>
            </w:r>
          </w:p>
        </w:tc>
        <w:tc>
          <w:tcPr>
            <w:tcW w:w="1235" w:type="dxa"/>
          </w:tcPr>
          <w:p w14:paraId="008FDF19" w14:textId="6EF3E9A5" w:rsidR="00125714" w:rsidRDefault="00125714" w:rsidP="00125714">
            <w:pPr>
              <w:jc w:val="both"/>
            </w:pPr>
            <w:r>
              <w:t>High</w:t>
            </w:r>
          </w:p>
        </w:tc>
        <w:tc>
          <w:tcPr>
            <w:tcW w:w="2091" w:type="dxa"/>
          </w:tcPr>
          <w:p w14:paraId="2A6E5FFB" w14:textId="1F479912" w:rsidR="00125714" w:rsidRDefault="00711A48" w:rsidP="00125714">
            <w:pPr>
              <w:jc w:val="both"/>
            </w:pPr>
            <w:r w:rsidRPr="005B0EFC">
              <w:t>Technical / Organisational</w:t>
            </w:r>
          </w:p>
        </w:tc>
      </w:tr>
      <w:tr w:rsidR="00125714" w14:paraId="090F0E9F" w14:textId="77777777" w:rsidTr="00CF1817">
        <w:tc>
          <w:tcPr>
            <w:tcW w:w="1727" w:type="dxa"/>
          </w:tcPr>
          <w:p w14:paraId="24D35825" w14:textId="7EA82792" w:rsidR="00125714" w:rsidRDefault="00125714" w:rsidP="00125714">
            <w:pPr>
              <w:jc w:val="both"/>
            </w:pPr>
            <w:r>
              <w:t>Selbst et al.</w:t>
            </w:r>
          </w:p>
        </w:tc>
        <w:tc>
          <w:tcPr>
            <w:tcW w:w="820" w:type="dxa"/>
          </w:tcPr>
          <w:p w14:paraId="5AE9412E" w14:textId="19F6DAEA" w:rsidR="00125714" w:rsidRDefault="00125714" w:rsidP="00125714">
            <w:pPr>
              <w:jc w:val="both"/>
            </w:pPr>
            <w:r>
              <w:t>2019</w:t>
            </w:r>
          </w:p>
        </w:tc>
        <w:tc>
          <w:tcPr>
            <w:tcW w:w="2591" w:type="dxa"/>
          </w:tcPr>
          <w:p w14:paraId="41767553" w14:textId="6CBA65A8" w:rsidR="00125714" w:rsidRDefault="00125714" w:rsidP="00125714">
            <w:pPr>
              <w:jc w:val="both"/>
            </w:pPr>
            <w:r w:rsidRPr="00AE32FA">
              <w:t>Conceptual-socio-technical</w:t>
            </w:r>
          </w:p>
        </w:tc>
        <w:tc>
          <w:tcPr>
            <w:tcW w:w="1986" w:type="dxa"/>
          </w:tcPr>
          <w:p w14:paraId="787FD567" w14:textId="6D4761B9" w:rsidR="00125714" w:rsidRDefault="00125714" w:rsidP="00125714">
            <w:pPr>
              <w:jc w:val="both"/>
            </w:pPr>
            <w:r>
              <w:t xml:space="preserve">General </w:t>
            </w:r>
          </w:p>
        </w:tc>
        <w:tc>
          <w:tcPr>
            <w:tcW w:w="1235" w:type="dxa"/>
          </w:tcPr>
          <w:p w14:paraId="5B2AD1F8" w14:textId="34EDEBA1" w:rsidR="00125714" w:rsidRDefault="00125714" w:rsidP="00125714">
            <w:pPr>
              <w:jc w:val="both"/>
            </w:pPr>
            <w:r>
              <w:t>High</w:t>
            </w:r>
          </w:p>
        </w:tc>
        <w:tc>
          <w:tcPr>
            <w:tcW w:w="2091" w:type="dxa"/>
          </w:tcPr>
          <w:p w14:paraId="14C5F32F" w14:textId="03C8E32D" w:rsidR="00125714" w:rsidRDefault="00B3402F" w:rsidP="00125714">
            <w:pPr>
              <w:jc w:val="both"/>
            </w:pPr>
            <w:r w:rsidRPr="005B0EFC">
              <w:t>Technical / Organisational</w:t>
            </w:r>
          </w:p>
        </w:tc>
      </w:tr>
      <w:tr w:rsidR="00125714" w14:paraId="10CAE0AC" w14:textId="77777777" w:rsidTr="00CF1817">
        <w:tc>
          <w:tcPr>
            <w:tcW w:w="1727" w:type="dxa"/>
          </w:tcPr>
          <w:p w14:paraId="21B09440" w14:textId="429E3A5A" w:rsidR="00125714" w:rsidRDefault="00125714" w:rsidP="00125714">
            <w:pPr>
              <w:jc w:val="both"/>
            </w:pPr>
            <w:r w:rsidRPr="00F058C4">
              <w:t>Fazelpour, Lipton and Danks</w:t>
            </w:r>
          </w:p>
        </w:tc>
        <w:tc>
          <w:tcPr>
            <w:tcW w:w="820" w:type="dxa"/>
          </w:tcPr>
          <w:p w14:paraId="0E340E5B" w14:textId="7AB1485E" w:rsidR="00125714" w:rsidRDefault="00125714" w:rsidP="00125714">
            <w:pPr>
              <w:jc w:val="both"/>
            </w:pPr>
            <w:r>
              <w:t>2022</w:t>
            </w:r>
          </w:p>
        </w:tc>
        <w:tc>
          <w:tcPr>
            <w:tcW w:w="2591" w:type="dxa"/>
          </w:tcPr>
          <w:p w14:paraId="7E1767E3" w14:textId="7979614B" w:rsidR="00125714" w:rsidRDefault="00125714" w:rsidP="00125714">
            <w:pPr>
              <w:jc w:val="both"/>
            </w:pPr>
            <w:r w:rsidRPr="00C60505">
              <w:t>Philosophical-normative</w:t>
            </w:r>
          </w:p>
        </w:tc>
        <w:tc>
          <w:tcPr>
            <w:tcW w:w="1986" w:type="dxa"/>
          </w:tcPr>
          <w:p w14:paraId="62F95D75" w14:textId="1AA3C161" w:rsidR="00125714" w:rsidRDefault="00125714" w:rsidP="00125714">
            <w:pPr>
              <w:jc w:val="both"/>
            </w:pPr>
            <w:r>
              <w:t>NA</w:t>
            </w:r>
          </w:p>
        </w:tc>
        <w:tc>
          <w:tcPr>
            <w:tcW w:w="1235" w:type="dxa"/>
          </w:tcPr>
          <w:p w14:paraId="13834439" w14:textId="48CFEACD" w:rsidR="00125714" w:rsidRDefault="00125714" w:rsidP="00125714">
            <w:pPr>
              <w:jc w:val="both"/>
            </w:pPr>
            <w:r>
              <w:t>High</w:t>
            </w:r>
          </w:p>
        </w:tc>
        <w:tc>
          <w:tcPr>
            <w:tcW w:w="2091" w:type="dxa"/>
          </w:tcPr>
          <w:p w14:paraId="2DDCF5B5" w14:textId="28802926" w:rsidR="00125714" w:rsidRDefault="003531E9" w:rsidP="00125714">
            <w:pPr>
              <w:jc w:val="both"/>
            </w:pPr>
            <w:r w:rsidRPr="002205F9">
              <w:t>Technical / Institutional</w:t>
            </w:r>
          </w:p>
        </w:tc>
      </w:tr>
      <w:tr w:rsidR="00125714" w14:paraId="7D02565E" w14:textId="77777777" w:rsidTr="00CF1817">
        <w:tc>
          <w:tcPr>
            <w:tcW w:w="1727" w:type="dxa"/>
          </w:tcPr>
          <w:p w14:paraId="5219D7A3" w14:textId="25CAD54C" w:rsidR="00125714" w:rsidRDefault="00125714" w:rsidP="00125714">
            <w:pPr>
              <w:jc w:val="both"/>
            </w:pPr>
            <w:proofErr w:type="spellStart"/>
            <w:r w:rsidRPr="0074605C">
              <w:t>Köchling</w:t>
            </w:r>
            <w:proofErr w:type="spellEnd"/>
            <w:r w:rsidRPr="0074605C">
              <w:t xml:space="preserve"> and Wehner</w:t>
            </w:r>
          </w:p>
        </w:tc>
        <w:tc>
          <w:tcPr>
            <w:tcW w:w="820" w:type="dxa"/>
          </w:tcPr>
          <w:p w14:paraId="4472680C" w14:textId="55855C3E" w:rsidR="00125714" w:rsidRDefault="00125714" w:rsidP="00125714">
            <w:pPr>
              <w:jc w:val="both"/>
            </w:pPr>
            <w:r>
              <w:t>2020</w:t>
            </w:r>
          </w:p>
        </w:tc>
        <w:tc>
          <w:tcPr>
            <w:tcW w:w="2591" w:type="dxa"/>
          </w:tcPr>
          <w:p w14:paraId="740E7A69" w14:textId="640B39CC" w:rsidR="00125714" w:rsidRDefault="00125714" w:rsidP="00125714">
            <w:pPr>
              <w:jc w:val="both"/>
            </w:pPr>
            <w:r w:rsidRPr="00D33BEF">
              <w:t>Systematic review</w:t>
            </w:r>
          </w:p>
        </w:tc>
        <w:tc>
          <w:tcPr>
            <w:tcW w:w="1986" w:type="dxa"/>
          </w:tcPr>
          <w:p w14:paraId="6A7AF71E" w14:textId="3A4A9698" w:rsidR="00125714" w:rsidRDefault="00125714" w:rsidP="00125714">
            <w:pPr>
              <w:jc w:val="both"/>
            </w:pPr>
            <w:r>
              <w:t>Europe</w:t>
            </w:r>
          </w:p>
        </w:tc>
        <w:tc>
          <w:tcPr>
            <w:tcW w:w="1235" w:type="dxa"/>
          </w:tcPr>
          <w:p w14:paraId="0A67262C" w14:textId="61796A49" w:rsidR="00125714" w:rsidRDefault="00125714" w:rsidP="00125714">
            <w:pPr>
              <w:jc w:val="both"/>
            </w:pPr>
            <w:r>
              <w:t>High</w:t>
            </w:r>
          </w:p>
        </w:tc>
        <w:tc>
          <w:tcPr>
            <w:tcW w:w="2091" w:type="dxa"/>
          </w:tcPr>
          <w:p w14:paraId="32302B85" w14:textId="2ED75040" w:rsidR="00125714" w:rsidRDefault="003531E9" w:rsidP="00125714">
            <w:pPr>
              <w:jc w:val="both"/>
            </w:pPr>
            <w:r w:rsidRPr="002205F9">
              <w:t xml:space="preserve">Technical </w:t>
            </w:r>
          </w:p>
        </w:tc>
      </w:tr>
      <w:tr w:rsidR="00125714" w14:paraId="2740ACEA" w14:textId="77777777" w:rsidTr="00CF1817">
        <w:tc>
          <w:tcPr>
            <w:tcW w:w="1727" w:type="dxa"/>
          </w:tcPr>
          <w:p w14:paraId="5DB8582C" w14:textId="475161FC" w:rsidR="00125714" w:rsidRDefault="00125714" w:rsidP="00125714">
            <w:pPr>
              <w:jc w:val="both"/>
            </w:pPr>
            <w:r w:rsidRPr="005A658A">
              <w:t xml:space="preserve">Batool, </w:t>
            </w:r>
            <w:proofErr w:type="spellStart"/>
            <w:r w:rsidRPr="005A658A">
              <w:t>Zowghi</w:t>
            </w:r>
            <w:proofErr w:type="spellEnd"/>
            <w:r w:rsidRPr="005A658A">
              <w:t xml:space="preserve"> and Bano</w:t>
            </w:r>
          </w:p>
        </w:tc>
        <w:tc>
          <w:tcPr>
            <w:tcW w:w="820" w:type="dxa"/>
          </w:tcPr>
          <w:p w14:paraId="041B6BC7" w14:textId="7CFEF059" w:rsidR="00125714" w:rsidRDefault="00125714" w:rsidP="00125714">
            <w:pPr>
              <w:jc w:val="both"/>
            </w:pPr>
            <w:r>
              <w:t>2023</w:t>
            </w:r>
          </w:p>
        </w:tc>
        <w:tc>
          <w:tcPr>
            <w:tcW w:w="2591" w:type="dxa"/>
          </w:tcPr>
          <w:p w14:paraId="2B0251F7" w14:textId="2870AB91" w:rsidR="00125714" w:rsidRDefault="00125714" w:rsidP="00125714">
            <w:pPr>
              <w:jc w:val="both"/>
            </w:pPr>
            <w:r w:rsidRPr="002446B9">
              <w:t>Systematic Literature Review</w:t>
            </w:r>
          </w:p>
        </w:tc>
        <w:tc>
          <w:tcPr>
            <w:tcW w:w="1986" w:type="dxa"/>
          </w:tcPr>
          <w:p w14:paraId="130F2BB4" w14:textId="148E48A0" w:rsidR="00125714" w:rsidRDefault="00125714" w:rsidP="00125714">
            <w:pPr>
              <w:jc w:val="both"/>
            </w:pPr>
            <w:r>
              <w:t>Global</w:t>
            </w:r>
          </w:p>
        </w:tc>
        <w:tc>
          <w:tcPr>
            <w:tcW w:w="1235" w:type="dxa"/>
          </w:tcPr>
          <w:p w14:paraId="480C49FE" w14:textId="5F81C2E1" w:rsidR="00125714" w:rsidRDefault="00125714" w:rsidP="00125714">
            <w:pPr>
              <w:jc w:val="both"/>
            </w:pPr>
            <w:r>
              <w:t>High</w:t>
            </w:r>
          </w:p>
        </w:tc>
        <w:tc>
          <w:tcPr>
            <w:tcW w:w="2091" w:type="dxa"/>
          </w:tcPr>
          <w:p w14:paraId="1A7F788E" w14:textId="12A21864" w:rsidR="00125714" w:rsidRDefault="009367E3" w:rsidP="00125714">
            <w:pPr>
              <w:jc w:val="both"/>
            </w:pPr>
            <w:r w:rsidRPr="005B0EFC">
              <w:t>Organisational</w:t>
            </w:r>
            <w:r w:rsidRPr="002205F9">
              <w:t xml:space="preserve"> / Institutional</w:t>
            </w:r>
          </w:p>
        </w:tc>
      </w:tr>
      <w:tr w:rsidR="00125714" w14:paraId="3153D228" w14:textId="77777777" w:rsidTr="00CF1817">
        <w:tc>
          <w:tcPr>
            <w:tcW w:w="1727" w:type="dxa"/>
          </w:tcPr>
          <w:p w14:paraId="773651DD" w14:textId="49F3DE2C" w:rsidR="00125714" w:rsidRDefault="00125714" w:rsidP="00125714">
            <w:pPr>
              <w:jc w:val="both"/>
            </w:pPr>
            <w:r w:rsidRPr="00E84B81">
              <w:t>European Commission</w:t>
            </w:r>
          </w:p>
        </w:tc>
        <w:tc>
          <w:tcPr>
            <w:tcW w:w="820" w:type="dxa"/>
          </w:tcPr>
          <w:p w14:paraId="79EF88B6" w14:textId="67A42341" w:rsidR="00125714" w:rsidRDefault="00125714" w:rsidP="00125714">
            <w:pPr>
              <w:jc w:val="both"/>
            </w:pPr>
            <w:r>
              <w:t>2024</w:t>
            </w:r>
          </w:p>
        </w:tc>
        <w:tc>
          <w:tcPr>
            <w:tcW w:w="2591" w:type="dxa"/>
          </w:tcPr>
          <w:p w14:paraId="755CB0DD" w14:textId="2F8CCFA8" w:rsidR="00125714" w:rsidRDefault="00125714" w:rsidP="00125714">
            <w:pPr>
              <w:jc w:val="both"/>
            </w:pPr>
            <w:r w:rsidRPr="002248A9">
              <w:t>Regulatory document</w:t>
            </w:r>
          </w:p>
        </w:tc>
        <w:tc>
          <w:tcPr>
            <w:tcW w:w="1986" w:type="dxa"/>
          </w:tcPr>
          <w:p w14:paraId="7FFA0D23" w14:textId="51CC520E" w:rsidR="00125714" w:rsidRDefault="00125714" w:rsidP="00125714">
            <w:pPr>
              <w:jc w:val="both"/>
            </w:pPr>
            <w:r>
              <w:t>EU</w:t>
            </w:r>
          </w:p>
        </w:tc>
        <w:tc>
          <w:tcPr>
            <w:tcW w:w="1235" w:type="dxa"/>
          </w:tcPr>
          <w:p w14:paraId="36D6E57C" w14:textId="3C7B27F4" w:rsidR="00125714" w:rsidRDefault="00125714" w:rsidP="00125714">
            <w:pPr>
              <w:jc w:val="both"/>
            </w:pPr>
            <w:r>
              <w:t>High</w:t>
            </w:r>
          </w:p>
        </w:tc>
        <w:tc>
          <w:tcPr>
            <w:tcW w:w="2091" w:type="dxa"/>
          </w:tcPr>
          <w:p w14:paraId="6D2EA3EE" w14:textId="4AE3FF3F" w:rsidR="00125714" w:rsidRDefault="007709B8" w:rsidP="00125714">
            <w:pPr>
              <w:jc w:val="both"/>
            </w:pPr>
            <w:r w:rsidRPr="002205F9">
              <w:t>Institutional</w:t>
            </w:r>
          </w:p>
        </w:tc>
      </w:tr>
      <w:tr w:rsidR="00125714" w14:paraId="64394FB3" w14:textId="77777777" w:rsidTr="00CF1817">
        <w:tc>
          <w:tcPr>
            <w:tcW w:w="1727" w:type="dxa"/>
          </w:tcPr>
          <w:p w14:paraId="77B20332" w14:textId="557EAD51" w:rsidR="00125714" w:rsidRDefault="00125714" w:rsidP="00125714">
            <w:pPr>
              <w:jc w:val="both"/>
            </w:pPr>
            <w:r w:rsidRPr="008A5570">
              <w:t>CMS</w:t>
            </w:r>
          </w:p>
        </w:tc>
        <w:tc>
          <w:tcPr>
            <w:tcW w:w="820" w:type="dxa"/>
          </w:tcPr>
          <w:p w14:paraId="03319DFD" w14:textId="1EF883EC" w:rsidR="00125714" w:rsidRDefault="00125714" w:rsidP="00125714">
            <w:pPr>
              <w:jc w:val="both"/>
            </w:pPr>
            <w:r>
              <w:t>2025</w:t>
            </w:r>
          </w:p>
        </w:tc>
        <w:tc>
          <w:tcPr>
            <w:tcW w:w="2591" w:type="dxa"/>
          </w:tcPr>
          <w:p w14:paraId="218699F3" w14:textId="73B7B505" w:rsidR="00125714" w:rsidRDefault="00125714" w:rsidP="00125714">
            <w:pPr>
              <w:jc w:val="both"/>
            </w:pPr>
            <w:r w:rsidRPr="009D4E8B">
              <w:t>Legal briefing</w:t>
            </w:r>
          </w:p>
        </w:tc>
        <w:tc>
          <w:tcPr>
            <w:tcW w:w="1986" w:type="dxa"/>
          </w:tcPr>
          <w:p w14:paraId="43CCCB1B" w14:textId="37C744BA" w:rsidR="00125714" w:rsidRDefault="00125714" w:rsidP="00125714">
            <w:pPr>
              <w:jc w:val="both"/>
            </w:pPr>
            <w:r>
              <w:t>Asia-Pacific</w:t>
            </w:r>
          </w:p>
        </w:tc>
        <w:tc>
          <w:tcPr>
            <w:tcW w:w="1235" w:type="dxa"/>
          </w:tcPr>
          <w:p w14:paraId="2298B4C2" w14:textId="16329006" w:rsidR="00125714" w:rsidRDefault="002E35BB" w:rsidP="00125714">
            <w:pPr>
              <w:jc w:val="both"/>
            </w:pPr>
            <w:r>
              <w:t>Mo</w:t>
            </w:r>
            <w:r w:rsidR="00583CE8">
              <w:t>de</w:t>
            </w:r>
            <w:r w:rsidR="00434C6C">
              <w:t>rate</w:t>
            </w:r>
          </w:p>
        </w:tc>
        <w:tc>
          <w:tcPr>
            <w:tcW w:w="2091" w:type="dxa"/>
          </w:tcPr>
          <w:p w14:paraId="575B4A2C" w14:textId="27C3F346" w:rsidR="00125714" w:rsidRDefault="007709B8" w:rsidP="00125714">
            <w:pPr>
              <w:jc w:val="both"/>
            </w:pPr>
            <w:r w:rsidRPr="002205F9">
              <w:t>Institutional</w:t>
            </w:r>
          </w:p>
        </w:tc>
      </w:tr>
      <w:tr w:rsidR="00125714" w14:paraId="57A403F1" w14:textId="77777777" w:rsidTr="00CF1817">
        <w:tc>
          <w:tcPr>
            <w:tcW w:w="1727" w:type="dxa"/>
          </w:tcPr>
          <w:p w14:paraId="05B37E71" w14:textId="2989C80A" w:rsidR="00125714" w:rsidRDefault="00125714" w:rsidP="00125714">
            <w:pPr>
              <w:jc w:val="both"/>
            </w:pPr>
            <w:r w:rsidRPr="001143EB">
              <w:t>Orlikowski</w:t>
            </w:r>
          </w:p>
        </w:tc>
        <w:tc>
          <w:tcPr>
            <w:tcW w:w="820" w:type="dxa"/>
          </w:tcPr>
          <w:p w14:paraId="5206648E" w14:textId="6DC06D36" w:rsidR="00125714" w:rsidRDefault="00125714" w:rsidP="00125714">
            <w:pPr>
              <w:jc w:val="both"/>
            </w:pPr>
            <w:r>
              <w:t>1992</w:t>
            </w:r>
          </w:p>
        </w:tc>
        <w:tc>
          <w:tcPr>
            <w:tcW w:w="2591" w:type="dxa"/>
          </w:tcPr>
          <w:p w14:paraId="5A4C7B91" w14:textId="28A1CDA8" w:rsidR="00125714" w:rsidRDefault="00125714" w:rsidP="00125714">
            <w:pPr>
              <w:jc w:val="both"/>
            </w:pPr>
            <w:r w:rsidRPr="00DF5E83">
              <w:t>Conceptual (Socio-technical)</w:t>
            </w:r>
          </w:p>
        </w:tc>
        <w:tc>
          <w:tcPr>
            <w:tcW w:w="1986" w:type="dxa"/>
          </w:tcPr>
          <w:p w14:paraId="432D5DAA" w14:textId="3D5E24B9" w:rsidR="00125714" w:rsidRDefault="00125714" w:rsidP="00125714">
            <w:pPr>
              <w:jc w:val="both"/>
            </w:pPr>
            <w:r>
              <w:t>General</w:t>
            </w:r>
          </w:p>
        </w:tc>
        <w:tc>
          <w:tcPr>
            <w:tcW w:w="1235" w:type="dxa"/>
          </w:tcPr>
          <w:p w14:paraId="3E6F237E" w14:textId="6F847EFB" w:rsidR="00125714" w:rsidRDefault="00125714" w:rsidP="00125714">
            <w:pPr>
              <w:jc w:val="both"/>
            </w:pPr>
            <w:r>
              <w:t>High</w:t>
            </w:r>
          </w:p>
        </w:tc>
        <w:tc>
          <w:tcPr>
            <w:tcW w:w="2091" w:type="dxa"/>
          </w:tcPr>
          <w:p w14:paraId="48B15F5B" w14:textId="5AAD7ADB" w:rsidR="00125714" w:rsidRDefault="007709B8" w:rsidP="00125714">
            <w:pPr>
              <w:jc w:val="both"/>
            </w:pPr>
            <w:r w:rsidRPr="005B0EFC">
              <w:t>Organisational</w:t>
            </w:r>
          </w:p>
        </w:tc>
      </w:tr>
      <w:tr w:rsidR="00125714" w14:paraId="44AA9F1F" w14:textId="77777777" w:rsidTr="00CF1817">
        <w:tc>
          <w:tcPr>
            <w:tcW w:w="1727" w:type="dxa"/>
          </w:tcPr>
          <w:p w14:paraId="4A38253E" w14:textId="525ED5A5" w:rsidR="00125714" w:rsidRDefault="00125714" w:rsidP="00125714">
            <w:pPr>
              <w:jc w:val="both"/>
            </w:pPr>
            <w:r w:rsidRPr="00270667">
              <w:lastRenderedPageBreak/>
              <w:t>Scott</w:t>
            </w:r>
          </w:p>
        </w:tc>
        <w:tc>
          <w:tcPr>
            <w:tcW w:w="820" w:type="dxa"/>
          </w:tcPr>
          <w:p w14:paraId="66F99C8E" w14:textId="7C1088A0" w:rsidR="00125714" w:rsidRDefault="00125714" w:rsidP="00125714">
            <w:pPr>
              <w:jc w:val="both"/>
            </w:pPr>
            <w:r>
              <w:t>2014</w:t>
            </w:r>
          </w:p>
        </w:tc>
        <w:tc>
          <w:tcPr>
            <w:tcW w:w="2591" w:type="dxa"/>
          </w:tcPr>
          <w:p w14:paraId="10F7D60B" w14:textId="0FD8182B" w:rsidR="00125714" w:rsidRDefault="00125714" w:rsidP="00125714">
            <w:pPr>
              <w:jc w:val="both"/>
            </w:pPr>
            <w:r w:rsidRPr="00831013">
              <w:t>Theoretical (Institutional)</w:t>
            </w:r>
          </w:p>
        </w:tc>
        <w:tc>
          <w:tcPr>
            <w:tcW w:w="1986" w:type="dxa"/>
          </w:tcPr>
          <w:p w14:paraId="0EDB3166" w14:textId="139ED4C5" w:rsidR="00125714" w:rsidRDefault="00125714" w:rsidP="00125714">
            <w:pPr>
              <w:jc w:val="both"/>
            </w:pPr>
            <w:r>
              <w:t>Global</w:t>
            </w:r>
          </w:p>
        </w:tc>
        <w:tc>
          <w:tcPr>
            <w:tcW w:w="1235" w:type="dxa"/>
          </w:tcPr>
          <w:p w14:paraId="0A02E1E3" w14:textId="68B065DF" w:rsidR="00125714" w:rsidRDefault="00125714" w:rsidP="00125714">
            <w:pPr>
              <w:jc w:val="both"/>
            </w:pPr>
            <w:r>
              <w:t>High</w:t>
            </w:r>
          </w:p>
        </w:tc>
        <w:tc>
          <w:tcPr>
            <w:tcW w:w="2091" w:type="dxa"/>
          </w:tcPr>
          <w:p w14:paraId="2BA06E0C" w14:textId="235880AD" w:rsidR="00125714" w:rsidRDefault="007709B8" w:rsidP="00125714">
            <w:pPr>
              <w:jc w:val="both"/>
            </w:pPr>
            <w:r w:rsidRPr="002205F9">
              <w:t>Institutional</w:t>
            </w:r>
          </w:p>
        </w:tc>
      </w:tr>
    </w:tbl>
    <w:p w14:paraId="35D2BA99" w14:textId="77777777" w:rsidR="00007946" w:rsidRDefault="00007946" w:rsidP="008A4AED">
      <w:pPr>
        <w:jc w:val="both"/>
      </w:pPr>
    </w:p>
    <w:p w14:paraId="0BD3F54E" w14:textId="5E8CDB17" w:rsidR="002A0F0C" w:rsidRPr="00494A02" w:rsidRDefault="00496870" w:rsidP="008A4AED">
      <w:pPr>
        <w:jc w:val="both"/>
        <w:rPr>
          <w:b/>
          <w:bCs/>
          <w:sz w:val="28"/>
          <w:szCs w:val="28"/>
        </w:rPr>
      </w:pPr>
      <w:r w:rsidRPr="00494A02">
        <w:rPr>
          <w:b/>
          <w:bCs/>
          <w:sz w:val="28"/>
          <w:szCs w:val="28"/>
        </w:rPr>
        <w:t>Analytical Coding Framework</w:t>
      </w:r>
    </w:p>
    <w:tbl>
      <w:tblPr>
        <w:tblStyle w:val="TableGrid"/>
        <w:tblW w:w="0" w:type="auto"/>
        <w:tblLook w:val="04A0" w:firstRow="1" w:lastRow="0" w:firstColumn="1" w:lastColumn="0" w:noHBand="0" w:noVBand="1"/>
      </w:tblPr>
      <w:tblGrid>
        <w:gridCol w:w="3483"/>
        <w:gridCol w:w="3483"/>
        <w:gridCol w:w="3484"/>
      </w:tblGrid>
      <w:tr w:rsidR="00127A5C" w14:paraId="22A4705A" w14:textId="77777777" w:rsidTr="00127A5C">
        <w:tc>
          <w:tcPr>
            <w:tcW w:w="3483" w:type="dxa"/>
          </w:tcPr>
          <w:p w14:paraId="7B62B40D" w14:textId="652F90B3" w:rsidR="00127A5C" w:rsidRDefault="00326734" w:rsidP="008A4AED">
            <w:pPr>
              <w:jc w:val="both"/>
            </w:pPr>
            <w:r w:rsidRPr="00326734">
              <w:t>Dimension</w:t>
            </w:r>
          </w:p>
        </w:tc>
        <w:tc>
          <w:tcPr>
            <w:tcW w:w="3483" w:type="dxa"/>
          </w:tcPr>
          <w:p w14:paraId="14A2477E" w14:textId="7803C8A5" w:rsidR="00127A5C" w:rsidRDefault="004C54DB" w:rsidP="008A4AED">
            <w:pPr>
              <w:jc w:val="both"/>
            </w:pPr>
            <w:r w:rsidRPr="004C54DB">
              <w:t>Core Codes</w:t>
            </w:r>
          </w:p>
        </w:tc>
        <w:tc>
          <w:tcPr>
            <w:tcW w:w="3484" w:type="dxa"/>
          </w:tcPr>
          <w:p w14:paraId="309D6E7D" w14:textId="56B0051B" w:rsidR="00127A5C" w:rsidRDefault="008C1A74" w:rsidP="008A4AED">
            <w:pPr>
              <w:jc w:val="both"/>
            </w:pPr>
            <w:r w:rsidRPr="008C1A74">
              <w:t>Illustrative Focus</w:t>
            </w:r>
          </w:p>
        </w:tc>
      </w:tr>
      <w:tr w:rsidR="00127A5C" w14:paraId="5922B87A" w14:textId="77777777" w:rsidTr="00127A5C">
        <w:tc>
          <w:tcPr>
            <w:tcW w:w="3483" w:type="dxa"/>
          </w:tcPr>
          <w:p w14:paraId="1976F65A" w14:textId="3AAE0EBC" w:rsidR="00127A5C" w:rsidRDefault="005B2333" w:rsidP="008A4AED">
            <w:pPr>
              <w:jc w:val="both"/>
            </w:pPr>
            <w:r w:rsidRPr="005B2333">
              <w:t>Technical</w:t>
            </w:r>
          </w:p>
        </w:tc>
        <w:tc>
          <w:tcPr>
            <w:tcW w:w="3483" w:type="dxa"/>
          </w:tcPr>
          <w:p w14:paraId="03D5A361" w14:textId="060142BA" w:rsidR="00127A5C" w:rsidRDefault="004406F3" w:rsidP="008A4AED">
            <w:pPr>
              <w:jc w:val="both"/>
            </w:pPr>
            <w:r w:rsidRPr="004406F3">
              <w:t>Data bias, proxy variables, opacity, bias mitigation, explainability tools</w:t>
            </w:r>
          </w:p>
        </w:tc>
        <w:tc>
          <w:tcPr>
            <w:tcW w:w="3484" w:type="dxa"/>
          </w:tcPr>
          <w:p w14:paraId="35E97B0F" w14:textId="3E2191F9" w:rsidR="00127A5C" w:rsidRDefault="00581A09" w:rsidP="008A4AED">
            <w:pPr>
              <w:jc w:val="both"/>
            </w:pPr>
            <w:r w:rsidRPr="00581A09">
              <w:t>Model design, algorithmic fairness, transparency limitations</w:t>
            </w:r>
          </w:p>
        </w:tc>
      </w:tr>
      <w:tr w:rsidR="00127A5C" w14:paraId="0BFE1655" w14:textId="77777777" w:rsidTr="00127A5C">
        <w:tc>
          <w:tcPr>
            <w:tcW w:w="3483" w:type="dxa"/>
          </w:tcPr>
          <w:p w14:paraId="240C0BD8" w14:textId="55F72C01" w:rsidR="00127A5C" w:rsidRDefault="00597087" w:rsidP="008A4AED">
            <w:pPr>
              <w:jc w:val="both"/>
            </w:pPr>
            <w:r w:rsidRPr="00597087">
              <w:t>Organisational</w:t>
            </w:r>
          </w:p>
        </w:tc>
        <w:tc>
          <w:tcPr>
            <w:tcW w:w="3483" w:type="dxa"/>
          </w:tcPr>
          <w:p w14:paraId="7D2F2A0B" w14:textId="090A8A23" w:rsidR="00127A5C" w:rsidRDefault="0083569D" w:rsidP="008A4AED">
            <w:pPr>
              <w:jc w:val="both"/>
            </w:pPr>
            <w:r w:rsidRPr="0083569D">
              <w:t>Human-in-the-loop enactment, accountability diffusion, vendor governance, decision authority</w:t>
            </w:r>
          </w:p>
        </w:tc>
        <w:tc>
          <w:tcPr>
            <w:tcW w:w="3484" w:type="dxa"/>
          </w:tcPr>
          <w:p w14:paraId="156CDA44" w14:textId="548D4B0C" w:rsidR="00127A5C" w:rsidRDefault="00E41DAB" w:rsidP="008A4AED">
            <w:pPr>
              <w:jc w:val="both"/>
            </w:pPr>
            <w:r w:rsidRPr="00E41DAB">
              <w:t>Decision interfaces, oversight mechanisms, MNC governance</w:t>
            </w:r>
          </w:p>
        </w:tc>
      </w:tr>
      <w:tr w:rsidR="00127A5C" w14:paraId="5FB29AFD" w14:textId="77777777" w:rsidTr="00127A5C">
        <w:tc>
          <w:tcPr>
            <w:tcW w:w="3483" w:type="dxa"/>
          </w:tcPr>
          <w:p w14:paraId="2DAB7420" w14:textId="7AB00946" w:rsidR="00127A5C" w:rsidRDefault="00397718" w:rsidP="008A4AED">
            <w:pPr>
              <w:jc w:val="both"/>
            </w:pPr>
            <w:r w:rsidRPr="00397718">
              <w:t>Institutional</w:t>
            </w:r>
          </w:p>
        </w:tc>
        <w:tc>
          <w:tcPr>
            <w:tcW w:w="3483" w:type="dxa"/>
          </w:tcPr>
          <w:p w14:paraId="2592C0C6" w14:textId="232EE0CC" w:rsidR="00127A5C" w:rsidRDefault="004F2BCC" w:rsidP="008A4AED">
            <w:pPr>
              <w:jc w:val="both"/>
            </w:pPr>
            <w:r w:rsidRPr="004F2BCC">
              <w:t>Regulatory logic (GDPR, EU AI Act), enforcement capacity, cultural norms, labour-market institutions</w:t>
            </w:r>
          </w:p>
        </w:tc>
        <w:tc>
          <w:tcPr>
            <w:tcW w:w="3484" w:type="dxa"/>
          </w:tcPr>
          <w:p w14:paraId="09FA3AE8" w14:textId="3D7BB98A" w:rsidR="00127A5C" w:rsidRDefault="005D0812" w:rsidP="008A4AED">
            <w:pPr>
              <w:jc w:val="both"/>
            </w:pPr>
            <w:r w:rsidRPr="005D0812">
              <w:t>Governance conditions, Europe–Asia divergence, compliance practices</w:t>
            </w:r>
          </w:p>
        </w:tc>
      </w:tr>
    </w:tbl>
    <w:p w14:paraId="7AE23B15" w14:textId="77777777" w:rsidR="00BA4018" w:rsidRDefault="00BA4018" w:rsidP="008A4AED">
      <w:pPr>
        <w:jc w:val="both"/>
      </w:pPr>
    </w:p>
    <w:sectPr w:rsidR="00BA4018" w:rsidSect="00016783">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BF4F84"/>
    <w:multiLevelType w:val="hybridMultilevel"/>
    <w:tmpl w:val="A4606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3106F"/>
    <w:multiLevelType w:val="hybridMultilevel"/>
    <w:tmpl w:val="3488D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26936"/>
    <w:multiLevelType w:val="hybridMultilevel"/>
    <w:tmpl w:val="8B3E2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31224"/>
    <w:multiLevelType w:val="hybridMultilevel"/>
    <w:tmpl w:val="90D4A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17165F"/>
    <w:multiLevelType w:val="hybridMultilevel"/>
    <w:tmpl w:val="E5F80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45614F"/>
    <w:multiLevelType w:val="hybridMultilevel"/>
    <w:tmpl w:val="026C4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D1453F"/>
    <w:multiLevelType w:val="hybridMultilevel"/>
    <w:tmpl w:val="85CAF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95733C"/>
    <w:multiLevelType w:val="hybridMultilevel"/>
    <w:tmpl w:val="DE04F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01116"/>
    <w:multiLevelType w:val="hybridMultilevel"/>
    <w:tmpl w:val="A4723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951086"/>
    <w:multiLevelType w:val="hybridMultilevel"/>
    <w:tmpl w:val="4F66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043000"/>
    <w:multiLevelType w:val="hybridMultilevel"/>
    <w:tmpl w:val="4E4AF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0259CA"/>
    <w:multiLevelType w:val="hybridMultilevel"/>
    <w:tmpl w:val="95A2F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447624"/>
    <w:multiLevelType w:val="hybridMultilevel"/>
    <w:tmpl w:val="60226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380CEB"/>
    <w:multiLevelType w:val="hybridMultilevel"/>
    <w:tmpl w:val="DC1A4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2879F6"/>
    <w:multiLevelType w:val="hybridMultilevel"/>
    <w:tmpl w:val="6B18CE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8A6486"/>
    <w:multiLevelType w:val="hybridMultilevel"/>
    <w:tmpl w:val="798A1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D46E70"/>
    <w:multiLevelType w:val="hybridMultilevel"/>
    <w:tmpl w:val="AD4A5C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9922FC"/>
    <w:multiLevelType w:val="hybridMultilevel"/>
    <w:tmpl w:val="EDD811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9F2AB2"/>
    <w:multiLevelType w:val="hybridMultilevel"/>
    <w:tmpl w:val="22F21A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8474AB"/>
    <w:multiLevelType w:val="hybridMultilevel"/>
    <w:tmpl w:val="4824F8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2027948">
    <w:abstractNumId w:val="4"/>
  </w:num>
  <w:num w:numId="2" w16cid:durableId="1054305613">
    <w:abstractNumId w:val="18"/>
  </w:num>
  <w:num w:numId="3" w16cid:durableId="1902712499">
    <w:abstractNumId w:val="5"/>
  </w:num>
  <w:num w:numId="4" w16cid:durableId="1903442331">
    <w:abstractNumId w:val="11"/>
  </w:num>
  <w:num w:numId="5" w16cid:durableId="1970626095">
    <w:abstractNumId w:val="19"/>
  </w:num>
  <w:num w:numId="6" w16cid:durableId="2128698419">
    <w:abstractNumId w:val="16"/>
  </w:num>
  <w:num w:numId="7" w16cid:durableId="589893311">
    <w:abstractNumId w:val="17"/>
  </w:num>
  <w:num w:numId="8" w16cid:durableId="1958951053">
    <w:abstractNumId w:val="12"/>
  </w:num>
  <w:num w:numId="9" w16cid:durableId="904219606">
    <w:abstractNumId w:val="9"/>
  </w:num>
  <w:num w:numId="10" w16cid:durableId="1988508686">
    <w:abstractNumId w:val="8"/>
  </w:num>
  <w:num w:numId="11" w16cid:durableId="1826506009">
    <w:abstractNumId w:val="6"/>
  </w:num>
  <w:num w:numId="12" w16cid:durableId="1558323455">
    <w:abstractNumId w:val="3"/>
  </w:num>
  <w:num w:numId="13" w16cid:durableId="288752778">
    <w:abstractNumId w:val="13"/>
  </w:num>
  <w:num w:numId="14" w16cid:durableId="670917104">
    <w:abstractNumId w:val="2"/>
  </w:num>
  <w:num w:numId="15" w16cid:durableId="739138619">
    <w:abstractNumId w:val="1"/>
  </w:num>
  <w:num w:numId="16" w16cid:durableId="1461529295">
    <w:abstractNumId w:val="0"/>
  </w:num>
  <w:num w:numId="17" w16cid:durableId="1792089241">
    <w:abstractNumId w:val="14"/>
  </w:num>
  <w:num w:numId="18" w16cid:durableId="233246554">
    <w:abstractNumId w:val="7"/>
  </w:num>
  <w:num w:numId="19" w16cid:durableId="1450736098">
    <w:abstractNumId w:val="10"/>
  </w:num>
  <w:num w:numId="20" w16cid:durableId="1135831375">
    <w:abstractNumId w:val="15"/>
  </w:num>
  <w:numIdMacAtCleanup w:val="1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CB3"/>
    <w:rsid w:val="00000D44"/>
    <w:rsid w:val="00001055"/>
    <w:rsid w:val="0000203A"/>
    <w:rsid w:val="000022B6"/>
    <w:rsid w:val="00003317"/>
    <w:rsid w:val="00003CD7"/>
    <w:rsid w:val="00004B15"/>
    <w:rsid w:val="00005236"/>
    <w:rsid w:val="00007946"/>
    <w:rsid w:val="00007DA0"/>
    <w:rsid w:val="0001019B"/>
    <w:rsid w:val="00015CB0"/>
    <w:rsid w:val="000161BE"/>
    <w:rsid w:val="00016783"/>
    <w:rsid w:val="00016B1E"/>
    <w:rsid w:val="00017E02"/>
    <w:rsid w:val="00017EF2"/>
    <w:rsid w:val="0002321C"/>
    <w:rsid w:val="00024AB2"/>
    <w:rsid w:val="00025041"/>
    <w:rsid w:val="000256A0"/>
    <w:rsid w:val="000271CC"/>
    <w:rsid w:val="000279EE"/>
    <w:rsid w:val="00031949"/>
    <w:rsid w:val="00031B09"/>
    <w:rsid w:val="000325BC"/>
    <w:rsid w:val="00035D6E"/>
    <w:rsid w:val="000366EA"/>
    <w:rsid w:val="00037BA9"/>
    <w:rsid w:val="00040C70"/>
    <w:rsid w:val="00043843"/>
    <w:rsid w:val="00043EB4"/>
    <w:rsid w:val="0004465A"/>
    <w:rsid w:val="00052B50"/>
    <w:rsid w:val="00053F18"/>
    <w:rsid w:val="00054049"/>
    <w:rsid w:val="00054685"/>
    <w:rsid w:val="00055F86"/>
    <w:rsid w:val="00056629"/>
    <w:rsid w:val="000566ED"/>
    <w:rsid w:val="000601FA"/>
    <w:rsid w:val="000603E2"/>
    <w:rsid w:val="000620F5"/>
    <w:rsid w:val="00062AE9"/>
    <w:rsid w:val="000643D8"/>
    <w:rsid w:val="00066076"/>
    <w:rsid w:val="00066C00"/>
    <w:rsid w:val="0007353C"/>
    <w:rsid w:val="00077D00"/>
    <w:rsid w:val="00077D06"/>
    <w:rsid w:val="000801EE"/>
    <w:rsid w:val="00081ACE"/>
    <w:rsid w:val="00083560"/>
    <w:rsid w:val="00083706"/>
    <w:rsid w:val="00083A8A"/>
    <w:rsid w:val="00084663"/>
    <w:rsid w:val="000851F9"/>
    <w:rsid w:val="00085351"/>
    <w:rsid w:val="00085F00"/>
    <w:rsid w:val="00086C10"/>
    <w:rsid w:val="00093185"/>
    <w:rsid w:val="00093F1A"/>
    <w:rsid w:val="00094946"/>
    <w:rsid w:val="00094D17"/>
    <w:rsid w:val="000956EE"/>
    <w:rsid w:val="0009685E"/>
    <w:rsid w:val="00097C1E"/>
    <w:rsid w:val="000A1207"/>
    <w:rsid w:val="000A2905"/>
    <w:rsid w:val="000A4E88"/>
    <w:rsid w:val="000A652C"/>
    <w:rsid w:val="000B0115"/>
    <w:rsid w:val="000B091B"/>
    <w:rsid w:val="000B1B37"/>
    <w:rsid w:val="000B304A"/>
    <w:rsid w:val="000B4B48"/>
    <w:rsid w:val="000B51AE"/>
    <w:rsid w:val="000B7A2C"/>
    <w:rsid w:val="000C01AD"/>
    <w:rsid w:val="000C0A53"/>
    <w:rsid w:val="000C1D00"/>
    <w:rsid w:val="000C3754"/>
    <w:rsid w:val="000C37EA"/>
    <w:rsid w:val="000C5362"/>
    <w:rsid w:val="000C68AB"/>
    <w:rsid w:val="000C72E3"/>
    <w:rsid w:val="000C7BDE"/>
    <w:rsid w:val="000C7FA6"/>
    <w:rsid w:val="000D08D1"/>
    <w:rsid w:val="000D2268"/>
    <w:rsid w:val="000D2A35"/>
    <w:rsid w:val="000D2B65"/>
    <w:rsid w:val="000D3289"/>
    <w:rsid w:val="000D4D6F"/>
    <w:rsid w:val="000D6279"/>
    <w:rsid w:val="000D6595"/>
    <w:rsid w:val="000D65C2"/>
    <w:rsid w:val="000D6B89"/>
    <w:rsid w:val="000D702D"/>
    <w:rsid w:val="000D773C"/>
    <w:rsid w:val="000E0AF3"/>
    <w:rsid w:val="000E0CCB"/>
    <w:rsid w:val="000E1836"/>
    <w:rsid w:val="000E1E16"/>
    <w:rsid w:val="000E23A9"/>
    <w:rsid w:val="000E3A56"/>
    <w:rsid w:val="000E44BF"/>
    <w:rsid w:val="000E51F5"/>
    <w:rsid w:val="000E62DD"/>
    <w:rsid w:val="000E7D36"/>
    <w:rsid w:val="000E7DCB"/>
    <w:rsid w:val="000F1BF8"/>
    <w:rsid w:val="000F28CD"/>
    <w:rsid w:val="000F28F7"/>
    <w:rsid w:val="000F3348"/>
    <w:rsid w:val="000F5B41"/>
    <w:rsid w:val="000F5BE2"/>
    <w:rsid w:val="000F69BA"/>
    <w:rsid w:val="000F6C28"/>
    <w:rsid w:val="001008D4"/>
    <w:rsid w:val="00103623"/>
    <w:rsid w:val="00104E5E"/>
    <w:rsid w:val="001054E8"/>
    <w:rsid w:val="00105AE0"/>
    <w:rsid w:val="00107B9C"/>
    <w:rsid w:val="001118DF"/>
    <w:rsid w:val="001135F6"/>
    <w:rsid w:val="00113DE6"/>
    <w:rsid w:val="001143EB"/>
    <w:rsid w:val="001161EE"/>
    <w:rsid w:val="00116D7D"/>
    <w:rsid w:val="00120B21"/>
    <w:rsid w:val="00121217"/>
    <w:rsid w:val="00121427"/>
    <w:rsid w:val="00121B5D"/>
    <w:rsid w:val="00122282"/>
    <w:rsid w:val="00123197"/>
    <w:rsid w:val="00123CA6"/>
    <w:rsid w:val="00125714"/>
    <w:rsid w:val="00125E33"/>
    <w:rsid w:val="00125EAB"/>
    <w:rsid w:val="00126E68"/>
    <w:rsid w:val="001274C0"/>
    <w:rsid w:val="00127A5C"/>
    <w:rsid w:val="00130833"/>
    <w:rsid w:val="00130B08"/>
    <w:rsid w:val="00130B99"/>
    <w:rsid w:val="0013133B"/>
    <w:rsid w:val="00133749"/>
    <w:rsid w:val="001364FE"/>
    <w:rsid w:val="00140555"/>
    <w:rsid w:val="001408B5"/>
    <w:rsid w:val="00141B70"/>
    <w:rsid w:val="00141EAA"/>
    <w:rsid w:val="001420C5"/>
    <w:rsid w:val="001425E0"/>
    <w:rsid w:val="001427A2"/>
    <w:rsid w:val="0014303E"/>
    <w:rsid w:val="001449B0"/>
    <w:rsid w:val="001450C6"/>
    <w:rsid w:val="00146EBD"/>
    <w:rsid w:val="001470AD"/>
    <w:rsid w:val="00150C6C"/>
    <w:rsid w:val="00151080"/>
    <w:rsid w:val="00152C31"/>
    <w:rsid w:val="00152D50"/>
    <w:rsid w:val="001535C3"/>
    <w:rsid w:val="0015419F"/>
    <w:rsid w:val="001555F0"/>
    <w:rsid w:val="00156A25"/>
    <w:rsid w:val="00156AF3"/>
    <w:rsid w:val="001578AD"/>
    <w:rsid w:val="00160802"/>
    <w:rsid w:val="0016154E"/>
    <w:rsid w:val="00161C80"/>
    <w:rsid w:val="00162172"/>
    <w:rsid w:val="00163558"/>
    <w:rsid w:val="00163A83"/>
    <w:rsid w:val="001646ED"/>
    <w:rsid w:val="00164862"/>
    <w:rsid w:val="00166773"/>
    <w:rsid w:val="0016793E"/>
    <w:rsid w:val="00171355"/>
    <w:rsid w:val="00172F07"/>
    <w:rsid w:val="00174540"/>
    <w:rsid w:val="00175246"/>
    <w:rsid w:val="00175A3E"/>
    <w:rsid w:val="00175DD9"/>
    <w:rsid w:val="001760B6"/>
    <w:rsid w:val="001803EA"/>
    <w:rsid w:val="001804B4"/>
    <w:rsid w:val="00180E08"/>
    <w:rsid w:val="00180F91"/>
    <w:rsid w:val="001816EA"/>
    <w:rsid w:val="0018298B"/>
    <w:rsid w:val="001837BF"/>
    <w:rsid w:val="001841D9"/>
    <w:rsid w:val="001844C5"/>
    <w:rsid w:val="001858CE"/>
    <w:rsid w:val="00185E84"/>
    <w:rsid w:val="00190709"/>
    <w:rsid w:val="001909C2"/>
    <w:rsid w:val="00191968"/>
    <w:rsid w:val="00191A9D"/>
    <w:rsid w:val="00191D65"/>
    <w:rsid w:val="00191E3C"/>
    <w:rsid w:val="00192CEA"/>
    <w:rsid w:val="00194A94"/>
    <w:rsid w:val="00194CA3"/>
    <w:rsid w:val="00194D13"/>
    <w:rsid w:val="00195351"/>
    <w:rsid w:val="00195C64"/>
    <w:rsid w:val="00195E88"/>
    <w:rsid w:val="00196CA6"/>
    <w:rsid w:val="001A0512"/>
    <w:rsid w:val="001A1676"/>
    <w:rsid w:val="001A274F"/>
    <w:rsid w:val="001A3106"/>
    <w:rsid w:val="001A3BED"/>
    <w:rsid w:val="001A5F9A"/>
    <w:rsid w:val="001A6129"/>
    <w:rsid w:val="001A645F"/>
    <w:rsid w:val="001A6860"/>
    <w:rsid w:val="001B0D40"/>
    <w:rsid w:val="001B1309"/>
    <w:rsid w:val="001B17FC"/>
    <w:rsid w:val="001B2068"/>
    <w:rsid w:val="001B282F"/>
    <w:rsid w:val="001B56F9"/>
    <w:rsid w:val="001B797F"/>
    <w:rsid w:val="001C17FB"/>
    <w:rsid w:val="001C23B5"/>
    <w:rsid w:val="001C2D40"/>
    <w:rsid w:val="001C65EC"/>
    <w:rsid w:val="001D08AD"/>
    <w:rsid w:val="001D08EB"/>
    <w:rsid w:val="001D0B60"/>
    <w:rsid w:val="001D0D05"/>
    <w:rsid w:val="001D1E95"/>
    <w:rsid w:val="001D2DB6"/>
    <w:rsid w:val="001D4D7B"/>
    <w:rsid w:val="001D6FF2"/>
    <w:rsid w:val="001D736C"/>
    <w:rsid w:val="001E3A21"/>
    <w:rsid w:val="001E6E3D"/>
    <w:rsid w:val="001E7A9E"/>
    <w:rsid w:val="001F0ABD"/>
    <w:rsid w:val="001F121D"/>
    <w:rsid w:val="001F2B89"/>
    <w:rsid w:val="001F2BD7"/>
    <w:rsid w:val="001F6CAB"/>
    <w:rsid w:val="001F78DC"/>
    <w:rsid w:val="00200091"/>
    <w:rsid w:val="00200BFA"/>
    <w:rsid w:val="00202985"/>
    <w:rsid w:val="00202ABA"/>
    <w:rsid w:val="00202BBE"/>
    <w:rsid w:val="00202C91"/>
    <w:rsid w:val="00203C4E"/>
    <w:rsid w:val="00204601"/>
    <w:rsid w:val="00204D18"/>
    <w:rsid w:val="0020587F"/>
    <w:rsid w:val="002062D6"/>
    <w:rsid w:val="00206B71"/>
    <w:rsid w:val="00211238"/>
    <w:rsid w:val="002119E6"/>
    <w:rsid w:val="0021205D"/>
    <w:rsid w:val="00212406"/>
    <w:rsid w:val="00212602"/>
    <w:rsid w:val="00212741"/>
    <w:rsid w:val="00213505"/>
    <w:rsid w:val="00213922"/>
    <w:rsid w:val="002163E1"/>
    <w:rsid w:val="0021641F"/>
    <w:rsid w:val="00216B68"/>
    <w:rsid w:val="00216E42"/>
    <w:rsid w:val="002205F9"/>
    <w:rsid w:val="0022317C"/>
    <w:rsid w:val="002248A9"/>
    <w:rsid w:val="002251FD"/>
    <w:rsid w:val="00226C84"/>
    <w:rsid w:val="00227C46"/>
    <w:rsid w:val="002308B6"/>
    <w:rsid w:val="00230F5D"/>
    <w:rsid w:val="002318EB"/>
    <w:rsid w:val="00231ACC"/>
    <w:rsid w:val="002324E2"/>
    <w:rsid w:val="00232D10"/>
    <w:rsid w:val="00233002"/>
    <w:rsid w:val="00237735"/>
    <w:rsid w:val="00240540"/>
    <w:rsid w:val="0024182A"/>
    <w:rsid w:val="00242466"/>
    <w:rsid w:val="00242B72"/>
    <w:rsid w:val="00243B6A"/>
    <w:rsid w:val="002446B9"/>
    <w:rsid w:val="002466FF"/>
    <w:rsid w:val="002476A2"/>
    <w:rsid w:val="002477E2"/>
    <w:rsid w:val="00250409"/>
    <w:rsid w:val="00253690"/>
    <w:rsid w:val="00256D94"/>
    <w:rsid w:val="0025724F"/>
    <w:rsid w:val="00257350"/>
    <w:rsid w:val="00257E54"/>
    <w:rsid w:val="0026059B"/>
    <w:rsid w:val="00260683"/>
    <w:rsid w:val="00261F39"/>
    <w:rsid w:val="00262205"/>
    <w:rsid w:val="00263EE2"/>
    <w:rsid w:val="00265540"/>
    <w:rsid w:val="002655F4"/>
    <w:rsid w:val="00266066"/>
    <w:rsid w:val="00270667"/>
    <w:rsid w:val="00270683"/>
    <w:rsid w:val="00271F98"/>
    <w:rsid w:val="00272EA1"/>
    <w:rsid w:val="0027325A"/>
    <w:rsid w:val="002765D5"/>
    <w:rsid w:val="00277293"/>
    <w:rsid w:val="00277B1B"/>
    <w:rsid w:val="00277F26"/>
    <w:rsid w:val="002809E6"/>
    <w:rsid w:val="00280B4D"/>
    <w:rsid w:val="00280CEC"/>
    <w:rsid w:val="002812C5"/>
    <w:rsid w:val="002819BA"/>
    <w:rsid w:val="00282302"/>
    <w:rsid w:val="002827C9"/>
    <w:rsid w:val="00283A36"/>
    <w:rsid w:val="00284BB9"/>
    <w:rsid w:val="002876B3"/>
    <w:rsid w:val="002914F4"/>
    <w:rsid w:val="00291856"/>
    <w:rsid w:val="002928A7"/>
    <w:rsid w:val="002943B9"/>
    <w:rsid w:val="00294DC5"/>
    <w:rsid w:val="0029756F"/>
    <w:rsid w:val="00297D44"/>
    <w:rsid w:val="002A0F0C"/>
    <w:rsid w:val="002A1804"/>
    <w:rsid w:val="002A1906"/>
    <w:rsid w:val="002A2A96"/>
    <w:rsid w:val="002A428D"/>
    <w:rsid w:val="002A42D0"/>
    <w:rsid w:val="002A5EFC"/>
    <w:rsid w:val="002A690A"/>
    <w:rsid w:val="002A6A8E"/>
    <w:rsid w:val="002A73DF"/>
    <w:rsid w:val="002B08F1"/>
    <w:rsid w:val="002B0A5C"/>
    <w:rsid w:val="002B1555"/>
    <w:rsid w:val="002B29D0"/>
    <w:rsid w:val="002B4325"/>
    <w:rsid w:val="002B45C1"/>
    <w:rsid w:val="002B53F1"/>
    <w:rsid w:val="002B770E"/>
    <w:rsid w:val="002B772B"/>
    <w:rsid w:val="002B7BDC"/>
    <w:rsid w:val="002C061E"/>
    <w:rsid w:val="002C0E60"/>
    <w:rsid w:val="002C23C3"/>
    <w:rsid w:val="002C24F4"/>
    <w:rsid w:val="002C31EB"/>
    <w:rsid w:val="002C647C"/>
    <w:rsid w:val="002C74BC"/>
    <w:rsid w:val="002D0C6C"/>
    <w:rsid w:val="002D0CE3"/>
    <w:rsid w:val="002D13A2"/>
    <w:rsid w:val="002D1625"/>
    <w:rsid w:val="002D28FC"/>
    <w:rsid w:val="002D2B0D"/>
    <w:rsid w:val="002D474C"/>
    <w:rsid w:val="002D645E"/>
    <w:rsid w:val="002D6599"/>
    <w:rsid w:val="002D679B"/>
    <w:rsid w:val="002D7506"/>
    <w:rsid w:val="002D7E25"/>
    <w:rsid w:val="002D7F7C"/>
    <w:rsid w:val="002E18C0"/>
    <w:rsid w:val="002E2C4F"/>
    <w:rsid w:val="002E35BB"/>
    <w:rsid w:val="002E3691"/>
    <w:rsid w:val="002E3D16"/>
    <w:rsid w:val="002E55B6"/>
    <w:rsid w:val="002E59FD"/>
    <w:rsid w:val="002F129F"/>
    <w:rsid w:val="002F187E"/>
    <w:rsid w:val="002F25E0"/>
    <w:rsid w:val="002F2763"/>
    <w:rsid w:val="002F3BAD"/>
    <w:rsid w:val="002F7BF3"/>
    <w:rsid w:val="0030056F"/>
    <w:rsid w:val="00301BAD"/>
    <w:rsid w:val="0030519D"/>
    <w:rsid w:val="003058D0"/>
    <w:rsid w:val="0030716A"/>
    <w:rsid w:val="00311157"/>
    <w:rsid w:val="00311C83"/>
    <w:rsid w:val="00311DC1"/>
    <w:rsid w:val="00316DE2"/>
    <w:rsid w:val="003179A7"/>
    <w:rsid w:val="00320614"/>
    <w:rsid w:val="003229ED"/>
    <w:rsid w:val="003238E4"/>
    <w:rsid w:val="0032447A"/>
    <w:rsid w:val="00324489"/>
    <w:rsid w:val="003261A5"/>
    <w:rsid w:val="00326734"/>
    <w:rsid w:val="0032784E"/>
    <w:rsid w:val="00330430"/>
    <w:rsid w:val="0033106B"/>
    <w:rsid w:val="00332664"/>
    <w:rsid w:val="00332665"/>
    <w:rsid w:val="00334C5E"/>
    <w:rsid w:val="003359E7"/>
    <w:rsid w:val="003401B6"/>
    <w:rsid w:val="003402AA"/>
    <w:rsid w:val="00340FA0"/>
    <w:rsid w:val="0034125F"/>
    <w:rsid w:val="003416A6"/>
    <w:rsid w:val="00343073"/>
    <w:rsid w:val="0034695E"/>
    <w:rsid w:val="0034739C"/>
    <w:rsid w:val="0035128C"/>
    <w:rsid w:val="003519A1"/>
    <w:rsid w:val="00351B86"/>
    <w:rsid w:val="003521B8"/>
    <w:rsid w:val="003531E9"/>
    <w:rsid w:val="00353AF0"/>
    <w:rsid w:val="00354828"/>
    <w:rsid w:val="00354BB7"/>
    <w:rsid w:val="00356C7C"/>
    <w:rsid w:val="00360DDC"/>
    <w:rsid w:val="003612FC"/>
    <w:rsid w:val="00361FAC"/>
    <w:rsid w:val="00362215"/>
    <w:rsid w:val="003634B5"/>
    <w:rsid w:val="00364DC1"/>
    <w:rsid w:val="00365618"/>
    <w:rsid w:val="00366B80"/>
    <w:rsid w:val="00366EC5"/>
    <w:rsid w:val="00367CE0"/>
    <w:rsid w:val="003735E5"/>
    <w:rsid w:val="00373724"/>
    <w:rsid w:val="003740E8"/>
    <w:rsid w:val="00375167"/>
    <w:rsid w:val="0037520A"/>
    <w:rsid w:val="00377941"/>
    <w:rsid w:val="003800DA"/>
    <w:rsid w:val="0038025B"/>
    <w:rsid w:val="00380265"/>
    <w:rsid w:val="0038064B"/>
    <w:rsid w:val="00380E33"/>
    <w:rsid w:val="0038580C"/>
    <w:rsid w:val="00385B6C"/>
    <w:rsid w:val="00386277"/>
    <w:rsid w:val="00390692"/>
    <w:rsid w:val="00390ECF"/>
    <w:rsid w:val="00392D5F"/>
    <w:rsid w:val="00395921"/>
    <w:rsid w:val="003962C0"/>
    <w:rsid w:val="00396446"/>
    <w:rsid w:val="00396A8E"/>
    <w:rsid w:val="00396C25"/>
    <w:rsid w:val="00396F5E"/>
    <w:rsid w:val="00397718"/>
    <w:rsid w:val="003A142C"/>
    <w:rsid w:val="003A40D9"/>
    <w:rsid w:val="003B0331"/>
    <w:rsid w:val="003B15B6"/>
    <w:rsid w:val="003B1E1C"/>
    <w:rsid w:val="003B2118"/>
    <w:rsid w:val="003B2D72"/>
    <w:rsid w:val="003B486B"/>
    <w:rsid w:val="003B4CDE"/>
    <w:rsid w:val="003B53FD"/>
    <w:rsid w:val="003B62E3"/>
    <w:rsid w:val="003C0AFE"/>
    <w:rsid w:val="003C1020"/>
    <w:rsid w:val="003C1199"/>
    <w:rsid w:val="003C1700"/>
    <w:rsid w:val="003C1E11"/>
    <w:rsid w:val="003C4785"/>
    <w:rsid w:val="003C5DD8"/>
    <w:rsid w:val="003C5F63"/>
    <w:rsid w:val="003C7011"/>
    <w:rsid w:val="003C7177"/>
    <w:rsid w:val="003D0331"/>
    <w:rsid w:val="003D08E2"/>
    <w:rsid w:val="003D0BCF"/>
    <w:rsid w:val="003D1AB8"/>
    <w:rsid w:val="003D1D96"/>
    <w:rsid w:val="003D1DA3"/>
    <w:rsid w:val="003D2ACC"/>
    <w:rsid w:val="003D4331"/>
    <w:rsid w:val="003D56AC"/>
    <w:rsid w:val="003D5FAB"/>
    <w:rsid w:val="003E0164"/>
    <w:rsid w:val="003E0340"/>
    <w:rsid w:val="003E0CD0"/>
    <w:rsid w:val="003E1A5B"/>
    <w:rsid w:val="003E3DD1"/>
    <w:rsid w:val="003E3F21"/>
    <w:rsid w:val="003E4415"/>
    <w:rsid w:val="003E5360"/>
    <w:rsid w:val="003E70DA"/>
    <w:rsid w:val="003E7367"/>
    <w:rsid w:val="003F092A"/>
    <w:rsid w:val="003F12D1"/>
    <w:rsid w:val="003F256C"/>
    <w:rsid w:val="003F372E"/>
    <w:rsid w:val="003F3791"/>
    <w:rsid w:val="003F4E9D"/>
    <w:rsid w:val="003F6A95"/>
    <w:rsid w:val="003F73A1"/>
    <w:rsid w:val="003F791A"/>
    <w:rsid w:val="00401122"/>
    <w:rsid w:val="00401484"/>
    <w:rsid w:val="00401B76"/>
    <w:rsid w:val="0040267B"/>
    <w:rsid w:val="0040409A"/>
    <w:rsid w:val="004050FE"/>
    <w:rsid w:val="004055C1"/>
    <w:rsid w:val="00405931"/>
    <w:rsid w:val="0040644A"/>
    <w:rsid w:val="004110D4"/>
    <w:rsid w:val="00411D7E"/>
    <w:rsid w:val="00412208"/>
    <w:rsid w:val="00412A27"/>
    <w:rsid w:val="00412AE0"/>
    <w:rsid w:val="004134E7"/>
    <w:rsid w:val="00413C91"/>
    <w:rsid w:val="00414139"/>
    <w:rsid w:val="0041475D"/>
    <w:rsid w:val="00415840"/>
    <w:rsid w:val="00415D48"/>
    <w:rsid w:val="0041674B"/>
    <w:rsid w:val="00416B0E"/>
    <w:rsid w:val="0042055A"/>
    <w:rsid w:val="00420861"/>
    <w:rsid w:val="00420F9C"/>
    <w:rsid w:val="00421CDC"/>
    <w:rsid w:val="00422760"/>
    <w:rsid w:val="00423C9E"/>
    <w:rsid w:val="00424B93"/>
    <w:rsid w:val="00424D6B"/>
    <w:rsid w:val="00425499"/>
    <w:rsid w:val="00426E06"/>
    <w:rsid w:val="00427A77"/>
    <w:rsid w:val="00427C34"/>
    <w:rsid w:val="0043189E"/>
    <w:rsid w:val="00432616"/>
    <w:rsid w:val="00432857"/>
    <w:rsid w:val="004332F5"/>
    <w:rsid w:val="00433F37"/>
    <w:rsid w:val="004342D6"/>
    <w:rsid w:val="00434C6C"/>
    <w:rsid w:val="00436FFD"/>
    <w:rsid w:val="004406F3"/>
    <w:rsid w:val="00440CB3"/>
    <w:rsid w:val="0044239F"/>
    <w:rsid w:val="004424E2"/>
    <w:rsid w:val="004426BE"/>
    <w:rsid w:val="00442FCE"/>
    <w:rsid w:val="00443225"/>
    <w:rsid w:val="004434C2"/>
    <w:rsid w:val="004446CD"/>
    <w:rsid w:val="00444E6D"/>
    <w:rsid w:val="004450D8"/>
    <w:rsid w:val="004469CD"/>
    <w:rsid w:val="00447F6A"/>
    <w:rsid w:val="00447F76"/>
    <w:rsid w:val="00450FB8"/>
    <w:rsid w:val="004539C5"/>
    <w:rsid w:val="0045674D"/>
    <w:rsid w:val="00457B1A"/>
    <w:rsid w:val="00460882"/>
    <w:rsid w:val="0046095B"/>
    <w:rsid w:val="00461216"/>
    <w:rsid w:val="004629D2"/>
    <w:rsid w:val="0046331A"/>
    <w:rsid w:val="004648B1"/>
    <w:rsid w:val="00465CD5"/>
    <w:rsid w:val="00465FA4"/>
    <w:rsid w:val="00465FB6"/>
    <w:rsid w:val="00470492"/>
    <w:rsid w:val="00470535"/>
    <w:rsid w:val="00470B45"/>
    <w:rsid w:val="00470C8E"/>
    <w:rsid w:val="00471CBC"/>
    <w:rsid w:val="00475335"/>
    <w:rsid w:val="00476820"/>
    <w:rsid w:val="00480E9B"/>
    <w:rsid w:val="0048181F"/>
    <w:rsid w:val="0048258E"/>
    <w:rsid w:val="00482F25"/>
    <w:rsid w:val="004833A4"/>
    <w:rsid w:val="00483A4D"/>
    <w:rsid w:val="004847A0"/>
    <w:rsid w:val="00484CF4"/>
    <w:rsid w:val="004865AE"/>
    <w:rsid w:val="00486750"/>
    <w:rsid w:val="00487F52"/>
    <w:rsid w:val="0049031D"/>
    <w:rsid w:val="00490877"/>
    <w:rsid w:val="004911C1"/>
    <w:rsid w:val="0049174F"/>
    <w:rsid w:val="0049221B"/>
    <w:rsid w:val="0049276B"/>
    <w:rsid w:val="00492D8A"/>
    <w:rsid w:val="004934A0"/>
    <w:rsid w:val="0049382E"/>
    <w:rsid w:val="00493A99"/>
    <w:rsid w:val="00493ACE"/>
    <w:rsid w:val="00494845"/>
    <w:rsid w:val="00494A02"/>
    <w:rsid w:val="00494A25"/>
    <w:rsid w:val="00494C01"/>
    <w:rsid w:val="00495C01"/>
    <w:rsid w:val="00496870"/>
    <w:rsid w:val="00496F2A"/>
    <w:rsid w:val="004979CB"/>
    <w:rsid w:val="00497A42"/>
    <w:rsid w:val="00497C0D"/>
    <w:rsid w:val="004A372B"/>
    <w:rsid w:val="004A46AB"/>
    <w:rsid w:val="004A734D"/>
    <w:rsid w:val="004B0F6E"/>
    <w:rsid w:val="004B119B"/>
    <w:rsid w:val="004B248D"/>
    <w:rsid w:val="004B461D"/>
    <w:rsid w:val="004B46B9"/>
    <w:rsid w:val="004B49C7"/>
    <w:rsid w:val="004B51AD"/>
    <w:rsid w:val="004B560E"/>
    <w:rsid w:val="004B6728"/>
    <w:rsid w:val="004B6C29"/>
    <w:rsid w:val="004B6DEA"/>
    <w:rsid w:val="004B76DB"/>
    <w:rsid w:val="004C23E2"/>
    <w:rsid w:val="004C26FA"/>
    <w:rsid w:val="004C2BE3"/>
    <w:rsid w:val="004C32A2"/>
    <w:rsid w:val="004C385C"/>
    <w:rsid w:val="004C45C1"/>
    <w:rsid w:val="004C52D0"/>
    <w:rsid w:val="004C54DB"/>
    <w:rsid w:val="004C59E5"/>
    <w:rsid w:val="004C5B13"/>
    <w:rsid w:val="004D05EC"/>
    <w:rsid w:val="004D0636"/>
    <w:rsid w:val="004D0877"/>
    <w:rsid w:val="004D0CFD"/>
    <w:rsid w:val="004D3A4B"/>
    <w:rsid w:val="004D44A9"/>
    <w:rsid w:val="004D4A5A"/>
    <w:rsid w:val="004D5731"/>
    <w:rsid w:val="004D6309"/>
    <w:rsid w:val="004D72E9"/>
    <w:rsid w:val="004D7730"/>
    <w:rsid w:val="004D7E09"/>
    <w:rsid w:val="004D7E0A"/>
    <w:rsid w:val="004E13FE"/>
    <w:rsid w:val="004E16E9"/>
    <w:rsid w:val="004E1AD2"/>
    <w:rsid w:val="004E2F17"/>
    <w:rsid w:val="004E339B"/>
    <w:rsid w:val="004E3AFE"/>
    <w:rsid w:val="004E48DB"/>
    <w:rsid w:val="004E4F8C"/>
    <w:rsid w:val="004E6087"/>
    <w:rsid w:val="004E7957"/>
    <w:rsid w:val="004E7F44"/>
    <w:rsid w:val="004F2BCC"/>
    <w:rsid w:val="004F36D3"/>
    <w:rsid w:val="004F4F20"/>
    <w:rsid w:val="004F7A61"/>
    <w:rsid w:val="005001C9"/>
    <w:rsid w:val="005007A1"/>
    <w:rsid w:val="00500DC1"/>
    <w:rsid w:val="005015FC"/>
    <w:rsid w:val="005020A8"/>
    <w:rsid w:val="00503950"/>
    <w:rsid w:val="00503E86"/>
    <w:rsid w:val="00505965"/>
    <w:rsid w:val="00505F34"/>
    <w:rsid w:val="005069FB"/>
    <w:rsid w:val="005073C8"/>
    <w:rsid w:val="00510699"/>
    <w:rsid w:val="00511287"/>
    <w:rsid w:val="00511A10"/>
    <w:rsid w:val="005128AE"/>
    <w:rsid w:val="00513C1D"/>
    <w:rsid w:val="00515216"/>
    <w:rsid w:val="00516427"/>
    <w:rsid w:val="005164F2"/>
    <w:rsid w:val="005165DE"/>
    <w:rsid w:val="00516AA1"/>
    <w:rsid w:val="00520765"/>
    <w:rsid w:val="00521191"/>
    <w:rsid w:val="005212CD"/>
    <w:rsid w:val="005213EE"/>
    <w:rsid w:val="00523D8A"/>
    <w:rsid w:val="00524A3D"/>
    <w:rsid w:val="00527476"/>
    <w:rsid w:val="00527585"/>
    <w:rsid w:val="005300AD"/>
    <w:rsid w:val="005309D0"/>
    <w:rsid w:val="00530C96"/>
    <w:rsid w:val="0053130C"/>
    <w:rsid w:val="00531E1A"/>
    <w:rsid w:val="005347F1"/>
    <w:rsid w:val="005354D6"/>
    <w:rsid w:val="00537A62"/>
    <w:rsid w:val="00537EEA"/>
    <w:rsid w:val="00540EC7"/>
    <w:rsid w:val="00541E82"/>
    <w:rsid w:val="005421D0"/>
    <w:rsid w:val="005428FF"/>
    <w:rsid w:val="00543BC3"/>
    <w:rsid w:val="005449E2"/>
    <w:rsid w:val="00545244"/>
    <w:rsid w:val="0054731D"/>
    <w:rsid w:val="0055175F"/>
    <w:rsid w:val="00552ACF"/>
    <w:rsid w:val="00552F89"/>
    <w:rsid w:val="00554BEA"/>
    <w:rsid w:val="00555E1F"/>
    <w:rsid w:val="00556819"/>
    <w:rsid w:val="00557840"/>
    <w:rsid w:val="00561A72"/>
    <w:rsid w:val="00562B36"/>
    <w:rsid w:val="0056355D"/>
    <w:rsid w:val="00563A24"/>
    <w:rsid w:val="00564AFC"/>
    <w:rsid w:val="00566215"/>
    <w:rsid w:val="005669AA"/>
    <w:rsid w:val="005703EE"/>
    <w:rsid w:val="00570CB0"/>
    <w:rsid w:val="00571123"/>
    <w:rsid w:val="0057257B"/>
    <w:rsid w:val="00573B32"/>
    <w:rsid w:val="00574989"/>
    <w:rsid w:val="00574F81"/>
    <w:rsid w:val="00575197"/>
    <w:rsid w:val="00575F97"/>
    <w:rsid w:val="00576504"/>
    <w:rsid w:val="00576630"/>
    <w:rsid w:val="00581A09"/>
    <w:rsid w:val="005826A9"/>
    <w:rsid w:val="0058365C"/>
    <w:rsid w:val="00583CE8"/>
    <w:rsid w:val="00584741"/>
    <w:rsid w:val="0058659C"/>
    <w:rsid w:val="00586B0D"/>
    <w:rsid w:val="0058740E"/>
    <w:rsid w:val="00587BC7"/>
    <w:rsid w:val="00590809"/>
    <w:rsid w:val="00593E57"/>
    <w:rsid w:val="00594D5D"/>
    <w:rsid w:val="00595791"/>
    <w:rsid w:val="00595EE2"/>
    <w:rsid w:val="00597087"/>
    <w:rsid w:val="00597F8B"/>
    <w:rsid w:val="005A03FB"/>
    <w:rsid w:val="005A1D18"/>
    <w:rsid w:val="005A1DFC"/>
    <w:rsid w:val="005A213D"/>
    <w:rsid w:val="005A293E"/>
    <w:rsid w:val="005A3767"/>
    <w:rsid w:val="005A54A9"/>
    <w:rsid w:val="005A5621"/>
    <w:rsid w:val="005A6404"/>
    <w:rsid w:val="005A658A"/>
    <w:rsid w:val="005A6B10"/>
    <w:rsid w:val="005A6D5B"/>
    <w:rsid w:val="005A798F"/>
    <w:rsid w:val="005B0B00"/>
    <w:rsid w:val="005B0EFC"/>
    <w:rsid w:val="005B1434"/>
    <w:rsid w:val="005B2333"/>
    <w:rsid w:val="005B3647"/>
    <w:rsid w:val="005B3C05"/>
    <w:rsid w:val="005B70E6"/>
    <w:rsid w:val="005C1011"/>
    <w:rsid w:val="005C264E"/>
    <w:rsid w:val="005C5A13"/>
    <w:rsid w:val="005C6406"/>
    <w:rsid w:val="005D0812"/>
    <w:rsid w:val="005D0A6B"/>
    <w:rsid w:val="005D0C11"/>
    <w:rsid w:val="005D0F2C"/>
    <w:rsid w:val="005D13D1"/>
    <w:rsid w:val="005D16A8"/>
    <w:rsid w:val="005D19B7"/>
    <w:rsid w:val="005D262A"/>
    <w:rsid w:val="005D2C0C"/>
    <w:rsid w:val="005D2DA6"/>
    <w:rsid w:val="005D3519"/>
    <w:rsid w:val="005D351D"/>
    <w:rsid w:val="005D5270"/>
    <w:rsid w:val="005D6114"/>
    <w:rsid w:val="005D687C"/>
    <w:rsid w:val="005E352D"/>
    <w:rsid w:val="005E449C"/>
    <w:rsid w:val="005E472C"/>
    <w:rsid w:val="005E4E66"/>
    <w:rsid w:val="005E7EFC"/>
    <w:rsid w:val="005F0013"/>
    <w:rsid w:val="005F49F6"/>
    <w:rsid w:val="005F5546"/>
    <w:rsid w:val="0060084F"/>
    <w:rsid w:val="00601E03"/>
    <w:rsid w:val="006026B1"/>
    <w:rsid w:val="00602A4C"/>
    <w:rsid w:val="006032FC"/>
    <w:rsid w:val="006041C5"/>
    <w:rsid w:val="006057C3"/>
    <w:rsid w:val="0060584E"/>
    <w:rsid w:val="00605D84"/>
    <w:rsid w:val="00605E64"/>
    <w:rsid w:val="0060688A"/>
    <w:rsid w:val="00606B87"/>
    <w:rsid w:val="00607904"/>
    <w:rsid w:val="00613179"/>
    <w:rsid w:val="00613F92"/>
    <w:rsid w:val="00616B95"/>
    <w:rsid w:val="006172A8"/>
    <w:rsid w:val="00617422"/>
    <w:rsid w:val="00621250"/>
    <w:rsid w:val="00621B78"/>
    <w:rsid w:val="00621D32"/>
    <w:rsid w:val="00622981"/>
    <w:rsid w:val="0062311B"/>
    <w:rsid w:val="00623E2A"/>
    <w:rsid w:val="00624508"/>
    <w:rsid w:val="006263DC"/>
    <w:rsid w:val="0062655D"/>
    <w:rsid w:val="00630961"/>
    <w:rsid w:val="0063143B"/>
    <w:rsid w:val="00631D5E"/>
    <w:rsid w:val="00631D88"/>
    <w:rsid w:val="00632C56"/>
    <w:rsid w:val="00635868"/>
    <w:rsid w:val="00635871"/>
    <w:rsid w:val="006377E6"/>
    <w:rsid w:val="0063785D"/>
    <w:rsid w:val="00637BA4"/>
    <w:rsid w:val="00637C86"/>
    <w:rsid w:val="0064024D"/>
    <w:rsid w:val="00641A93"/>
    <w:rsid w:val="00642178"/>
    <w:rsid w:val="00644507"/>
    <w:rsid w:val="00644C17"/>
    <w:rsid w:val="00651C6A"/>
    <w:rsid w:val="0065201B"/>
    <w:rsid w:val="00652803"/>
    <w:rsid w:val="00652EF9"/>
    <w:rsid w:val="006531ED"/>
    <w:rsid w:val="00654ABB"/>
    <w:rsid w:val="00655383"/>
    <w:rsid w:val="00655898"/>
    <w:rsid w:val="0065790F"/>
    <w:rsid w:val="00660E4F"/>
    <w:rsid w:val="00660F93"/>
    <w:rsid w:val="006612DC"/>
    <w:rsid w:val="00661862"/>
    <w:rsid w:val="0066268F"/>
    <w:rsid w:val="0066375E"/>
    <w:rsid w:val="00664445"/>
    <w:rsid w:val="00664A02"/>
    <w:rsid w:val="00671416"/>
    <w:rsid w:val="00674BEF"/>
    <w:rsid w:val="0067784B"/>
    <w:rsid w:val="0068095D"/>
    <w:rsid w:val="00681909"/>
    <w:rsid w:val="00682909"/>
    <w:rsid w:val="00682E0F"/>
    <w:rsid w:val="00683754"/>
    <w:rsid w:val="00684BA6"/>
    <w:rsid w:val="0068520B"/>
    <w:rsid w:val="0068570F"/>
    <w:rsid w:val="00685992"/>
    <w:rsid w:val="00686CD1"/>
    <w:rsid w:val="006872A5"/>
    <w:rsid w:val="00687E50"/>
    <w:rsid w:val="00687E69"/>
    <w:rsid w:val="0069336A"/>
    <w:rsid w:val="00693F18"/>
    <w:rsid w:val="00696960"/>
    <w:rsid w:val="00696D58"/>
    <w:rsid w:val="00697EDB"/>
    <w:rsid w:val="006A0E5E"/>
    <w:rsid w:val="006A39D7"/>
    <w:rsid w:val="006A4D8E"/>
    <w:rsid w:val="006A564C"/>
    <w:rsid w:val="006A5888"/>
    <w:rsid w:val="006A6E79"/>
    <w:rsid w:val="006A77EF"/>
    <w:rsid w:val="006B1085"/>
    <w:rsid w:val="006B137A"/>
    <w:rsid w:val="006B2659"/>
    <w:rsid w:val="006B335A"/>
    <w:rsid w:val="006B4AD9"/>
    <w:rsid w:val="006B4D40"/>
    <w:rsid w:val="006B569F"/>
    <w:rsid w:val="006B6221"/>
    <w:rsid w:val="006B7218"/>
    <w:rsid w:val="006C00E1"/>
    <w:rsid w:val="006C1322"/>
    <w:rsid w:val="006C274D"/>
    <w:rsid w:val="006C3E11"/>
    <w:rsid w:val="006C413C"/>
    <w:rsid w:val="006C5BA6"/>
    <w:rsid w:val="006C6D83"/>
    <w:rsid w:val="006C7CF5"/>
    <w:rsid w:val="006D06CA"/>
    <w:rsid w:val="006D0C33"/>
    <w:rsid w:val="006D2A6C"/>
    <w:rsid w:val="006D2BBC"/>
    <w:rsid w:val="006D2F09"/>
    <w:rsid w:val="006D4466"/>
    <w:rsid w:val="006D7102"/>
    <w:rsid w:val="006D7159"/>
    <w:rsid w:val="006E2AEA"/>
    <w:rsid w:val="006E5CB3"/>
    <w:rsid w:val="006E7BE8"/>
    <w:rsid w:val="006F02B3"/>
    <w:rsid w:val="006F1272"/>
    <w:rsid w:val="006F268B"/>
    <w:rsid w:val="006F2F07"/>
    <w:rsid w:val="006F30BC"/>
    <w:rsid w:val="006F37AA"/>
    <w:rsid w:val="006F39CF"/>
    <w:rsid w:val="006F6370"/>
    <w:rsid w:val="006F6567"/>
    <w:rsid w:val="006F6AE4"/>
    <w:rsid w:val="006F781C"/>
    <w:rsid w:val="006F7C24"/>
    <w:rsid w:val="0070036E"/>
    <w:rsid w:val="00702CA9"/>
    <w:rsid w:val="0070518D"/>
    <w:rsid w:val="00705A52"/>
    <w:rsid w:val="007068A2"/>
    <w:rsid w:val="007068D2"/>
    <w:rsid w:val="00706CE2"/>
    <w:rsid w:val="007070D8"/>
    <w:rsid w:val="007075D5"/>
    <w:rsid w:val="007103EB"/>
    <w:rsid w:val="00710C7F"/>
    <w:rsid w:val="00710CEA"/>
    <w:rsid w:val="00711428"/>
    <w:rsid w:val="00711A48"/>
    <w:rsid w:val="007122CF"/>
    <w:rsid w:val="007126EB"/>
    <w:rsid w:val="00712DDE"/>
    <w:rsid w:val="00715905"/>
    <w:rsid w:val="00715A78"/>
    <w:rsid w:val="00715A84"/>
    <w:rsid w:val="00717346"/>
    <w:rsid w:val="007202FC"/>
    <w:rsid w:val="00721CF0"/>
    <w:rsid w:val="00722896"/>
    <w:rsid w:val="007259CD"/>
    <w:rsid w:val="00726D06"/>
    <w:rsid w:val="00726FB3"/>
    <w:rsid w:val="007274A8"/>
    <w:rsid w:val="00730A25"/>
    <w:rsid w:val="00733D02"/>
    <w:rsid w:val="00736AB5"/>
    <w:rsid w:val="00736C3A"/>
    <w:rsid w:val="00740B3C"/>
    <w:rsid w:val="007414D4"/>
    <w:rsid w:val="00742F4D"/>
    <w:rsid w:val="00744E08"/>
    <w:rsid w:val="0074537E"/>
    <w:rsid w:val="00745435"/>
    <w:rsid w:val="00745F8D"/>
    <w:rsid w:val="00745FE7"/>
    <w:rsid w:val="0074605C"/>
    <w:rsid w:val="0074680D"/>
    <w:rsid w:val="00746ACD"/>
    <w:rsid w:val="007473E6"/>
    <w:rsid w:val="00747AFE"/>
    <w:rsid w:val="0075007A"/>
    <w:rsid w:val="00751C1F"/>
    <w:rsid w:val="007525C8"/>
    <w:rsid w:val="0075331C"/>
    <w:rsid w:val="007545B1"/>
    <w:rsid w:val="007546BF"/>
    <w:rsid w:val="007547D2"/>
    <w:rsid w:val="0075607C"/>
    <w:rsid w:val="00757F68"/>
    <w:rsid w:val="00761502"/>
    <w:rsid w:val="007615E2"/>
    <w:rsid w:val="00762B73"/>
    <w:rsid w:val="00764515"/>
    <w:rsid w:val="007646F6"/>
    <w:rsid w:val="00764D89"/>
    <w:rsid w:val="00765339"/>
    <w:rsid w:val="00765720"/>
    <w:rsid w:val="007664FC"/>
    <w:rsid w:val="00766EEC"/>
    <w:rsid w:val="00767197"/>
    <w:rsid w:val="007709B8"/>
    <w:rsid w:val="00770CBF"/>
    <w:rsid w:val="00771767"/>
    <w:rsid w:val="007718F6"/>
    <w:rsid w:val="0077229D"/>
    <w:rsid w:val="00772A99"/>
    <w:rsid w:val="00774798"/>
    <w:rsid w:val="00775C6A"/>
    <w:rsid w:val="007761EC"/>
    <w:rsid w:val="00776717"/>
    <w:rsid w:val="00776F94"/>
    <w:rsid w:val="00782874"/>
    <w:rsid w:val="00782B55"/>
    <w:rsid w:val="0078320E"/>
    <w:rsid w:val="00783407"/>
    <w:rsid w:val="00783846"/>
    <w:rsid w:val="00783AED"/>
    <w:rsid w:val="00784D9C"/>
    <w:rsid w:val="007850B0"/>
    <w:rsid w:val="007858BA"/>
    <w:rsid w:val="0078591C"/>
    <w:rsid w:val="00785D8F"/>
    <w:rsid w:val="00785DE0"/>
    <w:rsid w:val="00786A2E"/>
    <w:rsid w:val="00787036"/>
    <w:rsid w:val="0078757A"/>
    <w:rsid w:val="007908E1"/>
    <w:rsid w:val="0079295B"/>
    <w:rsid w:val="00793100"/>
    <w:rsid w:val="007954DB"/>
    <w:rsid w:val="00795B67"/>
    <w:rsid w:val="00795F39"/>
    <w:rsid w:val="007968FC"/>
    <w:rsid w:val="007A005E"/>
    <w:rsid w:val="007A0228"/>
    <w:rsid w:val="007A312A"/>
    <w:rsid w:val="007A43AA"/>
    <w:rsid w:val="007A54D7"/>
    <w:rsid w:val="007A5E79"/>
    <w:rsid w:val="007A6462"/>
    <w:rsid w:val="007B1013"/>
    <w:rsid w:val="007B30A3"/>
    <w:rsid w:val="007B4BD5"/>
    <w:rsid w:val="007B5970"/>
    <w:rsid w:val="007B5B22"/>
    <w:rsid w:val="007C05B9"/>
    <w:rsid w:val="007C0690"/>
    <w:rsid w:val="007C2C7D"/>
    <w:rsid w:val="007C38C5"/>
    <w:rsid w:val="007C4B24"/>
    <w:rsid w:val="007C5EC0"/>
    <w:rsid w:val="007C7D78"/>
    <w:rsid w:val="007D03DC"/>
    <w:rsid w:val="007D2886"/>
    <w:rsid w:val="007D3C9F"/>
    <w:rsid w:val="007D3FCA"/>
    <w:rsid w:val="007D4B73"/>
    <w:rsid w:val="007D5651"/>
    <w:rsid w:val="007D6ED5"/>
    <w:rsid w:val="007E17DD"/>
    <w:rsid w:val="007E2BAB"/>
    <w:rsid w:val="007E3ADE"/>
    <w:rsid w:val="007E4A92"/>
    <w:rsid w:val="007E5122"/>
    <w:rsid w:val="007E6633"/>
    <w:rsid w:val="007E7080"/>
    <w:rsid w:val="007F0686"/>
    <w:rsid w:val="007F1B0A"/>
    <w:rsid w:val="007F3CE3"/>
    <w:rsid w:val="007F459B"/>
    <w:rsid w:val="007F4728"/>
    <w:rsid w:val="007F5787"/>
    <w:rsid w:val="007F6958"/>
    <w:rsid w:val="00800EE6"/>
    <w:rsid w:val="00801CE3"/>
    <w:rsid w:val="0080255A"/>
    <w:rsid w:val="00802E6A"/>
    <w:rsid w:val="008033C1"/>
    <w:rsid w:val="0080396E"/>
    <w:rsid w:val="0080428A"/>
    <w:rsid w:val="0080716F"/>
    <w:rsid w:val="008100E3"/>
    <w:rsid w:val="00814ED3"/>
    <w:rsid w:val="0081528D"/>
    <w:rsid w:val="0081580F"/>
    <w:rsid w:val="00821EB6"/>
    <w:rsid w:val="00826837"/>
    <w:rsid w:val="00830F81"/>
    <w:rsid w:val="00831013"/>
    <w:rsid w:val="00831204"/>
    <w:rsid w:val="0083174F"/>
    <w:rsid w:val="00832E4F"/>
    <w:rsid w:val="00833FA9"/>
    <w:rsid w:val="00834911"/>
    <w:rsid w:val="0083569D"/>
    <w:rsid w:val="00836733"/>
    <w:rsid w:val="00836F81"/>
    <w:rsid w:val="008370F6"/>
    <w:rsid w:val="008406CB"/>
    <w:rsid w:val="00842159"/>
    <w:rsid w:val="008425DF"/>
    <w:rsid w:val="00843813"/>
    <w:rsid w:val="00844E49"/>
    <w:rsid w:val="00846922"/>
    <w:rsid w:val="00846C7F"/>
    <w:rsid w:val="0085004B"/>
    <w:rsid w:val="008506DE"/>
    <w:rsid w:val="008515AC"/>
    <w:rsid w:val="00852918"/>
    <w:rsid w:val="00856FB7"/>
    <w:rsid w:val="00860C32"/>
    <w:rsid w:val="0086101C"/>
    <w:rsid w:val="00861387"/>
    <w:rsid w:val="00862C6D"/>
    <w:rsid w:val="00864511"/>
    <w:rsid w:val="00865F62"/>
    <w:rsid w:val="00866189"/>
    <w:rsid w:val="00867EE5"/>
    <w:rsid w:val="008705F7"/>
    <w:rsid w:val="0087148A"/>
    <w:rsid w:val="00871D52"/>
    <w:rsid w:val="00872065"/>
    <w:rsid w:val="008730D9"/>
    <w:rsid w:val="00873DD9"/>
    <w:rsid w:val="0087540E"/>
    <w:rsid w:val="00877F81"/>
    <w:rsid w:val="00882B94"/>
    <w:rsid w:val="00882C14"/>
    <w:rsid w:val="00883BC5"/>
    <w:rsid w:val="00884474"/>
    <w:rsid w:val="00884AFF"/>
    <w:rsid w:val="00884C83"/>
    <w:rsid w:val="00884F70"/>
    <w:rsid w:val="00890253"/>
    <w:rsid w:val="0089036B"/>
    <w:rsid w:val="008905D2"/>
    <w:rsid w:val="008927F1"/>
    <w:rsid w:val="00893068"/>
    <w:rsid w:val="008933EB"/>
    <w:rsid w:val="00893F0D"/>
    <w:rsid w:val="00894A4E"/>
    <w:rsid w:val="00896ACC"/>
    <w:rsid w:val="008A0289"/>
    <w:rsid w:val="008A0BF5"/>
    <w:rsid w:val="008A3034"/>
    <w:rsid w:val="008A3A4C"/>
    <w:rsid w:val="008A40FB"/>
    <w:rsid w:val="008A4AED"/>
    <w:rsid w:val="008A4CDB"/>
    <w:rsid w:val="008A52FA"/>
    <w:rsid w:val="008A5570"/>
    <w:rsid w:val="008A5688"/>
    <w:rsid w:val="008A606E"/>
    <w:rsid w:val="008A63E6"/>
    <w:rsid w:val="008B0C49"/>
    <w:rsid w:val="008B1C1E"/>
    <w:rsid w:val="008B1C98"/>
    <w:rsid w:val="008B253D"/>
    <w:rsid w:val="008B2E55"/>
    <w:rsid w:val="008B4508"/>
    <w:rsid w:val="008B46E2"/>
    <w:rsid w:val="008B5F2F"/>
    <w:rsid w:val="008B5FFA"/>
    <w:rsid w:val="008B697C"/>
    <w:rsid w:val="008C0CF4"/>
    <w:rsid w:val="008C15A6"/>
    <w:rsid w:val="008C1749"/>
    <w:rsid w:val="008C1A74"/>
    <w:rsid w:val="008C1DD5"/>
    <w:rsid w:val="008C25C9"/>
    <w:rsid w:val="008C29AB"/>
    <w:rsid w:val="008C3545"/>
    <w:rsid w:val="008C3D5B"/>
    <w:rsid w:val="008C3E57"/>
    <w:rsid w:val="008C416D"/>
    <w:rsid w:val="008C69DC"/>
    <w:rsid w:val="008C794B"/>
    <w:rsid w:val="008D075F"/>
    <w:rsid w:val="008D240D"/>
    <w:rsid w:val="008D290A"/>
    <w:rsid w:val="008D498E"/>
    <w:rsid w:val="008D688A"/>
    <w:rsid w:val="008D7345"/>
    <w:rsid w:val="008E109B"/>
    <w:rsid w:val="008E125F"/>
    <w:rsid w:val="008E1DAF"/>
    <w:rsid w:val="008E2B0A"/>
    <w:rsid w:val="008E391B"/>
    <w:rsid w:val="008E3978"/>
    <w:rsid w:val="008E4BA7"/>
    <w:rsid w:val="008E52E8"/>
    <w:rsid w:val="008E583A"/>
    <w:rsid w:val="008E5C50"/>
    <w:rsid w:val="008E6493"/>
    <w:rsid w:val="008E6EFF"/>
    <w:rsid w:val="008F1323"/>
    <w:rsid w:val="008F153E"/>
    <w:rsid w:val="008F2D1B"/>
    <w:rsid w:val="008F3B6C"/>
    <w:rsid w:val="008F4F30"/>
    <w:rsid w:val="008F5BF3"/>
    <w:rsid w:val="008F6AD8"/>
    <w:rsid w:val="008F701F"/>
    <w:rsid w:val="008F77BE"/>
    <w:rsid w:val="009005A9"/>
    <w:rsid w:val="0090121D"/>
    <w:rsid w:val="00901FDF"/>
    <w:rsid w:val="009028FD"/>
    <w:rsid w:val="0090369E"/>
    <w:rsid w:val="00904B25"/>
    <w:rsid w:val="009051F7"/>
    <w:rsid w:val="00906BC5"/>
    <w:rsid w:val="00906BDE"/>
    <w:rsid w:val="00906C1D"/>
    <w:rsid w:val="00906E10"/>
    <w:rsid w:val="00910243"/>
    <w:rsid w:val="009108C5"/>
    <w:rsid w:val="00910C62"/>
    <w:rsid w:val="0091115F"/>
    <w:rsid w:val="009113FF"/>
    <w:rsid w:val="00911C97"/>
    <w:rsid w:val="00912873"/>
    <w:rsid w:val="00914A02"/>
    <w:rsid w:val="00917243"/>
    <w:rsid w:val="0091776C"/>
    <w:rsid w:val="009179F2"/>
    <w:rsid w:val="00917BE1"/>
    <w:rsid w:val="00920244"/>
    <w:rsid w:val="009231AE"/>
    <w:rsid w:val="00923FDC"/>
    <w:rsid w:val="009252ED"/>
    <w:rsid w:val="0093017D"/>
    <w:rsid w:val="00930618"/>
    <w:rsid w:val="00930643"/>
    <w:rsid w:val="00931237"/>
    <w:rsid w:val="0093134D"/>
    <w:rsid w:val="00931398"/>
    <w:rsid w:val="0093253F"/>
    <w:rsid w:val="00932563"/>
    <w:rsid w:val="00932FD0"/>
    <w:rsid w:val="0093397E"/>
    <w:rsid w:val="00934718"/>
    <w:rsid w:val="009367E3"/>
    <w:rsid w:val="00937CF3"/>
    <w:rsid w:val="00940594"/>
    <w:rsid w:val="009409D7"/>
    <w:rsid w:val="009426B8"/>
    <w:rsid w:val="009428CA"/>
    <w:rsid w:val="00942F55"/>
    <w:rsid w:val="0094308A"/>
    <w:rsid w:val="00946A58"/>
    <w:rsid w:val="00946F9B"/>
    <w:rsid w:val="00947731"/>
    <w:rsid w:val="0094781A"/>
    <w:rsid w:val="00953D01"/>
    <w:rsid w:val="009549FA"/>
    <w:rsid w:val="00954C63"/>
    <w:rsid w:val="009552C6"/>
    <w:rsid w:val="009553AC"/>
    <w:rsid w:val="00956DC6"/>
    <w:rsid w:val="00960370"/>
    <w:rsid w:val="009653DC"/>
    <w:rsid w:val="009659B2"/>
    <w:rsid w:val="009661B9"/>
    <w:rsid w:val="00966669"/>
    <w:rsid w:val="00971280"/>
    <w:rsid w:val="00971906"/>
    <w:rsid w:val="00971ABD"/>
    <w:rsid w:val="00971DA5"/>
    <w:rsid w:val="00972878"/>
    <w:rsid w:val="00974215"/>
    <w:rsid w:val="009746C9"/>
    <w:rsid w:val="009813D3"/>
    <w:rsid w:val="009818C7"/>
    <w:rsid w:val="0098216C"/>
    <w:rsid w:val="00985395"/>
    <w:rsid w:val="00987506"/>
    <w:rsid w:val="00991424"/>
    <w:rsid w:val="00993033"/>
    <w:rsid w:val="0099344B"/>
    <w:rsid w:val="00995591"/>
    <w:rsid w:val="009957EE"/>
    <w:rsid w:val="009977BC"/>
    <w:rsid w:val="009A04A9"/>
    <w:rsid w:val="009A2376"/>
    <w:rsid w:val="009A2926"/>
    <w:rsid w:val="009A2A33"/>
    <w:rsid w:val="009A3286"/>
    <w:rsid w:val="009A4AB7"/>
    <w:rsid w:val="009A60C5"/>
    <w:rsid w:val="009A628D"/>
    <w:rsid w:val="009B02C6"/>
    <w:rsid w:val="009B146B"/>
    <w:rsid w:val="009B1FC5"/>
    <w:rsid w:val="009B242D"/>
    <w:rsid w:val="009B2E80"/>
    <w:rsid w:val="009B31F2"/>
    <w:rsid w:val="009B457F"/>
    <w:rsid w:val="009B5254"/>
    <w:rsid w:val="009B5BFF"/>
    <w:rsid w:val="009B5C19"/>
    <w:rsid w:val="009B68C2"/>
    <w:rsid w:val="009C0D40"/>
    <w:rsid w:val="009C21D6"/>
    <w:rsid w:val="009C27F8"/>
    <w:rsid w:val="009C2E19"/>
    <w:rsid w:val="009C5201"/>
    <w:rsid w:val="009C52FE"/>
    <w:rsid w:val="009C53BF"/>
    <w:rsid w:val="009C66C2"/>
    <w:rsid w:val="009C7B15"/>
    <w:rsid w:val="009D0688"/>
    <w:rsid w:val="009D11D6"/>
    <w:rsid w:val="009D1BEE"/>
    <w:rsid w:val="009D31F1"/>
    <w:rsid w:val="009D4B02"/>
    <w:rsid w:val="009D4E8B"/>
    <w:rsid w:val="009D5D66"/>
    <w:rsid w:val="009D6FE8"/>
    <w:rsid w:val="009E2809"/>
    <w:rsid w:val="009E32FE"/>
    <w:rsid w:val="009E492A"/>
    <w:rsid w:val="009E4A8F"/>
    <w:rsid w:val="009E4DAB"/>
    <w:rsid w:val="009E4DFC"/>
    <w:rsid w:val="009E5560"/>
    <w:rsid w:val="009F0E79"/>
    <w:rsid w:val="009F3018"/>
    <w:rsid w:val="009F44DC"/>
    <w:rsid w:val="009F4A16"/>
    <w:rsid w:val="009F622B"/>
    <w:rsid w:val="009F6663"/>
    <w:rsid w:val="009F6E7B"/>
    <w:rsid w:val="009F73BF"/>
    <w:rsid w:val="009F7E6E"/>
    <w:rsid w:val="00A0143F"/>
    <w:rsid w:val="00A02D75"/>
    <w:rsid w:val="00A04392"/>
    <w:rsid w:val="00A04EDD"/>
    <w:rsid w:val="00A05AD1"/>
    <w:rsid w:val="00A065AF"/>
    <w:rsid w:val="00A10209"/>
    <w:rsid w:val="00A11874"/>
    <w:rsid w:val="00A11C4D"/>
    <w:rsid w:val="00A11D07"/>
    <w:rsid w:val="00A12A68"/>
    <w:rsid w:val="00A12C25"/>
    <w:rsid w:val="00A12FE6"/>
    <w:rsid w:val="00A14F9D"/>
    <w:rsid w:val="00A20C69"/>
    <w:rsid w:val="00A219DD"/>
    <w:rsid w:val="00A21CAB"/>
    <w:rsid w:val="00A24D51"/>
    <w:rsid w:val="00A26C13"/>
    <w:rsid w:val="00A26F10"/>
    <w:rsid w:val="00A30064"/>
    <w:rsid w:val="00A30AA1"/>
    <w:rsid w:val="00A30B0A"/>
    <w:rsid w:val="00A31E37"/>
    <w:rsid w:val="00A34166"/>
    <w:rsid w:val="00A3444E"/>
    <w:rsid w:val="00A352FB"/>
    <w:rsid w:val="00A35AB2"/>
    <w:rsid w:val="00A35B97"/>
    <w:rsid w:val="00A360EF"/>
    <w:rsid w:val="00A37CCE"/>
    <w:rsid w:val="00A415D2"/>
    <w:rsid w:val="00A4166B"/>
    <w:rsid w:val="00A42936"/>
    <w:rsid w:val="00A433D3"/>
    <w:rsid w:val="00A43FFD"/>
    <w:rsid w:val="00A458DC"/>
    <w:rsid w:val="00A45D94"/>
    <w:rsid w:val="00A470ED"/>
    <w:rsid w:val="00A50211"/>
    <w:rsid w:val="00A51DF4"/>
    <w:rsid w:val="00A52B9E"/>
    <w:rsid w:val="00A55B08"/>
    <w:rsid w:val="00A55FB1"/>
    <w:rsid w:val="00A57693"/>
    <w:rsid w:val="00A57A84"/>
    <w:rsid w:val="00A60379"/>
    <w:rsid w:val="00A63791"/>
    <w:rsid w:val="00A65768"/>
    <w:rsid w:val="00A67FCA"/>
    <w:rsid w:val="00A7166E"/>
    <w:rsid w:val="00A7181B"/>
    <w:rsid w:val="00A71C63"/>
    <w:rsid w:val="00A72D1C"/>
    <w:rsid w:val="00A72D8A"/>
    <w:rsid w:val="00A737DA"/>
    <w:rsid w:val="00A759E4"/>
    <w:rsid w:val="00A778ED"/>
    <w:rsid w:val="00A77947"/>
    <w:rsid w:val="00A82869"/>
    <w:rsid w:val="00A82B03"/>
    <w:rsid w:val="00A837C1"/>
    <w:rsid w:val="00A83CEE"/>
    <w:rsid w:val="00A841A6"/>
    <w:rsid w:val="00A844E7"/>
    <w:rsid w:val="00A85805"/>
    <w:rsid w:val="00A86004"/>
    <w:rsid w:val="00A87E1A"/>
    <w:rsid w:val="00A9442B"/>
    <w:rsid w:val="00A947F6"/>
    <w:rsid w:val="00A9636B"/>
    <w:rsid w:val="00A96779"/>
    <w:rsid w:val="00A97B96"/>
    <w:rsid w:val="00AA04CD"/>
    <w:rsid w:val="00AA04E4"/>
    <w:rsid w:val="00AA05CD"/>
    <w:rsid w:val="00AA0988"/>
    <w:rsid w:val="00AA0D62"/>
    <w:rsid w:val="00AA5534"/>
    <w:rsid w:val="00AA5702"/>
    <w:rsid w:val="00AA5CC1"/>
    <w:rsid w:val="00AB06C0"/>
    <w:rsid w:val="00AB1B38"/>
    <w:rsid w:val="00AB3777"/>
    <w:rsid w:val="00AB38D1"/>
    <w:rsid w:val="00AB41BF"/>
    <w:rsid w:val="00AB558C"/>
    <w:rsid w:val="00AB5B3C"/>
    <w:rsid w:val="00AB5F34"/>
    <w:rsid w:val="00AB5FEA"/>
    <w:rsid w:val="00AB64D2"/>
    <w:rsid w:val="00AB68C9"/>
    <w:rsid w:val="00AB69A2"/>
    <w:rsid w:val="00AB6A6D"/>
    <w:rsid w:val="00AC0612"/>
    <w:rsid w:val="00AC06BA"/>
    <w:rsid w:val="00AC1004"/>
    <w:rsid w:val="00AC238E"/>
    <w:rsid w:val="00AC3135"/>
    <w:rsid w:val="00AC34D9"/>
    <w:rsid w:val="00AC51B5"/>
    <w:rsid w:val="00AC5A8B"/>
    <w:rsid w:val="00AC6CD6"/>
    <w:rsid w:val="00AC731B"/>
    <w:rsid w:val="00AC7E80"/>
    <w:rsid w:val="00AD037B"/>
    <w:rsid w:val="00AD1C61"/>
    <w:rsid w:val="00AD27CC"/>
    <w:rsid w:val="00AD4828"/>
    <w:rsid w:val="00AD529E"/>
    <w:rsid w:val="00AD6466"/>
    <w:rsid w:val="00AD6DA6"/>
    <w:rsid w:val="00AD74A1"/>
    <w:rsid w:val="00AE0174"/>
    <w:rsid w:val="00AE0383"/>
    <w:rsid w:val="00AE0797"/>
    <w:rsid w:val="00AE109D"/>
    <w:rsid w:val="00AE14F4"/>
    <w:rsid w:val="00AE32FA"/>
    <w:rsid w:val="00AE3AA8"/>
    <w:rsid w:val="00AE3F6B"/>
    <w:rsid w:val="00AE434A"/>
    <w:rsid w:val="00AE4721"/>
    <w:rsid w:val="00AE5882"/>
    <w:rsid w:val="00AE58F9"/>
    <w:rsid w:val="00AF1298"/>
    <w:rsid w:val="00AF3936"/>
    <w:rsid w:val="00AF682D"/>
    <w:rsid w:val="00B00550"/>
    <w:rsid w:val="00B0195B"/>
    <w:rsid w:val="00B02036"/>
    <w:rsid w:val="00B0235B"/>
    <w:rsid w:val="00B024C8"/>
    <w:rsid w:val="00B02A6C"/>
    <w:rsid w:val="00B02D35"/>
    <w:rsid w:val="00B03043"/>
    <w:rsid w:val="00B03150"/>
    <w:rsid w:val="00B0372F"/>
    <w:rsid w:val="00B04845"/>
    <w:rsid w:val="00B049E4"/>
    <w:rsid w:val="00B0514A"/>
    <w:rsid w:val="00B06489"/>
    <w:rsid w:val="00B06979"/>
    <w:rsid w:val="00B102D5"/>
    <w:rsid w:val="00B10C03"/>
    <w:rsid w:val="00B11088"/>
    <w:rsid w:val="00B1123C"/>
    <w:rsid w:val="00B120B0"/>
    <w:rsid w:val="00B12673"/>
    <w:rsid w:val="00B12EC0"/>
    <w:rsid w:val="00B15F87"/>
    <w:rsid w:val="00B16C0A"/>
    <w:rsid w:val="00B17CEE"/>
    <w:rsid w:val="00B203AF"/>
    <w:rsid w:val="00B205E4"/>
    <w:rsid w:val="00B22075"/>
    <w:rsid w:val="00B23BF4"/>
    <w:rsid w:val="00B26299"/>
    <w:rsid w:val="00B27110"/>
    <w:rsid w:val="00B3021A"/>
    <w:rsid w:val="00B30C1C"/>
    <w:rsid w:val="00B31DC4"/>
    <w:rsid w:val="00B3294A"/>
    <w:rsid w:val="00B33971"/>
    <w:rsid w:val="00B33B9A"/>
    <w:rsid w:val="00B34021"/>
    <w:rsid w:val="00B3402F"/>
    <w:rsid w:val="00B343A2"/>
    <w:rsid w:val="00B357D3"/>
    <w:rsid w:val="00B40608"/>
    <w:rsid w:val="00B417BD"/>
    <w:rsid w:val="00B42DF0"/>
    <w:rsid w:val="00B437D0"/>
    <w:rsid w:val="00B47FA7"/>
    <w:rsid w:val="00B5083D"/>
    <w:rsid w:val="00B51E91"/>
    <w:rsid w:val="00B56194"/>
    <w:rsid w:val="00B605D6"/>
    <w:rsid w:val="00B60860"/>
    <w:rsid w:val="00B60A8C"/>
    <w:rsid w:val="00B634C9"/>
    <w:rsid w:val="00B63D21"/>
    <w:rsid w:val="00B649F7"/>
    <w:rsid w:val="00B655E6"/>
    <w:rsid w:val="00B70A09"/>
    <w:rsid w:val="00B72E0D"/>
    <w:rsid w:val="00B73759"/>
    <w:rsid w:val="00B739CE"/>
    <w:rsid w:val="00B74EF3"/>
    <w:rsid w:val="00B7595A"/>
    <w:rsid w:val="00B772F3"/>
    <w:rsid w:val="00B777AB"/>
    <w:rsid w:val="00B846F5"/>
    <w:rsid w:val="00B84762"/>
    <w:rsid w:val="00B850B7"/>
    <w:rsid w:val="00B85507"/>
    <w:rsid w:val="00B861CC"/>
    <w:rsid w:val="00B86918"/>
    <w:rsid w:val="00B8696E"/>
    <w:rsid w:val="00B90AFD"/>
    <w:rsid w:val="00B90D56"/>
    <w:rsid w:val="00B91924"/>
    <w:rsid w:val="00B91A2E"/>
    <w:rsid w:val="00B92591"/>
    <w:rsid w:val="00B92650"/>
    <w:rsid w:val="00B95034"/>
    <w:rsid w:val="00B95C89"/>
    <w:rsid w:val="00B970E6"/>
    <w:rsid w:val="00BA0E6A"/>
    <w:rsid w:val="00BA1C3D"/>
    <w:rsid w:val="00BA21C5"/>
    <w:rsid w:val="00BA3673"/>
    <w:rsid w:val="00BA4018"/>
    <w:rsid w:val="00BA59C4"/>
    <w:rsid w:val="00BA630E"/>
    <w:rsid w:val="00BA6A3C"/>
    <w:rsid w:val="00BA702E"/>
    <w:rsid w:val="00BA7A2C"/>
    <w:rsid w:val="00BB000A"/>
    <w:rsid w:val="00BB35D8"/>
    <w:rsid w:val="00BB5EE1"/>
    <w:rsid w:val="00BB6007"/>
    <w:rsid w:val="00BC2781"/>
    <w:rsid w:val="00BC3968"/>
    <w:rsid w:val="00BC3C34"/>
    <w:rsid w:val="00BC4E59"/>
    <w:rsid w:val="00BC6716"/>
    <w:rsid w:val="00BC6ACB"/>
    <w:rsid w:val="00BC7D46"/>
    <w:rsid w:val="00BD0A0A"/>
    <w:rsid w:val="00BD14B9"/>
    <w:rsid w:val="00BD22A7"/>
    <w:rsid w:val="00BD3EC7"/>
    <w:rsid w:val="00BD4714"/>
    <w:rsid w:val="00BD4E44"/>
    <w:rsid w:val="00BD6186"/>
    <w:rsid w:val="00BD6449"/>
    <w:rsid w:val="00BD6E1A"/>
    <w:rsid w:val="00BD7C1F"/>
    <w:rsid w:val="00BE07CF"/>
    <w:rsid w:val="00BE0E5D"/>
    <w:rsid w:val="00BE2292"/>
    <w:rsid w:val="00BE3D94"/>
    <w:rsid w:val="00BE4E58"/>
    <w:rsid w:val="00BE528C"/>
    <w:rsid w:val="00BE69F5"/>
    <w:rsid w:val="00BF052C"/>
    <w:rsid w:val="00BF17F7"/>
    <w:rsid w:val="00BF1D3B"/>
    <w:rsid w:val="00BF2695"/>
    <w:rsid w:val="00BF271A"/>
    <w:rsid w:val="00BF321E"/>
    <w:rsid w:val="00BF56A3"/>
    <w:rsid w:val="00BF758E"/>
    <w:rsid w:val="00C00861"/>
    <w:rsid w:val="00C034DF"/>
    <w:rsid w:val="00C03646"/>
    <w:rsid w:val="00C04EA3"/>
    <w:rsid w:val="00C057E3"/>
    <w:rsid w:val="00C06956"/>
    <w:rsid w:val="00C06CE3"/>
    <w:rsid w:val="00C07768"/>
    <w:rsid w:val="00C07B7F"/>
    <w:rsid w:val="00C116A7"/>
    <w:rsid w:val="00C12EA3"/>
    <w:rsid w:val="00C13325"/>
    <w:rsid w:val="00C13BB7"/>
    <w:rsid w:val="00C13F2C"/>
    <w:rsid w:val="00C1423E"/>
    <w:rsid w:val="00C1622F"/>
    <w:rsid w:val="00C1639B"/>
    <w:rsid w:val="00C16FB7"/>
    <w:rsid w:val="00C17049"/>
    <w:rsid w:val="00C212E7"/>
    <w:rsid w:val="00C2255B"/>
    <w:rsid w:val="00C249B3"/>
    <w:rsid w:val="00C2572D"/>
    <w:rsid w:val="00C311AB"/>
    <w:rsid w:val="00C3338B"/>
    <w:rsid w:val="00C40A5C"/>
    <w:rsid w:val="00C40C2A"/>
    <w:rsid w:val="00C41347"/>
    <w:rsid w:val="00C41EB7"/>
    <w:rsid w:val="00C423F9"/>
    <w:rsid w:val="00C42EB5"/>
    <w:rsid w:val="00C458F1"/>
    <w:rsid w:val="00C46C02"/>
    <w:rsid w:val="00C47552"/>
    <w:rsid w:val="00C51B2A"/>
    <w:rsid w:val="00C52EFC"/>
    <w:rsid w:val="00C53D22"/>
    <w:rsid w:val="00C55D08"/>
    <w:rsid w:val="00C56DE6"/>
    <w:rsid w:val="00C577A2"/>
    <w:rsid w:val="00C60505"/>
    <w:rsid w:val="00C62ADF"/>
    <w:rsid w:val="00C636AF"/>
    <w:rsid w:val="00C63E34"/>
    <w:rsid w:val="00C6492A"/>
    <w:rsid w:val="00C660CD"/>
    <w:rsid w:val="00C678BF"/>
    <w:rsid w:val="00C70A67"/>
    <w:rsid w:val="00C71365"/>
    <w:rsid w:val="00C72DCB"/>
    <w:rsid w:val="00C737F4"/>
    <w:rsid w:val="00C74583"/>
    <w:rsid w:val="00C7465F"/>
    <w:rsid w:val="00C75D7C"/>
    <w:rsid w:val="00C75F65"/>
    <w:rsid w:val="00C76841"/>
    <w:rsid w:val="00C76DFC"/>
    <w:rsid w:val="00C773E4"/>
    <w:rsid w:val="00C77C23"/>
    <w:rsid w:val="00C819A9"/>
    <w:rsid w:val="00C82800"/>
    <w:rsid w:val="00C8280E"/>
    <w:rsid w:val="00C83B0D"/>
    <w:rsid w:val="00C84C4F"/>
    <w:rsid w:val="00C84DF0"/>
    <w:rsid w:val="00C8573A"/>
    <w:rsid w:val="00C8694D"/>
    <w:rsid w:val="00C87DD2"/>
    <w:rsid w:val="00C9045D"/>
    <w:rsid w:val="00C90733"/>
    <w:rsid w:val="00C91CAE"/>
    <w:rsid w:val="00C92A7B"/>
    <w:rsid w:val="00C9329A"/>
    <w:rsid w:val="00C94B66"/>
    <w:rsid w:val="00C94FA4"/>
    <w:rsid w:val="00C95333"/>
    <w:rsid w:val="00C9539C"/>
    <w:rsid w:val="00C97B16"/>
    <w:rsid w:val="00CA058B"/>
    <w:rsid w:val="00CA149C"/>
    <w:rsid w:val="00CA2A0C"/>
    <w:rsid w:val="00CA3179"/>
    <w:rsid w:val="00CA3F0B"/>
    <w:rsid w:val="00CB1D51"/>
    <w:rsid w:val="00CB22A5"/>
    <w:rsid w:val="00CB57E5"/>
    <w:rsid w:val="00CC00C9"/>
    <w:rsid w:val="00CC06A7"/>
    <w:rsid w:val="00CC1FEA"/>
    <w:rsid w:val="00CC2337"/>
    <w:rsid w:val="00CC27A9"/>
    <w:rsid w:val="00CC3CA8"/>
    <w:rsid w:val="00CC4951"/>
    <w:rsid w:val="00CC4B40"/>
    <w:rsid w:val="00CC61A6"/>
    <w:rsid w:val="00CC654B"/>
    <w:rsid w:val="00CC6A94"/>
    <w:rsid w:val="00CC7796"/>
    <w:rsid w:val="00CD1FE3"/>
    <w:rsid w:val="00CD26C8"/>
    <w:rsid w:val="00CD2DF2"/>
    <w:rsid w:val="00CD609E"/>
    <w:rsid w:val="00CD6397"/>
    <w:rsid w:val="00CD65CD"/>
    <w:rsid w:val="00CD67C3"/>
    <w:rsid w:val="00CD6880"/>
    <w:rsid w:val="00CD722F"/>
    <w:rsid w:val="00CD7996"/>
    <w:rsid w:val="00CE04C8"/>
    <w:rsid w:val="00CE1391"/>
    <w:rsid w:val="00CE269C"/>
    <w:rsid w:val="00CE4369"/>
    <w:rsid w:val="00CE5AB7"/>
    <w:rsid w:val="00CE688F"/>
    <w:rsid w:val="00CE7F09"/>
    <w:rsid w:val="00CF1817"/>
    <w:rsid w:val="00CF2758"/>
    <w:rsid w:val="00CF520F"/>
    <w:rsid w:val="00CF66C2"/>
    <w:rsid w:val="00CF681C"/>
    <w:rsid w:val="00CF6B82"/>
    <w:rsid w:val="00CF7893"/>
    <w:rsid w:val="00D008EC"/>
    <w:rsid w:val="00D00E9E"/>
    <w:rsid w:val="00D00F23"/>
    <w:rsid w:val="00D01DDB"/>
    <w:rsid w:val="00D0283A"/>
    <w:rsid w:val="00D036F7"/>
    <w:rsid w:val="00D04000"/>
    <w:rsid w:val="00D0423E"/>
    <w:rsid w:val="00D05873"/>
    <w:rsid w:val="00D05FF5"/>
    <w:rsid w:val="00D06A91"/>
    <w:rsid w:val="00D07E6D"/>
    <w:rsid w:val="00D10E15"/>
    <w:rsid w:val="00D1532C"/>
    <w:rsid w:val="00D1533F"/>
    <w:rsid w:val="00D1646D"/>
    <w:rsid w:val="00D16865"/>
    <w:rsid w:val="00D17A68"/>
    <w:rsid w:val="00D21188"/>
    <w:rsid w:val="00D21855"/>
    <w:rsid w:val="00D219CF"/>
    <w:rsid w:val="00D21E1B"/>
    <w:rsid w:val="00D230D7"/>
    <w:rsid w:val="00D2328F"/>
    <w:rsid w:val="00D235AF"/>
    <w:rsid w:val="00D245C5"/>
    <w:rsid w:val="00D2578C"/>
    <w:rsid w:val="00D26146"/>
    <w:rsid w:val="00D26CAF"/>
    <w:rsid w:val="00D26FFA"/>
    <w:rsid w:val="00D30059"/>
    <w:rsid w:val="00D30A3C"/>
    <w:rsid w:val="00D31288"/>
    <w:rsid w:val="00D312A7"/>
    <w:rsid w:val="00D32555"/>
    <w:rsid w:val="00D33BB4"/>
    <w:rsid w:val="00D33BEF"/>
    <w:rsid w:val="00D35B1E"/>
    <w:rsid w:val="00D370F0"/>
    <w:rsid w:val="00D37441"/>
    <w:rsid w:val="00D40FD6"/>
    <w:rsid w:val="00D40FD9"/>
    <w:rsid w:val="00D41279"/>
    <w:rsid w:val="00D4192D"/>
    <w:rsid w:val="00D41DFD"/>
    <w:rsid w:val="00D42107"/>
    <w:rsid w:val="00D455F3"/>
    <w:rsid w:val="00D458BD"/>
    <w:rsid w:val="00D459EB"/>
    <w:rsid w:val="00D46674"/>
    <w:rsid w:val="00D47D6E"/>
    <w:rsid w:val="00D50222"/>
    <w:rsid w:val="00D53146"/>
    <w:rsid w:val="00D55D73"/>
    <w:rsid w:val="00D5626C"/>
    <w:rsid w:val="00D568FE"/>
    <w:rsid w:val="00D5724F"/>
    <w:rsid w:val="00D57976"/>
    <w:rsid w:val="00D61287"/>
    <w:rsid w:val="00D61358"/>
    <w:rsid w:val="00D613C1"/>
    <w:rsid w:val="00D62139"/>
    <w:rsid w:val="00D62922"/>
    <w:rsid w:val="00D63672"/>
    <w:rsid w:val="00D63A62"/>
    <w:rsid w:val="00D63AD9"/>
    <w:rsid w:val="00D63D3F"/>
    <w:rsid w:val="00D64BEC"/>
    <w:rsid w:val="00D64F1D"/>
    <w:rsid w:val="00D67A6E"/>
    <w:rsid w:val="00D702CF"/>
    <w:rsid w:val="00D70595"/>
    <w:rsid w:val="00D71395"/>
    <w:rsid w:val="00D71EB4"/>
    <w:rsid w:val="00D730E2"/>
    <w:rsid w:val="00D76D07"/>
    <w:rsid w:val="00D7772A"/>
    <w:rsid w:val="00D806D8"/>
    <w:rsid w:val="00D81B57"/>
    <w:rsid w:val="00D81ED2"/>
    <w:rsid w:val="00D82531"/>
    <w:rsid w:val="00D84E84"/>
    <w:rsid w:val="00D8525D"/>
    <w:rsid w:val="00D8563B"/>
    <w:rsid w:val="00D876C4"/>
    <w:rsid w:val="00D87774"/>
    <w:rsid w:val="00D87D35"/>
    <w:rsid w:val="00D92F95"/>
    <w:rsid w:val="00D930C5"/>
    <w:rsid w:val="00D952D4"/>
    <w:rsid w:val="00D96176"/>
    <w:rsid w:val="00D9624E"/>
    <w:rsid w:val="00D97178"/>
    <w:rsid w:val="00DA0F97"/>
    <w:rsid w:val="00DA11F9"/>
    <w:rsid w:val="00DA128A"/>
    <w:rsid w:val="00DA1671"/>
    <w:rsid w:val="00DA19A3"/>
    <w:rsid w:val="00DA21BC"/>
    <w:rsid w:val="00DA290B"/>
    <w:rsid w:val="00DA36DB"/>
    <w:rsid w:val="00DA5051"/>
    <w:rsid w:val="00DA5A0E"/>
    <w:rsid w:val="00DA62D5"/>
    <w:rsid w:val="00DB01A1"/>
    <w:rsid w:val="00DB03B4"/>
    <w:rsid w:val="00DB11F5"/>
    <w:rsid w:val="00DB1283"/>
    <w:rsid w:val="00DB1C63"/>
    <w:rsid w:val="00DB2A74"/>
    <w:rsid w:val="00DB3B01"/>
    <w:rsid w:val="00DB3E4B"/>
    <w:rsid w:val="00DB4578"/>
    <w:rsid w:val="00DB6945"/>
    <w:rsid w:val="00DB6A51"/>
    <w:rsid w:val="00DB76B4"/>
    <w:rsid w:val="00DB7D23"/>
    <w:rsid w:val="00DB7ECD"/>
    <w:rsid w:val="00DC0467"/>
    <w:rsid w:val="00DC1739"/>
    <w:rsid w:val="00DC2F90"/>
    <w:rsid w:val="00DC3E2E"/>
    <w:rsid w:val="00DC3F6E"/>
    <w:rsid w:val="00DC7B67"/>
    <w:rsid w:val="00DD0508"/>
    <w:rsid w:val="00DD0B8B"/>
    <w:rsid w:val="00DD0F97"/>
    <w:rsid w:val="00DD28C9"/>
    <w:rsid w:val="00DD3462"/>
    <w:rsid w:val="00DD4190"/>
    <w:rsid w:val="00DD432E"/>
    <w:rsid w:val="00DD44BD"/>
    <w:rsid w:val="00DD4702"/>
    <w:rsid w:val="00DD4B1B"/>
    <w:rsid w:val="00DD4B4F"/>
    <w:rsid w:val="00DD4DD0"/>
    <w:rsid w:val="00DD504E"/>
    <w:rsid w:val="00DD57CF"/>
    <w:rsid w:val="00DD5947"/>
    <w:rsid w:val="00DD6508"/>
    <w:rsid w:val="00DD70B1"/>
    <w:rsid w:val="00DD7FC7"/>
    <w:rsid w:val="00DD7FC9"/>
    <w:rsid w:val="00DE0E30"/>
    <w:rsid w:val="00DE1F31"/>
    <w:rsid w:val="00DE3708"/>
    <w:rsid w:val="00DE62CC"/>
    <w:rsid w:val="00DF0409"/>
    <w:rsid w:val="00DF14F4"/>
    <w:rsid w:val="00DF2489"/>
    <w:rsid w:val="00DF4242"/>
    <w:rsid w:val="00DF4EB1"/>
    <w:rsid w:val="00DF5E83"/>
    <w:rsid w:val="00DF6321"/>
    <w:rsid w:val="00DF73B6"/>
    <w:rsid w:val="00E03A9E"/>
    <w:rsid w:val="00E10863"/>
    <w:rsid w:val="00E1110F"/>
    <w:rsid w:val="00E12220"/>
    <w:rsid w:val="00E14109"/>
    <w:rsid w:val="00E149E0"/>
    <w:rsid w:val="00E14E11"/>
    <w:rsid w:val="00E16041"/>
    <w:rsid w:val="00E16403"/>
    <w:rsid w:val="00E16A92"/>
    <w:rsid w:val="00E2136F"/>
    <w:rsid w:val="00E23D78"/>
    <w:rsid w:val="00E2461B"/>
    <w:rsid w:val="00E2476C"/>
    <w:rsid w:val="00E270A0"/>
    <w:rsid w:val="00E27858"/>
    <w:rsid w:val="00E313DF"/>
    <w:rsid w:val="00E32281"/>
    <w:rsid w:val="00E3298A"/>
    <w:rsid w:val="00E34ED9"/>
    <w:rsid w:val="00E3657E"/>
    <w:rsid w:val="00E369C6"/>
    <w:rsid w:val="00E378A8"/>
    <w:rsid w:val="00E41721"/>
    <w:rsid w:val="00E41DAB"/>
    <w:rsid w:val="00E43252"/>
    <w:rsid w:val="00E44918"/>
    <w:rsid w:val="00E44C32"/>
    <w:rsid w:val="00E46252"/>
    <w:rsid w:val="00E47902"/>
    <w:rsid w:val="00E505F8"/>
    <w:rsid w:val="00E50FD1"/>
    <w:rsid w:val="00E510FD"/>
    <w:rsid w:val="00E53142"/>
    <w:rsid w:val="00E542CD"/>
    <w:rsid w:val="00E54946"/>
    <w:rsid w:val="00E578B2"/>
    <w:rsid w:val="00E601A0"/>
    <w:rsid w:val="00E61BCB"/>
    <w:rsid w:val="00E62F1F"/>
    <w:rsid w:val="00E638E4"/>
    <w:rsid w:val="00E6464A"/>
    <w:rsid w:val="00E64955"/>
    <w:rsid w:val="00E64B3C"/>
    <w:rsid w:val="00E64F1E"/>
    <w:rsid w:val="00E6530D"/>
    <w:rsid w:val="00E6633E"/>
    <w:rsid w:val="00E66ACE"/>
    <w:rsid w:val="00E67B1C"/>
    <w:rsid w:val="00E7016C"/>
    <w:rsid w:val="00E70ABE"/>
    <w:rsid w:val="00E70B7D"/>
    <w:rsid w:val="00E71E89"/>
    <w:rsid w:val="00E7359A"/>
    <w:rsid w:val="00E743CE"/>
    <w:rsid w:val="00E757EE"/>
    <w:rsid w:val="00E764D2"/>
    <w:rsid w:val="00E76B96"/>
    <w:rsid w:val="00E77202"/>
    <w:rsid w:val="00E82121"/>
    <w:rsid w:val="00E824C6"/>
    <w:rsid w:val="00E82924"/>
    <w:rsid w:val="00E8388D"/>
    <w:rsid w:val="00E848CC"/>
    <w:rsid w:val="00E84907"/>
    <w:rsid w:val="00E84B81"/>
    <w:rsid w:val="00E86F08"/>
    <w:rsid w:val="00E87360"/>
    <w:rsid w:val="00E9061B"/>
    <w:rsid w:val="00E91511"/>
    <w:rsid w:val="00E92136"/>
    <w:rsid w:val="00E92897"/>
    <w:rsid w:val="00E9294D"/>
    <w:rsid w:val="00E93F8D"/>
    <w:rsid w:val="00E953CF"/>
    <w:rsid w:val="00E9544C"/>
    <w:rsid w:val="00E95593"/>
    <w:rsid w:val="00E956B2"/>
    <w:rsid w:val="00E95ACD"/>
    <w:rsid w:val="00E95C2E"/>
    <w:rsid w:val="00E95D84"/>
    <w:rsid w:val="00E965C8"/>
    <w:rsid w:val="00E9682A"/>
    <w:rsid w:val="00E96F0B"/>
    <w:rsid w:val="00EA0126"/>
    <w:rsid w:val="00EA0DFC"/>
    <w:rsid w:val="00EA1824"/>
    <w:rsid w:val="00EA1BF1"/>
    <w:rsid w:val="00EA1FD1"/>
    <w:rsid w:val="00EA212C"/>
    <w:rsid w:val="00EA24D9"/>
    <w:rsid w:val="00EA304D"/>
    <w:rsid w:val="00EA447B"/>
    <w:rsid w:val="00EA6905"/>
    <w:rsid w:val="00EA6C08"/>
    <w:rsid w:val="00EB1514"/>
    <w:rsid w:val="00EB31BE"/>
    <w:rsid w:val="00EB4F56"/>
    <w:rsid w:val="00EB565A"/>
    <w:rsid w:val="00EC04FC"/>
    <w:rsid w:val="00EC0FD8"/>
    <w:rsid w:val="00EC2FD9"/>
    <w:rsid w:val="00EC3146"/>
    <w:rsid w:val="00EC43F1"/>
    <w:rsid w:val="00EC5B7B"/>
    <w:rsid w:val="00EC6470"/>
    <w:rsid w:val="00ED16FD"/>
    <w:rsid w:val="00ED1764"/>
    <w:rsid w:val="00ED1AC0"/>
    <w:rsid w:val="00ED29E2"/>
    <w:rsid w:val="00ED2D2B"/>
    <w:rsid w:val="00ED3729"/>
    <w:rsid w:val="00ED5B14"/>
    <w:rsid w:val="00ED7EFB"/>
    <w:rsid w:val="00ED7F3F"/>
    <w:rsid w:val="00EE12E0"/>
    <w:rsid w:val="00EE175B"/>
    <w:rsid w:val="00EE179B"/>
    <w:rsid w:val="00EE2D48"/>
    <w:rsid w:val="00EE44ED"/>
    <w:rsid w:val="00EE4548"/>
    <w:rsid w:val="00EE4B72"/>
    <w:rsid w:val="00EE7DC8"/>
    <w:rsid w:val="00EF1443"/>
    <w:rsid w:val="00EF1ABB"/>
    <w:rsid w:val="00EF1DAE"/>
    <w:rsid w:val="00EF3541"/>
    <w:rsid w:val="00EF4087"/>
    <w:rsid w:val="00EF4370"/>
    <w:rsid w:val="00EF57B4"/>
    <w:rsid w:val="00EF7429"/>
    <w:rsid w:val="00EF755A"/>
    <w:rsid w:val="00F01BF4"/>
    <w:rsid w:val="00F01D61"/>
    <w:rsid w:val="00F022A7"/>
    <w:rsid w:val="00F03031"/>
    <w:rsid w:val="00F05779"/>
    <w:rsid w:val="00F058C4"/>
    <w:rsid w:val="00F06BF7"/>
    <w:rsid w:val="00F06C67"/>
    <w:rsid w:val="00F111A4"/>
    <w:rsid w:val="00F13C55"/>
    <w:rsid w:val="00F14265"/>
    <w:rsid w:val="00F15151"/>
    <w:rsid w:val="00F153E9"/>
    <w:rsid w:val="00F174EB"/>
    <w:rsid w:val="00F178BC"/>
    <w:rsid w:val="00F17C4A"/>
    <w:rsid w:val="00F201D7"/>
    <w:rsid w:val="00F21CBE"/>
    <w:rsid w:val="00F225F0"/>
    <w:rsid w:val="00F232A6"/>
    <w:rsid w:val="00F236E7"/>
    <w:rsid w:val="00F23BE1"/>
    <w:rsid w:val="00F24386"/>
    <w:rsid w:val="00F24756"/>
    <w:rsid w:val="00F25415"/>
    <w:rsid w:val="00F266F0"/>
    <w:rsid w:val="00F278A1"/>
    <w:rsid w:val="00F2799A"/>
    <w:rsid w:val="00F3199A"/>
    <w:rsid w:val="00F32071"/>
    <w:rsid w:val="00F33839"/>
    <w:rsid w:val="00F33C32"/>
    <w:rsid w:val="00F33C3A"/>
    <w:rsid w:val="00F35124"/>
    <w:rsid w:val="00F358D5"/>
    <w:rsid w:val="00F3681D"/>
    <w:rsid w:val="00F414C3"/>
    <w:rsid w:val="00F42A8F"/>
    <w:rsid w:val="00F42E3E"/>
    <w:rsid w:val="00F449AA"/>
    <w:rsid w:val="00F46B52"/>
    <w:rsid w:val="00F503B0"/>
    <w:rsid w:val="00F51012"/>
    <w:rsid w:val="00F51760"/>
    <w:rsid w:val="00F51BAD"/>
    <w:rsid w:val="00F5287B"/>
    <w:rsid w:val="00F53A19"/>
    <w:rsid w:val="00F54090"/>
    <w:rsid w:val="00F55774"/>
    <w:rsid w:val="00F626F5"/>
    <w:rsid w:val="00F645E5"/>
    <w:rsid w:val="00F647AA"/>
    <w:rsid w:val="00F64B10"/>
    <w:rsid w:val="00F64E66"/>
    <w:rsid w:val="00F65785"/>
    <w:rsid w:val="00F66206"/>
    <w:rsid w:val="00F67048"/>
    <w:rsid w:val="00F67E6D"/>
    <w:rsid w:val="00F712A4"/>
    <w:rsid w:val="00F72358"/>
    <w:rsid w:val="00F72C84"/>
    <w:rsid w:val="00F72DB3"/>
    <w:rsid w:val="00F735E7"/>
    <w:rsid w:val="00F74DA7"/>
    <w:rsid w:val="00F76E7D"/>
    <w:rsid w:val="00F83F0C"/>
    <w:rsid w:val="00F84CE7"/>
    <w:rsid w:val="00F854E1"/>
    <w:rsid w:val="00F85616"/>
    <w:rsid w:val="00F869B8"/>
    <w:rsid w:val="00F870A8"/>
    <w:rsid w:val="00F87137"/>
    <w:rsid w:val="00F92349"/>
    <w:rsid w:val="00F92ED9"/>
    <w:rsid w:val="00F932AE"/>
    <w:rsid w:val="00F9449E"/>
    <w:rsid w:val="00F9462A"/>
    <w:rsid w:val="00F9470F"/>
    <w:rsid w:val="00F94AD1"/>
    <w:rsid w:val="00F94D29"/>
    <w:rsid w:val="00F95F23"/>
    <w:rsid w:val="00F9609C"/>
    <w:rsid w:val="00F9634A"/>
    <w:rsid w:val="00F972CD"/>
    <w:rsid w:val="00F974E4"/>
    <w:rsid w:val="00F975C4"/>
    <w:rsid w:val="00F97A2F"/>
    <w:rsid w:val="00FA1A0C"/>
    <w:rsid w:val="00FA24B0"/>
    <w:rsid w:val="00FA35B2"/>
    <w:rsid w:val="00FA6F1C"/>
    <w:rsid w:val="00FA7DEE"/>
    <w:rsid w:val="00FB18A7"/>
    <w:rsid w:val="00FB306D"/>
    <w:rsid w:val="00FB4350"/>
    <w:rsid w:val="00FB4AB5"/>
    <w:rsid w:val="00FB56A2"/>
    <w:rsid w:val="00FB611A"/>
    <w:rsid w:val="00FB623C"/>
    <w:rsid w:val="00FC04DB"/>
    <w:rsid w:val="00FC0732"/>
    <w:rsid w:val="00FC1DB4"/>
    <w:rsid w:val="00FC293D"/>
    <w:rsid w:val="00FC44BD"/>
    <w:rsid w:val="00FC471B"/>
    <w:rsid w:val="00FC4C4A"/>
    <w:rsid w:val="00FC5120"/>
    <w:rsid w:val="00FC5256"/>
    <w:rsid w:val="00FC579A"/>
    <w:rsid w:val="00FD0430"/>
    <w:rsid w:val="00FD1C89"/>
    <w:rsid w:val="00FD29BC"/>
    <w:rsid w:val="00FD2D8A"/>
    <w:rsid w:val="00FD3165"/>
    <w:rsid w:val="00FD3A6A"/>
    <w:rsid w:val="00FD3AEA"/>
    <w:rsid w:val="00FD4FE2"/>
    <w:rsid w:val="00FD6B88"/>
    <w:rsid w:val="00FD79DB"/>
    <w:rsid w:val="00FD7C61"/>
    <w:rsid w:val="00FE0030"/>
    <w:rsid w:val="00FE272D"/>
    <w:rsid w:val="00FE3B9C"/>
    <w:rsid w:val="00FE486A"/>
    <w:rsid w:val="00FE4FE9"/>
    <w:rsid w:val="00FE5967"/>
    <w:rsid w:val="00FE5B14"/>
    <w:rsid w:val="00FE625E"/>
    <w:rsid w:val="00FE6491"/>
    <w:rsid w:val="00FE6636"/>
    <w:rsid w:val="00FE67CB"/>
    <w:rsid w:val="00FE6F6D"/>
    <w:rsid w:val="00FE7458"/>
    <w:rsid w:val="00FE7603"/>
    <w:rsid w:val="00FF094D"/>
    <w:rsid w:val="00FF3E2F"/>
    <w:rsid w:val="00FF4BD2"/>
    <w:rsid w:val="00FF58FC"/>
    <w:rsid w:val="00FF7E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BFED3D"/>
  <w15:chartTrackingRefBased/>
  <w15:docId w15:val="{A7760649-603C-4644-8D95-A4688A86B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C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5C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5C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5C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5C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5C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5C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C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C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C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5C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E5C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5C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5C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5C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C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C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CB3"/>
    <w:rPr>
      <w:rFonts w:eastAsiaTheme="majorEastAsia" w:cstheme="majorBidi"/>
      <w:color w:val="272727" w:themeColor="text1" w:themeTint="D8"/>
    </w:rPr>
  </w:style>
  <w:style w:type="paragraph" w:styleId="Title">
    <w:name w:val="Title"/>
    <w:basedOn w:val="Normal"/>
    <w:next w:val="Normal"/>
    <w:link w:val="TitleChar"/>
    <w:uiPriority w:val="10"/>
    <w:qFormat/>
    <w:rsid w:val="006E5C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C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C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C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CB3"/>
    <w:pPr>
      <w:spacing w:before="160"/>
      <w:jc w:val="center"/>
    </w:pPr>
    <w:rPr>
      <w:i/>
      <w:iCs/>
      <w:color w:val="404040" w:themeColor="text1" w:themeTint="BF"/>
    </w:rPr>
  </w:style>
  <w:style w:type="character" w:customStyle="1" w:styleId="QuoteChar">
    <w:name w:val="Quote Char"/>
    <w:basedOn w:val="DefaultParagraphFont"/>
    <w:link w:val="Quote"/>
    <w:uiPriority w:val="29"/>
    <w:rsid w:val="006E5CB3"/>
    <w:rPr>
      <w:i/>
      <w:iCs/>
      <w:color w:val="404040" w:themeColor="text1" w:themeTint="BF"/>
    </w:rPr>
  </w:style>
  <w:style w:type="paragraph" w:styleId="ListParagraph">
    <w:name w:val="List Paragraph"/>
    <w:basedOn w:val="Normal"/>
    <w:uiPriority w:val="34"/>
    <w:qFormat/>
    <w:rsid w:val="006E5CB3"/>
    <w:pPr>
      <w:ind w:left="720"/>
      <w:contextualSpacing/>
    </w:pPr>
  </w:style>
  <w:style w:type="character" w:styleId="IntenseEmphasis">
    <w:name w:val="Intense Emphasis"/>
    <w:basedOn w:val="DefaultParagraphFont"/>
    <w:uiPriority w:val="21"/>
    <w:qFormat/>
    <w:rsid w:val="006E5CB3"/>
    <w:rPr>
      <w:i/>
      <w:iCs/>
      <w:color w:val="0F4761" w:themeColor="accent1" w:themeShade="BF"/>
    </w:rPr>
  </w:style>
  <w:style w:type="paragraph" w:styleId="IntenseQuote">
    <w:name w:val="Intense Quote"/>
    <w:basedOn w:val="Normal"/>
    <w:next w:val="Normal"/>
    <w:link w:val="IntenseQuoteChar"/>
    <w:uiPriority w:val="30"/>
    <w:qFormat/>
    <w:rsid w:val="006E5C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CB3"/>
    <w:rPr>
      <w:i/>
      <w:iCs/>
      <w:color w:val="0F4761" w:themeColor="accent1" w:themeShade="BF"/>
    </w:rPr>
  </w:style>
  <w:style w:type="character" w:styleId="IntenseReference">
    <w:name w:val="Intense Reference"/>
    <w:basedOn w:val="DefaultParagraphFont"/>
    <w:uiPriority w:val="32"/>
    <w:qFormat/>
    <w:rsid w:val="006E5CB3"/>
    <w:rPr>
      <w:b/>
      <w:bCs/>
      <w:smallCaps/>
      <w:color w:val="0F4761" w:themeColor="accent1" w:themeShade="BF"/>
      <w:spacing w:val="5"/>
    </w:rPr>
  </w:style>
  <w:style w:type="paragraph" w:styleId="NormalWeb">
    <w:name w:val="Normal (Web)"/>
    <w:basedOn w:val="Normal"/>
    <w:uiPriority w:val="99"/>
    <w:unhideWhenUsed/>
    <w:rsid w:val="00C819A9"/>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C819A9"/>
    <w:rPr>
      <w:b/>
      <w:bCs/>
    </w:rPr>
  </w:style>
  <w:style w:type="table" w:styleId="TableGrid">
    <w:name w:val="Table Grid"/>
    <w:basedOn w:val="TableNormal"/>
    <w:uiPriority w:val="39"/>
    <w:rsid w:val="00161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F9462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B0195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B0195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7Colourful">
    <w:name w:val="List Table 7 Colorful"/>
    <w:basedOn w:val="TableNormal"/>
    <w:uiPriority w:val="52"/>
    <w:rsid w:val="00B0195B"/>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B0195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423C9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423C9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
    <w:name w:val="Grid Table 2"/>
    <w:basedOn w:val="TableNormal"/>
    <w:uiPriority w:val="47"/>
    <w:rsid w:val="00423C9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4">
    <w:name w:val="Grid Table 5 Dark Accent 4"/>
    <w:basedOn w:val="TableNormal"/>
    <w:uiPriority w:val="50"/>
    <w:rsid w:val="005669A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2-Accent1">
    <w:name w:val="Grid Table 2 Accent 1"/>
    <w:basedOn w:val="TableNormal"/>
    <w:uiPriority w:val="47"/>
    <w:rsid w:val="00D235AF"/>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1">
    <w:name w:val="Grid Table 4 Accent 1"/>
    <w:basedOn w:val="TableNormal"/>
    <w:uiPriority w:val="49"/>
    <w:rsid w:val="00F21CB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4">
    <w:name w:val="Grid Table 2 Accent 4"/>
    <w:basedOn w:val="TableNormal"/>
    <w:uiPriority w:val="47"/>
    <w:rsid w:val="002B0A5C"/>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1Light-Accent1">
    <w:name w:val="Grid Table 1 Light Accent 1"/>
    <w:basedOn w:val="TableNormal"/>
    <w:uiPriority w:val="46"/>
    <w:rsid w:val="00F932AE"/>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ListTable4-Accent1">
    <w:name w:val="List Table 4 Accent 1"/>
    <w:basedOn w:val="TableNormal"/>
    <w:uiPriority w:val="49"/>
    <w:rsid w:val="009549F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Heading">
    <w:name w:val="TOC Heading"/>
    <w:basedOn w:val="Heading1"/>
    <w:next w:val="Normal"/>
    <w:uiPriority w:val="39"/>
    <w:unhideWhenUsed/>
    <w:qFormat/>
    <w:rsid w:val="00833FA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33FA9"/>
    <w:pPr>
      <w:spacing w:before="120" w:after="120"/>
    </w:pPr>
    <w:rPr>
      <w:b/>
      <w:bCs/>
      <w:caps/>
      <w:sz w:val="20"/>
      <w:szCs w:val="20"/>
    </w:rPr>
  </w:style>
  <w:style w:type="paragraph" w:styleId="TOC2">
    <w:name w:val="toc 2"/>
    <w:basedOn w:val="Normal"/>
    <w:next w:val="Normal"/>
    <w:autoRedefine/>
    <w:uiPriority w:val="39"/>
    <w:unhideWhenUsed/>
    <w:rsid w:val="005B3C05"/>
    <w:pPr>
      <w:tabs>
        <w:tab w:val="right" w:leader="dot" w:pos="10450"/>
      </w:tabs>
      <w:spacing w:after="0"/>
      <w:ind w:left="240"/>
    </w:pPr>
    <w:rPr>
      <w:b/>
      <w:smallCaps/>
      <w:noProof/>
      <w:color w:val="000000" w:themeColor="text1"/>
      <w:sz w:val="20"/>
      <w:szCs w:val="20"/>
    </w:rPr>
  </w:style>
  <w:style w:type="paragraph" w:styleId="TOC3">
    <w:name w:val="toc 3"/>
    <w:basedOn w:val="Normal"/>
    <w:next w:val="Normal"/>
    <w:autoRedefine/>
    <w:uiPriority w:val="39"/>
    <w:unhideWhenUsed/>
    <w:rsid w:val="00833FA9"/>
    <w:pPr>
      <w:spacing w:after="0"/>
      <w:ind w:left="480"/>
    </w:pPr>
    <w:rPr>
      <w:i/>
      <w:iCs/>
      <w:sz w:val="20"/>
      <w:szCs w:val="20"/>
    </w:rPr>
  </w:style>
  <w:style w:type="paragraph" w:styleId="TOC4">
    <w:name w:val="toc 4"/>
    <w:basedOn w:val="Normal"/>
    <w:next w:val="Normal"/>
    <w:autoRedefine/>
    <w:uiPriority w:val="39"/>
    <w:unhideWhenUsed/>
    <w:rsid w:val="00833FA9"/>
    <w:pPr>
      <w:spacing w:after="0"/>
      <w:ind w:left="720"/>
    </w:pPr>
    <w:rPr>
      <w:sz w:val="18"/>
      <w:szCs w:val="18"/>
    </w:rPr>
  </w:style>
  <w:style w:type="paragraph" w:styleId="TOC5">
    <w:name w:val="toc 5"/>
    <w:basedOn w:val="Normal"/>
    <w:next w:val="Normal"/>
    <w:autoRedefine/>
    <w:uiPriority w:val="39"/>
    <w:unhideWhenUsed/>
    <w:rsid w:val="00833FA9"/>
    <w:pPr>
      <w:spacing w:after="0"/>
      <w:ind w:left="960"/>
    </w:pPr>
    <w:rPr>
      <w:sz w:val="18"/>
      <w:szCs w:val="18"/>
    </w:rPr>
  </w:style>
  <w:style w:type="paragraph" w:styleId="TOC6">
    <w:name w:val="toc 6"/>
    <w:basedOn w:val="Normal"/>
    <w:next w:val="Normal"/>
    <w:autoRedefine/>
    <w:uiPriority w:val="39"/>
    <w:unhideWhenUsed/>
    <w:rsid w:val="00833FA9"/>
    <w:pPr>
      <w:spacing w:after="0"/>
      <w:ind w:left="1200"/>
    </w:pPr>
    <w:rPr>
      <w:sz w:val="18"/>
      <w:szCs w:val="18"/>
    </w:rPr>
  </w:style>
  <w:style w:type="paragraph" w:styleId="TOC7">
    <w:name w:val="toc 7"/>
    <w:basedOn w:val="Normal"/>
    <w:next w:val="Normal"/>
    <w:autoRedefine/>
    <w:uiPriority w:val="39"/>
    <w:unhideWhenUsed/>
    <w:rsid w:val="00833FA9"/>
    <w:pPr>
      <w:spacing w:after="0"/>
      <w:ind w:left="1440"/>
    </w:pPr>
    <w:rPr>
      <w:sz w:val="18"/>
      <w:szCs w:val="18"/>
    </w:rPr>
  </w:style>
  <w:style w:type="paragraph" w:styleId="TOC8">
    <w:name w:val="toc 8"/>
    <w:basedOn w:val="Normal"/>
    <w:next w:val="Normal"/>
    <w:autoRedefine/>
    <w:uiPriority w:val="39"/>
    <w:unhideWhenUsed/>
    <w:rsid w:val="00833FA9"/>
    <w:pPr>
      <w:spacing w:after="0"/>
      <w:ind w:left="1680"/>
    </w:pPr>
    <w:rPr>
      <w:sz w:val="18"/>
      <w:szCs w:val="18"/>
    </w:rPr>
  </w:style>
  <w:style w:type="paragraph" w:styleId="TOC9">
    <w:name w:val="toc 9"/>
    <w:basedOn w:val="Normal"/>
    <w:next w:val="Normal"/>
    <w:autoRedefine/>
    <w:uiPriority w:val="39"/>
    <w:unhideWhenUsed/>
    <w:rsid w:val="00833FA9"/>
    <w:pPr>
      <w:spacing w:after="0"/>
      <w:ind w:left="1920"/>
    </w:pPr>
    <w:rPr>
      <w:sz w:val="18"/>
      <w:szCs w:val="18"/>
    </w:rPr>
  </w:style>
  <w:style w:type="paragraph" w:styleId="Caption">
    <w:name w:val="caption"/>
    <w:basedOn w:val="Normal"/>
    <w:next w:val="Normal"/>
    <w:uiPriority w:val="35"/>
    <w:unhideWhenUsed/>
    <w:qFormat/>
    <w:rsid w:val="001D08AD"/>
    <w:pPr>
      <w:spacing w:after="200" w:line="240" w:lineRule="auto"/>
    </w:pPr>
    <w:rPr>
      <w:i/>
      <w:iCs/>
      <w:color w:val="0E2841" w:themeColor="text2"/>
      <w:sz w:val="18"/>
      <w:szCs w:val="18"/>
    </w:rPr>
  </w:style>
  <w:style w:type="character" w:styleId="Hyperlink">
    <w:name w:val="Hyperlink"/>
    <w:basedOn w:val="DefaultParagraphFont"/>
    <w:uiPriority w:val="99"/>
    <w:unhideWhenUsed/>
    <w:rsid w:val="00833FA9"/>
    <w:rPr>
      <w:color w:val="467886" w:themeColor="hyperlink"/>
      <w:u w:val="single"/>
    </w:rPr>
  </w:style>
  <w:style w:type="table" w:styleId="GridTable3">
    <w:name w:val="Grid Table 3"/>
    <w:basedOn w:val="TableNormal"/>
    <w:uiPriority w:val="48"/>
    <w:rsid w:val="00F3383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ableofFigures">
    <w:name w:val="table of figures"/>
    <w:basedOn w:val="Normal"/>
    <w:next w:val="Normal"/>
    <w:uiPriority w:val="99"/>
    <w:unhideWhenUsed/>
    <w:rsid w:val="005C1011"/>
    <w:pPr>
      <w:spacing w:after="0"/>
      <w:ind w:left="480" w:hanging="480"/>
    </w:pPr>
    <w:rPr>
      <w:b/>
      <w:bCs/>
      <w:sz w:val="20"/>
      <w:szCs w:val="20"/>
    </w:rPr>
  </w:style>
  <w:style w:type="table" w:styleId="ListTable6Colourful">
    <w:name w:val="List Table 6 Colorful"/>
    <w:basedOn w:val="TableNormal"/>
    <w:uiPriority w:val="51"/>
    <w:rsid w:val="00F3383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0D702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564A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i.org/10.110" TargetMode="Externa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6D144-216E-9448-8682-1E62F601F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61</Pages>
  <Words>24867</Words>
  <Characters>141746</Characters>
  <Application>Microsoft Office Word</Application>
  <DocSecurity>0</DocSecurity>
  <Lines>1181</Lines>
  <Paragraphs>332</Paragraphs>
  <ScaleCrop>false</ScaleCrop>
  <Company/>
  <LinksUpToDate>false</LinksUpToDate>
  <CharactersWithSpaces>166281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Begum (2503534)</dc:creator>
  <cp:keywords/>
  <dc:description/>
  <cp:lastModifiedBy>Asma Begum (2503534)</cp:lastModifiedBy>
  <cp:revision>2</cp:revision>
  <dcterms:created xsi:type="dcterms:W3CDTF">2026-09-22T19:32:00Z</dcterms:created>
  <dcterms:modified xsi:type="dcterms:W3CDTF">2026-09-22T19:32:00Z</dcterms:modified>
</cp:coreProperties>
</file>