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41047" w14:textId="101176C5" w:rsidR="00B3233B" w:rsidRDefault="00B3233B" w:rsidP="00B3233B">
      <w:pPr>
        <w:spacing w:after="80"/>
        <w:jc w:val="both"/>
        <w:rPr>
          <w:b/>
          <w:bCs/>
          <w:color w:val="074F6A" w:themeColor="accent4" w:themeShade="80"/>
          <w:sz w:val="36"/>
          <w:szCs w:val="36"/>
          <w:lang w:val="en-GB"/>
        </w:rPr>
      </w:pPr>
      <w:r w:rsidRPr="00503C59">
        <w:rPr>
          <w:rFonts w:asciiTheme="minorHAnsi" w:hAnsiTheme="minorHAnsi"/>
          <w:noProof/>
          <w:lang w:val="en-GB"/>
        </w:rPr>
        <w:drawing>
          <wp:inline distT="0" distB="0" distL="0" distR="0" wp14:anchorId="09062A87" wp14:editId="4C9A310B">
            <wp:extent cx="2266950" cy="866775"/>
            <wp:effectExtent l="0" t="0" r="0" b="0"/>
            <wp:docPr id="294226204" name="drawing" title="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26204" name="Picture 294226204"/>
                    <pic:cNvPicPr/>
                  </pic:nvPicPr>
                  <pic:blipFill>
                    <a:blip r:embed="rId8">
                      <a:extLst>
                        <a:ext uri="{28A0092B-C50C-407E-A947-70E740481C1C}">
                          <a14:useLocalDpi xmlns:a14="http://schemas.microsoft.com/office/drawing/2010/main"/>
                        </a:ext>
                      </a:extLst>
                    </a:blip>
                    <a:stretch>
                      <a:fillRect/>
                    </a:stretch>
                  </pic:blipFill>
                  <pic:spPr>
                    <a:xfrm>
                      <a:off x="0" y="0"/>
                      <a:ext cx="2266950" cy="866775"/>
                    </a:xfrm>
                    <a:prstGeom prst="rect">
                      <a:avLst/>
                    </a:prstGeom>
                  </pic:spPr>
                </pic:pic>
              </a:graphicData>
            </a:graphic>
          </wp:inline>
        </w:drawing>
      </w:r>
    </w:p>
    <w:p w14:paraId="26AE8E2C" w14:textId="77777777" w:rsidR="00B3233B" w:rsidRDefault="00B3233B" w:rsidP="00B3233B">
      <w:pPr>
        <w:spacing w:after="80"/>
        <w:jc w:val="center"/>
        <w:rPr>
          <w:b/>
          <w:bCs/>
          <w:color w:val="074F6A" w:themeColor="accent4" w:themeShade="80"/>
          <w:sz w:val="36"/>
          <w:szCs w:val="36"/>
          <w:lang w:val="en-GB"/>
        </w:rPr>
      </w:pPr>
    </w:p>
    <w:p w14:paraId="45811641" w14:textId="68808D03" w:rsidR="00B3233B" w:rsidRPr="00503C59" w:rsidRDefault="00B3233B" w:rsidP="00B3233B">
      <w:pPr>
        <w:spacing w:after="80"/>
        <w:jc w:val="center"/>
        <w:rPr>
          <w:b/>
          <w:bCs/>
          <w:color w:val="074F6A" w:themeColor="accent4" w:themeShade="80"/>
          <w:sz w:val="36"/>
          <w:szCs w:val="36"/>
          <w:lang w:val="en-GB"/>
        </w:rPr>
      </w:pPr>
      <w:r w:rsidRPr="00503C59">
        <w:rPr>
          <w:b/>
          <w:bCs/>
          <w:color w:val="074F6A" w:themeColor="accent4" w:themeShade="80"/>
          <w:sz w:val="36"/>
          <w:szCs w:val="36"/>
          <w:lang w:val="en-GB"/>
        </w:rPr>
        <w:t>Artificial Intelligence for Credit Risk Assessment</w:t>
      </w:r>
    </w:p>
    <w:p w14:paraId="043FA3B2" w14:textId="77777777" w:rsidR="00B3233B" w:rsidRPr="00503C59" w:rsidRDefault="00B3233B" w:rsidP="00B3233B">
      <w:pPr>
        <w:spacing w:after="80"/>
        <w:jc w:val="center"/>
        <w:rPr>
          <w:rFonts w:asciiTheme="minorHAnsi" w:hAnsiTheme="minorHAnsi"/>
          <w:b/>
          <w:bCs/>
          <w:color w:val="0070C0"/>
          <w:sz w:val="40"/>
          <w:szCs w:val="40"/>
          <w:lang w:val="en-GB"/>
        </w:rPr>
      </w:pPr>
    </w:p>
    <w:p w14:paraId="1877933F" w14:textId="77777777" w:rsidR="00B3233B" w:rsidRPr="00503C59" w:rsidRDefault="00B3233B" w:rsidP="00B3233B">
      <w:pPr>
        <w:spacing w:after="300"/>
        <w:jc w:val="center"/>
        <w:rPr>
          <w:rFonts w:asciiTheme="minorHAnsi" w:hAnsiTheme="minorHAnsi"/>
          <w:color w:val="074F6A" w:themeColor="accent4" w:themeShade="80"/>
          <w:sz w:val="28"/>
          <w:szCs w:val="28"/>
          <w:lang w:val="en-GB"/>
        </w:rPr>
      </w:pPr>
      <w:r w:rsidRPr="00503C59">
        <w:rPr>
          <w:rFonts w:asciiTheme="minorHAnsi" w:hAnsiTheme="minorHAnsi"/>
          <w:b/>
          <w:bCs/>
          <w:i/>
          <w:iCs/>
          <w:color w:val="074F6A" w:themeColor="accent4" w:themeShade="80"/>
          <w:sz w:val="28"/>
          <w:szCs w:val="28"/>
          <w:lang w:val="en-GB"/>
        </w:rPr>
        <w:t>Predicting Loan Default Risk with Logistic Regression and Random Forest</w:t>
      </w:r>
    </w:p>
    <w:p w14:paraId="3E58987A" w14:textId="77777777" w:rsidR="00B3233B" w:rsidRPr="00503C59" w:rsidRDefault="00B3233B" w:rsidP="00B3233B">
      <w:pPr>
        <w:spacing w:before="280" w:after="120"/>
        <w:jc w:val="center"/>
        <w:rPr>
          <w:rFonts w:asciiTheme="minorHAnsi" w:eastAsia="Aptos" w:hAnsiTheme="minorHAnsi" w:cs="Aptos"/>
          <w:b/>
          <w:bCs/>
          <w:color w:val="000000" w:themeColor="text1"/>
          <w:sz w:val="28"/>
          <w:szCs w:val="28"/>
          <w:lang w:val="en-GB"/>
        </w:rPr>
      </w:pPr>
    </w:p>
    <w:p w14:paraId="67DE49D3" w14:textId="77777777" w:rsidR="00B3233B" w:rsidRPr="00503C59" w:rsidRDefault="00B3233B" w:rsidP="00B3233B">
      <w:pPr>
        <w:spacing w:before="280" w:after="120"/>
        <w:ind w:left="720" w:firstLine="720"/>
        <w:rPr>
          <w:rFonts w:asciiTheme="minorHAnsi" w:eastAsia="Aptos" w:hAnsiTheme="minorHAnsi" w:cs="Aptos"/>
          <w:b/>
          <w:bCs/>
          <w:color w:val="000000" w:themeColor="text1"/>
          <w:sz w:val="28"/>
          <w:szCs w:val="28"/>
          <w:lang w:val="en-GB"/>
        </w:rPr>
      </w:pPr>
    </w:p>
    <w:p w14:paraId="55C304C2" w14:textId="77777777" w:rsidR="00B3233B" w:rsidRPr="00503C59" w:rsidRDefault="00B3233B" w:rsidP="00B3233B">
      <w:pPr>
        <w:spacing w:before="280" w:after="120"/>
        <w:ind w:left="1440" w:firstLine="720"/>
        <w:jc w:val="both"/>
        <w:rPr>
          <w:rFonts w:asciiTheme="minorHAnsi" w:eastAsia="Aptos" w:hAnsiTheme="minorHAnsi" w:cs="Aptos"/>
          <w:sz w:val="28"/>
          <w:szCs w:val="28"/>
          <w:lang w:val="en-GB"/>
        </w:rPr>
      </w:pPr>
      <w:r w:rsidRPr="00503C59">
        <w:rPr>
          <w:rFonts w:asciiTheme="minorHAnsi" w:eastAsia="Aptos" w:hAnsiTheme="minorHAnsi" w:cs="Aptos"/>
          <w:b/>
          <w:bCs/>
          <w:color w:val="000000" w:themeColor="text1"/>
          <w:sz w:val="28"/>
          <w:szCs w:val="28"/>
          <w:lang w:val="en-GB"/>
        </w:rPr>
        <w:t xml:space="preserve">Module: ACCA7026 – </w:t>
      </w:r>
      <w:r w:rsidRPr="00503C59">
        <w:rPr>
          <w:rFonts w:asciiTheme="minorHAnsi" w:hAnsiTheme="minorHAnsi" w:cs="Arial"/>
          <w:b/>
          <w:sz w:val="28"/>
          <w:szCs w:val="28"/>
          <w:lang w:val="en-GB"/>
        </w:rPr>
        <w:t>Artificial Intelligence</w:t>
      </w:r>
    </w:p>
    <w:p w14:paraId="359A6FE7" w14:textId="77777777" w:rsidR="00B3233B" w:rsidRPr="00503C59" w:rsidRDefault="00B3233B" w:rsidP="00B3233B">
      <w:pPr>
        <w:spacing w:before="280" w:after="120"/>
        <w:ind w:left="1440" w:firstLine="720"/>
        <w:jc w:val="both"/>
        <w:rPr>
          <w:rFonts w:asciiTheme="minorHAnsi" w:eastAsia="Aptos" w:hAnsiTheme="minorHAnsi" w:cs="Aptos"/>
          <w:b/>
          <w:bCs/>
          <w:color w:val="000000" w:themeColor="text1"/>
          <w:sz w:val="28"/>
          <w:szCs w:val="28"/>
          <w:lang w:val="en-GB"/>
        </w:rPr>
      </w:pPr>
    </w:p>
    <w:p w14:paraId="00C3BA34" w14:textId="77777777" w:rsidR="00B3233B" w:rsidRPr="00503C59" w:rsidRDefault="00B3233B" w:rsidP="00B3233B">
      <w:pPr>
        <w:spacing w:before="280" w:after="120"/>
        <w:ind w:left="2160"/>
        <w:jc w:val="both"/>
        <w:rPr>
          <w:rFonts w:asciiTheme="minorHAnsi" w:eastAsia="Aptos" w:hAnsiTheme="minorHAnsi" w:cs="Aptos"/>
          <w:sz w:val="28"/>
          <w:szCs w:val="28"/>
          <w:lang w:val="en-GB"/>
        </w:rPr>
      </w:pPr>
      <w:r w:rsidRPr="00503C59">
        <w:rPr>
          <w:rFonts w:asciiTheme="minorHAnsi" w:eastAsia="Aptos" w:hAnsiTheme="minorHAnsi" w:cs="Aptos"/>
          <w:b/>
          <w:bCs/>
          <w:color w:val="000000" w:themeColor="text1"/>
          <w:sz w:val="28"/>
          <w:szCs w:val="28"/>
          <w:lang w:val="en-GB"/>
        </w:rPr>
        <w:t xml:space="preserve">    MSc Data and Artificial Intelligence</w:t>
      </w:r>
    </w:p>
    <w:p w14:paraId="6FCB02BA" w14:textId="77777777" w:rsidR="00B3233B" w:rsidRPr="00503C59" w:rsidRDefault="00B3233B" w:rsidP="00B3233B">
      <w:pPr>
        <w:spacing w:before="280" w:after="120"/>
        <w:rPr>
          <w:rFonts w:asciiTheme="minorHAnsi" w:eastAsia="Aptos" w:hAnsiTheme="minorHAnsi" w:cs="Aptos"/>
          <w:color w:val="000000" w:themeColor="text1"/>
          <w:sz w:val="28"/>
          <w:szCs w:val="28"/>
          <w:lang w:val="en-GB"/>
        </w:rPr>
      </w:pPr>
    </w:p>
    <w:p w14:paraId="5A348F5C" w14:textId="77777777" w:rsidR="00B3233B" w:rsidRPr="00503C59" w:rsidRDefault="00B3233B" w:rsidP="00B3233B">
      <w:pPr>
        <w:spacing w:before="280" w:after="120"/>
        <w:ind w:left="1440" w:firstLine="720"/>
        <w:rPr>
          <w:rFonts w:asciiTheme="minorHAnsi" w:eastAsia="Aptos" w:hAnsiTheme="minorHAnsi" w:cs="Aptos"/>
          <w:color w:val="000000" w:themeColor="text1"/>
          <w:sz w:val="28"/>
          <w:szCs w:val="28"/>
          <w:lang w:val="en-GB"/>
        </w:rPr>
      </w:pPr>
      <w:r w:rsidRPr="00503C59">
        <w:rPr>
          <w:rFonts w:asciiTheme="minorHAnsi" w:eastAsia="Aptos" w:hAnsiTheme="minorHAnsi" w:cs="Aptos"/>
          <w:b/>
          <w:bCs/>
          <w:color w:val="000000" w:themeColor="text1"/>
          <w:sz w:val="28"/>
          <w:szCs w:val="28"/>
          <w:lang w:val="en-GB"/>
        </w:rPr>
        <w:t xml:space="preserve">University of Wales Trinity Saint David </w:t>
      </w:r>
    </w:p>
    <w:p w14:paraId="2D6C901E" w14:textId="77777777" w:rsidR="00B3233B" w:rsidRPr="00503C59" w:rsidRDefault="00B3233B" w:rsidP="00B3233B">
      <w:pPr>
        <w:spacing w:before="280" w:after="120"/>
        <w:jc w:val="center"/>
        <w:rPr>
          <w:rFonts w:asciiTheme="minorHAnsi" w:eastAsia="Aptos" w:hAnsiTheme="minorHAnsi" w:cs="Aptos"/>
          <w:color w:val="000000" w:themeColor="text1"/>
          <w:sz w:val="28"/>
          <w:szCs w:val="28"/>
          <w:lang w:val="en-GB"/>
        </w:rPr>
      </w:pPr>
    </w:p>
    <w:p w14:paraId="38E1A49E" w14:textId="77777777" w:rsidR="00B3233B" w:rsidRPr="00503C59" w:rsidRDefault="00B3233B" w:rsidP="00B3233B">
      <w:pPr>
        <w:spacing w:before="280" w:after="120"/>
        <w:ind w:left="2160" w:firstLine="720"/>
        <w:rPr>
          <w:rFonts w:asciiTheme="minorHAnsi" w:eastAsia="Aptos" w:hAnsiTheme="minorHAnsi" w:cs="Aptos"/>
          <w:color w:val="000000" w:themeColor="text1"/>
          <w:sz w:val="28"/>
          <w:szCs w:val="28"/>
          <w:lang w:val="en-GB"/>
        </w:rPr>
      </w:pPr>
      <w:r w:rsidRPr="00503C59">
        <w:rPr>
          <w:rFonts w:asciiTheme="minorHAnsi" w:eastAsia="Aptos" w:hAnsiTheme="minorHAnsi" w:cs="Aptos"/>
          <w:b/>
          <w:bCs/>
          <w:color w:val="000000" w:themeColor="text1"/>
          <w:sz w:val="28"/>
          <w:szCs w:val="28"/>
          <w:lang w:val="en-GB"/>
        </w:rPr>
        <w:t xml:space="preserve">Lecturer: </w:t>
      </w:r>
      <w:r w:rsidRPr="00503C59">
        <w:rPr>
          <w:rFonts w:asciiTheme="minorHAnsi" w:hAnsiTheme="minorHAnsi" w:cs="Arial"/>
          <w:b/>
          <w:sz w:val="28"/>
          <w:szCs w:val="28"/>
          <w:lang w:val="en-GB"/>
        </w:rPr>
        <w:t>Malik Mehmoud</w:t>
      </w:r>
    </w:p>
    <w:p w14:paraId="43751372" w14:textId="77777777" w:rsidR="00B3233B" w:rsidRPr="00503C59" w:rsidRDefault="00B3233B" w:rsidP="00B3233B">
      <w:pPr>
        <w:spacing w:before="280" w:after="120"/>
        <w:rPr>
          <w:rFonts w:asciiTheme="minorHAnsi" w:eastAsia="Aptos" w:hAnsiTheme="minorHAnsi" w:cs="Aptos"/>
          <w:color w:val="000000" w:themeColor="text1"/>
          <w:lang w:val="en-GB"/>
        </w:rPr>
      </w:pPr>
    </w:p>
    <w:p w14:paraId="7D77D247" w14:textId="77777777" w:rsidR="00B3233B" w:rsidRPr="00503C59" w:rsidRDefault="00B3233B" w:rsidP="00B3233B">
      <w:pPr>
        <w:spacing w:before="280" w:after="120"/>
        <w:ind w:left="2160" w:firstLine="720"/>
        <w:rPr>
          <w:rFonts w:asciiTheme="minorHAnsi" w:hAnsiTheme="minorHAnsi" w:cs="Arial"/>
          <w:b/>
          <w:sz w:val="28"/>
          <w:szCs w:val="28"/>
          <w:lang w:val="en-GB"/>
        </w:rPr>
      </w:pPr>
      <w:r w:rsidRPr="00503C59">
        <w:rPr>
          <w:rFonts w:asciiTheme="minorHAnsi" w:eastAsia="Aptos" w:hAnsiTheme="minorHAnsi" w:cs="Aptos"/>
          <w:b/>
          <w:bCs/>
          <w:color w:val="000000" w:themeColor="text1"/>
          <w:sz w:val="28"/>
          <w:szCs w:val="28"/>
          <w:lang w:val="en-GB"/>
        </w:rPr>
        <w:t>ASSIGNMENT-</w:t>
      </w:r>
      <w:r w:rsidRPr="00503C59">
        <w:rPr>
          <w:rFonts w:asciiTheme="minorHAnsi" w:hAnsiTheme="minorHAnsi" w:cs="Arial"/>
          <w:b/>
          <w:sz w:val="28"/>
          <w:szCs w:val="28"/>
          <w:lang w:val="en-GB"/>
        </w:rPr>
        <w:t xml:space="preserve"> ML Model</w:t>
      </w:r>
    </w:p>
    <w:p w14:paraId="78CAF423" w14:textId="77777777" w:rsidR="00B3233B" w:rsidRPr="00503C59" w:rsidRDefault="00B3233B" w:rsidP="00B3233B">
      <w:pPr>
        <w:spacing w:before="280" w:after="120"/>
        <w:ind w:left="2880" w:firstLine="720"/>
        <w:rPr>
          <w:rFonts w:asciiTheme="minorHAnsi" w:eastAsia="Aptos" w:hAnsiTheme="minorHAnsi" w:cs="Aptos"/>
          <w:color w:val="000000" w:themeColor="text1"/>
          <w:sz w:val="28"/>
          <w:szCs w:val="28"/>
          <w:lang w:val="en-GB"/>
        </w:rPr>
      </w:pPr>
    </w:p>
    <w:p w14:paraId="1D04D6C8" w14:textId="32190934" w:rsidR="00B3233B" w:rsidRPr="00503C59" w:rsidRDefault="00B3233B" w:rsidP="00B3233B">
      <w:pPr>
        <w:spacing w:before="280" w:after="120"/>
        <w:ind w:left="2160"/>
        <w:rPr>
          <w:rFonts w:asciiTheme="minorHAnsi" w:eastAsia="Aptos" w:hAnsiTheme="minorHAnsi" w:cs="Aptos"/>
          <w:color w:val="000000" w:themeColor="text1"/>
          <w:sz w:val="28"/>
          <w:szCs w:val="28"/>
          <w:lang w:val="en-GB"/>
        </w:rPr>
      </w:pPr>
      <w:r w:rsidRPr="00503C59">
        <w:rPr>
          <w:rFonts w:asciiTheme="minorHAnsi" w:eastAsia="Aptos" w:hAnsiTheme="minorHAnsi" w:cs="Aptos"/>
          <w:b/>
          <w:bCs/>
          <w:color w:val="000000" w:themeColor="text1"/>
          <w:sz w:val="28"/>
          <w:szCs w:val="28"/>
          <w:lang w:val="en-GB"/>
        </w:rPr>
        <w:t xml:space="preserve">      STUDENT NAME: VIVEK NELAPATI</w:t>
      </w:r>
    </w:p>
    <w:p w14:paraId="5DB07811" w14:textId="07849CAF" w:rsidR="00B3233B" w:rsidRPr="00503C59" w:rsidRDefault="00B3233B" w:rsidP="00B3233B">
      <w:pPr>
        <w:spacing w:before="280" w:after="120"/>
        <w:ind w:left="2160"/>
        <w:rPr>
          <w:rFonts w:asciiTheme="minorHAnsi" w:hAnsiTheme="minorHAnsi"/>
          <w:lang w:val="en-GB"/>
        </w:rPr>
      </w:pPr>
      <w:r w:rsidRPr="00503C59">
        <w:rPr>
          <w:rFonts w:asciiTheme="minorHAnsi" w:eastAsia="Aptos" w:hAnsiTheme="minorHAnsi" w:cs="Aptos"/>
          <w:color w:val="000000" w:themeColor="text1"/>
          <w:sz w:val="28"/>
          <w:szCs w:val="28"/>
          <w:lang w:val="en-GB"/>
        </w:rPr>
        <w:t xml:space="preserve">      </w:t>
      </w:r>
      <w:r w:rsidRPr="00503C59">
        <w:rPr>
          <w:rFonts w:asciiTheme="minorHAnsi" w:eastAsia="Aptos" w:hAnsiTheme="minorHAnsi" w:cs="Aptos"/>
          <w:b/>
          <w:bCs/>
          <w:color w:val="000000" w:themeColor="text1"/>
          <w:sz w:val="28"/>
          <w:szCs w:val="28"/>
          <w:lang w:val="en-GB"/>
        </w:rPr>
        <w:t>STUDENT ID NUMBER: 2511594</w:t>
      </w:r>
      <w:r w:rsidRPr="00503C59">
        <w:rPr>
          <w:rFonts w:asciiTheme="minorHAnsi" w:hAnsiTheme="minorHAnsi"/>
          <w:b/>
          <w:bCs/>
          <w:color w:val="1F3864"/>
          <w:sz w:val="40"/>
          <w:szCs w:val="40"/>
          <w:lang w:val="en-GB"/>
        </w:rPr>
        <w:t xml:space="preserve"> </w:t>
      </w:r>
    </w:p>
    <w:p w14:paraId="028FEAB8" w14:textId="77777777" w:rsidR="00B3233B" w:rsidRDefault="00B3233B">
      <w:pPr>
        <w:pStyle w:val="Heading1"/>
        <w:spacing w:before="320" w:after="160"/>
        <w:rPr>
          <w:b/>
          <w:bCs/>
          <w:sz w:val="24"/>
          <w:szCs w:val="24"/>
        </w:rPr>
      </w:pPr>
    </w:p>
    <w:p w14:paraId="4A8EF298" w14:textId="77777777" w:rsidR="00B3233B" w:rsidRDefault="00B3233B">
      <w:pPr>
        <w:pStyle w:val="Heading1"/>
        <w:spacing w:before="320" w:after="160"/>
        <w:rPr>
          <w:b/>
          <w:bCs/>
          <w:sz w:val="24"/>
          <w:szCs w:val="24"/>
        </w:rPr>
      </w:pPr>
    </w:p>
    <w:sdt>
      <w:sdtPr>
        <w:rPr>
          <w:rFonts w:ascii="Calibri" w:eastAsia="Calibri" w:hAnsi="Calibri" w:cs="Calibri"/>
          <w:color w:val="auto"/>
          <w:sz w:val="22"/>
          <w:szCs w:val="22"/>
          <w:lang w:val="en-IN" w:eastAsia="en-IN"/>
        </w:rPr>
        <w:id w:val="466082981"/>
        <w:docPartObj>
          <w:docPartGallery w:val="Table of Contents"/>
          <w:docPartUnique/>
        </w:docPartObj>
      </w:sdtPr>
      <w:sdtEndPr>
        <w:rPr>
          <w:b/>
          <w:bCs/>
          <w:noProof/>
        </w:rPr>
      </w:sdtEndPr>
      <w:sdtContent>
        <w:p w14:paraId="2E89E59C" w14:textId="3A41EB10" w:rsidR="002E036B" w:rsidRPr="00457251" w:rsidRDefault="002E036B">
          <w:pPr>
            <w:pStyle w:val="TOCHeading"/>
            <w:rPr>
              <w:sz w:val="28"/>
              <w:szCs w:val="28"/>
            </w:rPr>
          </w:pPr>
          <w:r w:rsidRPr="00457251">
            <w:rPr>
              <w:sz w:val="28"/>
              <w:szCs w:val="28"/>
            </w:rPr>
            <w:t>Contents</w:t>
          </w:r>
        </w:p>
        <w:p w14:paraId="5E7C8348" w14:textId="7D6E0930" w:rsidR="00457251" w:rsidRDefault="002E036B">
          <w:pPr>
            <w:pStyle w:val="TOC1"/>
            <w:tabs>
              <w:tab w:val="right" w:leader="dot" w:pos="9710"/>
            </w:tabs>
            <w:rPr>
              <w:rFonts w:asciiTheme="minorHAnsi" w:eastAsiaTheme="minorEastAsia" w:hAnsiTheme="minorHAnsi" w:cstheme="minorBidi"/>
              <w:noProof/>
              <w:kern w:val="2"/>
              <w:sz w:val="24"/>
              <w:szCs w:val="24"/>
              <w14:ligatures w14:val="standardContextual"/>
            </w:rPr>
          </w:pPr>
          <w:r w:rsidRPr="00457251">
            <w:rPr>
              <w:sz w:val="28"/>
              <w:szCs w:val="28"/>
            </w:rPr>
            <w:fldChar w:fldCharType="begin"/>
          </w:r>
          <w:r w:rsidRPr="00457251">
            <w:rPr>
              <w:sz w:val="28"/>
              <w:szCs w:val="28"/>
            </w:rPr>
            <w:instrText xml:space="preserve"> TOC \o "1-3" \h \z \u </w:instrText>
          </w:r>
          <w:r w:rsidRPr="00457251">
            <w:rPr>
              <w:sz w:val="28"/>
              <w:szCs w:val="28"/>
            </w:rPr>
            <w:fldChar w:fldCharType="separate"/>
          </w:r>
          <w:hyperlink w:anchor="_Toc236009718" w:history="1">
            <w:r w:rsidR="00457251" w:rsidRPr="00736392">
              <w:rPr>
                <w:rStyle w:val="Hyperlink"/>
                <w:b/>
                <w:bCs/>
                <w:noProof/>
              </w:rPr>
              <w:t>Abstract:</w:t>
            </w:r>
            <w:r w:rsidR="00457251">
              <w:rPr>
                <w:noProof/>
                <w:webHidden/>
              </w:rPr>
              <w:tab/>
            </w:r>
            <w:r w:rsidR="00457251">
              <w:rPr>
                <w:noProof/>
                <w:webHidden/>
              </w:rPr>
              <w:fldChar w:fldCharType="begin"/>
            </w:r>
            <w:r w:rsidR="00457251">
              <w:rPr>
                <w:noProof/>
                <w:webHidden/>
              </w:rPr>
              <w:instrText xml:space="preserve"> PAGEREF _Toc236009718 \h </w:instrText>
            </w:r>
            <w:r w:rsidR="00457251">
              <w:rPr>
                <w:noProof/>
                <w:webHidden/>
              </w:rPr>
            </w:r>
            <w:r w:rsidR="00457251">
              <w:rPr>
                <w:noProof/>
                <w:webHidden/>
              </w:rPr>
              <w:fldChar w:fldCharType="separate"/>
            </w:r>
            <w:r w:rsidR="00457251">
              <w:rPr>
                <w:noProof/>
                <w:webHidden/>
              </w:rPr>
              <w:t>2</w:t>
            </w:r>
            <w:r w:rsidR="00457251">
              <w:rPr>
                <w:noProof/>
                <w:webHidden/>
              </w:rPr>
              <w:fldChar w:fldCharType="end"/>
            </w:r>
          </w:hyperlink>
        </w:p>
        <w:p w14:paraId="69C5500C" w14:textId="61778FFB" w:rsidR="00457251" w:rsidRDefault="00457251">
          <w:pPr>
            <w:pStyle w:val="TOC1"/>
            <w:tabs>
              <w:tab w:val="right" w:leader="dot" w:pos="9710"/>
            </w:tabs>
            <w:rPr>
              <w:rFonts w:asciiTheme="minorHAnsi" w:eastAsiaTheme="minorEastAsia" w:hAnsiTheme="minorHAnsi" w:cstheme="minorBidi"/>
              <w:noProof/>
              <w:kern w:val="2"/>
              <w:sz w:val="24"/>
              <w:szCs w:val="24"/>
              <w14:ligatures w14:val="standardContextual"/>
            </w:rPr>
          </w:pPr>
          <w:hyperlink w:anchor="_Toc236009719" w:history="1">
            <w:r w:rsidRPr="00736392">
              <w:rPr>
                <w:rStyle w:val="Hyperlink"/>
                <w:b/>
                <w:bCs/>
                <w:noProof/>
              </w:rPr>
              <w:t>1. Introduction and Problem Statement:</w:t>
            </w:r>
            <w:r>
              <w:rPr>
                <w:noProof/>
                <w:webHidden/>
              </w:rPr>
              <w:tab/>
            </w:r>
            <w:r>
              <w:rPr>
                <w:noProof/>
                <w:webHidden/>
              </w:rPr>
              <w:fldChar w:fldCharType="begin"/>
            </w:r>
            <w:r>
              <w:rPr>
                <w:noProof/>
                <w:webHidden/>
              </w:rPr>
              <w:instrText xml:space="preserve"> PAGEREF _Toc236009719 \h </w:instrText>
            </w:r>
            <w:r>
              <w:rPr>
                <w:noProof/>
                <w:webHidden/>
              </w:rPr>
            </w:r>
            <w:r>
              <w:rPr>
                <w:noProof/>
                <w:webHidden/>
              </w:rPr>
              <w:fldChar w:fldCharType="separate"/>
            </w:r>
            <w:r>
              <w:rPr>
                <w:noProof/>
                <w:webHidden/>
              </w:rPr>
              <w:t>3</w:t>
            </w:r>
            <w:r>
              <w:rPr>
                <w:noProof/>
                <w:webHidden/>
              </w:rPr>
              <w:fldChar w:fldCharType="end"/>
            </w:r>
          </w:hyperlink>
        </w:p>
        <w:p w14:paraId="519CD5F8" w14:textId="7665667A" w:rsidR="00457251" w:rsidRDefault="00457251">
          <w:pPr>
            <w:pStyle w:val="TOC1"/>
            <w:tabs>
              <w:tab w:val="right" w:leader="dot" w:pos="9710"/>
            </w:tabs>
            <w:rPr>
              <w:rFonts w:asciiTheme="minorHAnsi" w:eastAsiaTheme="minorEastAsia" w:hAnsiTheme="minorHAnsi" w:cstheme="minorBidi"/>
              <w:noProof/>
              <w:kern w:val="2"/>
              <w:sz w:val="24"/>
              <w:szCs w:val="24"/>
              <w14:ligatures w14:val="standardContextual"/>
            </w:rPr>
          </w:pPr>
          <w:hyperlink w:anchor="_Toc236009720" w:history="1">
            <w:r w:rsidRPr="00736392">
              <w:rPr>
                <w:rStyle w:val="Hyperlink"/>
                <w:b/>
                <w:bCs/>
                <w:noProof/>
              </w:rPr>
              <w:t>2. Methodology</w:t>
            </w:r>
            <w:r>
              <w:rPr>
                <w:noProof/>
                <w:webHidden/>
              </w:rPr>
              <w:tab/>
            </w:r>
            <w:r>
              <w:rPr>
                <w:noProof/>
                <w:webHidden/>
              </w:rPr>
              <w:fldChar w:fldCharType="begin"/>
            </w:r>
            <w:r>
              <w:rPr>
                <w:noProof/>
                <w:webHidden/>
              </w:rPr>
              <w:instrText xml:space="preserve"> PAGEREF _Toc236009720 \h </w:instrText>
            </w:r>
            <w:r>
              <w:rPr>
                <w:noProof/>
                <w:webHidden/>
              </w:rPr>
            </w:r>
            <w:r>
              <w:rPr>
                <w:noProof/>
                <w:webHidden/>
              </w:rPr>
              <w:fldChar w:fldCharType="separate"/>
            </w:r>
            <w:r>
              <w:rPr>
                <w:noProof/>
                <w:webHidden/>
              </w:rPr>
              <w:t>4</w:t>
            </w:r>
            <w:r>
              <w:rPr>
                <w:noProof/>
                <w:webHidden/>
              </w:rPr>
              <w:fldChar w:fldCharType="end"/>
            </w:r>
          </w:hyperlink>
        </w:p>
        <w:p w14:paraId="08C95D5E" w14:textId="04A3753E" w:rsidR="00457251" w:rsidRDefault="00457251">
          <w:pPr>
            <w:pStyle w:val="TOC2"/>
            <w:tabs>
              <w:tab w:val="right" w:leader="dot" w:pos="9710"/>
            </w:tabs>
            <w:rPr>
              <w:rFonts w:asciiTheme="minorHAnsi" w:eastAsiaTheme="minorEastAsia" w:hAnsiTheme="minorHAnsi" w:cstheme="minorBidi"/>
              <w:noProof/>
              <w:kern w:val="2"/>
              <w:sz w:val="24"/>
              <w:szCs w:val="24"/>
              <w14:ligatures w14:val="standardContextual"/>
            </w:rPr>
          </w:pPr>
          <w:hyperlink w:anchor="_Toc236009721" w:history="1">
            <w:r w:rsidRPr="00736392">
              <w:rPr>
                <w:rStyle w:val="Hyperlink"/>
                <w:b/>
                <w:bCs/>
                <w:noProof/>
              </w:rPr>
              <w:t>2.1 Data Preparation:</w:t>
            </w:r>
            <w:r>
              <w:rPr>
                <w:noProof/>
                <w:webHidden/>
              </w:rPr>
              <w:tab/>
            </w:r>
            <w:r>
              <w:rPr>
                <w:noProof/>
                <w:webHidden/>
              </w:rPr>
              <w:fldChar w:fldCharType="begin"/>
            </w:r>
            <w:r>
              <w:rPr>
                <w:noProof/>
                <w:webHidden/>
              </w:rPr>
              <w:instrText xml:space="preserve"> PAGEREF _Toc236009721 \h </w:instrText>
            </w:r>
            <w:r>
              <w:rPr>
                <w:noProof/>
                <w:webHidden/>
              </w:rPr>
            </w:r>
            <w:r>
              <w:rPr>
                <w:noProof/>
                <w:webHidden/>
              </w:rPr>
              <w:fldChar w:fldCharType="separate"/>
            </w:r>
            <w:r>
              <w:rPr>
                <w:noProof/>
                <w:webHidden/>
              </w:rPr>
              <w:t>4</w:t>
            </w:r>
            <w:r>
              <w:rPr>
                <w:noProof/>
                <w:webHidden/>
              </w:rPr>
              <w:fldChar w:fldCharType="end"/>
            </w:r>
          </w:hyperlink>
        </w:p>
        <w:p w14:paraId="300FA38F" w14:textId="533C4BBF" w:rsidR="00457251" w:rsidRDefault="00457251">
          <w:pPr>
            <w:pStyle w:val="TOC3"/>
            <w:tabs>
              <w:tab w:val="right" w:leader="dot" w:pos="9710"/>
            </w:tabs>
            <w:rPr>
              <w:rFonts w:asciiTheme="minorHAnsi" w:eastAsiaTheme="minorEastAsia" w:hAnsiTheme="minorHAnsi" w:cstheme="minorBidi"/>
              <w:noProof/>
              <w:kern w:val="2"/>
              <w:sz w:val="24"/>
              <w:szCs w:val="24"/>
              <w14:ligatures w14:val="standardContextual"/>
            </w:rPr>
          </w:pPr>
          <w:hyperlink w:anchor="_Toc236009722" w:history="1">
            <w:r w:rsidRPr="00736392">
              <w:rPr>
                <w:rStyle w:val="Hyperlink"/>
                <w:noProof/>
              </w:rPr>
              <w:t>Figure 1: Class balance of the delinquency-risk proxy target (positive rate = 1.78%).</w:t>
            </w:r>
            <w:r>
              <w:rPr>
                <w:noProof/>
                <w:webHidden/>
              </w:rPr>
              <w:tab/>
            </w:r>
            <w:r>
              <w:rPr>
                <w:noProof/>
                <w:webHidden/>
              </w:rPr>
              <w:fldChar w:fldCharType="begin"/>
            </w:r>
            <w:r>
              <w:rPr>
                <w:noProof/>
                <w:webHidden/>
              </w:rPr>
              <w:instrText xml:space="preserve"> PAGEREF _Toc236009722 \h </w:instrText>
            </w:r>
            <w:r>
              <w:rPr>
                <w:noProof/>
                <w:webHidden/>
              </w:rPr>
            </w:r>
            <w:r>
              <w:rPr>
                <w:noProof/>
                <w:webHidden/>
              </w:rPr>
              <w:fldChar w:fldCharType="separate"/>
            </w:r>
            <w:r>
              <w:rPr>
                <w:noProof/>
                <w:webHidden/>
              </w:rPr>
              <w:t>5</w:t>
            </w:r>
            <w:r>
              <w:rPr>
                <w:noProof/>
                <w:webHidden/>
              </w:rPr>
              <w:fldChar w:fldCharType="end"/>
            </w:r>
          </w:hyperlink>
        </w:p>
        <w:p w14:paraId="63027891" w14:textId="77225497" w:rsidR="00457251" w:rsidRDefault="00457251">
          <w:pPr>
            <w:pStyle w:val="TOC3"/>
            <w:tabs>
              <w:tab w:val="right" w:leader="dot" w:pos="9710"/>
            </w:tabs>
            <w:rPr>
              <w:rFonts w:asciiTheme="minorHAnsi" w:eastAsiaTheme="minorEastAsia" w:hAnsiTheme="minorHAnsi" w:cstheme="minorBidi"/>
              <w:noProof/>
              <w:kern w:val="2"/>
              <w:sz w:val="24"/>
              <w:szCs w:val="24"/>
              <w14:ligatures w14:val="standardContextual"/>
            </w:rPr>
          </w:pPr>
          <w:hyperlink w:anchor="_Toc236009723" w:history="1">
            <w:r w:rsidRPr="00736392">
              <w:rPr>
                <w:rStyle w:val="Hyperlink"/>
                <w:noProof/>
              </w:rPr>
              <w:t>Figure 2: Pearson correlations of the top 15 numerical features with the default proxy target.</w:t>
            </w:r>
            <w:r>
              <w:rPr>
                <w:noProof/>
                <w:webHidden/>
              </w:rPr>
              <w:tab/>
            </w:r>
            <w:r>
              <w:rPr>
                <w:noProof/>
                <w:webHidden/>
              </w:rPr>
              <w:fldChar w:fldCharType="begin"/>
            </w:r>
            <w:r>
              <w:rPr>
                <w:noProof/>
                <w:webHidden/>
              </w:rPr>
              <w:instrText xml:space="preserve"> PAGEREF _Toc236009723 \h </w:instrText>
            </w:r>
            <w:r>
              <w:rPr>
                <w:noProof/>
                <w:webHidden/>
              </w:rPr>
            </w:r>
            <w:r>
              <w:rPr>
                <w:noProof/>
                <w:webHidden/>
              </w:rPr>
              <w:fldChar w:fldCharType="separate"/>
            </w:r>
            <w:r>
              <w:rPr>
                <w:noProof/>
                <w:webHidden/>
              </w:rPr>
              <w:t>6</w:t>
            </w:r>
            <w:r>
              <w:rPr>
                <w:noProof/>
                <w:webHidden/>
              </w:rPr>
              <w:fldChar w:fldCharType="end"/>
            </w:r>
          </w:hyperlink>
        </w:p>
        <w:p w14:paraId="70D847C9" w14:textId="4AD6908C" w:rsidR="00457251" w:rsidRDefault="00457251">
          <w:pPr>
            <w:pStyle w:val="TOC2"/>
            <w:tabs>
              <w:tab w:val="right" w:leader="dot" w:pos="9710"/>
            </w:tabs>
            <w:rPr>
              <w:rFonts w:asciiTheme="minorHAnsi" w:eastAsiaTheme="minorEastAsia" w:hAnsiTheme="minorHAnsi" w:cstheme="minorBidi"/>
              <w:noProof/>
              <w:kern w:val="2"/>
              <w:sz w:val="24"/>
              <w:szCs w:val="24"/>
              <w14:ligatures w14:val="standardContextual"/>
            </w:rPr>
          </w:pPr>
          <w:hyperlink w:anchor="_Toc236009724" w:history="1">
            <w:r w:rsidRPr="00736392">
              <w:rPr>
                <w:rStyle w:val="Hyperlink"/>
                <w:b/>
                <w:bCs/>
                <w:noProof/>
              </w:rPr>
              <w:t>2.2 Algorithms and Pipeline Design:</w:t>
            </w:r>
            <w:r>
              <w:rPr>
                <w:noProof/>
                <w:webHidden/>
              </w:rPr>
              <w:tab/>
            </w:r>
            <w:r>
              <w:rPr>
                <w:noProof/>
                <w:webHidden/>
              </w:rPr>
              <w:fldChar w:fldCharType="begin"/>
            </w:r>
            <w:r>
              <w:rPr>
                <w:noProof/>
                <w:webHidden/>
              </w:rPr>
              <w:instrText xml:space="preserve"> PAGEREF _Toc236009724 \h </w:instrText>
            </w:r>
            <w:r>
              <w:rPr>
                <w:noProof/>
                <w:webHidden/>
              </w:rPr>
            </w:r>
            <w:r>
              <w:rPr>
                <w:noProof/>
                <w:webHidden/>
              </w:rPr>
              <w:fldChar w:fldCharType="separate"/>
            </w:r>
            <w:r>
              <w:rPr>
                <w:noProof/>
                <w:webHidden/>
              </w:rPr>
              <w:t>6</w:t>
            </w:r>
            <w:r>
              <w:rPr>
                <w:noProof/>
                <w:webHidden/>
              </w:rPr>
              <w:fldChar w:fldCharType="end"/>
            </w:r>
          </w:hyperlink>
        </w:p>
        <w:p w14:paraId="3446E68D" w14:textId="19E113F9" w:rsidR="00457251" w:rsidRDefault="00457251">
          <w:pPr>
            <w:pStyle w:val="TOC1"/>
            <w:tabs>
              <w:tab w:val="right" w:leader="dot" w:pos="9710"/>
            </w:tabs>
            <w:rPr>
              <w:rFonts w:asciiTheme="minorHAnsi" w:eastAsiaTheme="minorEastAsia" w:hAnsiTheme="minorHAnsi" w:cstheme="minorBidi"/>
              <w:noProof/>
              <w:kern w:val="2"/>
              <w:sz w:val="24"/>
              <w:szCs w:val="24"/>
              <w14:ligatures w14:val="standardContextual"/>
            </w:rPr>
          </w:pPr>
          <w:hyperlink w:anchor="_Toc236009725" w:history="1">
            <w:r w:rsidRPr="00736392">
              <w:rPr>
                <w:rStyle w:val="Hyperlink"/>
                <w:b/>
                <w:bCs/>
                <w:noProof/>
              </w:rPr>
              <w:t>3. Experiments and Results:</w:t>
            </w:r>
            <w:r>
              <w:rPr>
                <w:noProof/>
                <w:webHidden/>
              </w:rPr>
              <w:tab/>
            </w:r>
            <w:r>
              <w:rPr>
                <w:noProof/>
                <w:webHidden/>
              </w:rPr>
              <w:fldChar w:fldCharType="begin"/>
            </w:r>
            <w:r>
              <w:rPr>
                <w:noProof/>
                <w:webHidden/>
              </w:rPr>
              <w:instrText xml:space="preserve"> PAGEREF _Toc236009725 \h </w:instrText>
            </w:r>
            <w:r>
              <w:rPr>
                <w:noProof/>
                <w:webHidden/>
              </w:rPr>
            </w:r>
            <w:r>
              <w:rPr>
                <w:noProof/>
                <w:webHidden/>
              </w:rPr>
              <w:fldChar w:fldCharType="separate"/>
            </w:r>
            <w:r>
              <w:rPr>
                <w:noProof/>
                <w:webHidden/>
              </w:rPr>
              <w:t>8</w:t>
            </w:r>
            <w:r>
              <w:rPr>
                <w:noProof/>
                <w:webHidden/>
              </w:rPr>
              <w:fldChar w:fldCharType="end"/>
            </w:r>
          </w:hyperlink>
        </w:p>
        <w:p w14:paraId="1F0784DE" w14:textId="154FC4AF" w:rsidR="00457251" w:rsidRDefault="00457251">
          <w:pPr>
            <w:pStyle w:val="TOC3"/>
            <w:tabs>
              <w:tab w:val="right" w:leader="dot" w:pos="9710"/>
            </w:tabs>
            <w:rPr>
              <w:rFonts w:asciiTheme="minorHAnsi" w:eastAsiaTheme="minorEastAsia" w:hAnsiTheme="minorHAnsi" w:cstheme="minorBidi"/>
              <w:noProof/>
              <w:kern w:val="2"/>
              <w:sz w:val="24"/>
              <w:szCs w:val="24"/>
              <w14:ligatures w14:val="standardContextual"/>
            </w:rPr>
          </w:pPr>
          <w:hyperlink w:anchor="_Toc236009726" w:history="1">
            <w:r w:rsidRPr="00736392">
              <w:rPr>
                <w:rStyle w:val="Hyperlink"/>
                <w:noProof/>
              </w:rPr>
              <w:t>Figure 3: Precision-Recall and ROC curves for random forest and logistic regression.</w:t>
            </w:r>
            <w:r>
              <w:rPr>
                <w:noProof/>
                <w:webHidden/>
              </w:rPr>
              <w:tab/>
            </w:r>
            <w:r>
              <w:rPr>
                <w:noProof/>
                <w:webHidden/>
              </w:rPr>
              <w:fldChar w:fldCharType="begin"/>
            </w:r>
            <w:r>
              <w:rPr>
                <w:noProof/>
                <w:webHidden/>
              </w:rPr>
              <w:instrText xml:space="preserve"> PAGEREF _Toc236009726 \h </w:instrText>
            </w:r>
            <w:r>
              <w:rPr>
                <w:noProof/>
                <w:webHidden/>
              </w:rPr>
            </w:r>
            <w:r>
              <w:rPr>
                <w:noProof/>
                <w:webHidden/>
              </w:rPr>
              <w:fldChar w:fldCharType="separate"/>
            </w:r>
            <w:r>
              <w:rPr>
                <w:noProof/>
                <w:webHidden/>
              </w:rPr>
              <w:t>9</w:t>
            </w:r>
            <w:r>
              <w:rPr>
                <w:noProof/>
                <w:webHidden/>
              </w:rPr>
              <w:fldChar w:fldCharType="end"/>
            </w:r>
          </w:hyperlink>
        </w:p>
        <w:p w14:paraId="7E8103B9" w14:textId="1DF19C27" w:rsidR="00457251" w:rsidRDefault="00457251">
          <w:pPr>
            <w:pStyle w:val="TOC3"/>
            <w:tabs>
              <w:tab w:val="right" w:leader="dot" w:pos="9710"/>
            </w:tabs>
            <w:rPr>
              <w:rFonts w:asciiTheme="minorHAnsi" w:eastAsiaTheme="minorEastAsia" w:hAnsiTheme="minorHAnsi" w:cstheme="minorBidi"/>
              <w:noProof/>
              <w:kern w:val="2"/>
              <w:sz w:val="24"/>
              <w:szCs w:val="24"/>
              <w14:ligatures w14:val="standardContextual"/>
            </w:rPr>
          </w:pPr>
          <w:hyperlink w:anchor="_Toc236009727" w:history="1">
            <w:r w:rsidRPr="00736392">
              <w:rPr>
                <w:rStyle w:val="Hyperlink"/>
                <w:noProof/>
              </w:rPr>
              <w:t>Figure 4: Confusion matrices at the F1-optimal threshold for each model.</w:t>
            </w:r>
            <w:r>
              <w:rPr>
                <w:noProof/>
                <w:webHidden/>
              </w:rPr>
              <w:tab/>
            </w:r>
            <w:r>
              <w:rPr>
                <w:noProof/>
                <w:webHidden/>
              </w:rPr>
              <w:fldChar w:fldCharType="begin"/>
            </w:r>
            <w:r>
              <w:rPr>
                <w:noProof/>
                <w:webHidden/>
              </w:rPr>
              <w:instrText xml:space="preserve"> PAGEREF _Toc236009727 \h </w:instrText>
            </w:r>
            <w:r>
              <w:rPr>
                <w:noProof/>
                <w:webHidden/>
              </w:rPr>
            </w:r>
            <w:r>
              <w:rPr>
                <w:noProof/>
                <w:webHidden/>
              </w:rPr>
              <w:fldChar w:fldCharType="separate"/>
            </w:r>
            <w:r>
              <w:rPr>
                <w:noProof/>
                <w:webHidden/>
              </w:rPr>
              <w:t>9</w:t>
            </w:r>
            <w:r>
              <w:rPr>
                <w:noProof/>
                <w:webHidden/>
              </w:rPr>
              <w:fldChar w:fldCharType="end"/>
            </w:r>
          </w:hyperlink>
        </w:p>
        <w:p w14:paraId="3678D08F" w14:textId="78AE433F" w:rsidR="00457251" w:rsidRDefault="00457251">
          <w:pPr>
            <w:pStyle w:val="TOC3"/>
            <w:tabs>
              <w:tab w:val="right" w:leader="dot" w:pos="9710"/>
            </w:tabs>
            <w:rPr>
              <w:rFonts w:asciiTheme="minorHAnsi" w:eastAsiaTheme="minorEastAsia" w:hAnsiTheme="minorHAnsi" w:cstheme="minorBidi"/>
              <w:noProof/>
              <w:kern w:val="2"/>
              <w:sz w:val="24"/>
              <w:szCs w:val="24"/>
              <w14:ligatures w14:val="standardContextual"/>
            </w:rPr>
          </w:pPr>
          <w:hyperlink w:anchor="_Toc236009728" w:history="1">
            <w:r w:rsidRPr="00736392">
              <w:rPr>
                <w:rStyle w:val="Hyperlink"/>
                <w:noProof/>
              </w:rPr>
              <w:t>Figure 5: Random forest: mean decrease in impurity (top 15 feature importances).</w:t>
            </w:r>
            <w:r>
              <w:rPr>
                <w:noProof/>
                <w:webHidden/>
              </w:rPr>
              <w:tab/>
            </w:r>
            <w:r>
              <w:rPr>
                <w:noProof/>
                <w:webHidden/>
              </w:rPr>
              <w:fldChar w:fldCharType="begin"/>
            </w:r>
            <w:r>
              <w:rPr>
                <w:noProof/>
                <w:webHidden/>
              </w:rPr>
              <w:instrText xml:space="preserve"> PAGEREF _Toc236009728 \h </w:instrText>
            </w:r>
            <w:r>
              <w:rPr>
                <w:noProof/>
                <w:webHidden/>
              </w:rPr>
            </w:r>
            <w:r>
              <w:rPr>
                <w:noProof/>
                <w:webHidden/>
              </w:rPr>
              <w:fldChar w:fldCharType="separate"/>
            </w:r>
            <w:r>
              <w:rPr>
                <w:noProof/>
                <w:webHidden/>
              </w:rPr>
              <w:t>10</w:t>
            </w:r>
            <w:r>
              <w:rPr>
                <w:noProof/>
                <w:webHidden/>
              </w:rPr>
              <w:fldChar w:fldCharType="end"/>
            </w:r>
          </w:hyperlink>
        </w:p>
        <w:p w14:paraId="53E5DDA2" w14:textId="2D665F2C" w:rsidR="00457251" w:rsidRDefault="00457251">
          <w:pPr>
            <w:pStyle w:val="TOC3"/>
            <w:tabs>
              <w:tab w:val="right" w:leader="dot" w:pos="9710"/>
            </w:tabs>
            <w:rPr>
              <w:rFonts w:asciiTheme="minorHAnsi" w:eastAsiaTheme="minorEastAsia" w:hAnsiTheme="minorHAnsi" w:cstheme="minorBidi"/>
              <w:noProof/>
              <w:kern w:val="2"/>
              <w:sz w:val="24"/>
              <w:szCs w:val="24"/>
              <w14:ligatures w14:val="standardContextual"/>
            </w:rPr>
          </w:pPr>
          <w:hyperlink w:anchor="_Toc236009729" w:history="1">
            <w:r w:rsidRPr="00736392">
              <w:rPr>
                <w:rStyle w:val="Hyperlink"/>
                <w:noProof/>
              </w:rPr>
              <w:t>Figure 6: shows the top 15 standardised coefficients (log-odds scale) in logistic regression.</w:t>
            </w:r>
            <w:r>
              <w:rPr>
                <w:noProof/>
                <w:webHidden/>
              </w:rPr>
              <w:tab/>
            </w:r>
            <w:r>
              <w:rPr>
                <w:noProof/>
                <w:webHidden/>
              </w:rPr>
              <w:fldChar w:fldCharType="begin"/>
            </w:r>
            <w:r>
              <w:rPr>
                <w:noProof/>
                <w:webHidden/>
              </w:rPr>
              <w:instrText xml:space="preserve"> PAGEREF _Toc236009729 \h </w:instrText>
            </w:r>
            <w:r>
              <w:rPr>
                <w:noProof/>
                <w:webHidden/>
              </w:rPr>
            </w:r>
            <w:r>
              <w:rPr>
                <w:noProof/>
                <w:webHidden/>
              </w:rPr>
              <w:fldChar w:fldCharType="separate"/>
            </w:r>
            <w:r>
              <w:rPr>
                <w:noProof/>
                <w:webHidden/>
              </w:rPr>
              <w:t>11</w:t>
            </w:r>
            <w:r>
              <w:rPr>
                <w:noProof/>
                <w:webHidden/>
              </w:rPr>
              <w:fldChar w:fldCharType="end"/>
            </w:r>
          </w:hyperlink>
        </w:p>
        <w:p w14:paraId="347467F8" w14:textId="6B3BDA37" w:rsidR="00457251" w:rsidRDefault="00457251">
          <w:pPr>
            <w:pStyle w:val="TOC3"/>
            <w:tabs>
              <w:tab w:val="right" w:leader="dot" w:pos="9710"/>
            </w:tabs>
            <w:rPr>
              <w:rFonts w:asciiTheme="minorHAnsi" w:eastAsiaTheme="minorEastAsia" w:hAnsiTheme="minorHAnsi" w:cstheme="minorBidi"/>
              <w:noProof/>
              <w:kern w:val="2"/>
              <w:sz w:val="24"/>
              <w:szCs w:val="24"/>
              <w14:ligatures w14:val="standardContextual"/>
            </w:rPr>
          </w:pPr>
          <w:hyperlink w:anchor="_Toc236009730" w:history="1">
            <w:r w:rsidRPr="00736392">
              <w:rPr>
                <w:rStyle w:val="Hyperlink"/>
                <w:noProof/>
              </w:rPr>
              <w:t>Figure 7: The random forest's SHAP summary plot, displaying the direction of influence at the feature level.</w:t>
            </w:r>
            <w:r>
              <w:rPr>
                <w:noProof/>
                <w:webHidden/>
              </w:rPr>
              <w:tab/>
            </w:r>
            <w:r>
              <w:rPr>
                <w:noProof/>
                <w:webHidden/>
              </w:rPr>
              <w:fldChar w:fldCharType="begin"/>
            </w:r>
            <w:r>
              <w:rPr>
                <w:noProof/>
                <w:webHidden/>
              </w:rPr>
              <w:instrText xml:space="preserve"> PAGEREF _Toc236009730 \h </w:instrText>
            </w:r>
            <w:r>
              <w:rPr>
                <w:noProof/>
                <w:webHidden/>
              </w:rPr>
            </w:r>
            <w:r>
              <w:rPr>
                <w:noProof/>
                <w:webHidden/>
              </w:rPr>
              <w:fldChar w:fldCharType="separate"/>
            </w:r>
            <w:r>
              <w:rPr>
                <w:noProof/>
                <w:webHidden/>
              </w:rPr>
              <w:t>12</w:t>
            </w:r>
            <w:r>
              <w:rPr>
                <w:noProof/>
                <w:webHidden/>
              </w:rPr>
              <w:fldChar w:fldCharType="end"/>
            </w:r>
          </w:hyperlink>
        </w:p>
        <w:p w14:paraId="70C55FF2" w14:textId="1DD91050" w:rsidR="00457251" w:rsidRDefault="00457251">
          <w:pPr>
            <w:pStyle w:val="TOC1"/>
            <w:tabs>
              <w:tab w:val="right" w:leader="dot" w:pos="9710"/>
            </w:tabs>
            <w:rPr>
              <w:rFonts w:asciiTheme="minorHAnsi" w:eastAsiaTheme="minorEastAsia" w:hAnsiTheme="minorHAnsi" w:cstheme="minorBidi"/>
              <w:noProof/>
              <w:kern w:val="2"/>
              <w:sz w:val="24"/>
              <w:szCs w:val="24"/>
              <w14:ligatures w14:val="standardContextual"/>
            </w:rPr>
          </w:pPr>
          <w:hyperlink w:anchor="_Toc236009731" w:history="1">
            <w:r w:rsidRPr="00736392">
              <w:rPr>
                <w:rStyle w:val="Hyperlink"/>
                <w:b/>
                <w:bCs/>
                <w:noProof/>
              </w:rPr>
              <w:t>4. Discussion</w:t>
            </w:r>
            <w:r>
              <w:rPr>
                <w:noProof/>
                <w:webHidden/>
              </w:rPr>
              <w:tab/>
            </w:r>
            <w:r>
              <w:rPr>
                <w:noProof/>
                <w:webHidden/>
              </w:rPr>
              <w:fldChar w:fldCharType="begin"/>
            </w:r>
            <w:r>
              <w:rPr>
                <w:noProof/>
                <w:webHidden/>
              </w:rPr>
              <w:instrText xml:space="preserve"> PAGEREF _Toc236009731 \h </w:instrText>
            </w:r>
            <w:r>
              <w:rPr>
                <w:noProof/>
                <w:webHidden/>
              </w:rPr>
            </w:r>
            <w:r>
              <w:rPr>
                <w:noProof/>
                <w:webHidden/>
              </w:rPr>
              <w:fldChar w:fldCharType="separate"/>
            </w:r>
            <w:r>
              <w:rPr>
                <w:noProof/>
                <w:webHidden/>
              </w:rPr>
              <w:t>13</w:t>
            </w:r>
            <w:r>
              <w:rPr>
                <w:noProof/>
                <w:webHidden/>
              </w:rPr>
              <w:fldChar w:fldCharType="end"/>
            </w:r>
          </w:hyperlink>
        </w:p>
        <w:p w14:paraId="5EFEB25C" w14:textId="4084DCA1" w:rsidR="00457251" w:rsidRDefault="00457251">
          <w:pPr>
            <w:pStyle w:val="TOC2"/>
            <w:tabs>
              <w:tab w:val="right" w:leader="dot" w:pos="9710"/>
            </w:tabs>
            <w:rPr>
              <w:rFonts w:asciiTheme="minorHAnsi" w:eastAsiaTheme="minorEastAsia" w:hAnsiTheme="minorHAnsi" w:cstheme="minorBidi"/>
              <w:noProof/>
              <w:kern w:val="2"/>
              <w:sz w:val="24"/>
              <w:szCs w:val="24"/>
              <w14:ligatures w14:val="standardContextual"/>
            </w:rPr>
          </w:pPr>
          <w:hyperlink w:anchor="_Toc236009732" w:history="1">
            <w:r w:rsidRPr="00736392">
              <w:rPr>
                <w:rStyle w:val="Hyperlink"/>
                <w:b/>
                <w:bCs/>
                <w:noProof/>
              </w:rPr>
              <w:t>4.1 Model Comparison:</w:t>
            </w:r>
            <w:r>
              <w:rPr>
                <w:noProof/>
                <w:webHidden/>
              </w:rPr>
              <w:tab/>
            </w:r>
            <w:r>
              <w:rPr>
                <w:noProof/>
                <w:webHidden/>
              </w:rPr>
              <w:fldChar w:fldCharType="begin"/>
            </w:r>
            <w:r>
              <w:rPr>
                <w:noProof/>
                <w:webHidden/>
              </w:rPr>
              <w:instrText xml:space="preserve"> PAGEREF _Toc236009732 \h </w:instrText>
            </w:r>
            <w:r>
              <w:rPr>
                <w:noProof/>
                <w:webHidden/>
              </w:rPr>
            </w:r>
            <w:r>
              <w:rPr>
                <w:noProof/>
                <w:webHidden/>
              </w:rPr>
              <w:fldChar w:fldCharType="separate"/>
            </w:r>
            <w:r>
              <w:rPr>
                <w:noProof/>
                <w:webHidden/>
              </w:rPr>
              <w:t>13</w:t>
            </w:r>
            <w:r>
              <w:rPr>
                <w:noProof/>
                <w:webHidden/>
              </w:rPr>
              <w:fldChar w:fldCharType="end"/>
            </w:r>
          </w:hyperlink>
        </w:p>
        <w:p w14:paraId="6C0D5F8B" w14:textId="560DC572" w:rsidR="00457251" w:rsidRDefault="00457251">
          <w:pPr>
            <w:pStyle w:val="TOC2"/>
            <w:tabs>
              <w:tab w:val="right" w:leader="dot" w:pos="9710"/>
            </w:tabs>
            <w:rPr>
              <w:rFonts w:asciiTheme="minorHAnsi" w:eastAsiaTheme="minorEastAsia" w:hAnsiTheme="minorHAnsi" w:cstheme="minorBidi"/>
              <w:noProof/>
              <w:kern w:val="2"/>
              <w:sz w:val="24"/>
              <w:szCs w:val="24"/>
              <w14:ligatures w14:val="standardContextual"/>
            </w:rPr>
          </w:pPr>
          <w:hyperlink w:anchor="_Toc236009733" w:history="1">
            <w:r w:rsidRPr="00736392">
              <w:rPr>
                <w:rStyle w:val="Hyperlink"/>
                <w:b/>
                <w:bCs/>
                <w:noProof/>
              </w:rPr>
              <w:t>4.2 Interpretability:</w:t>
            </w:r>
            <w:r>
              <w:rPr>
                <w:noProof/>
                <w:webHidden/>
              </w:rPr>
              <w:tab/>
            </w:r>
            <w:r>
              <w:rPr>
                <w:noProof/>
                <w:webHidden/>
              </w:rPr>
              <w:fldChar w:fldCharType="begin"/>
            </w:r>
            <w:r>
              <w:rPr>
                <w:noProof/>
                <w:webHidden/>
              </w:rPr>
              <w:instrText xml:space="preserve"> PAGEREF _Toc236009733 \h </w:instrText>
            </w:r>
            <w:r>
              <w:rPr>
                <w:noProof/>
                <w:webHidden/>
              </w:rPr>
            </w:r>
            <w:r>
              <w:rPr>
                <w:noProof/>
                <w:webHidden/>
              </w:rPr>
              <w:fldChar w:fldCharType="separate"/>
            </w:r>
            <w:r>
              <w:rPr>
                <w:noProof/>
                <w:webHidden/>
              </w:rPr>
              <w:t>13</w:t>
            </w:r>
            <w:r>
              <w:rPr>
                <w:noProof/>
                <w:webHidden/>
              </w:rPr>
              <w:fldChar w:fldCharType="end"/>
            </w:r>
          </w:hyperlink>
        </w:p>
        <w:p w14:paraId="58173574" w14:textId="20826351" w:rsidR="00457251" w:rsidRDefault="00457251">
          <w:pPr>
            <w:pStyle w:val="TOC2"/>
            <w:tabs>
              <w:tab w:val="right" w:leader="dot" w:pos="9710"/>
            </w:tabs>
            <w:rPr>
              <w:rFonts w:asciiTheme="minorHAnsi" w:eastAsiaTheme="minorEastAsia" w:hAnsiTheme="minorHAnsi" w:cstheme="minorBidi"/>
              <w:noProof/>
              <w:kern w:val="2"/>
              <w:sz w:val="24"/>
              <w:szCs w:val="24"/>
              <w14:ligatures w14:val="standardContextual"/>
            </w:rPr>
          </w:pPr>
          <w:hyperlink w:anchor="_Toc236009734" w:history="1">
            <w:r w:rsidRPr="00736392">
              <w:rPr>
                <w:rStyle w:val="Hyperlink"/>
                <w:b/>
                <w:bCs/>
                <w:noProof/>
              </w:rPr>
              <w:t>4.3 Ethics and Fairness:</w:t>
            </w:r>
            <w:r>
              <w:rPr>
                <w:noProof/>
                <w:webHidden/>
              </w:rPr>
              <w:tab/>
            </w:r>
            <w:r>
              <w:rPr>
                <w:noProof/>
                <w:webHidden/>
              </w:rPr>
              <w:fldChar w:fldCharType="begin"/>
            </w:r>
            <w:r>
              <w:rPr>
                <w:noProof/>
                <w:webHidden/>
              </w:rPr>
              <w:instrText xml:space="preserve"> PAGEREF _Toc236009734 \h </w:instrText>
            </w:r>
            <w:r>
              <w:rPr>
                <w:noProof/>
                <w:webHidden/>
              </w:rPr>
            </w:r>
            <w:r>
              <w:rPr>
                <w:noProof/>
                <w:webHidden/>
              </w:rPr>
              <w:fldChar w:fldCharType="separate"/>
            </w:r>
            <w:r>
              <w:rPr>
                <w:noProof/>
                <w:webHidden/>
              </w:rPr>
              <w:t>13</w:t>
            </w:r>
            <w:r>
              <w:rPr>
                <w:noProof/>
                <w:webHidden/>
              </w:rPr>
              <w:fldChar w:fldCharType="end"/>
            </w:r>
          </w:hyperlink>
        </w:p>
        <w:p w14:paraId="0D6A9AF4" w14:textId="4C1C09CF" w:rsidR="00457251" w:rsidRDefault="00457251">
          <w:pPr>
            <w:pStyle w:val="TOC3"/>
            <w:tabs>
              <w:tab w:val="right" w:leader="dot" w:pos="9710"/>
            </w:tabs>
            <w:rPr>
              <w:rFonts w:asciiTheme="minorHAnsi" w:eastAsiaTheme="minorEastAsia" w:hAnsiTheme="minorHAnsi" w:cstheme="minorBidi"/>
              <w:noProof/>
              <w:kern w:val="2"/>
              <w:sz w:val="24"/>
              <w:szCs w:val="24"/>
              <w14:ligatures w14:val="standardContextual"/>
            </w:rPr>
          </w:pPr>
          <w:hyperlink w:anchor="_Toc236009735" w:history="1">
            <w:r w:rsidRPr="00736392">
              <w:rPr>
                <w:rStyle w:val="Hyperlink"/>
                <w:noProof/>
              </w:rPr>
              <w:t>Figure 8: shows the actual default rate by homeownership status, area, and income verification.</w:t>
            </w:r>
            <w:r>
              <w:rPr>
                <w:noProof/>
                <w:webHidden/>
              </w:rPr>
              <w:tab/>
            </w:r>
            <w:r>
              <w:rPr>
                <w:noProof/>
                <w:webHidden/>
              </w:rPr>
              <w:fldChar w:fldCharType="begin"/>
            </w:r>
            <w:r>
              <w:rPr>
                <w:noProof/>
                <w:webHidden/>
              </w:rPr>
              <w:instrText xml:space="preserve"> PAGEREF _Toc236009735 \h </w:instrText>
            </w:r>
            <w:r>
              <w:rPr>
                <w:noProof/>
                <w:webHidden/>
              </w:rPr>
            </w:r>
            <w:r>
              <w:rPr>
                <w:noProof/>
                <w:webHidden/>
              </w:rPr>
              <w:fldChar w:fldCharType="separate"/>
            </w:r>
            <w:r>
              <w:rPr>
                <w:noProof/>
                <w:webHidden/>
              </w:rPr>
              <w:t>14</w:t>
            </w:r>
            <w:r>
              <w:rPr>
                <w:noProof/>
                <w:webHidden/>
              </w:rPr>
              <w:fldChar w:fldCharType="end"/>
            </w:r>
          </w:hyperlink>
        </w:p>
        <w:p w14:paraId="4DC74720" w14:textId="2B2D495F" w:rsidR="00457251" w:rsidRDefault="00457251">
          <w:pPr>
            <w:pStyle w:val="TOC3"/>
            <w:tabs>
              <w:tab w:val="right" w:leader="dot" w:pos="9710"/>
            </w:tabs>
            <w:rPr>
              <w:rFonts w:asciiTheme="minorHAnsi" w:eastAsiaTheme="minorEastAsia" w:hAnsiTheme="minorHAnsi" w:cstheme="minorBidi"/>
              <w:noProof/>
              <w:kern w:val="2"/>
              <w:sz w:val="24"/>
              <w:szCs w:val="24"/>
              <w14:ligatures w14:val="standardContextual"/>
            </w:rPr>
          </w:pPr>
          <w:hyperlink w:anchor="_Toc236009736" w:history="1">
            <w:r w:rsidRPr="00736392">
              <w:rPr>
                <w:rStyle w:val="Hyperlink"/>
                <w:noProof/>
              </w:rPr>
              <w:t>Figure 9: shows the average model-predicted risk by application type, income verification status, homeownership, and area.</w:t>
            </w:r>
            <w:r>
              <w:rPr>
                <w:noProof/>
                <w:webHidden/>
              </w:rPr>
              <w:tab/>
            </w:r>
            <w:r>
              <w:rPr>
                <w:noProof/>
                <w:webHidden/>
              </w:rPr>
              <w:fldChar w:fldCharType="begin"/>
            </w:r>
            <w:r>
              <w:rPr>
                <w:noProof/>
                <w:webHidden/>
              </w:rPr>
              <w:instrText xml:space="preserve"> PAGEREF _Toc236009736 \h </w:instrText>
            </w:r>
            <w:r>
              <w:rPr>
                <w:noProof/>
                <w:webHidden/>
              </w:rPr>
            </w:r>
            <w:r>
              <w:rPr>
                <w:noProof/>
                <w:webHidden/>
              </w:rPr>
              <w:fldChar w:fldCharType="separate"/>
            </w:r>
            <w:r>
              <w:rPr>
                <w:noProof/>
                <w:webHidden/>
              </w:rPr>
              <w:t>15</w:t>
            </w:r>
            <w:r>
              <w:rPr>
                <w:noProof/>
                <w:webHidden/>
              </w:rPr>
              <w:fldChar w:fldCharType="end"/>
            </w:r>
          </w:hyperlink>
        </w:p>
        <w:p w14:paraId="71007136" w14:textId="446C6B98" w:rsidR="00457251" w:rsidRDefault="00457251">
          <w:pPr>
            <w:pStyle w:val="TOC1"/>
            <w:tabs>
              <w:tab w:val="right" w:leader="dot" w:pos="9710"/>
            </w:tabs>
            <w:rPr>
              <w:rFonts w:asciiTheme="minorHAnsi" w:eastAsiaTheme="minorEastAsia" w:hAnsiTheme="minorHAnsi" w:cstheme="minorBidi"/>
              <w:noProof/>
              <w:kern w:val="2"/>
              <w:sz w:val="24"/>
              <w:szCs w:val="24"/>
              <w14:ligatures w14:val="standardContextual"/>
            </w:rPr>
          </w:pPr>
          <w:hyperlink w:anchor="_Toc236009737" w:history="1">
            <w:r w:rsidRPr="00736392">
              <w:rPr>
                <w:rStyle w:val="Hyperlink"/>
                <w:b/>
                <w:bCs/>
                <w:noProof/>
              </w:rPr>
              <w:t>5. Conclusion and Recommendations:</w:t>
            </w:r>
            <w:r>
              <w:rPr>
                <w:noProof/>
                <w:webHidden/>
              </w:rPr>
              <w:tab/>
            </w:r>
            <w:r>
              <w:rPr>
                <w:noProof/>
                <w:webHidden/>
              </w:rPr>
              <w:fldChar w:fldCharType="begin"/>
            </w:r>
            <w:r>
              <w:rPr>
                <w:noProof/>
                <w:webHidden/>
              </w:rPr>
              <w:instrText xml:space="preserve"> PAGEREF _Toc236009737 \h </w:instrText>
            </w:r>
            <w:r>
              <w:rPr>
                <w:noProof/>
                <w:webHidden/>
              </w:rPr>
            </w:r>
            <w:r>
              <w:rPr>
                <w:noProof/>
                <w:webHidden/>
              </w:rPr>
              <w:fldChar w:fldCharType="separate"/>
            </w:r>
            <w:r>
              <w:rPr>
                <w:noProof/>
                <w:webHidden/>
              </w:rPr>
              <w:t>16</w:t>
            </w:r>
            <w:r>
              <w:rPr>
                <w:noProof/>
                <w:webHidden/>
              </w:rPr>
              <w:fldChar w:fldCharType="end"/>
            </w:r>
          </w:hyperlink>
        </w:p>
        <w:p w14:paraId="3904159C" w14:textId="58E61E0D" w:rsidR="00457251" w:rsidRDefault="00457251">
          <w:pPr>
            <w:pStyle w:val="TOC1"/>
            <w:tabs>
              <w:tab w:val="right" w:leader="dot" w:pos="9710"/>
            </w:tabs>
            <w:rPr>
              <w:rFonts w:asciiTheme="minorHAnsi" w:eastAsiaTheme="minorEastAsia" w:hAnsiTheme="minorHAnsi" w:cstheme="minorBidi"/>
              <w:noProof/>
              <w:kern w:val="2"/>
              <w:sz w:val="24"/>
              <w:szCs w:val="24"/>
              <w14:ligatures w14:val="standardContextual"/>
            </w:rPr>
          </w:pPr>
          <w:hyperlink w:anchor="_Toc236009738" w:history="1">
            <w:r w:rsidRPr="00736392">
              <w:rPr>
                <w:rStyle w:val="Hyperlink"/>
                <w:b/>
                <w:bCs/>
                <w:noProof/>
              </w:rPr>
              <w:t>References:</w:t>
            </w:r>
            <w:r>
              <w:rPr>
                <w:noProof/>
                <w:webHidden/>
              </w:rPr>
              <w:tab/>
            </w:r>
            <w:r>
              <w:rPr>
                <w:noProof/>
                <w:webHidden/>
              </w:rPr>
              <w:fldChar w:fldCharType="begin"/>
            </w:r>
            <w:r>
              <w:rPr>
                <w:noProof/>
                <w:webHidden/>
              </w:rPr>
              <w:instrText xml:space="preserve"> PAGEREF _Toc236009738 \h </w:instrText>
            </w:r>
            <w:r>
              <w:rPr>
                <w:noProof/>
                <w:webHidden/>
              </w:rPr>
            </w:r>
            <w:r>
              <w:rPr>
                <w:noProof/>
                <w:webHidden/>
              </w:rPr>
              <w:fldChar w:fldCharType="separate"/>
            </w:r>
            <w:r>
              <w:rPr>
                <w:noProof/>
                <w:webHidden/>
              </w:rPr>
              <w:t>17</w:t>
            </w:r>
            <w:r>
              <w:rPr>
                <w:noProof/>
                <w:webHidden/>
              </w:rPr>
              <w:fldChar w:fldCharType="end"/>
            </w:r>
          </w:hyperlink>
        </w:p>
        <w:p w14:paraId="7B3A6A62" w14:textId="6CBDD836" w:rsidR="002E036B" w:rsidRDefault="002E036B">
          <w:r w:rsidRPr="00457251">
            <w:rPr>
              <w:b/>
              <w:bCs/>
              <w:noProof/>
              <w:sz w:val="28"/>
              <w:szCs w:val="28"/>
            </w:rPr>
            <w:fldChar w:fldCharType="end"/>
          </w:r>
        </w:p>
      </w:sdtContent>
    </w:sdt>
    <w:p w14:paraId="69F3E36C" w14:textId="77777777" w:rsidR="002E036B" w:rsidRDefault="002E036B">
      <w:pPr>
        <w:pStyle w:val="Heading1"/>
        <w:spacing w:before="320" w:after="160"/>
        <w:rPr>
          <w:rFonts w:asciiTheme="minorHAnsi" w:hAnsiTheme="minorHAnsi"/>
          <w:b/>
          <w:bCs/>
        </w:rPr>
      </w:pPr>
    </w:p>
    <w:p w14:paraId="288A8711" w14:textId="7CC5641A" w:rsidR="007A23A8" w:rsidRPr="002C1603" w:rsidRDefault="00000000">
      <w:pPr>
        <w:pStyle w:val="Heading1"/>
        <w:spacing w:before="320" w:after="160"/>
        <w:rPr>
          <w:rFonts w:asciiTheme="minorHAnsi" w:hAnsiTheme="minorHAnsi"/>
        </w:rPr>
      </w:pPr>
      <w:bookmarkStart w:id="0" w:name="_Toc236009718"/>
      <w:r w:rsidRPr="002C1603">
        <w:rPr>
          <w:rFonts w:asciiTheme="minorHAnsi" w:hAnsiTheme="minorHAnsi"/>
          <w:b/>
          <w:bCs/>
        </w:rPr>
        <w:t>Abstract</w:t>
      </w:r>
      <w:r w:rsidR="002C1603" w:rsidRPr="002C1603">
        <w:rPr>
          <w:rFonts w:asciiTheme="minorHAnsi" w:hAnsiTheme="minorHAnsi"/>
          <w:b/>
          <w:bCs/>
        </w:rPr>
        <w:t>:</w:t>
      </w:r>
      <w:bookmarkEnd w:id="0"/>
    </w:p>
    <w:p w14:paraId="2194617B" w14:textId="77777777" w:rsidR="00B3233B" w:rsidRPr="00B3233B" w:rsidRDefault="00B3233B" w:rsidP="00B3233B">
      <w:pPr>
        <w:spacing w:after="160" w:line="276" w:lineRule="auto"/>
        <w:jc w:val="both"/>
        <w:rPr>
          <w:rFonts w:asciiTheme="minorHAnsi" w:hAnsiTheme="minorHAnsi"/>
          <w:sz w:val="24"/>
          <w:szCs w:val="24"/>
          <w:lang w:val="en-GB"/>
        </w:rPr>
      </w:pPr>
      <w:r w:rsidRPr="00B3233B">
        <w:rPr>
          <w:rFonts w:asciiTheme="minorHAnsi" w:hAnsiTheme="minorHAnsi"/>
          <w:sz w:val="24"/>
          <w:szCs w:val="24"/>
          <w:lang w:val="en-GB"/>
        </w:rPr>
        <w:t>Lenders are using machine learning more and more to automate and enhance credit risk assessment; nevertheless, there are actual trade-offs between predictive capacity, transparency, and fairness when selecting an algorithm. Using 10,000 Lending Club loans that started in the first quarter of 2018, this study creates and analyses two supervised classifiers to predict early-stage loan failure risk: a random forest ensemble and a logistic regression baseline. A delinquency-risk proxy target was created, and hyperparameters were adjusted by five-fold cross-validation using average precision as the scoring measure to correct for extreme class imbalance, since less than 2% of loans in this snapshot have a proven bad outcome.</w:t>
      </w:r>
    </w:p>
    <w:p w14:paraId="656C6985" w14:textId="6AF1D062" w:rsidR="007A23A8" w:rsidRPr="00B3233B" w:rsidRDefault="00B3233B">
      <w:pPr>
        <w:spacing w:after="160" w:line="276" w:lineRule="auto"/>
        <w:jc w:val="both"/>
        <w:rPr>
          <w:rFonts w:asciiTheme="minorHAnsi" w:hAnsiTheme="minorHAnsi"/>
          <w:sz w:val="24"/>
          <w:szCs w:val="24"/>
          <w:lang w:val="en-GB"/>
        </w:rPr>
      </w:pPr>
      <w:r w:rsidRPr="00B3233B">
        <w:rPr>
          <w:rFonts w:asciiTheme="minorHAnsi" w:hAnsiTheme="minorHAnsi"/>
          <w:sz w:val="24"/>
          <w:szCs w:val="24"/>
          <w:lang w:val="en-GB"/>
        </w:rPr>
        <w:lastRenderedPageBreak/>
        <w:t>At the expense of transparency, the random forest produced a slightly higher ROC-AUC (0.662) and PR-AUC (0.040) than logistic regression (0.559 and 0.031, respectively). Both models' projections are driven by the debt-to-income ratio, credit limits and utilisation, income, and recent credit-inquiry activity, according to SHAP research, providing assurance that the two methods are capturing a consistent underlying risk signal while having distinct mechanics. Even though no protected trait was directly employed, a fairness audit spanning socioeconomic proxy factors (homeownership, income verification, and geography) found patterns consistent with indirect bias risk. The report comes to the conclusion that any implementation of such a model should maintain human oversight, continuous bias monitoring, and not be seen as a replacement for confirmed-outcome data gathered during a full loan lifespan due to the dataset's constraints.</w:t>
      </w:r>
    </w:p>
    <w:p w14:paraId="6B7075C0" w14:textId="77777777" w:rsidR="002E036B" w:rsidRDefault="002E036B">
      <w:pPr>
        <w:pStyle w:val="Heading1"/>
        <w:spacing w:before="320" w:after="160"/>
        <w:rPr>
          <w:rFonts w:asciiTheme="minorHAnsi" w:hAnsiTheme="minorHAnsi"/>
          <w:b/>
          <w:bCs/>
        </w:rPr>
      </w:pPr>
    </w:p>
    <w:p w14:paraId="56BF2D9D" w14:textId="77777777" w:rsidR="002E036B" w:rsidRDefault="002E036B">
      <w:pPr>
        <w:pStyle w:val="Heading1"/>
        <w:spacing w:before="320" w:after="160"/>
        <w:rPr>
          <w:rFonts w:asciiTheme="minorHAnsi" w:hAnsiTheme="minorHAnsi"/>
          <w:b/>
          <w:bCs/>
        </w:rPr>
      </w:pPr>
    </w:p>
    <w:p w14:paraId="338ADA6F" w14:textId="77777777" w:rsidR="002E036B" w:rsidRDefault="002E036B">
      <w:pPr>
        <w:pStyle w:val="Heading1"/>
        <w:spacing w:before="320" w:after="160"/>
        <w:rPr>
          <w:rFonts w:asciiTheme="minorHAnsi" w:hAnsiTheme="minorHAnsi"/>
          <w:b/>
          <w:bCs/>
        </w:rPr>
      </w:pPr>
    </w:p>
    <w:p w14:paraId="72A77B47" w14:textId="77777777" w:rsidR="002E036B" w:rsidRDefault="002E036B">
      <w:pPr>
        <w:pStyle w:val="Heading1"/>
        <w:spacing w:before="320" w:after="160"/>
        <w:rPr>
          <w:rFonts w:asciiTheme="minorHAnsi" w:hAnsiTheme="minorHAnsi"/>
          <w:b/>
          <w:bCs/>
        </w:rPr>
      </w:pPr>
    </w:p>
    <w:p w14:paraId="627572F9" w14:textId="77777777" w:rsidR="002E036B" w:rsidRDefault="002E036B">
      <w:pPr>
        <w:pStyle w:val="Heading1"/>
        <w:spacing w:before="320" w:after="160"/>
        <w:rPr>
          <w:rFonts w:asciiTheme="minorHAnsi" w:hAnsiTheme="minorHAnsi"/>
          <w:b/>
          <w:bCs/>
        </w:rPr>
      </w:pPr>
    </w:p>
    <w:p w14:paraId="014F8961" w14:textId="77777777" w:rsidR="002E036B" w:rsidRDefault="002E036B">
      <w:pPr>
        <w:pStyle w:val="Heading1"/>
        <w:spacing w:before="320" w:after="160"/>
        <w:rPr>
          <w:rFonts w:asciiTheme="minorHAnsi" w:hAnsiTheme="minorHAnsi"/>
          <w:b/>
          <w:bCs/>
        </w:rPr>
      </w:pPr>
    </w:p>
    <w:p w14:paraId="74420A06" w14:textId="77777777" w:rsidR="002E036B" w:rsidRDefault="002E036B">
      <w:pPr>
        <w:pStyle w:val="Heading1"/>
        <w:spacing w:before="320" w:after="160"/>
        <w:rPr>
          <w:rFonts w:asciiTheme="minorHAnsi" w:hAnsiTheme="minorHAnsi"/>
          <w:b/>
          <w:bCs/>
        </w:rPr>
      </w:pPr>
    </w:p>
    <w:p w14:paraId="7C770124" w14:textId="77777777" w:rsidR="002E036B" w:rsidRDefault="002E036B">
      <w:pPr>
        <w:pStyle w:val="Heading1"/>
        <w:spacing w:before="320" w:after="160"/>
        <w:rPr>
          <w:rFonts w:asciiTheme="minorHAnsi" w:hAnsiTheme="minorHAnsi"/>
          <w:b/>
          <w:bCs/>
        </w:rPr>
      </w:pPr>
    </w:p>
    <w:p w14:paraId="7F923A3E" w14:textId="77777777" w:rsidR="002E036B" w:rsidRDefault="002E036B">
      <w:pPr>
        <w:pStyle w:val="Heading1"/>
        <w:spacing w:before="320" w:after="160"/>
        <w:rPr>
          <w:rFonts w:asciiTheme="minorHAnsi" w:hAnsiTheme="minorHAnsi"/>
          <w:b/>
          <w:bCs/>
        </w:rPr>
      </w:pPr>
    </w:p>
    <w:p w14:paraId="0B190510" w14:textId="27D158D5" w:rsidR="007A23A8" w:rsidRPr="002C1603" w:rsidRDefault="00000000">
      <w:pPr>
        <w:pStyle w:val="Heading1"/>
        <w:spacing w:before="320" w:after="160"/>
        <w:rPr>
          <w:rFonts w:asciiTheme="minorHAnsi" w:hAnsiTheme="minorHAnsi"/>
        </w:rPr>
      </w:pPr>
      <w:bookmarkStart w:id="1" w:name="_Toc236009719"/>
      <w:r w:rsidRPr="002C1603">
        <w:rPr>
          <w:rFonts w:asciiTheme="minorHAnsi" w:hAnsiTheme="minorHAnsi"/>
          <w:b/>
          <w:bCs/>
        </w:rPr>
        <w:t>1. Introduction and Problem Statement</w:t>
      </w:r>
      <w:r w:rsidR="002C1603" w:rsidRPr="002C1603">
        <w:rPr>
          <w:rFonts w:asciiTheme="minorHAnsi" w:hAnsiTheme="minorHAnsi"/>
          <w:b/>
          <w:bCs/>
        </w:rPr>
        <w:t>:</w:t>
      </w:r>
      <w:bookmarkEnd w:id="1"/>
    </w:p>
    <w:p w14:paraId="7711C0FE" w14:textId="77777777" w:rsidR="00B3233B" w:rsidRPr="00B3233B" w:rsidRDefault="00B3233B" w:rsidP="00B3233B">
      <w:pPr>
        <w:spacing w:after="160" w:line="276" w:lineRule="auto"/>
        <w:jc w:val="both"/>
        <w:rPr>
          <w:rFonts w:asciiTheme="minorHAnsi" w:hAnsiTheme="minorHAnsi"/>
          <w:sz w:val="24"/>
          <w:szCs w:val="24"/>
        </w:rPr>
      </w:pPr>
      <w:r w:rsidRPr="00B3233B">
        <w:rPr>
          <w:rFonts w:asciiTheme="minorHAnsi" w:hAnsiTheme="minorHAnsi"/>
          <w:sz w:val="24"/>
          <w:szCs w:val="24"/>
        </w:rPr>
        <w:t>One of the earliest and most significant uses of predictive analytics in finance is credit risk assessment, which determines the likelihood that a borrower won't repay a loan as agreed. Conventional underwriting used logistic regression models based on a limited number of manually chosen variables and rule-based scorecards. The ability of machine learning techniques, such as tree-based ensembles, to model non-linear interactions between applicant, credit-bureau, and loan-level attributes without requiring the modeller to specify those interactions in advance has led financial institutions to gradually adopt these techniques over the past ten years.</w:t>
      </w:r>
    </w:p>
    <w:p w14:paraId="26ADDB0B" w14:textId="58071562" w:rsidR="00B3233B" w:rsidRPr="00B3233B" w:rsidRDefault="00B3233B" w:rsidP="00B3233B">
      <w:pPr>
        <w:spacing w:after="160" w:line="276" w:lineRule="auto"/>
        <w:jc w:val="both"/>
        <w:rPr>
          <w:rFonts w:asciiTheme="minorHAnsi" w:hAnsiTheme="minorHAnsi"/>
          <w:sz w:val="24"/>
          <w:szCs w:val="24"/>
        </w:rPr>
      </w:pPr>
      <w:r w:rsidRPr="00B3233B">
        <w:rPr>
          <w:rFonts w:asciiTheme="minorHAnsi" w:hAnsiTheme="minorHAnsi"/>
          <w:sz w:val="24"/>
          <w:szCs w:val="24"/>
        </w:rPr>
        <w:lastRenderedPageBreak/>
        <w:t>This change is supported by a sizable corpus of comparative literature. Ensemble techniques like random forest and gradient boosting often outperform logistic regression on conventional classification metrics, especially on imbalanced and non-linear data, according to studies employing consumer lending data [1], [2], [3]. Once class imbalance was corrected with resampling, a previous comparative research using a LendingClub dataset similar to the one employed here discovered that ensemble tree approaches recovered more discriminative signal than a logistic baseline [3].</w:t>
      </w:r>
      <w:r>
        <w:rPr>
          <w:rFonts w:asciiTheme="minorHAnsi" w:hAnsiTheme="minorHAnsi"/>
          <w:sz w:val="24"/>
          <w:szCs w:val="24"/>
        </w:rPr>
        <w:t xml:space="preserve"> </w:t>
      </w:r>
      <w:r w:rsidRPr="00B3233B">
        <w:rPr>
          <w:rFonts w:asciiTheme="minorHAnsi" w:hAnsiTheme="minorHAnsi"/>
          <w:sz w:val="24"/>
          <w:szCs w:val="24"/>
        </w:rPr>
        <w:t>However, other authors warn that in certain situations, a well-tuned logistic model can match or surpass ensemble performance, and that the "best" model largely depends on the interaction structure in the data and how much performance depends on regulatory interpretability constraints [4].</w:t>
      </w:r>
    </w:p>
    <w:p w14:paraId="488A0DC1" w14:textId="77777777" w:rsidR="00B3233B" w:rsidRPr="00B3233B" w:rsidRDefault="00B3233B" w:rsidP="00B3233B">
      <w:pPr>
        <w:spacing w:after="160" w:line="276" w:lineRule="auto"/>
        <w:jc w:val="both"/>
        <w:rPr>
          <w:rFonts w:asciiTheme="minorHAnsi" w:hAnsiTheme="minorHAnsi"/>
          <w:sz w:val="24"/>
          <w:szCs w:val="24"/>
        </w:rPr>
      </w:pPr>
      <w:r w:rsidRPr="00B3233B">
        <w:rPr>
          <w:rFonts w:asciiTheme="minorHAnsi" w:hAnsiTheme="minorHAnsi"/>
          <w:sz w:val="24"/>
          <w:szCs w:val="24"/>
        </w:rPr>
        <w:t>This trade-off goes beyond academics. The Equal Credit Opportunity Act (ECOA) and its implementing Regulation B, which forbid discrimination on protected characteristics and recognise disparate-impact liability even in the absence of overt discriminatory intent, are the main fair-lending laws that govern credit decisions in the United States. The joint assessment of predictive performance, interpretability, and fairness carried out in this study was motivated by the fact that a model that is more accurate but more difficult to explain, or that depends on variables correlated with protected characteristics, creates both a compliance risk and a valid ethical concern.</w:t>
      </w:r>
    </w:p>
    <w:p w14:paraId="120BC972" w14:textId="3595DE2A" w:rsidR="00B3233B" w:rsidRPr="00B3233B" w:rsidRDefault="00B3233B" w:rsidP="00B3233B">
      <w:pPr>
        <w:spacing w:after="160" w:line="276" w:lineRule="auto"/>
        <w:jc w:val="both"/>
        <w:rPr>
          <w:rFonts w:asciiTheme="minorHAnsi" w:hAnsiTheme="minorHAnsi"/>
          <w:sz w:val="24"/>
          <w:szCs w:val="24"/>
        </w:rPr>
      </w:pPr>
      <w:r w:rsidRPr="00B3233B">
        <w:rPr>
          <w:rFonts w:asciiTheme="minorHAnsi" w:hAnsiTheme="minorHAnsi"/>
          <w:sz w:val="24"/>
          <w:szCs w:val="24"/>
        </w:rPr>
        <w:t>10,000 Lending Club loans from the first quarter of 2018 are included in the dataset used here, loans_full_schema.csv, which has 56 variables covering applicant, credit-bureau, and loan-level attributes [5]. Only seven loans are confirmed charge-offs; the great majority of loans (9,375 out of 10,000) are still "Current" and have not achieved a final resolved outcome because this is a snapshot taken soon after origination. This is a well-known drawback of using LendingClub's public loan-level data for default modelling: the observed outcome distribution reflects both underlying credit quality and the length of time a loan has been outstanding [3], [5].</w:t>
      </w:r>
      <w:r w:rsidRPr="00B3233B">
        <w:rPr>
          <w:rFonts w:ascii="Times New Roman" w:eastAsia="Times New Roman" w:hAnsi="Times New Roman" w:cs="Times New Roman"/>
          <w:sz w:val="24"/>
          <w:szCs w:val="24"/>
        </w:rPr>
        <w:t xml:space="preserve"> </w:t>
      </w:r>
      <w:r w:rsidRPr="00B3233B">
        <w:rPr>
          <w:rFonts w:asciiTheme="minorHAnsi" w:hAnsiTheme="minorHAnsi"/>
          <w:sz w:val="24"/>
          <w:szCs w:val="24"/>
        </w:rPr>
        <w:t>Therefore, the main problem statement of this report is twofold: (i) to develop and rigorously compare two credit-risk classifiers under this data constraint, using leakage-free feature engineering and a defensible proxy target; and (ii) to assess, beyond raw accuracy, the interpretability and fairness of each model's predictions, considering the ethical and regulatory implications of credit decisioning.</w:t>
      </w:r>
    </w:p>
    <w:p w14:paraId="15C97A95" w14:textId="77777777" w:rsidR="002E036B" w:rsidRDefault="002E036B">
      <w:pPr>
        <w:pStyle w:val="Heading1"/>
        <w:spacing w:before="320" w:after="160"/>
        <w:rPr>
          <w:rFonts w:asciiTheme="minorHAnsi" w:hAnsiTheme="minorHAnsi"/>
          <w:b/>
          <w:bCs/>
        </w:rPr>
      </w:pPr>
    </w:p>
    <w:p w14:paraId="02364258" w14:textId="15270A79" w:rsidR="007A23A8" w:rsidRPr="002C1603" w:rsidRDefault="00000000">
      <w:pPr>
        <w:pStyle w:val="Heading1"/>
        <w:spacing w:before="320" w:after="160"/>
        <w:rPr>
          <w:rFonts w:asciiTheme="minorHAnsi" w:hAnsiTheme="minorHAnsi"/>
        </w:rPr>
      </w:pPr>
      <w:bookmarkStart w:id="2" w:name="_Toc236009720"/>
      <w:r w:rsidRPr="002C1603">
        <w:rPr>
          <w:rFonts w:asciiTheme="minorHAnsi" w:hAnsiTheme="minorHAnsi"/>
          <w:b/>
          <w:bCs/>
        </w:rPr>
        <w:t>2. Methodology</w:t>
      </w:r>
      <w:bookmarkEnd w:id="2"/>
    </w:p>
    <w:p w14:paraId="769BE23D" w14:textId="4646F0A8" w:rsidR="007A23A8" w:rsidRPr="002C1603" w:rsidRDefault="00000000">
      <w:pPr>
        <w:pStyle w:val="Heading2"/>
        <w:spacing w:before="240" w:after="120"/>
        <w:rPr>
          <w:rFonts w:asciiTheme="minorHAnsi" w:hAnsiTheme="minorHAnsi"/>
          <w:sz w:val="28"/>
          <w:szCs w:val="28"/>
        </w:rPr>
      </w:pPr>
      <w:bookmarkStart w:id="3" w:name="_Toc236009721"/>
      <w:r w:rsidRPr="002C1603">
        <w:rPr>
          <w:rFonts w:asciiTheme="minorHAnsi" w:hAnsiTheme="minorHAnsi"/>
          <w:b/>
          <w:bCs/>
          <w:sz w:val="28"/>
          <w:szCs w:val="28"/>
        </w:rPr>
        <w:t>2.1 Data Preparation</w:t>
      </w:r>
      <w:r w:rsidR="002C1603">
        <w:rPr>
          <w:rFonts w:asciiTheme="minorHAnsi" w:hAnsiTheme="minorHAnsi"/>
          <w:b/>
          <w:bCs/>
          <w:sz w:val="28"/>
          <w:szCs w:val="28"/>
        </w:rPr>
        <w:t>:</w:t>
      </w:r>
      <w:bookmarkEnd w:id="3"/>
    </w:p>
    <w:p w14:paraId="6A664DFE" w14:textId="77777777" w:rsidR="00952B97" w:rsidRPr="00952B97" w:rsidRDefault="00952B97" w:rsidP="00952B97">
      <w:pPr>
        <w:spacing w:after="160" w:line="276" w:lineRule="auto"/>
        <w:jc w:val="both"/>
        <w:rPr>
          <w:rFonts w:asciiTheme="minorHAnsi" w:hAnsiTheme="minorHAnsi"/>
          <w:sz w:val="24"/>
          <w:szCs w:val="24"/>
        </w:rPr>
      </w:pPr>
      <w:r w:rsidRPr="00952B97">
        <w:rPr>
          <w:rFonts w:asciiTheme="minorHAnsi" w:hAnsiTheme="minorHAnsi"/>
          <w:sz w:val="24"/>
          <w:szCs w:val="24"/>
        </w:rPr>
        <w:t xml:space="preserve">There are too few confirmed charge-offs (7) to model directly because the raw loan_status variable is significantly skewed toward "Current." Therefore, a pragmatic delinquency-risk proxy was created: current and fully paid loans were branded 0, whereas any loan exhibiting </w:t>
      </w:r>
      <w:r w:rsidRPr="00952B97">
        <w:rPr>
          <w:rFonts w:asciiTheme="minorHAnsi" w:hAnsiTheme="minorHAnsi"/>
          <w:sz w:val="24"/>
          <w:szCs w:val="24"/>
        </w:rPr>
        <w:lastRenderedPageBreak/>
        <w:t>indications of repayment issues—charged off, in grace period, or late by 16 or more days—was labelled default = 1. This is a common, transparent workaround for this dataset, yielding 178 positive cases out of 10,000 (1.78% positive rate). However, it assesses early delinquency risk rather than proven lifetime default, a drawback that is explored in the Discussion.</w:t>
      </w:r>
    </w:p>
    <w:p w14:paraId="7786D3B2" w14:textId="77777777" w:rsidR="00952B97" w:rsidRPr="00B3233B" w:rsidRDefault="00952B97">
      <w:pPr>
        <w:spacing w:after="160" w:line="276" w:lineRule="auto"/>
        <w:jc w:val="both"/>
        <w:rPr>
          <w:rFonts w:asciiTheme="minorHAnsi" w:hAnsiTheme="minorHAnsi"/>
          <w:sz w:val="24"/>
          <w:szCs w:val="24"/>
        </w:rPr>
      </w:pPr>
    </w:p>
    <w:p w14:paraId="0C5B2577" w14:textId="77777777" w:rsidR="007A23A8" w:rsidRPr="00B3233B" w:rsidRDefault="00000000">
      <w:pPr>
        <w:jc w:val="center"/>
        <w:rPr>
          <w:rFonts w:asciiTheme="minorHAnsi" w:hAnsiTheme="minorHAnsi"/>
          <w:sz w:val="24"/>
          <w:szCs w:val="24"/>
        </w:rPr>
      </w:pPr>
      <w:r w:rsidRPr="00B3233B">
        <w:rPr>
          <w:rFonts w:asciiTheme="minorHAnsi" w:hAnsiTheme="minorHAnsi"/>
          <w:noProof/>
          <w:sz w:val="24"/>
          <w:szCs w:val="24"/>
        </w:rPr>
        <w:drawing>
          <wp:inline distT="0" distB="0" distL="0" distR="0" wp14:anchorId="36E6BB2C" wp14:editId="4CA75A28">
            <wp:extent cx="3931920" cy="49779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class_balance.png"/>
                    <pic:cNvPicPr/>
                  </pic:nvPicPr>
                  <pic:blipFill>
                    <a:blip r:embed="rId9"/>
                    <a:stretch>
                      <a:fillRect/>
                    </a:stretch>
                  </pic:blipFill>
                  <pic:spPr>
                    <a:xfrm>
                      <a:off x="0" y="0"/>
                      <a:ext cx="3931920" cy="4977912"/>
                    </a:xfrm>
                    <a:prstGeom prst="rect">
                      <a:avLst/>
                    </a:prstGeom>
                  </pic:spPr>
                </pic:pic>
              </a:graphicData>
            </a:graphic>
          </wp:inline>
        </w:drawing>
      </w:r>
    </w:p>
    <w:p w14:paraId="1FB903F9" w14:textId="1406140C" w:rsidR="007A23A8" w:rsidRDefault="00000000" w:rsidP="002C1603">
      <w:pPr>
        <w:pStyle w:val="Heading3"/>
        <w:ind w:firstLine="720"/>
      </w:pPr>
      <w:bookmarkStart w:id="4" w:name="_Toc236009722"/>
      <w:r w:rsidRPr="00B3233B">
        <w:t>Figure 1</w:t>
      </w:r>
      <w:r w:rsidR="002C1603">
        <w:t xml:space="preserve">: </w:t>
      </w:r>
      <w:r w:rsidRPr="00B3233B">
        <w:t>Class balance of the delinquency-risk proxy target (positive rate = 1.78%).</w:t>
      </w:r>
      <w:bookmarkEnd w:id="4"/>
    </w:p>
    <w:p w14:paraId="4656B823" w14:textId="77777777" w:rsidR="002C1603" w:rsidRPr="00B3233B" w:rsidRDefault="002C1603">
      <w:pPr>
        <w:jc w:val="center"/>
        <w:rPr>
          <w:rFonts w:asciiTheme="minorHAnsi" w:hAnsiTheme="minorHAnsi"/>
          <w:sz w:val="24"/>
          <w:szCs w:val="24"/>
        </w:rPr>
      </w:pPr>
    </w:p>
    <w:p w14:paraId="29229718" w14:textId="77777777" w:rsidR="00952B97" w:rsidRPr="00952B97" w:rsidRDefault="00952B97" w:rsidP="00952B97">
      <w:pPr>
        <w:spacing w:after="160" w:line="276" w:lineRule="auto"/>
        <w:jc w:val="both"/>
        <w:rPr>
          <w:rFonts w:asciiTheme="minorHAnsi" w:hAnsiTheme="minorHAnsi"/>
          <w:sz w:val="24"/>
          <w:szCs w:val="24"/>
        </w:rPr>
      </w:pPr>
      <w:r w:rsidRPr="00952B97">
        <w:rPr>
          <w:rFonts w:asciiTheme="minorHAnsi" w:hAnsiTheme="minorHAnsi"/>
          <w:sz w:val="24"/>
          <w:szCs w:val="24"/>
        </w:rPr>
        <w:t>Prior to modelling, two categories of columns were eliminated. First, outcome-leakage fields (balance, paid_total, paid_principal, paid_interest, and paid_late_fees) explain the performance of a loan since its origination and allow a model to see the result rather than forecast it. Second, adding circular fields (grade, sub_grade, interest_rate, installment) would primarily cause the model to re-derive Lending Club's current score rather than independently assess risk from applicant and credit-bureau attributes. These circular fields are Lending Club's internal risk assessment, assigned at origination. A sensitivity check was used to confirm their removal (Section 4).</w:t>
      </w:r>
    </w:p>
    <w:p w14:paraId="252CD6A8" w14:textId="77777777" w:rsidR="00952B97" w:rsidRDefault="00952B97" w:rsidP="00952B97">
      <w:pPr>
        <w:spacing w:after="160" w:line="276" w:lineRule="auto"/>
        <w:jc w:val="both"/>
        <w:rPr>
          <w:rFonts w:asciiTheme="minorHAnsi" w:hAnsiTheme="minorHAnsi"/>
          <w:sz w:val="24"/>
          <w:szCs w:val="24"/>
        </w:rPr>
      </w:pPr>
      <w:r w:rsidRPr="00952B97">
        <w:rPr>
          <w:rFonts w:asciiTheme="minorHAnsi" w:hAnsiTheme="minorHAnsi"/>
          <w:sz w:val="24"/>
          <w:szCs w:val="24"/>
        </w:rPr>
        <w:lastRenderedPageBreak/>
        <w:t>Emp_title (high-cardinality free text) and issue_month (a single-quarter snapshot with negligible signal) were dropped; earliest_credit_line was converted into a derived credit_history_years feature; the 50-level state field was divided into four US Census regions to reduce dimensionality and support the subsequent fairness analysis; and the three months_since_* recency fields were explicitly encoded using a binary “never happened” flag plus a large sentinel value. Since the application_type indicator already existed, the three joint-application fields—which were almost 85% missing—were eliminated. Only a little amount of residual missingness (up to 8.2% in emp_length) remained for pipeline-based imputation after cleaning, leaving 44 features (36 numerical, 7 categorical after joins).</w:t>
      </w:r>
    </w:p>
    <w:p w14:paraId="50CB738F" w14:textId="77777777" w:rsidR="00952B97" w:rsidRPr="00952B97" w:rsidRDefault="00952B97" w:rsidP="00952B97">
      <w:pPr>
        <w:spacing w:after="160" w:line="276" w:lineRule="auto"/>
        <w:jc w:val="both"/>
        <w:rPr>
          <w:rFonts w:asciiTheme="minorHAnsi" w:hAnsiTheme="minorHAnsi"/>
          <w:sz w:val="24"/>
          <w:szCs w:val="24"/>
        </w:rPr>
      </w:pPr>
      <w:r w:rsidRPr="00952B97">
        <w:rPr>
          <w:rFonts w:asciiTheme="minorHAnsi" w:hAnsiTheme="minorHAnsi"/>
          <w:sz w:val="24"/>
          <w:szCs w:val="24"/>
        </w:rPr>
        <w:t>In line with US consumer lending practices under ECOA/Regulation B, which generally prohibits gathering these information for underwriting, exploratory research verified that the dataset contains no fields related to gender, race, or age. Homeownership, income-verification status, and location are examples of socioeconomic proxies that were kept for further fairness study because they can correspond with protected traits even when none are used explicitly.</w:t>
      </w:r>
    </w:p>
    <w:p w14:paraId="08034006" w14:textId="77777777" w:rsidR="007A23A8" w:rsidRPr="00B3233B" w:rsidRDefault="00000000">
      <w:pPr>
        <w:jc w:val="center"/>
        <w:rPr>
          <w:rFonts w:asciiTheme="minorHAnsi" w:hAnsiTheme="minorHAnsi"/>
          <w:sz w:val="24"/>
          <w:szCs w:val="24"/>
        </w:rPr>
      </w:pPr>
      <w:r w:rsidRPr="00B3233B">
        <w:rPr>
          <w:rFonts w:asciiTheme="minorHAnsi" w:hAnsiTheme="minorHAnsi"/>
          <w:noProof/>
          <w:sz w:val="24"/>
          <w:szCs w:val="24"/>
        </w:rPr>
        <w:drawing>
          <wp:inline distT="0" distB="0" distL="0" distR="0" wp14:anchorId="4B3A7BD5" wp14:editId="1DAD8946">
            <wp:extent cx="4389120" cy="349338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correlation.png"/>
                    <pic:cNvPicPr/>
                  </pic:nvPicPr>
                  <pic:blipFill>
                    <a:blip r:embed="rId10"/>
                    <a:stretch>
                      <a:fillRect/>
                    </a:stretch>
                  </pic:blipFill>
                  <pic:spPr>
                    <a:xfrm>
                      <a:off x="0" y="0"/>
                      <a:ext cx="4389120" cy="3493381"/>
                    </a:xfrm>
                    <a:prstGeom prst="rect">
                      <a:avLst/>
                    </a:prstGeom>
                  </pic:spPr>
                </pic:pic>
              </a:graphicData>
            </a:graphic>
          </wp:inline>
        </w:drawing>
      </w:r>
    </w:p>
    <w:p w14:paraId="33A58908" w14:textId="7D110C9E" w:rsidR="002C1603" w:rsidRPr="002C1603" w:rsidRDefault="002C1603" w:rsidP="002C1603">
      <w:pPr>
        <w:pStyle w:val="Heading3"/>
      </w:pPr>
      <w:r>
        <w:t xml:space="preserve">     </w:t>
      </w:r>
      <w:bookmarkStart w:id="5" w:name="_Toc236009723"/>
      <w:r w:rsidRPr="002C1603">
        <w:t>Figure 2: Pearson correlations of the top 15 numerical features with the default proxy target.</w:t>
      </w:r>
      <w:bookmarkEnd w:id="5"/>
    </w:p>
    <w:p w14:paraId="0C8EA570" w14:textId="77777777" w:rsidR="002E036B" w:rsidRDefault="002E036B">
      <w:pPr>
        <w:pStyle w:val="Heading2"/>
        <w:spacing w:before="240" w:after="120"/>
        <w:rPr>
          <w:rFonts w:asciiTheme="minorHAnsi" w:hAnsiTheme="minorHAnsi"/>
          <w:b/>
          <w:bCs/>
          <w:sz w:val="32"/>
          <w:szCs w:val="32"/>
        </w:rPr>
      </w:pPr>
    </w:p>
    <w:p w14:paraId="64EA5014" w14:textId="6D706990" w:rsidR="007A23A8" w:rsidRPr="002E036B" w:rsidRDefault="00000000">
      <w:pPr>
        <w:pStyle w:val="Heading2"/>
        <w:spacing w:before="240" w:after="120"/>
        <w:rPr>
          <w:rFonts w:asciiTheme="minorHAnsi" w:hAnsiTheme="minorHAnsi"/>
          <w:sz w:val="28"/>
          <w:szCs w:val="28"/>
        </w:rPr>
      </w:pPr>
      <w:bookmarkStart w:id="6" w:name="_Toc236009724"/>
      <w:r w:rsidRPr="002E036B">
        <w:rPr>
          <w:rFonts w:asciiTheme="minorHAnsi" w:hAnsiTheme="minorHAnsi"/>
          <w:b/>
          <w:bCs/>
          <w:sz w:val="28"/>
          <w:szCs w:val="28"/>
        </w:rPr>
        <w:t>2.2 Algorithms and Pipeline Design</w:t>
      </w:r>
      <w:r w:rsidR="002C1603" w:rsidRPr="002E036B">
        <w:rPr>
          <w:rFonts w:asciiTheme="minorHAnsi" w:hAnsiTheme="minorHAnsi"/>
          <w:b/>
          <w:bCs/>
          <w:sz w:val="28"/>
          <w:szCs w:val="28"/>
        </w:rPr>
        <w:t>:</w:t>
      </w:r>
      <w:bookmarkEnd w:id="6"/>
    </w:p>
    <w:p w14:paraId="4805AF3C" w14:textId="77777777" w:rsidR="00952B97" w:rsidRPr="00952B97" w:rsidRDefault="00952B97" w:rsidP="00952B97">
      <w:pPr>
        <w:spacing w:after="160" w:line="276" w:lineRule="auto"/>
        <w:jc w:val="both"/>
        <w:rPr>
          <w:rFonts w:asciiTheme="minorHAnsi" w:hAnsiTheme="minorHAnsi"/>
          <w:sz w:val="24"/>
          <w:szCs w:val="24"/>
        </w:rPr>
      </w:pPr>
      <w:r w:rsidRPr="00952B97">
        <w:rPr>
          <w:rFonts w:asciiTheme="minorHAnsi" w:hAnsiTheme="minorHAnsi"/>
          <w:sz w:val="24"/>
          <w:szCs w:val="24"/>
        </w:rPr>
        <w:t xml:space="preserve">The traditional-versus-ensemble trade-off described in the literature was represented by two complementary classifiers: (i) random forest, a non-linear bagged ensemble of decision trees that can capture interactions and threshold effects between features without manual </w:t>
      </w:r>
      <w:r w:rsidRPr="00952B97">
        <w:rPr>
          <w:rFonts w:asciiTheme="minorHAnsi" w:hAnsiTheme="minorHAnsi"/>
          <w:sz w:val="24"/>
          <w:szCs w:val="24"/>
        </w:rPr>
        <w:lastRenderedPageBreak/>
        <w:t>specification, and (ii) logistic regression, a linear, directly interpretable baseline whose coefficients express log-odds effects [1]–[4].</w:t>
      </w:r>
    </w:p>
    <w:p w14:paraId="4C3E5060" w14:textId="77777777" w:rsidR="00952B97" w:rsidRPr="00952B97" w:rsidRDefault="00952B97" w:rsidP="00952B97">
      <w:pPr>
        <w:spacing w:after="160" w:line="276" w:lineRule="auto"/>
        <w:jc w:val="both"/>
        <w:rPr>
          <w:rFonts w:asciiTheme="minorHAnsi" w:hAnsiTheme="minorHAnsi"/>
          <w:sz w:val="24"/>
          <w:szCs w:val="24"/>
        </w:rPr>
      </w:pPr>
      <w:r w:rsidRPr="00952B97">
        <w:rPr>
          <w:rFonts w:asciiTheme="minorHAnsi" w:hAnsiTheme="minorHAnsi"/>
          <w:sz w:val="24"/>
          <w:szCs w:val="24"/>
        </w:rPr>
        <w:t>A single scikit-learn pipeline centred on a ColumnTransformer encompassed both models: most-frequent imputation and one-hot encoding were applied to categorical features, while median imputation and standard scaling were applied to numerical features. Information leakage from the held-out data into the fitted scaler and encoder was prevented by fitting preprocessing only on training folds during cross-validation rather than on the entire dataset up front. To maintain the ~1.8% positive rate in both partitions, the data was split 80/20 (8,000 train, 2,000 test) with stratification on the target.</w:t>
      </w:r>
    </w:p>
    <w:p w14:paraId="265508FC" w14:textId="4F375DD7" w:rsidR="00952B97" w:rsidRDefault="00952B97" w:rsidP="00952B97">
      <w:pPr>
        <w:spacing w:after="160" w:line="276" w:lineRule="auto"/>
        <w:jc w:val="both"/>
        <w:rPr>
          <w:rFonts w:asciiTheme="minorHAnsi" w:hAnsiTheme="minorHAnsi"/>
          <w:sz w:val="24"/>
          <w:szCs w:val="24"/>
        </w:rPr>
      </w:pPr>
      <w:r w:rsidRPr="00952B97">
        <w:rPr>
          <w:rFonts w:asciiTheme="minorHAnsi" w:hAnsiTheme="minorHAnsi"/>
          <w:sz w:val="24"/>
          <w:szCs w:val="24"/>
        </w:rPr>
        <w:t>Both classifiers utilised class_weight="balanced" to up-weight the minority class during training because to the extreme class imbalance. Because average precision (PR-AUC) is significantly more informative than either accuracy or ROC-AUC when positives are this rare (accuracy is trivially high for any model that mostly predicts the majority class, and ROC-AUC can appear deceptively strong even when precision at usable thresholds is very low), hyperparameters were adjusted using GridSearchCV with five-fold stratified cross-validation. The logistic regression grid selected C=10 (best CV average precision 0.029) after searching the inverse-regularization strength C across {0.01, 0.1, 1, 10}.</w:t>
      </w:r>
      <w:r>
        <w:rPr>
          <w:rFonts w:asciiTheme="minorHAnsi" w:hAnsiTheme="minorHAnsi"/>
          <w:sz w:val="24"/>
          <w:szCs w:val="24"/>
        </w:rPr>
        <w:t xml:space="preserve"> </w:t>
      </w:r>
      <w:r w:rsidRPr="00952B97">
        <w:rPr>
          <w:rFonts w:asciiTheme="minorHAnsi" w:hAnsiTheme="minorHAnsi"/>
          <w:sz w:val="24"/>
          <w:szCs w:val="24"/>
        </w:rPr>
        <w:t>The random forest grid selected 400 trees, unrestricted depth, and a minimum leaf size of 5 (best CV average precision 0.052) by searching n_estimators over {200, 400}, max_depth over {4, 8, None}, and min_samples_leaf over {1, 5}. This already showed, prior to any test-set evaluation, that the ensemble was extracting somewhat more separable signal from the same features.</w:t>
      </w:r>
    </w:p>
    <w:p w14:paraId="4D306056" w14:textId="77777777" w:rsidR="00952B97" w:rsidRPr="00952B97" w:rsidRDefault="00952B97" w:rsidP="00952B97">
      <w:pPr>
        <w:spacing w:after="160" w:line="276" w:lineRule="auto"/>
        <w:jc w:val="both"/>
        <w:rPr>
          <w:rFonts w:asciiTheme="minorHAnsi" w:hAnsiTheme="minorHAnsi"/>
          <w:sz w:val="24"/>
          <w:szCs w:val="24"/>
        </w:rPr>
      </w:pPr>
      <w:r w:rsidRPr="00952B97">
        <w:rPr>
          <w:rFonts w:asciiTheme="minorHAnsi" w:hAnsiTheme="minorHAnsi"/>
          <w:sz w:val="24"/>
          <w:szCs w:val="24"/>
        </w:rPr>
        <w:t>An F1-optimal decision threshold was chosen using out-of-fold predictions on the training set only, via cross_val_predict, and then applied unaltered to the unaltered test set because the default 0.5 probability threshold is a bad choice with only ~180 positive cases (it causes both models to systematically under-predict the positive class). Optimistic bias from tuning and assessing on the same data is prevented by this two-stage process: set the threshold on training-fold predictions, then evaluate once on test data.</w:t>
      </w:r>
    </w:p>
    <w:p w14:paraId="1CA2AEB1" w14:textId="77777777" w:rsidR="002E036B" w:rsidRDefault="002E036B">
      <w:pPr>
        <w:pStyle w:val="Heading1"/>
        <w:spacing w:before="320" w:after="160"/>
        <w:rPr>
          <w:rFonts w:asciiTheme="minorHAnsi" w:hAnsiTheme="minorHAnsi"/>
          <w:b/>
          <w:bCs/>
        </w:rPr>
      </w:pPr>
    </w:p>
    <w:p w14:paraId="32E8B8C7" w14:textId="77777777" w:rsidR="002E036B" w:rsidRDefault="002E036B">
      <w:pPr>
        <w:pStyle w:val="Heading1"/>
        <w:spacing w:before="320" w:after="160"/>
        <w:rPr>
          <w:rFonts w:asciiTheme="minorHAnsi" w:hAnsiTheme="minorHAnsi"/>
          <w:b/>
          <w:bCs/>
        </w:rPr>
      </w:pPr>
    </w:p>
    <w:p w14:paraId="5CBF7FA6" w14:textId="77777777" w:rsidR="002E036B" w:rsidRDefault="002E036B">
      <w:pPr>
        <w:pStyle w:val="Heading1"/>
        <w:spacing w:before="320" w:after="160"/>
        <w:rPr>
          <w:rFonts w:asciiTheme="minorHAnsi" w:hAnsiTheme="minorHAnsi"/>
          <w:b/>
          <w:bCs/>
        </w:rPr>
      </w:pPr>
    </w:p>
    <w:p w14:paraId="0507EB8D" w14:textId="77777777" w:rsidR="002E036B" w:rsidRDefault="002E036B">
      <w:pPr>
        <w:pStyle w:val="Heading1"/>
        <w:spacing w:before="320" w:after="160"/>
        <w:rPr>
          <w:rFonts w:asciiTheme="minorHAnsi" w:hAnsiTheme="minorHAnsi"/>
          <w:b/>
          <w:bCs/>
        </w:rPr>
      </w:pPr>
    </w:p>
    <w:p w14:paraId="19C04CCF" w14:textId="77777777" w:rsidR="002E036B" w:rsidRDefault="002E036B">
      <w:pPr>
        <w:pStyle w:val="Heading1"/>
        <w:spacing w:before="320" w:after="160"/>
        <w:rPr>
          <w:rFonts w:asciiTheme="minorHAnsi" w:hAnsiTheme="minorHAnsi"/>
          <w:b/>
          <w:bCs/>
        </w:rPr>
      </w:pPr>
    </w:p>
    <w:p w14:paraId="5E3EE230" w14:textId="77777777" w:rsidR="002E036B" w:rsidRDefault="002E036B">
      <w:pPr>
        <w:pStyle w:val="Heading1"/>
        <w:spacing w:before="320" w:after="160"/>
        <w:rPr>
          <w:rFonts w:asciiTheme="minorHAnsi" w:hAnsiTheme="minorHAnsi"/>
          <w:b/>
          <w:bCs/>
        </w:rPr>
      </w:pPr>
    </w:p>
    <w:p w14:paraId="75FE6922" w14:textId="77777777" w:rsidR="002E036B" w:rsidRDefault="002E036B">
      <w:pPr>
        <w:pStyle w:val="Heading1"/>
        <w:spacing w:before="320" w:after="160"/>
        <w:rPr>
          <w:rFonts w:asciiTheme="minorHAnsi" w:hAnsiTheme="minorHAnsi"/>
          <w:b/>
          <w:bCs/>
        </w:rPr>
      </w:pPr>
    </w:p>
    <w:p w14:paraId="6C850532" w14:textId="77777777" w:rsidR="002E036B" w:rsidRDefault="002E036B">
      <w:pPr>
        <w:pStyle w:val="Heading1"/>
        <w:spacing w:before="320" w:after="160"/>
        <w:rPr>
          <w:rFonts w:asciiTheme="minorHAnsi" w:hAnsiTheme="minorHAnsi"/>
          <w:b/>
          <w:bCs/>
        </w:rPr>
      </w:pPr>
    </w:p>
    <w:p w14:paraId="1C0FECC3" w14:textId="77777777" w:rsidR="002E036B" w:rsidRDefault="002E036B">
      <w:pPr>
        <w:pStyle w:val="Heading1"/>
        <w:spacing w:before="320" w:after="160"/>
        <w:rPr>
          <w:rFonts w:asciiTheme="minorHAnsi" w:hAnsiTheme="minorHAnsi"/>
          <w:b/>
          <w:bCs/>
        </w:rPr>
      </w:pPr>
    </w:p>
    <w:p w14:paraId="142B6E28" w14:textId="77777777" w:rsidR="002E036B" w:rsidRDefault="002E036B">
      <w:pPr>
        <w:pStyle w:val="Heading1"/>
        <w:spacing w:before="320" w:after="160"/>
        <w:rPr>
          <w:rFonts w:asciiTheme="minorHAnsi" w:hAnsiTheme="minorHAnsi"/>
          <w:b/>
          <w:bCs/>
        </w:rPr>
      </w:pPr>
    </w:p>
    <w:p w14:paraId="2F8A86CA" w14:textId="77777777" w:rsidR="002E036B" w:rsidRDefault="002E036B">
      <w:pPr>
        <w:pStyle w:val="Heading1"/>
        <w:spacing w:before="320" w:after="160"/>
        <w:rPr>
          <w:rFonts w:asciiTheme="minorHAnsi" w:hAnsiTheme="minorHAnsi"/>
          <w:b/>
          <w:bCs/>
        </w:rPr>
      </w:pPr>
    </w:p>
    <w:p w14:paraId="6F142307" w14:textId="77777777" w:rsidR="002E036B" w:rsidRDefault="002E036B">
      <w:pPr>
        <w:pStyle w:val="Heading1"/>
        <w:spacing w:before="320" w:after="160"/>
        <w:rPr>
          <w:rFonts w:asciiTheme="minorHAnsi" w:hAnsiTheme="minorHAnsi"/>
          <w:b/>
          <w:bCs/>
        </w:rPr>
      </w:pPr>
    </w:p>
    <w:p w14:paraId="362E0E15" w14:textId="77777777" w:rsidR="002E036B" w:rsidRDefault="002E036B">
      <w:pPr>
        <w:pStyle w:val="Heading1"/>
        <w:spacing w:before="320" w:after="160"/>
        <w:rPr>
          <w:rFonts w:asciiTheme="minorHAnsi" w:hAnsiTheme="minorHAnsi"/>
          <w:b/>
          <w:bCs/>
        </w:rPr>
      </w:pPr>
    </w:p>
    <w:p w14:paraId="3DD27CB7" w14:textId="7290C04C" w:rsidR="007A23A8" w:rsidRPr="002C1603" w:rsidRDefault="00000000">
      <w:pPr>
        <w:pStyle w:val="Heading1"/>
        <w:spacing w:before="320" w:after="160"/>
        <w:rPr>
          <w:rFonts w:asciiTheme="minorHAnsi" w:hAnsiTheme="minorHAnsi"/>
        </w:rPr>
      </w:pPr>
      <w:bookmarkStart w:id="7" w:name="_Toc236009725"/>
      <w:r w:rsidRPr="002C1603">
        <w:rPr>
          <w:rFonts w:asciiTheme="minorHAnsi" w:hAnsiTheme="minorHAnsi"/>
          <w:b/>
          <w:bCs/>
        </w:rPr>
        <w:t>3. Experiments and Results</w:t>
      </w:r>
      <w:r w:rsidR="002C1603">
        <w:rPr>
          <w:rFonts w:asciiTheme="minorHAnsi" w:hAnsiTheme="minorHAnsi"/>
          <w:b/>
          <w:bCs/>
        </w:rPr>
        <w:t>:</w:t>
      </w:r>
      <w:bookmarkEnd w:id="7"/>
    </w:p>
    <w:p w14:paraId="01FBAFB5" w14:textId="77777777" w:rsidR="00952B97" w:rsidRPr="00952B97" w:rsidRDefault="00952B97" w:rsidP="00952B97">
      <w:pPr>
        <w:spacing w:after="160" w:line="276" w:lineRule="auto"/>
        <w:jc w:val="both"/>
        <w:rPr>
          <w:rFonts w:asciiTheme="minorHAnsi" w:hAnsiTheme="minorHAnsi"/>
          <w:sz w:val="24"/>
          <w:szCs w:val="24"/>
        </w:rPr>
      </w:pPr>
      <w:r w:rsidRPr="00952B97">
        <w:rPr>
          <w:rFonts w:asciiTheme="minorHAnsi" w:hAnsiTheme="minorHAnsi"/>
          <w:sz w:val="24"/>
          <w:szCs w:val="24"/>
        </w:rPr>
        <w:t>Test-set performance for both tuned models at their respective F1-optimal thresholds (0.74 for logistic regression and 0.20 for random forest) is summarised in Table 1.</w:t>
      </w:r>
    </w:p>
    <w:tbl>
      <w:tblPr>
        <w:tblW w:w="12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1600"/>
        <w:gridCol w:w="1600"/>
        <w:gridCol w:w="1600"/>
        <w:gridCol w:w="1600"/>
        <w:gridCol w:w="1600"/>
        <w:gridCol w:w="1600"/>
      </w:tblGrid>
      <w:tr w:rsidR="007A23A8" w:rsidRPr="00B3233B" w14:paraId="37A31AAB" w14:textId="77777777">
        <w:tc>
          <w:tcPr>
            <w:tcW w:w="2600" w:type="dxa"/>
            <w:shd w:val="clear" w:color="auto" w:fill="1F3864"/>
            <w:tcMar>
              <w:top w:w="80" w:type="dxa"/>
              <w:left w:w="100" w:type="dxa"/>
              <w:bottom w:w="80" w:type="dxa"/>
              <w:right w:w="100" w:type="dxa"/>
            </w:tcMar>
          </w:tcPr>
          <w:p w14:paraId="668F09BA" w14:textId="77777777" w:rsidR="007A23A8" w:rsidRPr="00B3233B" w:rsidRDefault="00000000">
            <w:pPr>
              <w:jc w:val="center"/>
              <w:rPr>
                <w:rFonts w:asciiTheme="minorHAnsi" w:hAnsiTheme="minorHAnsi"/>
                <w:sz w:val="24"/>
                <w:szCs w:val="24"/>
              </w:rPr>
            </w:pPr>
            <w:r w:rsidRPr="00B3233B">
              <w:rPr>
                <w:rFonts w:asciiTheme="minorHAnsi" w:hAnsiTheme="minorHAnsi"/>
                <w:b/>
                <w:bCs/>
                <w:color w:val="FFFFFF"/>
                <w:sz w:val="24"/>
                <w:szCs w:val="24"/>
              </w:rPr>
              <w:t>Model</w:t>
            </w:r>
          </w:p>
        </w:tc>
        <w:tc>
          <w:tcPr>
            <w:tcW w:w="1600" w:type="dxa"/>
            <w:shd w:val="clear" w:color="auto" w:fill="1F3864"/>
            <w:tcMar>
              <w:top w:w="80" w:type="dxa"/>
              <w:left w:w="100" w:type="dxa"/>
              <w:bottom w:w="80" w:type="dxa"/>
              <w:right w:w="100" w:type="dxa"/>
            </w:tcMar>
          </w:tcPr>
          <w:p w14:paraId="187512DE" w14:textId="77777777" w:rsidR="007A23A8" w:rsidRPr="00B3233B" w:rsidRDefault="00000000">
            <w:pPr>
              <w:jc w:val="center"/>
              <w:rPr>
                <w:rFonts w:asciiTheme="minorHAnsi" w:hAnsiTheme="minorHAnsi"/>
                <w:sz w:val="24"/>
                <w:szCs w:val="24"/>
              </w:rPr>
            </w:pPr>
            <w:r w:rsidRPr="00B3233B">
              <w:rPr>
                <w:rFonts w:asciiTheme="minorHAnsi" w:hAnsiTheme="minorHAnsi"/>
                <w:b/>
                <w:bCs/>
                <w:color w:val="FFFFFF"/>
                <w:sz w:val="24"/>
                <w:szCs w:val="24"/>
              </w:rPr>
              <w:t>Accuracy</w:t>
            </w:r>
          </w:p>
        </w:tc>
        <w:tc>
          <w:tcPr>
            <w:tcW w:w="1600" w:type="dxa"/>
            <w:shd w:val="clear" w:color="auto" w:fill="1F3864"/>
            <w:tcMar>
              <w:top w:w="80" w:type="dxa"/>
              <w:left w:w="100" w:type="dxa"/>
              <w:bottom w:w="80" w:type="dxa"/>
              <w:right w:w="100" w:type="dxa"/>
            </w:tcMar>
          </w:tcPr>
          <w:p w14:paraId="5E619082" w14:textId="77777777" w:rsidR="007A23A8" w:rsidRPr="00B3233B" w:rsidRDefault="00000000">
            <w:pPr>
              <w:jc w:val="center"/>
              <w:rPr>
                <w:rFonts w:asciiTheme="minorHAnsi" w:hAnsiTheme="minorHAnsi"/>
                <w:sz w:val="24"/>
                <w:szCs w:val="24"/>
              </w:rPr>
            </w:pPr>
            <w:r w:rsidRPr="00B3233B">
              <w:rPr>
                <w:rFonts w:asciiTheme="minorHAnsi" w:hAnsiTheme="minorHAnsi"/>
                <w:b/>
                <w:bCs/>
                <w:color w:val="FFFFFF"/>
                <w:sz w:val="24"/>
                <w:szCs w:val="24"/>
              </w:rPr>
              <w:t>Precision</w:t>
            </w:r>
          </w:p>
        </w:tc>
        <w:tc>
          <w:tcPr>
            <w:tcW w:w="1600" w:type="dxa"/>
            <w:shd w:val="clear" w:color="auto" w:fill="1F3864"/>
            <w:tcMar>
              <w:top w:w="80" w:type="dxa"/>
              <w:left w:w="100" w:type="dxa"/>
              <w:bottom w:w="80" w:type="dxa"/>
              <w:right w:w="100" w:type="dxa"/>
            </w:tcMar>
          </w:tcPr>
          <w:p w14:paraId="5FF1BE77" w14:textId="77777777" w:rsidR="007A23A8" w:rsidRPr="00B3233B" w:rsidRDefault="00000000">
            <w:pPr>
              <w:jc w:val="center"/>
              <w:rPr>
                <w:rFonts w:asciiTheme="minorHAnsi" w:hAnsiTheme="minorHAnsi"/>
                <w:sz w:val="24"/>
                <w:szCs w:val="24"/>
              </w:rPr>
            </w:pPr>
            <w:r w:rsidRPr="00B3233B">
              <w:rPr>
                <w:rFonts w:asciiTheme="minorHAnsi" w:hAnsiTheme="minorHAnsi"/>
                <w:b/>
                <w:bCs/>
                <w:color w:val="FFFFFF"/>
                <w:sz w:val="24"/>
                <w:szCs w:val="24"/>
              </w:rPr>
              <w:t>Recall</w:t>
            </w:r>
          </w:p>
        </w:tc>
        <w:tc>
          <w:tcPr>
            <w:tcW w:w="1600" w:type="dxa"/>
            <w:shd w:val="clear" w:color="auto" w:fill="1F3864"/>
            <w:tcMar>
              <w:top w:w="80" w:type="dxa"/>
              <w:left w:w="100" w:type="dxa"/>
              <w:bottom w:w="80" w:type="dxa"/>
              <w:right w:w="100" w:type="dxa"/>
            </w:tcMar>
          </w:tcPr>
          <w:p w14:paraId="5824C301" w14:textId="77777777" w:rsidR="007A23A8" w:rsidRPr="00B3233B" w:rsidRDefault="00000000">
            <w:pPr>
              <w:jc w:val="center"/>
              <w:rPr>
                <w:rFonts w:asciiTheme="minorHAnsi" w:hAnsiTheme="minorHAnsi"/>
                <w:sz w:val="24"/>
                <w:szCs w:val="24"/>
              </w:rPr>
            </w:pPr>
            <w:r w:rsidRPr="00B3233B">
              <w:rPr>
                <w:rFonts w:asciiTheme="minorHAnsi" w:hAnsiTheme="minorHAnsi"/>
                <w:b/>
                <w:bCs/>
                <w:color w:val="FFFFFF"/>
                <w:sz w:val="24"/>
                <w:szCs w:val="24"/>
              </w:rPr>
              <w:t>F1</w:t>
            </w:r>
          </w:p>
        </w:tc>
        <w:tc>
          <w:tcPr>
            <w:tcW w:w="1600" w:type="dxa"/>
            <w:shd w:val="clear" w:color="auto" w:fill="1F3864"/>
            <w:tcMar>
              <w:top w:w="80" w:type="dxa"/>
              <w:left w:w="100" w:type="dxa"/>
              <w:bottom w:w="80" w:type="dxa"/>
              <w:right w:w="100" w:type="dxa"/>
            </w:tcMar>
          </w:tcPr>
          <w:p w14:paraId="1559ED29" w14:textId="77777777" w:rsidR="007A23A8" w:rsidRPr="00B3233B" w:rsidRDefault="00000000">
            <w:pPr>
              <w:jc w:val="center"/>
              <w:rPr>
                <w:rFonts w:asciiTheme="minorHAnsi" w:hAnsiTheme="minorHAnsi"/>
                <w:sz w:val="24"/>
                <w:szCs w:val="24"/>
              </w:rPr>
            </w:pPr>
            <w:r w:rsidRPr="00B3233B">
              <w:rPr>
                <w:rFonts w:asciiTheme="minorHAnsi" w:hAnsiTheme="minorHAnsi"/>
                <w:b/>
                <w:bCs/>
                <w:color w:val="FFFFFF"/>
                <w:sz w:val="24"/>
                <w:szCs w:val="24"/>
              </w:rPr>
              <w:t>ROC-AUC</w:t>
            </w:r>
          </w:p>
        </w:tc>
        <w:tc>
          <w:tcPr>
            <w:tcW w:w="1600" w:type="dxa"/>
            <w:shd w:val="clear" w:color="auto" w:fill="1F3864"/>
            <w:tcMar>
              <w:top w:w="80" w:type="dxa"/>
              <w:left w:w="100" w:type="dxa"/>
              <w:bottom w:w="80" w:type="dxa"/>
              <w:right w:w="100" w:type="dxa"/>
            </w:tcMar>
          </w:tcPr>
          <w:p w14:paraId="35EBF1AC" w14:textId="77777777" w:rsidR="007A23A8" w:rsidRPr="00B3233B" w:rsidRDefault="00000000">
            <w:pPr>
              <w:jc w:val="center"/>
              <w:rPr>
                <w:rFonts w:asciiTheme="minorHAnsi" w:hAnsiTheme="minorHAnsi"/>
                <w:sz w:val="24"/>
                <w:szCs w:val="24"/>
              </w:rPr>
            </w:pPr>
            <w:r w:rsidRPr="00B3233B">
              <w:rPr>
                <w:rFonts w:asciiTheme="minorHAnsi" w:hAnsiTheme="minorHAnsi"/>
                <w:b/>
                <w:bCs/>
                <w:color w:val="FFFFFF"/>
                <w:sz w:val="24"/>
                <w:szCs w:val="24"/>
              </w:rPr>
              <w:t>PR-AUC</w:t>
            </w:r>
          </w:p>
        </w:tc>
      </w:tr>
      <w:tr w:rsidR="007A23A8" w:rsidRPr="00B3233B" w14:paraId="3D006A5F" w14:textId="77777777">
        <w:tc>
          <w:tcPr>
            <w:tcW w:w="2600" w:type="dxa"/>
            <w:tcMar>
              <w:top w:w="80" w:type="dxa"/>
              <w:left w:w="100" w:type="dxa"/>
              <w:bottom w:w="80" w:type="dxa"/>
              <w:right w:w="100" w:type="dxa"/>
            </w:tcMar>
          </w:tcPr>
          <w:p w14:paraId="0742DB08"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Logistic Regression</w:t>
            </w:r>
          </w:p>
        </w:tc>
        <w:tc>
          <w:tcPr>
            <w:tcW w:w="1600" w:type="dxa"/>
            <w:tcMar>
              <w:top w:w="80" w:type="dxa"/>
              <w:left w:w="100" w:type="dxa"/>
              <w:bottom w:w="80" w:type="dxa"/>
              <w:right w:w="100" w:type="dxa"/>
            </w:tcMar>
          </w:tcPr>
          <w:p w14:paraId="2AD96B45"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0.928</w:t>
            </w:r>
          </w:p>
        </w:tc>
        <w:tc>
          <w:tcPr>
            <w:tcW w:w="1600" w:type="dxa"/>
            <w:tcMar>
              <w:top w:w="80" w:type="dxa"/>
              <w:left w:w="100" w:type="dxa"/>
              <w:bottom w:w="80" w:type="dxa"/>
              <w:right w:w="100" w:type="dxa"/>
            </w:tcMar>
          </w:tcPr>
          <w:p w14:paraId="71F4F3BB"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0.050</w:t>
            </w:r>
          </w:p>
        </w:tc>
        <w:tc>
          <w:tcPr>
            <w:tcW w:w="1600" w:type="dxa"/>
            <w:tcMar>
              <w:top w:w="80" w:type="dxa"/>
              <w:left w:w="100" w:type="dxa"/>
              <w:bottom w:w="80" w:type="dxa"/>
              <w:right w:w="100" w:type="dxa"/>
            </w:tcMar>
          </w:tcPr>
          <w:p w14:paraId="5D373994"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0.167</w:t>
            </w:r>
          </w:p>
        </w:tc>
        <w:tc>
          <w:tcPr>
            <w:tcW w:w="1600" w:type="dxa"/>
            <w:tcMar>
              <w:top w:w="80" w:type="dxa"/>
              <w:left w:w="100" w:type="dxa"/>
              <w:bottom w:w="80" w:type="dxa"/>
              <w:right w:w="100" w:type="dxa"/>
            </w:tcMar>
          </w:tcPr>
          <w:p w14:paraId="2AA8CB4B"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0.076</w:t>
            </w:r>
          </w:p>
        </w:tc>
        <w:tc>
          <w:tcPr>
            <w:tcW w:w="1600" w:type="dxa"/>
            <w:tcMar>
              <w:top w:w="80" w:type="dxa"/>
              <w:left w:w="100" w:type="dxa"/>
              <w:bottom w:w="80" w:type="dxa"/>
              <w:right w:w="100" w:type="dxa"/>
            </w:tcMar>
          </w:tcPr>
          <w:p w14:paraId="288BBEA2"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0.559</w:t>
            </w:r>
          </w:p>
        </w:tc>
        <w:tc>
          <w:tcPr>
            <w:tcW w:w="1600" w:type="dxa"/>
            <w:tcMar>
              <w:top w:w="80" w:type="dxa"/>
              <w:left w:w="100" w:type="dxa"/>
              <w:bottom w:w="80" w:type="dxa"/>
              <w:right w:w="100" w:type="dxa"/>
            </w:tcMar>
          </w:tcPr>
          <w:p w14:paraId="141D2425"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0.031</w:t>
            </w:r>
          </w:p>
        </w:tc>
      </w:tr>
      <w:tr w:rsidR="007A23A8" w:rsidRPr="00B3233B" w14:paraId="237D28F1" w14:textId="77777777">
        <w:tc>
          <w:tcPr>
            <w:tcW w:w="2600" w:type="dxa"/>
            <w:tcMar>
              <w:top w:w="80" w:type="dxa"/>
              <w:left w:w="100" w:type="dxa"/>
              <w:bottom w:w="80" w:type="dxa"/>
              <w:right w:w="100" w:type="dxa"/>
            </w:tcMar>
          </w:tcPr>
          <w:p w14:paraId="53FD8A90"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Random Forest</w:t>
            </w:r>
          </w:p>
        </w:tc>
        <w:tc>
          <w:tcPr>
            <w:tcW w:w="1600" w:type="dxa"/>
            <w:tcMar>
              <w:top w:w="80" w:type="dxa"/>
              <w:left w:w="100" w:type="dxa"/>
              <w:bottom w:w="80" w:type="dxa"/>
              <w:right w:w="100" w:type="dxa"/>
            </w:tcMar>
          </w:tcPr>
          <w:p w14:paraId="40B99E2A"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0.968</w:t>
            </w:r>
          </w:p>
        </w:tc>
        <w:tc>
          <w:tcPr>
            <w:tcW w:w="1600" w:type="dxa"/>
            <w:tcMar>
              <w:top w:w="80" w:type="dxa"/>
              <w:left w:w="100" w:type="dxa"/>
              <w:bottom w:w="80" w:type="dxa"/>
              <w:right w:w="100" w:type="dxa"/>
            </w:tcMar>
          </w:tcPr>
          <w:p w14:paraId="2BF581A8"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0.032</w:t>
            </w:r>
          </w:p>
        </w:tc>
        <w:tc>
          <w:tcPr>
            <w:tcW w:w="1600" w:type="dxa"/>
            <w:tcMar>
              <w:top w:w="80" w:type="dxa"/>
              <w:left w:w="100" w:type="dxa"/>
              <w:bottom w:w="80" w:type="dxa"/>
              <w:right w:w="100" w:type="dxa"/>
            </w:tcMar>
          </w:tcPr>
          <w:p w14:paraId="047BE00E"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0.028</w:t>
            </w:r>
          </w:p>
        </w:tc>
        <w:tc>
          <w:tcPr>
            <w:tcW w:w="1600" w:type="dxa"/>
            <w:tcMar>
              <w:top w:w="80" w:type="dxa"/>
              <w:left w:w="100" w:type="dxa"/>
              <w:bottom w:w="80" w:type="dxa"/>
              <w:right w:w="100" w:type="dxa"/>
            </w:tcMar>
          </w:tcPr>
          <w:p w14:paraId="1F4F1A48"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0.030</w:t>
            </w:r>
          </w:p>
        </w:tc>
        <w:tc>
          <w:tcPr>
            <w:tcW w:w="1600" w:type="dxa"/>
            <w:tcMar>
              <w:top w:w="80" w:type="dxa"/>
              <w:left w:w="100" w:type="dxa"/>
              <w:bottom w:w="80" w:type="dxa"/>
              <w:right w:w="100" w:type="dxa"/>
            </w:tcMar>
          </w:tcPr>
          <w:p w14:paraId="38B0018A"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0.662</w:t>
            </w:r>
          </w:p>
        </w:tc>
        <w:tc>
          <w:tcPr>
            <w:tcW w:w="1600" w:type="dxa"/>
            <w:tcMar>
              <w:top w:w="80" w:type="dxa"/>
              <w:left w:w="100" w:type="dxa"/>
              <w:bottom w:w="80" w:type="dxa"/>
              <w:right w:w="100" w:type="dxa"/>
            </w:tcMar>
          </w:tcPr>
          <w:p w14:paraId="5337EC9D"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0.040</w:t>
            </w:r>
          </w:p>
        </w:tc>
      </w:tr>
    </w:tbl>
    <w:p w14:paraId="7ADC3197" w14:textId="77777777" w:rsidR="00952B97" w:rsidRDefault="00952B97">
      <w:pPr>
        <w:spacing w:after="160" w:line="276" w:lineRule="auto"/>
        <w:jc w:val="both"/>
        <w:rPr>
          <w:rFonts w:asciiTheme="minorHAnsi" w:hAnsiTheme="minorHAnsi"/>
          <w:sz w:val="24"/>
          <w:szCs w:val="24"/>
        </w:rPr>
      </w:pPr>
    </w:p>
    <w:p w14:paraId="6B699FA1" w14:textId="77777777" w:rsidR="00952B97" w:rsidRPr="00952B97" w:rsidRDefault="00952B97" w:rsidP="00952B97">
      <w:pPr>
        <w:spacing w:after="160" w:line="276" w:lineRule="auto"/>
        <w:jc w:val="both"/>
        <w:rPr>
          <w:rFonts w:asciiTheme="minorHAnsi" w:hAnsiTheme="minorHAnsi"/>
          <w:sz w:val="24"/>
          <w:szCs w:val="24"/>
        </w:rPr>
      </w:pPr>
      <w:r w:rsidRPr="00952B97">
        <w:rPr>
          <w:rFonts w:asciiTheme="minorHAnsi" w:hAnsiTheme="minorHAnsi"/>
          <w:sz w:val="24"/>
          <w:szCs w:val="24"/>
        </w:rPr>
        <w:t>With ROC-AUC of 0.662 against 0.559 for logistic regression and PR-AUC of 0.040 versus 0.031—both significantly over the 0.018 prevalence baseline for PR-AUC—Random Forest produced the stronger ranking metrics, suggesting a real (if minor) discriminative signal. While random forest's extremely high accuracy (0.968) is primarily an artefact of the extreme class imbalance rather than evidence of strong positive-class detection, logistic regression traded precision for significantly higher recall (0.167 vs. 0.028) at the cost of more false positives. Both confusion matrices show a small number of correctly identified defaults against a very large true-negative count, with only 36 true positive cases in the 2,000-row test set.</w:t>
      </w:r>
    </w:p>
    <w:p w14:paraId="58D051C8" w14:textId="77777777" w:rsidR="00952B97" w:rsidRDefault="00952B97">
      <w:pPr>
        <w:spacing w:after="160" w:line="276" w:lineRule="auto"/>
        <w:jc w:val="both"/>
        <w:rPr>
          <w:rFonts w:asciiTheme="minorHAnsi" w:hAnsiTheme="minorHAnsi"/>
          <w:sz w:val="24"/>
          <w:szCs w:val="24"/>
        </w:rPr>
      </w:pPr>
    </w:p>
    <w:p w14:paraId="56CA3125" w14:textId="77777777" w:rsidR="007A23A8" w:rsidRDefault="00000000">
      <w:pPr>
        <w:jc w:val="center"/>
        <w:rPr>
          <w:rFonts w:asciiTheme="minorHAnsi" w:hAnsiTheme="minorHAnsi"/>
          <w:sz w:val="24"/>
          <w:szCs w:val="24"/>
        </w:rPr>
      </w:pPr>
      <w:r w:rsidRPr="00B3233B">
        <w:rPr>
          <w:rFonts w:asciiTheme="minorHAnsi" w:hAnsiTheme="minorHAnsi"/>
          <w:noProof/>
          <w:sz w:val="24"/>
          <w:szCs w:val="24"/>
        </w:rPr>
        <w:lastRenderedPageBreak/>
        <w:drawing>
          <wp:inline distT="0" distB="0" distL="0" distR="0" wp14:anchorId="257815AD" wp14:editId="0AE4601F">
            <wp:extent cx="5486400" cy="222700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roc_pr_crop.png"/>
                    <pic:cNvPicPr/>
                  </pic:nvPicPr>
                  <pic:blipFill>
                    <a:blip r:embed="rId11"/>
                    <a:stretch>
                      <a:fillRect/>
                    </a:stretch>
                  </pic:blipFill>
                  <pic:spPr>
                    <a:xfrm>
                      <a:off x="0" y="0"/>
                      <a:ext cx="5486400" cy="2227006"/>
                    </a:xfrm>
                    <a:prstGeom prst="rect">
                      <a:avLst/>
                    </a:prstGeom>
                  </pic:spPr>
                </pic:pic>
              </a:graphicData>
            </a:graphic>
          </wp:inline>
        </w:drawing>
      </w:r>
    </w:p>
    <w:p w14:paraId="5D62438C" w14:textId="77777777" w:rsidR="002C1603" w:rsidRDefault="002C1603" w:rsidP="002C1603">
      <w:pPr>
        <w:pStyle w:val="Heading3"/>
        <w:ind w:firstLine="720"/>
      </w:pPr>
    </w:p>
    <w:p w14:paraId="25CC3C9F" w14:textId="14DC2ACA" w:rsidR="007A23A8" w:rsidRDefault="002C1603" w:rsidP="002C1603">
      <w:pPr>
        <w:pStyle w:val="Heading3"/>
        <w:ind w:firstLine="720"/>
      </w:pPr>
      <w:bookmarkStart w:id="8" w:name="_Toc236009726"/>
      <w:r w:rsidRPr="002C1603">
        <w:t>Figure 3: Precision-Recall and ROC curves for random forest and logistic regression.</w:t>
      </w:r>
      <w:bookmarkEnd w:id="8"/>
    </w:p>
    <w:p w14:paraId="26771E47" w14:textId="77777777" w:rsidR="002C1603" w:rsidRPr="00B3233B" w:rsidRDefault="002C1603">
      <w:pPr>
        <w:jc w:val="center"/>
        <w:rPr>
          <w:rFonts w:asciiTheme="minorHAnsi" w:hAnsiTheme="minorHAnsi"/>
          <w:sz w:val="24"/>
          <w:szCs w:val="24"/>
        </w:rPr>
      </w:pPr>
    </w:p>
    <w:p w14:paraId="273E73FC" w14:textId="77777777" w:rsidR="007A23A8" w:rsidRDefault="00000000">
      <w:pPr>
        <w:jc w:val="center"/>
        <w:rPr>
          <w:rFonts w:asciiTheme="minorHAnsi" w:hAnsiTheme="minorHAnsi"/>
          <w:sz w:val="24"/>
          <w:szCs w:val="24"/>
        </w:rPr>
      </w:pPr>
      <w:r w:rsidRPr="00B3233B">
        <w:rPr>
          <w:rFonts w:asciiTheme="minorHAnsi" w:hAnsiTheme="minorHAnsi"/>
          <w:noProof/>
          <w:sz w:val="24"/>
          <w:szCs w:val="24"/>
        </w:rPr>
        <w:drawing>
          <wp:inline distT="0" distB="0" distL="0" distR="0" wp14:anchorId="764849AB" wp14:editId="4E3F1F1B">
            <wp:extent cx="5029200" cy="228102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confusion_matrices_crop.png"/>
                    <pic:cNvPicPr/>
                  </pic:nvPicPr>
                  <pic:blipFill>
                    <a:blip r:embed="rId12"/>
                    <a:stretch>
                      <a:fillRect/>
                    </a:stretch>
                  </pic:blipFill>
                  <pic:spPr>
                    <a:xfrm>
                      <a:off x="0" y="0"/>
                      <a:ext cx="5029200" cy="2281026"/>
                    </a:xfrm>
                    <a:prstGeom prst="rect">
                      <a:avLst/>
                    </a:prstGeom>
                  </pic:spPr>
                </pic:pic>
              </a:graphicData>
            </a:graphic>
          </wp:inline>
        </w:drawing>
      </w:r>
    </w:p>
    <w:p w14:paraId="274A4D2D" w14:textId="77777777" w:rsidR="002C1603" w:rsidRDefault="002C1603" w:rsidP="002C1603">
      <w:pPr>
        <w:pStyle w:val="Heading3"/>
        <w:ind w:firstLine="720"/>
      </w:pPr>
    </w:p>
    <w:p w14:paraId="6FA8EDA1" w14:textId="7A3390E3" w:rsidR="002C1603" w:rsidRPr="002C1603" w:rsidRDefault="002C1603" w:rsidP="002C1603">
      <w:pPr>
        <w:pStyle w:val="Heading3"/>
        <w:ind w:left="720" w:firstLine="720"/>
      </w:pPr>
      <w:bookmarkStart w:id="9" w:name="_Toc236009727"/>
      <w:r w:rsidRPr="002C1603">
        <w:t>Figure 4: Confusion matrices at the F1-optimal threshold for each model.</w:t>
      </w:r>
      <w:bookmarkEnd w:id="9"/>
    </w:p>
    <w:p w14:paraId="45255CD1" w14:textId="77777777" w:rsidR="00952B97" w:rsidRDefault="00952B97">
      <w:pPr>
        <w:spacing w:after="160" w:line="276" w:lineRule="auto"/>
        <w:jc w:val="both"/>
        <w:rPr>
          <w:rFonts w:asciiTheme="minorHAnsi" w:hAnsiTheme="minorHAnsi"/>
          <w:sz w:val="24"/>
          <w:szCs w:val="24"/>
        </w:rPr>
      </w:pPr>
    </w:p>
    <w:p w14:paraId="5DC53CC7" w14:textId="77777777" w:rsidR="00952B97" w:rsidRPr="00952B97" w:rsidRDefault="00952B97" w:rsidP="00952B97">
      <w:pPr>
        <w:spacing w:after="160" w:line="276" w:lineRule="auto"/>
        <w:jc w:val="both"/>
        <w:rPr>
          <w:rFonts w:asciiTheme="minorHAnsi" w:hAnsiTheme="minorHAnsi"/>
          <w:sz w:val="24"/>
          <w:szCs w:val="24"/>
        </w:rPr>
      </w:pPr>
      <w:r w:rsidRPr="00952B97">
        <w:rPr>
          <w:rFonts w:asciiTheme="minorHAnsi" w:hAnsiTheme="minorHAnsi"/>
          <w:sz w:val="24"/>
          <w:szCs w:val="24"/>
        </w:rPr>
        <w:t>The amount of signal excluded by the circularity decision in Section 2.1 was measured by a sensitivity check. A random forest trained solely on Lending Club's grade and interest_rate fields produced a ROC-AUC of 0.646, which is comparable to and within the range of the 0.662 obtained by the full model constructed entirely from raw applicant and credit-bureau attributes. This is a helpful two-way check: it demonstrates that the engineered feature set captures a significant portion of the same risk signal that Lending Club's internal grade already encodes, and it confirms that adding grade/interest_rate directly would have been close to circular reasoning because those two fields alone almost recover the discriminative power of the internal score.</w:t>
      </w:r>
    </w:p>
    <w:p w14:paraId="3D146085" w14:textId="77777777" w:rsidR="005D35A7" w:rsidRPr="005D35A7" w:rsidRDefault="005D35A7" w:rsidP="005D35A7">
      <w:pPr>
        <w:spacing w:after="160" w:line="276" w:lineRule="auto"/>
        <w:jc w:val="both"/>
        <w:rPr>
          <w:rFonts w:asciiTheme="minorHAnsi" w:hAnsiTheme="minorHAnsi"/>
          <w:sz w:val="24"/>
          <w:szCs w:val="24"/>
        </w:rPr>
      </w:pPr>
      <w:r w:rsidRPr="005D35A7">
        <w:rPr>
          <w:rFonts w:asciiTheme="minorHAnsi" w:hAnsiTheme="minorHAnsi"/>
          <w:sz w:val="24"/>
          <w:szCs w:val="24"/>
        </w:rPr>
        <w:t>A feature-importance analysis revealed that the two models often agreed on which features carried the greatest signal. The debt-to-income ratio, total debit limit, total credit limit, months since last credit inquiry, credit utilisation, annual income, loan amount, and length of credit history were the leading drivers of Random Forest's mean drop in impurity. The same recency-</w:t>
      </w:r>
      <w:r w:rsidRPr="005D35A7">
        <w:rPr>
          <w:rFonts w:asciiTheme="minorHAnsi" w:hAnsiTheme="minorHAnsi"/>
          <w:sz w:val="24"/>
          <w:szCs w:val="24"/>
        </w:rPr>
        <w:lastRenderedPageBreak/>
        <w:t>of-inquiry and delinquency-history features (months_since_last_credit_inquiry, the never_delinquent and never_90d_late “never happened” flags) as well as loan purpose categories like small business (associated with higher risk) and several purpose categories associated with lower risk were the focus of logistic regression's largest-magnitude standardised coefficients.</w:t>
      </w:r>
      <w:r>
        <w:rPr>
          <w:rFonts w:asciiTheme="minorHAnsi" w:hAnsiTheme="minorHAnsi"/>
          <w:sz w:val="24"/>
          <w:szCs w:val="24"/>
        </w:rPr>
        <w:t xml:space="preserve"> </w:t>
      </w:r>
      <w:r w:rsidRPr="005D35A7">
        <w:rPr>
          <w:rFonts w:asciiTheme="minorHAnsi" w:hAnsiTheme="minorHAnsi"/>
          <w:sz w:val="24"/>
          <w:szCs w:val="24"/>
        </w:rPr>
        <w:t>A model-agnostic cross-check on the impurity-based importances is provided by SHAP values calculated for the random forest, an approach whose value for generating comprehensible, scorecard-style explanations from tree-based credit models has recently been demonstrated in the literature [6]. These values attribute each individual prediction to feature-level contributions, corroborate this same set of top drivers, and also show direction of effect (e.g., higher debt-to-income and utilisation push predicted risk upward).</w:t>
      </w:r>
    </w:p>
    <w:p w14:paraId="4370A38C" w14:textId="51C7B20C" w:rsidR="005D35A7" w:rsidRPr="005D35A7" w:rsidRDefault="005D35A7" w:rsidP="005D35A7">
      <w:pPr>
        <w:spacing w:after="160" w:line="276" w:lineRule="auto"/>
        <w:jc w:val="both"/>
        <w:rPr>
          <w:rFonts w:asciiTheme="minorHAnsi" w:hAnsiTheme="minorHAnsi"/>
          <w:sz w:val="24"/>
          <w:szCs w:val="24"/>
        </w:rPr>
      </w:pPr>
    </w:p>
    <w:p w14:paraId="4C6372C0" w14:textId="77777777" w:rsidR="007A23A8" w:rsidRDefault="00000000">
      <w:pPr>
        <w:jc w:val="center"/>
        <w:rPr>
          <w:rFonts w:asciiTheme="minorHAnsi" w:hAnsiTheme="minorHAnsi"/>
          <w:sz w:val="24"/>
          <w:szCs w:val="24"/>
        </w:rPr>
      </w:pPr>
      <w:r w:rsidRPr="00B3233B">
        <w:rPr>
          <w:rFonts w:asciiTheme="minorHAnsi" w:hAnsiTheme="minorHAnsi"/>
          <w:noProof/>
          <w:sz w:val="24"/>
          <w:szCs w:val="24"/>
        </w:rPr>
        <w:drawing>
          <wp:inline distT="0" distB="0" distL="0" distR="0" wp14:anchorId="66991D8E" wp14:editId="1B0FCD1F">
            <wp:extent cx="4754880" cy="444830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rf_importance.png"/>
                    <pic:cNvPicPr/>
                  </pic:nvPicPr>
                  <pic:blipFill>
                    <a:blip r:embed="rId13"/>
                    <a:stretch>
                      <a:fillRect/>
                    </a:stretch>
                  </pic:blipFill>
                  <pic:spPr>
                    <a:xfrm>
                      <a:off x="0" y="0"/>
                      <a:ext cx="4754880" cy="4448307"/>
                    </a:xfrm>
                    <a:prstGeom prst="rect">
                      <a:avLst/>
                    </a:prstGeom>
                  </pic:spPr>
                </pic:pic>
              </a:graphicData>
            </a:graphic>
          </wp:inline>
        </w:drawing>
      </w:r>
    </w:p>
    <w:p w14:paraId="535D0356" w14:textId="77777777" w:rsidR="002C1603" w:rsidRDefault="002C1603" w:rsidP="002C1603">
      <w:pPr>
        <w:pStyle w:val="Heading3"/>
        <w:ind w:firstLine="720"/>
      </w:pPr>
    </w:p>
    <w:p w14:paraId="129BFA8C" w14:textId="5D13958C" w:rsidR="002C1603" w:rsidRPr="002C1603" w:rsidRDefault="002C1603" w:rsidP="002C1603">
      <w:pPr>
        <w:pStyle w:val="Heading3"/>
        <w:ind w:firstLine="720"/>
      </w:pPr>
      <w:bookmarkStart w:id="10" w:name="_Toc236009728"/>
      <w:r w:rsidRPr="002C1603">
        <w:t>Figure 5: Random forest: mean decrease in impurity (top 15 feature importances).</w:t>
      </w:r>
      <w:bookmarkEnd w:id="10"/>
    </w:p>
    <w:p w14:paraId="19A7BCB4" w14:textId="77777777" w:rsidR="007A23A8" w:rsidRPr="00B3233B" w:rsidRDefault="00000000">
      <w:pPr>
        <w:jc w:val="center"/>
        <w:rPr>
          <w:rFonts w:asciiTheme="minorHAnsi" w:hAnsiTheme="minorHAnsi"/>
          <w:sz w:val="24"/>
          <w:szCs w:val="24"/>
        </w:rPr>
      </w:pPr>
      <w:r w:rsidRPr="00B3233B">
        <w:rPr>
          <w:rFonts w:asciiTheme="minorHAnsi" w:hAnsiTheme="minorHAnsi"/>
          <w:noProof/>
          <w:sz w:val="24"/>
          <w:szCs w:val="24"/>
        </w:rPr>
        <w:lastRenderedPageBreak/>
        <w:drawing>
          <wp:inline distT="0" distB="0" distL="0" distR="0" wp14:anchorId="483CCD64" wp14:editId="5FA058D5">
            <wp:extent cx="4572000" cy="47587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logreg_coef.png"/>
                    <pic:cNvPicPr/>
                  </pic:nvPicPr>
                  <pic:blipFill>
                    <a:blip r:embed="rId14"/>
                    <a:stretch>
                      <a:fillRect/>
                    </a:stretch>
                  </pic:blipFill>
                  <pic:spPr>
                    <a:xfrm>
                      <a:off x="0" y="0"/>
                      <a:ext cx="4572000" cy="4758735"/>
                    </a:xfrm>
                    <a:prstGeom prst="rect">
                      <a:avLst/>
                    </a:prstGeom>
                  </pic:spPr>
                </pic:pic>
              </a:graphicData>
            </a:graphic>
          </wp:inline>
        </w:drawing>
      </w:r>
    </w:p>
    <w:p w14:paraId="10B31FA1" w14:textId="77777777" w:rsidR="002C1603" w:rsidRDefault="002C1603" w:rsidP="002C1603">
      <w:pPr>
        <w:pStyle w:val="Heading3"/>
        <w:ind w:firstLine="720"/>
      </w:pPr>
    </w:p>
    <w:p w14:paraId="791A198B" w14:textId="16031E6E" w:rsidR="002C1603" w:rsidRPr="002C1603" w:rsidRDefault="002C1603" w:rsidP="002C1603">
      <w:pPr>
        <w:pStyle w:val="Heading3"/>
        <w:ind w:firstLine="720"/>
      </w:pPr>
      <w:bookmarkStart w:id="11" w:name="_Toc236009729"/>
      <w:r w:rsidRPr="002C1603">
        <w:t>Figure 6</w:t>
      </w:r>
      <w:r>
        <w:t>:</w:t>
      </w:r>
      <w:r w:rsidRPr="002C1603">
        <w:t xml:space="preserve"> shows the top 15 standardised coefficients (log-odds scale) in logistic regression.</w:t>
      </w:r>
      <w:bookmarkEnd w:id="11"/>
    </w:p>
    <w:p w14:paraId="6A9F7BFE" w14:textId="77777777" w:rsidR="002C1603" w:rsidRDefault="00000000" w:rsidP="002C1603">
      <w:pPr>
        <w:jc w:val="center"/>
      </w:pPr>
      <w:r w:rsidRPr="00B3233B">
        <w:rPr>
          <w:rFonts w:asciiTheme="minorHAnsi" w:hAnsiTheme="minorHAnsi"/>
          <w:noProof/>
          <w:sz w:val="24"/>
          <w:szCs w:val="24"/>
        </w:rPr>
        <w:lastRenderedPageBreak/>
        <w:drawing>
          <wp:inline distT="0" distB="0" distL="0" distR="0" wp14:anchorId="257CC59D" wp14:editId="3EB5D088">
            <wp:extent cx="4846320" cy="55486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shap.png"/>
                    <pic:cNvPicPr/>
                  </pic:nvPicPr>
                  <pic:blipFill>
                    <a:blip r:embed="rId15"/>
                    <a:stretch>
                      <a:fillRect/>
                    </a:stretch>
                  </pic:blipFill>
                  <pic:spPr>
                    <a:xfrm>
                      <a:off x="0" y="0"/>
                      <a:ext cx="4846320" cy="5548685"/>
                    </a:xfrm>
                    <a:prstGeom prst="rect">
                      <a:avLst/>
                    </a:prstGeom>
                  </pic:spPr>
                </pic:pic>
              </a:graphicData>
            </a:graphic>
          </wp:inline>
        </w:drawing>
      </w:r>
    </w:p>
    <w:p w14:paraId="77CBB285" w14:textId="77777777" w:rsidR="002C1603" w:rsidRDefault="002C1603" w:rsidP="002C1603">
      <w:pPr>
        <w:pStyle w:val="Heading3"/>
        <w:ind w:firstLine="720"/>
      </w:pPr>
    </w:p>
    <w:p w14:paraId="5AD95229" w14:textId="1EE5FA9A" w:rsidR="002C1603" w:rsidRPr="002C1603" w:rsidRDefault="002C1603" w:rsidP="002C1603">
      <w:pPr>
        <w:pStyle w:val="Heading3"/>
        <w:ind w:firstLine="720"/>
        <w:jc w:val="center"/>
      </w:pPr>
      <w:bookmarkStart w:id="12" w:name="_Toc236009730"/>
      <w:r w:rsidRPr="002C1603">
        <w:t>Figure 7: The random forest's SHAP summary plot, displaying the direction of influence at the feature level.</w:t>
      </w:r>
      <w:bookmarkEnd w:id="12"/>
    </w:p>
    <w:p w14:paraId="258C3D38" w14:textId="76A2B3D1" w:rsidR="007A23A8" w:rsidRPr="00B3233B" w:rsidRDefault="007A23A8">
      <w:pPr>
        <w:jc w:val="center"/>
        <w:rPr>
          <w:rFonts w:asciiTheme="minorHAnsi" w:hAnsiTheme="minorHAnsi"/>
          <w:sz w:val="24"/>
          <w:szCs w:val="24"/>
        </w:rPr>
      </w:pPr>
    </w:p>
    <w:p w14:paraId="4CEE26C4" w14:textId="77777777" w:rsidR="002E036B" w:rsidRDefault="002E036B">
      <w:pPr>
        <w:pStyle w:val="Heading1"/>
        <w:spacing w:before="320" w:after="160"/>
        <w:rPr>
          <w:rFonts w:asciiTheme="minorHAnsi" w:hAnsiTheme="minorHAnsi"/>
          <w:b/>
          <w:bCs/>
        </w:rPr>
      </w:pPr>
    </w:p>
    <w:p w14:paraId="4F8092B4" w14:textId="77777777" w:rsidR="002E036B" w:rsidRDefault="002E036B">
      <w:pPr>
        <w:pStyle w:val="Heading1"/>
        <w:spacing w:before="320" w:after="160"/>
        <w:rPr>
          <w:rFonts w:asciiTheme="minorHAnsi" w:hAnsiTheme="minorHAnsi"/>
          <w:b/>
          <w:bCs/>
        </w:rPr>
      </w:pPr>
    </w:p>
    <w:p w14:paraId="29621DAC" w14:textId="77777777" w:rsidR="002E036B" w:rsidRDefault="002E036B">
      <w:pPr>
        <w:pStyle w:val="Heading1"/>
        <w:spacing w:before="320" w:after="160"/>
        <w:rPr>
          <w:rFonts w:asciiTheme="minorHAnsi" w:hAnsiTheme="minorHAnsi"/>
          <w:b/>
          <w:bCs/>
        </w:rPr>
      </w:pPr>
    </w:p>
    <w:p w14:paraId="446A25CA" w14:textId="77777777" w:rsidR="002E036B" w:rsidRDefault="002E036B">
      <w:pPr>
        <w:pStyle w:val="Heading1"/>
        <w:spacing w:before="320" w:after="160"/>
        <w:rPr>
          <w:rFonts w:asciiTheme="minorHAnsi" w:hAnsiTheme="minorHAnsi"/>
          <w:b/>
          <w:bCs/>
        </w:rPr>
      </w:pPr>
    </w:p>
    <w:p w14:paraId="30BE95AD" w14:textId="77777777" w:rsidR="002E036B" w:rsidRDefault="002E036B">
      <w:pPr>
        <w:pStyle w:val="Heading1"/>
        <w:spacing w:before="320" w:after="160"/>
        <w:rPr>
          <w:rFonts w:asciiTheme="minorHAnsi" w:hAnsiTheme="minorHAnsi"/>
          <w:b/>
          <w:bCs/>
        </w:rPr>
      </w:pPr>
    </w:p>
    <w:p w14:paraId="1015458B" w14:textId="28A08297" w:rsidR="007A23A8" w:rsidRPr="005D35A7" w:rsidRDefault="00000000">
      <w:pPr>
        <w:pStyle w:val="Heading1"/>
        <w:spacing w:before="320" w:after="160"/>
        <w:rPr>
          <w:rFonts w:asciiTheme="minorHAnsi" w:hAnsiTheme="minorHAnsi"/>
        </w:rPr>
      </w:pPr>
      <w:bookmarkStart w:id="13" w:name="_Toc236009731"/>
      <w:r w:rsidRPr="005D35A7">
        <w:rPr>
          <w:rFonts w:asciiTheme="minorHAnsi" w:hAnsiTheme="minorHAnsi"/>
          <w:b/>
          <w:bCs/>
        </w:rPr>
        <w:lastRenderedPageBreak/>
        <w:t>4. Discussion</w:t>
      </w:r>
      <w:bookmarkEnd w:id="13"/>
    </w:p>
    <w:p w14:paraId="1B19A1D1" w14:textId="6EBCF7E0" w:rsidR="007A23A8" w:rsidRPr="005D35A7" w:rsidRDefault="00000000">
      <w:pPr>
        <w:pStyle w:val="Heading2"/>
        <w:spacing w:before="240" w:after="120"/>
        <w:rPr>
          <w:rFonts w:asciiTheme="minorHAnsi" w:hAnsiTheme="minorHAnsi"/>
          <w:sz w:val="28"/>
          <w:szCs w:val="28"/>
        </w:rPr>
      </w:pPr>
      <w:bookmarkStart w:id="14" w:name="_Toc236009732"/>
      <w:r w:rsidRPr="005D35A7">
        <w:rPr>
          <w:rFonts w:asciiTheme="minorHAnsi" w:hAnsiTheme="minorHAnsi"/>
          <w:b/>
          <w:bCs/>
          <w:sz w:val="28"/>
          <w:szCs w:val="28"/>
        </w:rPr>
        <w:t>4.1 Model Comparison</w:t>
      </w:r>
      <w:r w:rsidR="005D35A7">
        <w:rPr>
          <w:rFonts w:asciiTheme="minorHAnsi" w:hAnsiTheme="minorHAnsi"/>
          <w:b/>
          <w:bCs/>
          <w:sz w:val="28"/>
          <w:szCs w:val="28"/>
        </w:rPr>
        <w:t>:</w:t>
      </w:r>
      <w:bookmarkEnd w:id="14"/>
    </w:p>
    <w:p w14:paraId="45A56B6A" w14:textId="77777777" w:rsidR="005D35A7" w:rsidRPr="005D35A7" w:rsidRDefault="005D35A7" w:rsidP="005D35A7">
      <w:pPr>
        <w:spacing w:after="160" w:line="276" w:lineRule="auto"/>
        <w:jc w:val="both"/>
        <w:rPr>
          <w:rFonts w:asciiTheme="minorHAnsi" w:hAnsiTheme="minorHAnsi"/>
          <w:sz w:val="24"/>
          <w:szCs w:val="24"/>
        </w:rPr>
      </w:pPr>
      <w:r w:rsidRPr="005D35A7">
        <w:rPr>
          <w:rFonts w:asciiTheme="minorHAnsi" w:hAnsiTheme="minorHAnsi"/>
          <w:sz w:val="24"/>
          <w:szCs w:val="24"/>
        </w:rPr>
        <w:t>By capturing non-linear interactions among features like utilisation, credit-line counts, and inquiry recency, ensemble tree methods generally outperform linear baselines on imbalanced consumer-credit data [1]–[3]. This is consistent with Random Forest's advantage on both ranking metrics. The precision below 5% at useable recall levels indicates that the vast majority of applicants identified as high-risk would not really exhibit repayment difficulties in this snapshot; nonetheless, the absolute margin is limited and both models' absolute performance is low from a commercial standpoint. This should not be seen as proof that either approach is generally inappropriate for the task, but rather as a result of the data-availability constraint mentioned in Section 2.1 (very few confirmed poor outcomes to learn from).</w:t>
      </w:r>
    </w:p>
    <w:p w14:paraId="37A1ADDB" w14:textId="77777777" w:rsidR="005D35A7" w:rsidRPr="00B3233B" w:rsidRDefault="005D35A7">
      <w:pPr>
        <w:spacing w:after="160" w:line="276" w:lineRule="auto"/>
        <w:jc w:val="both"/>
        <w:rPr>
          <w:rFonts w:asciiTheme="minorHAnsi" w:hAnsiTheme="minorHAnsi"/>
          <w:sz w:val="24"/>
          <w:szCs w:val="24"/>
        </w:rPr>
      </w:pPr>
    </w:p>
    <w:p w14:paraId="56194C7A" w14:textId="1A92C9AF" w:rsidR="007A23A8" w:rsidRPr="005D35A7" w:rsidRDefault="00000000">
      <w:pPr>
        <w:pStyle w:val="Heading2"/>
        <w:spacing w:before="240" w:after="120"/>
        <w:rPr>
          <w:rFonts w:asciiTheme="minorHAnsi" w:hAnsiTheme="minorHAnsi"/>
          <w:sz w:val="28"/>
          <w:szCs w:val="28"/>
        </w:rPr>
      </w:pPr>
      <w:bookmarkStart w:id="15" w:name="_Toc236009733"/>
      <w:r w:rsidRPr="005D35A7">
        <w:rPr>
          <w:rFonts w:asciiTheme="minorHAnsi" w:hAnsiTheme="minorHAnsi"/>
          <w:b/>
          <w:bCs/>
          <w:sz w:val="28"/>
          <w:szCs w:val="28"/>
        </w:rPr>
        <w:t>4.2 Interpretability</w:t>
      </w:r>
      <w:r w:rsidR="005D35A7">
        <w:rPr>
          <w:rFonts w:asciiTheme="minorHAnsi" w:hAnsiTheme="minorHAnsi"/>
          <w:b/>
          <w:bCs/>
          <w:sz w:val="28"/>
          <w:szCs w:val="28"/>
        </w:rPr>
        <w:t>:</w:t>
      </w:r>
      <w:bookmarkEnd w:id="15"/>
    </w:p>
    <w:p w14:paraId="7A66CF02" w14:textId="77777777" w:rsidR="005D35A7" w:rsidRPr="005D35A7" w:rsidRDefault="005D35A7" w:rsidP="005D35A7">
      <w:pPr>
        <w:spacing w:after="160" w:line="276" w:lineRule="auto"/>
        <w:jc w:val="both"/>
        <w:rPr>
          <w:rFonts w:asciiTheme="minorHAnsi" w:hAnsiTheme="minorHAnsi"/>
          <w:sz w:val="24"/>
          <w:szCs w:val="24"/>
        </w:rPr>
      </w:pPr>
      <w:r w:rsidRPr="005D35A7">
        <w:rPr>
          <w:rFonts w:asciiTheme="minorHAnsi" w:hAnsiTheme="minorHAnsi"/>
          <w:sz w:val="24"/>
          <w:szCs w:val="24"/>
        </w:rPr>
        <w:t>In regulated lending environments, where adverse-action notices must provide precise, comprehensible justifications for a decision, logistic regression's coefficients are directly interpretable as log-odds effects and do not require post-hoc explanation tools. To attain such transparency, Random Forest needed an additional interpretability layer (impurity-based significance and SHAP), and even then, SHAP explains individual predictions rather than producing a single global equation. The encouraging conclusion is convergence: rather than disagreeing on what counts, both methodologies and interpretability techniques (coefficients and SHAP) emphasised essentially the same few drivers: debt-to-income, credit usage and limits, income, and query recency. This consistency boosts the likelihood that the signal is authentic and not an artefact of a specific program.</w:t>
      </w:r>
    </w:p>
    <w:p w14:paraId="12AC47F0" w14:textId="77777777" w:rsidR="005D35A7" w:rsidRPr="00B3233B" w:rsidRDefault="005D35A7">
      <w:pPr>
        <w:spacing w:after="160" w:line="276" w:lineRule="auto"/>
        <w:jc w:val="both"/>
        <w:rPr>
          <w:rFonts w:asciiTheme="minorHAnsi" w:hAnsiTheme="minorHAnsi"/>
          <w:sz w:val="24"/>
          <w:szCs w:val="24"/>
        </w:rPr>
      </w:pPr>
    </w:p>
    <w:p w14:paraId="0E89A687" w14:textId="7837C286" w:rsidR="007A23A8" w:rsidRPr="005D35A7" w:rsidRDefault="00000000">
      <w:pPr>
        <w:pStyle w:val="Heading2"/>
        <w:spacing w:before="240" w:after="120"/>
        <w:rPr>
          <w:rFonts w:asciiTheme="minorHAnsi" w:hAnsiTheme="minorHAnsi"/>
          <w:sz w:val="28"/>
          <w:szCs w:val="28"/>
        </w:rPr>
      </w:pPr>
      <w:bookmarkStart w:id="16" w:name="_Toc236009734"/>
      <w:r w:rsidRPr="005D35A7">
        <w:rPr>
          <w:rFonts w:asciiTheme="minorHAnsi" w:hAnsiTheme="minorHAnsi"/>
          <w:b/>
          <w:bCs/>
          <w:sz w:val="28"/>
          <w:szCs w:val="28"/>
        </w:rPr>
        <w:t>4.3 Ethics and Fairness</w:t>
      </w:r>
      <w:r w:rsidR="005D35A7">
        <w:rPr>
          <w:rFonts w:asciiTheme="minorHAnsi" w:hAnsiTheme="minorHAnsi"/>
          <w:b/>
          <w:bCs/>
          <w:sz w:val="28"/>
          <w:szCs w:val="28"/>
        </w:rPr>
        <w:t>:</w:t>
      </w:r>
      <w:bookmarkEnd w:id="16"/>
    </w:p>
    <w:p w14:paraId="39CE83D4" w14:textId="0FAAA0DB" w:rsidR="005D35A7" w:rsidRDefault="005D35A7">
      <w:pPr>
        <w:spacing w:after="160" w:line="276" w:lineRule="auto"/>
        <w:jc w:val="both"/>
        <w:rPr>
          <w:rFonts w:asciiTheme="minorHAnsi" w:hAnsiTheme="minorHAnsi"/>
          <w:sz w:val="24"/>
          <w:szCs w:val="24"/>
        </w:rPr>
      </w:pPr>
      <w:r w:rsidRPr="005D35A7">
        <w:rPr>
          <w:rFonts w:asciiTheme="minorHAnsi" w:hAnsiTheme="minorHAnsi"/>
          <w:sz w:val="24"/>
          <w:szCs w:val="24"/>
        </w:rPr>
        <w:t>The fairness analysis (Table 2) demonstrates that available socio-economic proxies still contain systematic heterogeneity in both actual and expected risk, despite the dataset's exclusion of gender, colour, and age in accordance with US fair-lending practices.</w:t>
      </w:r>
    </w:p>
    <w:p w14:paraId="7819D7F0" w14:textId="77777777" w:rsidR="002E036B" w:rsidRDefault="002E036B">
      <w:pPr>
        <w:spacing w:after="160" w:line="276" w:lineRule="auto"/>
        <w:jc w:val="both"/>
        <w:rPr>
          <w:rFonts w:asciiTheme="minorHAnsi" w:hAnsiTheme="minorHAnsi"/>
          <w:sz w:val="24"/>
          <w:szCs w:val="24"/>
        </w:rPr>
      </w:pPr>
    </w:p>
    <w:p w14:paraId="0652BD95" w14:textId="77777777" w:rsidR="002E036B" w:rsidRDefault="002E036B">
      <w:pPr>
        <w:spacing w:after="160" w:line="276" w:lineRule="auto"/>
        <w:jc w:val="both"/>
        <w:rPr>
          <w:rFonts w:asciiTheme="minorHAnsi" w:hAnsiTheme="minorHAnsi"/>
          <w:sz w:val="24"/>
          <w:szCs w:val="24"/>
        </w:rPr>
      </w:pPr>
    </w:p>
    <w:p w14:paraId="3B4146A4" w14:textId="77777777" w:rsidR="002E036B" w:rsidRDefault="002E036B">
      <w:pPr>
        <w:spacing w:after="160" w:line="276" w:lineRule="auto"/>
        <w:jc w:val="both"/>
        <w:rPr>
          <w:rFonts w:asciiTheme="minorHAnsi" w:hAnsiTheme="minorHAnsi"/>
          <w:sz w:val="24"/>
          <w:szCs w:val="24"/>
        </w:rPr>
      </w:pPr>
    </w:p>
    <w:p w14:paraId="78557815" w14:textId="77777777" w:rsidR="002E036B" w:rsidRDefault="002E036B">
      <w:pPr>
        <w:spacing w:after="160" w:line="276" w:lineRule="auto"/>
        <w:jc w:val="both"/>
        <w:rPr>
          <w:rFonts w:asciiTheme="minorHAnsi" w:hAnsiTheme="minorHAnsi"/>
          <w:sz w:val="24"/>
          <w:szCs w:val="24"/>
        </w:rPr>
      </w:pPr>
    </w:p>
    <w:p w14:paraId="6F476810" w14:textId="77777777" w:rsidR="002E036B" w:rsidRPr="00B3233B" w:rsidRDefault="002E036B">
      <w:pPr>
        <w:spacing w:after="160" w:line="276" w:lineRule="auto"/>
        <w:jc w:val="both"/>
        <w:rPr>
          <w:rFonts w:asciiTheme="minorHAnsi" w:hAnsiTheme="minorHAnsi"/>
          <w:sz w:val="24"/>
          <w:szCs w:val="24"/>
        </w:rPr>
      </w:pPr>
    </w:p>
    <w:tbl>
      <w:tblPr>
        <w:tblW w:w="10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1600"/>
        <w:gridCol w:w="3000"/>
        <w:gridCol w:w="3000"/>
      </w:tblGrid>
      <w:tr w:rsidR="007A23A8" w:rsidRPr="00B3233B" w14:paraId="2ADD4A90" w14:textId="77777777">
        <w:tc>
          <w:tcPr>
            <w:tcW w:w="3000" w:type="dxa"/>
            <w:shd w:val="clear" w:color="auto" w:fill="1F3864"/>
            <w:tcMar>
              <w:top w:w="80" w:type="dxa"/>
              <w:left w:w="100" w:type="dxa"/>
              <w:bottom w:w="80" w:type="dxa"/>
              <w:right w:w="100" w:type="dxa"/>
            </w:tcMar>
          </w:tcPr>
          <w:p w14:paraId="3E8ADACA" w14:textId="77777777" w:rsidR="007A23A8" w:rsidRPr="00B3233B" w:rsidRDefault="00000000">
            <w:pPr>
              <w:jc w:val="center"/>
              <w:rPr>
                <w:rFonts w:asciiTheme="minorHAnsi" w:hAnsiTheme="minorHAnsi"/>
                <w:sz w:val="24"/>
                <w:szCs w:val="24"/>
              </w:rPr>
            </w:pPr>
            <w:r w:rsidRPr="00B3233B">
              <w:rPr>
                <w:rFonts w:asciiTheme="minorHAnsi" w:hAnsiTheme="minorHAnsi"/>
                <w:b/>
                <w:bCs/>
                <w:color w:val="FFFFFF"/>
                <w:sz w:val="24"/>
                <w:szCs w:val="24"/>
              </w:rPr>
              <w:lastRenderedPageBreak/>
              <w:t>Group variable / level</w:t>
            </w:r>
          </w:p>
        </w:tc>
        <w:tc>
          <w:tcPr>
            <w:tcW w:w="1600" w:type="dxa"/>
            <w:shd w:val="clear" w:color="auto" w:fill="1F3864"/>
            <w:tcMar>
              <w:top w:w="80" w:type="dxa"/>
              <w:left w:w="100" w:type="dxa"/>
              <w:bottom w:w="80" w:type="dxa"/>
              <w:right w:w="100" w:type="dxa"/>
            </w:tcMar>
          </w:tcPr>
          <w:p w14:paraId="6FF845C1" w14:textId="77777777" w:rsidR="007A23A8" w:rsidRPr="00B3233B" w:rsidRDefault="00000000">
            <w:pPr>
              <w:jc w:val="center"/>
              <w:rPr>
                <w:rFonts w:asciiTheme="minorHAnsi" w:hAnsiTheme="minorHAnsi"/>
                <w:sz w:val="24"/>
                <w:szCs w:val="24"/>
              </w:rPr>
            </w:pPr>
            <w:r w:rsidRPr="00B3233B">
              <w:rPr>
                <w:rFonts w:asciiTheme="minorHAnsi" w:hAnsiTheme="minorHAnsi"/>
                <w:b/>
                <w:bCs/>
                <w:color w:val="FFFFFF"/>
                <w:sz w:val="24"/>
                <w:szCs w:val="24"/>
              </w:rPr>
              <w:t>n</w:t>
            </w:r>
          </w:p>
        </w:tc>
        <w:tc>
          <w:tcPr>
            <w:tcW w:w="3000" w:type="dxa"/>
            <w:shd w:val="clear" w:color="auto" w:fill="1F3864"/>
            <w:tcMar>
              <w:top w:w="80" w:type="dxa"/>
              <w:left w:w="100" w:type="dxa"/>
              <w:bottom w:w="80" w:type="dxa"/>
              <w:right w:w="100" w:type="dxa"/>
            </w:tcMar>
          </w:tcPr>
          <w:p w14:paraId="2298FD2B" w14:textId="77777777" w:rsidR="007A23A8" w:rsidRPr="00B3233B" w:rsidRDefault="00000000">
            <w:pPr>
              <w:jc w:val="center"/>
              <w:rPr>
                <w:rFonts w:asciiTheme="minorHAnsi" w:hAnsiTheme="minorHAnsi"/>
                <w:sz w:val="24"/>
                <w:szCs w:val="24"/>
              </w:rPr>
            </w:pPr>
            <w:r w:rsidRPr="00B3233B">
              <w:rPr>
                <w:rFonts w:asciiTheme="minorHAnsi" w:hAnsiTheme="minorHAnsi"/>
                <w:b/>
                <w:bCs/>
                <w:color w:val="FFFFFF"/>
                <w:sz w:val="24"/>
                <w:szCs w:val="24"/>
              </w:rPr>
              <w:t>Actual default rate (%)</w:t>
            </w:r>
          </w:p>
        </w:tc>
        <w:tc>
          <w:tcPr>
            <w:tcW w:w="3000" w:type="dxa"/>
            <w:shd w:val="clear" w:color="auto" w:fill="1F3864"/>
            <w:tcMar>
              <w:top w:w="80" w:type="dxa"/>
              <w:left w:w="100" w:type="dxa"/>
              <w:bottom w:w="80" w:type="dxa"/>
              <w:right w:w="100" w:type="dxa"/>
            </w:tcMar>
          </w:tcPr>
          <w:p w14:paraId="62351E6E" w14:textId="77777777" w:rsidR="007A23A8" w:rsidRPr="00B3233B" w:rsidRDefault="00000000">
            <w:pPr>
              <w:jc w:val="center"/>
              <w:rPr>
                <w:rFonts w:asciiTheme="minorHAnsi" w:hAnsiTheme="minorHAnsi"/>
                <w:sz w:val="24"/>
                <w:szCs w:val="24"/>
              </w:rPr>
            </w:pPr>
            <w:r w:rsidRPr="00B3233B">
              <w:rPr>
                <w:rFonts w:asciiTheme="minorHAnsi" w:hAnsiTheme="minorHAnsi"/>
                <w:b/>
                <w:bCs/>
                <w:color w:val="FFFFFF"/>
                <w:sz w:val="24"/>
                <w:szCs w:val="24"/>
              </w:rPr>
              <w:t>Mean predicted risk (%)</w:t>
            </w:r>
          </w:p>
        </w:tc>
      </w:tr>
      <w:tr w:rsidR="007A23A8" w:rsidRPr="00B3233B" w14:paraId="6D1E5A5B" w14:textId="77777777">
        <w:tc>
          <w:tcPr>
            <w:tcW w:w="3000" w:type="dxa"/>
            <w:tcMar>
              <w:top w:w="80" w:type="dxa"/>
              <w:left w:w="100" w:type="dxa"/>
              <w:bottom w:w="80" w:type="dxa"/>
              <w:right w:w="100" w:type="dxa"/>
            </w:tcMar>
          </w:tcPr>
          <w:p w14:paraId="06823FAC"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Region: Midwest</w:t>
            </w:r>
          </w:p>
        </w:tc>
        <w:tc>
          <w:tcPr>
            <w:tcW w:w="1600" w:type="dxa"/>
            <w:tcMar>
              <w:top w:w="80" w:type="dxa"/>
              <w:left w:w="100" w:type="dxa"/>
              <w:bottom w:w="80" w:type="dxa"/>
              <w:right w:w="100" w:type="dxa"/>
            </w:tcMar>
          </w:tcPr>
          <w:p w14:paraId="4DD1564A"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1,768</w:t>
            </w:r>
          </w:p>
        </w:tc>
        <w:tc>
          <w:tcPr>
            <w:tcW w:w="3000" w:type="dxa"/>
            <w:tcMar>
              <w:top w:w="80" w:type="dxa"/>
              <w:left w:w="100" w:type="dxa"/>
              <w:bottom w:w="80" w:type="dxa"/>
              <w:right w:w="100" w:type="dxa"/>
            </w:tcMar>
          </w:tcPr>
          <w:p w14:paraId="72E8468C"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1.36</w:t>
            </w:r>
          </w:p>
        </w:tc>
        <w:tc>
          <w:tcPr>
            <w:tcW w:w="3000" w:type="dxa"/>
            <w:tcMar>
              <w:top w:w="80" w:type="dxa"/>
              <w:left w:w="100" w:type="dxa"/>
              <w:bottom w:w="80" w:type="dxa"/>
              <w:right w:w="100" w:type="dxa"/>
            </w:tcMar>
          </w:tcPr>
          <w:p w14:paraId="53E757C1"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5.32</w:t>
            </w:r>
          </w:p>
        </w:tc>
      </w:tr>
      <w:tr w:rsidR="007A23A8" w:rsidRPr="00B3233B" w14:paraId="2EF88789" w14:textId="77777777">
        <w:tc>
          <w:tcPr>
            <w:tcW w:w="3000" w:type="dxa"/>
            <w:tcMar>
              <w:top w:w="80" w:type="dxa"/>
              <w:left w:w="100" w:type="dxa"/>
              <w:bottom w:w="80" w:type="dxa"/>
              <w:right w:w="100" w:type="dxa"/>
            </w:tcMar>
          </w:tcPr>
          <w:p w14:paraId="407D4DB2"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Region: Northeast</w:t>
            </w:r>
          </w:p>
        </w:tc>
        <w:tc>
          <w:tcPr>
            <w:tcW w:w="1600" w:type="dxa"/>
            <w:tcMar>
              <w:top w:w="80" w:type="dxa"/>
              <w:left w:w="100" w:type="dxa"/>
              <w:bottom w:w="80" w:type="dxa"/>
              <w:right w:w="100" w:type="dxa"/>
            </w:tcMar>
          </w:tcPr>
          <w:p w14:paraId="221A6A3A"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1,996</w:t>
            </w:r>
          </w:p>
        </w:tc>
        <w:tc>
          <w:tcPr>
            <w:tcW w:w="3000" w:type="dxa"/>
            <w:tcMar>
              <w:top w:w="80" w:type="dxa"/>
              <w:left w:w="100" w:type="dxa"/>
              <w:bottom w:w="80" w:type="dxa"/>
              <w:right w:w="100" w:type="dxa"/>
            </w:tcMar>
          </w:tcPr>
          <w:p w14:paraId="6A69EE43"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2.25</w:t>
            </w:r>
          </w:p>
        </w:tc>
        <w:tc>
          <w:tcPr>
            <w:tcW w:w="3000" w:type="dxa"/>
            <w:tcMar>
              <w:top w:w="80" w:type="dxa"/>
              <w:left w:w="100" w:type="dxa"/>
              <w:bottom w:w="80" w:type="dxa"/>
              <w:right w:w="100" w:type="dxa"/>
            </w:tcMar>
          </w:tcPr>
          <w:p w14:paraId="7CE66D35"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6.37</w:t>
            </w:r>
          </w:p>
        </w:tc>
      </w:tr>
      <w:tr w:rsidR="007A23A8" w:rsidRPr="00B3233B" w14:paraId="2816BDD8" w14:textId="77777777">
        <w:tc>
          <w:tcPr>
            <w:tcW w:w="3000" w:type="dxa"/>
            <w:tcMar>
              <w:top w:w="80" w:type="dxa"/>
              <w:left w:w="100" w:type="dxa"/>
              <w:bottom w:w="80" w:type="dxa"/>
              <w:right w:w="100" w:type="dxa"/>
            </w:tcMar>
          </w:tcPr>
          <w:p w14:paraId="0F746139"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Region: South</w:t>
            </w:r>
          </w:p>
        </w:tc>
        <w:tc>
          <w:tcPr>
            <w:tcW w:w="1600" w:type="dxa"/>
            <w:tcMar>
              <w:top w:w="80" w:type="dxa"/>
              <w:left w:w="100" w:type="dxa"/>
              <w:bottom w:w="80" w:type="dxa"/>
              <w:right w:w="100" w:type="dxa"/>
            </w:tcMar>
          </w:tcPr>
          <w:p w14:paraId="7EC281FF"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3,640</w:t>
            </w:r>
          </w:p>
        </w:tc>
        <w:tc>
          <w:tcPr>
            <w:tcW w:w="3000" w:type="dxa"/>
            <w:tcMar>
              <w:top w:w="80" w:type="dxa"/>
              <w:left w:w="100" w:type="dxa"/>
              <w:bottom w:w="80" w:type="dxa"/>
              <w:right w:w="100" w:type="dxa"/>
            </w:tcMar>
          </w:tcPr>
          <w:p w14:paraId="07021FFB"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1.84</w:t>
            </w:r>
          </w:p>
        </w:tc>
        <w:tc>
          <w:tcPr>
            <w:tcW w:w="3000" w:type="dxa"/>
            <w:tcMar>
              <w:top w:w="80" w:type="dxa"/>
              <w:left w:w="100" w:type="dxa"/>
              <w:bottom w:w="80" w:type="dxa"/>
              <w:right w:w="100" w:type="dxa"/>
            </w:tcMar>
          </w:tcPr>
          <w:p w14:paraId="77919BE6"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5.75</w:t>
            </w:r>
          </w:p>
        </w:tc>
      </w:tr>
      <w:tr w:rsidR="007A23A8" w:rsidRPr="00B3233B" w14:paraId="66BE349C" w14:textId="77777777">
        <w:tc>
          <w:tcPr>
            <w:tcW w:w="3000" w:type="dxa"/>
            <w:tcMar>
              <w:top w:w="80" w:type="dxa"/>
              <w:left w:w="100" w:type="dxa"/>
              <w:bottom w:w="80" w:type="dxa"/>
              <w:right w:w="100" w:type="dxa"/>
            </w:tcMar>
          </w:tcPr>
          <w:p w14:paraId="0B7DC18B"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Region: West</w:t>
            </w:r>
          </w:p>
        </w:tc>
        <w:tc>
          <w:tcPr>
            <w:tcW w:w="1600" w:type="dxa"/>
            <w:tcMar>
              <w:top w:w="80" w:type="dxa"/>
              <w:left w:w="100" w:type="dxa"/>
              <w:bottom w:w="80" w:type="dxa"/>
              <w:right w:w="100" w:type="dxa"/>
            </w:tcMar>
          </w:tcPr>
          <w:p w14:paraId="72769C34"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2,596</w:t>
            </w:r>
          </w:p>
        </w:tc>
        <w:tc>
          <w:tcPr>
            <w:tcW w:w="3000" w:type="dxa"/>
            <w:tcMar>
              <w:top w:w="80" w:type="dxa"/>
              <w:left w:w="100" w:type="dxa"/>
              <w:bottom w:w="80" w:type="dxa"/>
              <w:right w:w="100" w:type="dxa"/>
            </w:tcMar>
          </w:tcPr>
          <w:p w14:paraId="4B536542"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1.62</w:t>
            </w:r>
          </w:p>
        </w:tc>
        <w:tc>
          <w:tcPr>
            <w:tcW w:w="3000" w:type="dxa"/>
            <w:tcMar>
              <w:top w:w="80" w:type="dxa"/>
              <w:left w:w="100" w:type="dxa"/>
              <w:bottom w:w="80" w:type="dxa"/>
              <w:right w:w="100" w:type="dxa"/>
            </w:tcMar>
          </w:tcPr>
          <w:p w14:paraId="5960843E"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5.67</w:t>
            </w:r>
          </w:p>
        </w:tc>
      </w:tr>
      <w:tr w:rsidR="007A23A8" w:rsidRPr="00B3233B" w14:paraId="600B56D4" w14:textId="77777777">
        <w:tc>
          <w:tcPr>
            <w:tcW w:w="3000" w:type="dxa"/>
            <w:tcMar>
              <w:top w:w="80" w:type="dxa"/>
              <w:left w:w="100" w:type="dxa"/>
              <w:bottom w:w="80" w:type="dxa"/>
              <w:right w:w="100" w:type="dxa"/>
            </w:tcMar>
          </w:tcPr>
          <w:p w14:paraId="29F528B4"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Homeownership: Mortgage</w:t>
            </w:r>
          </w:p>
        </w:tc>
        <w:tc>
          <w:tcPr>
            <w:tcW w:w="1600" w:type="dxa"/>
            <w:tcMar>
              <w:top w:w="80" w:type="dxa"/>
              <w:left w:w="100" w:type="dxa"/>
              <w:bottom w:w="80" w:type="dxa"/>
              <w:right w:w="100" w:type="dxa"/>
            </w:tcMar>
          </w:tcPr>
          <w:p w14:paraId="3D2747AD"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4,789</w:t>
            </w:r>
          </w:p>
        </w:tc>
        <w:tc>
          <w:tcPr>
            <w:tcW w:w="3000" w:type="dxa"/>
            <w:tcMar>
              <w:top w:w="80" w:type="dxa"/>
              <w:left w:w="100" w:type="dxa"/>
              <w:bottom w:w="80" w:type="dxa"/>
              <w:right w:w="100" w:type="dxa"/>
            </w:tcMar>
          </w:tcPr>
          <w:p w14:paraId="26F579DD"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1.42</w:t>
            </w:r>
          </w:p>
        </w:tc>
        <w:tc>
          <w:tcPr>
            <w:tcW w:w="3000" w:type="dxa"/>
            <w:tcMar>
              <w:top w:w="80" w:type="dxa"/>
              <w:left w:w="100" w:type="dxa"/>
              <w:bottom w:w="80" w:type="dxa"/>
              <w:right w:w="100" w:type="dxa"/>
            </w:tcMar>
          </w:tcPr>
          <w:p w14:paraId="3250C7BC"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5.34</w:t>
            </w:r>
          </w:p>
        </w:tc>
      </w:tr>
      <w:tr w:rsidR="007A23A8" w:rsidRPr="00B3233B" w14:paraId="1E91A34D" w14:textId="77777777">
        <w:tc>
          <w:tcPr>
            <w:tcW w:w="3000" w:type="dxa"/>
            <w:tcMar>
              <w:top w:w="80" w:type="dxa"/>
              <w:left w:w="100" w:type="dxa"/>
              <w:bottom w:w="80" w:type="dxa"/>
              <w:right w:w="100" w:type="dxa"/>
            </w:tcMar>
          </w:tcPr>
          <w:p w14:paraId="2E0EF38F"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Homeownership: Own</w:t>
            </w:r>
          </w:p>
        </w:tc>
        <w:tc>
          <w:tcPr>
            <w:tcW w:w="1600" w:type="dxa"/>
            <w:tcMar>
              <w:top w:w="80" w:type="dxa"/>
              <w:left w:w="100" w:type="dxa"/>
              <w:bottom w:w="80" w:type="dxa"/>
              <w:right w:w="100" w:type="dxa"/>
            </w:tcMar>
          </w:tcPr>
          <w:p w14:paraId="0EA2880C"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1,353</w:t>
            </w:r>
          </w:p>
        </w:tc>
        <w:tc>
          <w:tcPr>
            <w:tcW w:w="3000" w:type="dxa"/>
            <w:tcMar>
              <w:top w:w="80" w:type="dxa"/>
              <w:left w:w="100" w:type="dxa"/>
              <w:bottom w:w="80" w:type="dxa"/>
              <w:right w:w="100" w:type="dxa"/>
            </w:tcMar>
          </w:tcPr>
          <w:p w14:paraId="0C49F8B3"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2.51</w:t>
            </w:r>
          </w:p>
        </w:tc>
        <w:tc>
          <w:tcPr>
            <w:tcW w:w="3000" w:type="dxa"/>
            <w:tcMar>
              <w:top w:w="80" w:type="dxa"/>
              <w:left w:w="100" w:type="dxa"/>
              <w:bottom w:w="80" w:type="dxa"/>
              <w:right w:w="100" w:type="dxa"/>
            </w:tcMar>
          </w:tcPr>
          <w:p w14:paraId="0CD69152"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6.46</w:t>
            </w:r>
          </w:p>
        </w:tc>
      </w:tr>
      <w:tr w:rsidR="007A23A8" w:rsidRPr="00B3233B" w14:paraId="545237A8" w14:textId="77777777">
        <w:tc>
          <w:tcPr>
            <w:tcW w:w="3000" w:type="dxa"/>
            <w:tcMar>
              <w:top w:w="80" w:type="dxa"/>
              <w:left w:w="100" w:type="dxa"/>
              <w:bottom w:w="80" w:type="dxa"/>
              <w:right w:w="100" w:type="dxa"/>
            </w:tcMar>
          </w:tcPr>
          <w:p w14:paraId="54327067"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Homeownership: Rent</w:t>
            </w:r>
          </w:p>
        </w:tc>
        <w:tc>
          <w:tcPr>
            <w:tcW w:w="1600" w:type="dxa"/>
            <w:tcMar>
              <w:top w:w="80" w:type="dxa"/>
              <w:left w:w="100" w:type="dxa"/>
              <w:bottom w:w="80" w:type="dxa"/>
              <w:right w:w="100" w:type="dxa"/>
            </w:tcMar>
          </w:tcPr>
          <w:p w14:paraId="2E0EF86F"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3,858</w:t>
            </w:r>
          </w:p>
        </w:tc>
        <w:tc>
          <w:tcPr>
            <w:tcW w:w="3000" w:type="dxa"/>
            <w:tcMar>
              <w:top w:w="80" w:type="dxa"/>
              <w:left w:w="100" w:type="dxa"/>
              <w:bottom w:w="80" w:type="dxa"/>
              <w:right w:w="100" w:type="dxa"/>
            </w:tcMar>
          </w:tcPr>
          <w:p w14:paraId="0F5D8C13"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1.97</w:t>
            </w:r>
          </w:p>
        </w:tc>
        <w:tc>
          <w:tcPr>
            <w:tcW w:w="3000" w:type="dxa"/>
            <w:tcMar>
              <w:top w:w="80" w:type="dxa"/>
              <w:left w:w="100" w:type="dxa"/>
              <w:bottom w:w="80" w:type="dxa"/>
              <w:right w:w="100" w:type="dxa"/>
            </w:tcMar>
          </w:tcPr>
          <w:p w14:paraId="12D36EE6"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6.08</w:t>
            </w:r>
          </w:p>
        </w:tc>
      </w:tr>
      <w:tr w:rsidR="007A23A8" w:rsidRPr="00B3233B" w14:paraId="0FFFC10D" w14:textId="77777777">
        <w:tc>
          <w:tcPr>
            <w:tcW w:w="3000" w:type="dxa"/>
            <w:tcMar>
              <w:top w:w="80" w:type="dxa"/>
              <w:left w:w="100" w:type="dxa"/>
              <w:bottom w:w="80" w:type="dxa"/>
              <w:right w:w="100" w:type="dxa"/>
            </w:tcMar>
          </w:tcPr>
          <w:p w14:paraId="712E1A85"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Verified income: Not verified</w:t>
            </w:r>
          </w:p>
        </w:tc>
        <w:tc>
          <w:tcPr>
            <w:tcW w:w="1600" w:type="dxa"/>
            <w:tcMar>
              <w:top w:w="80" w:type="dxa"/>
              <w:left w:w="100" w:type="dxa"/>
              <w:bottom w:w="80" w:type="dxa"/>
              <w:right w:w="100" w:type="dxa"/>
            </w:tcMar>
          </w:tcPr>
          <w:p w14:paraId="10BC4F23"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3,594</w:t>
            </w:r>
          </w:p>
        </w:tc>
        <w:tc>
          <w:tcPr>
            <w:tcW w:w="3000" w:type="dxa"/>
            <w:tcMar>
              <w:top w:w="80" w:type="dxa"/>
              <w:left w:w="100" w:type="dxa"/>
              <w:bottom w:w="80" w:type="dxa"/>
              <w:right w:w="100" w:type="dxa"/>
            </w:tcMar>
          </w:tcPr>
          <w:p w14:paraId="2334BE12"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1.17</w:t>
            </w:r>
          </w:p>
        </w:tc>
        <w:tc>
          <w:tcPr>
            <w:tcW w:w="3000" w:type="dxa"/>
            <w:tcMar>
              <w:top w:w="80" w:type="dxa"/>
              <w:left w:w="100" w:type="dxa"/>
              <w:bottom w:w="80" w:type="dxa"/>
              <w:right w:w="100" w:type="dxa"/>
            </w:tcMar>
          </w:tcPr>
          <w:p w14:paraId="396C6F8A"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4.57</w:t>
            </w:r>
          </w:p>
        </w:tc>
      </w:tr>
      <w:tr w:rsidR="007A23A8" w:rsidRPr="00B3233B" w14:paraId="4615DBA3" w14:textId="77777777">
        <w:tc>
          <w:tcPr>
            <w:tcW w:w="3000" w:type="dxa"/>
            <w:tcMar>
              <w:top w:w="80" w:type="dxa"/>
              <w:left w:w="100" w:type="dxa"/>
              <w:bottom w:w="80" w:type="dxa"/>
              <w:right w:w="100" w:type="dxa"/>
            </w:tcMar>
          </w:tcPr>
          <w:p w14:paraId="619DC0E0"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Verified income: Source verified</w:t>
            </w:r>
          </w:p>
        </w:tc>
        <w:tc>
          <w:tcPr>
            <w:tcW w:w="1600" w:type="dxa"/>
            <w:tcMar>
              <w:top w:w="80" w:type="dxa"/>
              <w:left w:w="100" w:type="dxa"/>
              <w:bottom w:w="80" w:type="dxa"/>
              <w:right w:w="100" w:type="dxa"/>
            </w:tcMar>
          </w:tcPr>
          <w:p w14:paraId="7BFD3134"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4,116</w:t>
            </w:r>
          </w:p>
        </w:tc>
        <w:tc>
          <w:tcPr>
            <w:tcW w:w="3000" w:type="dxa"/>
            <w:tcMar>
              <w:top w:w="80" w:type="dxa"/>
              <w:left w:w="100" w:type="dxa"/>
              <w:bottom w:w="80" w:type="dxa"/>
              <w:right w:w="100" w:type="dxa"/>
            </w:tcMar>
          </w:tcPr>
          <w:p w14:paraId="3B55A44F"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1.90</w:t>
            </w:r>
          </w:p>
        </w:tc>
        <w:tc>
          <w:tcPr>
            <w:tcW w:w="3000" w:type="dxa"/>
            <w:tcMar>
              <w:top w:w="80" w:type="dxa"/>
              <w:left w:w="100" w:type="dxa"/>
              <w:bottom w:w="80" w:type="dxa"/>
              <w:right w:w="100" w:type="dxa"/>
            </w:tcMar>
          </w:tcPr>
          <w:p w14:paraId="5F8D2D75"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6.22</w:t>
            </w:r>
          </w:p>
        </w:tc>
      </w:tr>
      <w:tr w:rsidR="007A23A8" w:rsidRPr="00B3233B" w14:paraId="4709AA26" w14:textId="77777777">
        <w:tc>
          <w:tcPr>
            <w:tcW w:w="3000" w:type="dxa"/>
            <w:tcMar>
              <w:top w:w="80" w:type="dxa"/>
              <w:left w:w="100" w:type="dxa"/>
              <w:bottom w:w="80" w:type="dxa"/>
              <w:right w:w="100" w:type="dxa"/>
            </w:tcMar>
          </w:tcPr>
          <w:p w14:paraId="4F97D8E7"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Verified income: Verified</w:t>
            </w:r>
          </w:p>
        </w:tc>
        <w:tc>
          <w:tcPr>
            <w:tcW w:w="1600" w:type="dxa"/>
            <w:tcMar>
              <w:top w:w="80" w:type="dxa"/>
              <w:left w:w="100" w:type="dxa"/>
              <w:bottom w:w="80" w:type="dxa"/>
              <w:right w:w="100" w:type="dxa"/>
            </w:tcMar>
          </w:tcPr>
          <w:p w14:paraId="0F68E3D9"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2,290</w:t>
            </w:r>
          </w:p>
        </w:tc>
        <w:tc>
          <w:tcPr>
            <w:tcW w:w="3000" w:type="dxa"/>
            <w:tcMar>
              <w:top w:w="80" w:type="dxa"/>
              <w:left w:w="100" w:type="dxa"/>
              <w:bottom w:w="80" w:type="dxa"/>
              <w:right w:w="100" w:type="dxa"/>
            </w:tcMar>
          </w:tcPr>
          <w:p w14:paraId="45F9ABB6"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2.53</w:t>
            </w:r>
          </w:p>
        </w:tc>
        <w:tc>
          <w:tcPr>
            <w:tcW w:w="3000" w:type="dxa"/>
            <w:tcMar>
              <w:top w:w="80" w:type="dxa"/>
              <w:left w:w="100" w:type="dxa"/>
              <w:bottom w:w="80" w:type="dxa"/>
              <w:right w:w="100" w:type="dxa"/>
            </w:tcMar>
          </w:tcPr>
          <w:p w14:paraId="163D4195"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6.87</w:t>
            </w:r>
          </w:p>
        </w:tc>
      </w:tr>
      <w:tr w:rsidR="007A23A8" w:rsidRPr="00B3233B" w14:paraId="601A4351" w14:textId="77777777">
        <w:tc>
          <w:tcPr>
            <w:tcW w:w="3000" w:type="dxa"/>
            <w:tcMar>
              <w:top w:w="80" w:type="dxa"/>
              <w:left w:w="100" w:type="dxa"/>
              <w:bottom w:w="80" w:type="dxa"/>
              <w:right w:w="100" w:type="dxa"/>
            </w:tcMar>
          </w:tcPr>
          <w:p w14:paraId="58D15669"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Application: Individual</w:t>
            </w:r>
          </w:p>
        </w:tc>
        <w:tc>
          <w:tcPr>
            <w:tcW w:w="1600" w:type="dxa"/>
            <w:tcMar>
              <w:top w:w="80" w:type="dxa"/>
              <w:left w:w="100" w:type="dxa"/>
              <w:bottom w:w="80" w:type="dxa"/>
              <w:right w:w="100" w:type="dxa"/>
            </w:tcMar>
          </w:tcPr>
          <w:p w14:paraId="71ECD57B"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8,505</w:t>
            </w:r>
          </w:p>
        </w:tc>
        <w:tc>
          <w:tcPr>
            <w:tcW w:w="3000" w:type="dxa"/>
            <w:tcMar>
              <w:top w:w="80" w:type="dxa"/>
              <w:left w:w="100" w:type="dxa"/>
              <w:bottom w:w="80" w:type="dxa"/>
              <w:right w:w="100" w:type="dxa"/>
            </w:tcMar>
          </w:tcPr>
          <w:p w14:paraId="25C6B9A2"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1.66</w:t>
            </w:r>
          </w:p>
        </w:tc>
        <w:tc>
          <w:tcPr>
            <w:tcW w:w="3000" w:type="dxa"/>
            <w:tcMar>
              <w:top w:w="80" w:type="dxa"/>
              <w:left w:w="100" w:type="dxa"/>
              <w:bottom w:w="80" w:type="dxa"/>
              <w:right w:w="100" w:type="dxa"/>
            </w:tcMar>
          </w:tcPr>
          <w:p w14:paraId="53CC4FB2"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5.59</w:t>
            </w:r>
          </w:p>
        </w:tc>
      </w:tr>
      <w:tr w:rsidR="007A23A8" w:rsidRPr="00B3233B" w14:paraId="7AE035A3" w14:textId="77777777">
        <w:tc>
          <w:tcPr>
            <w:tcW w:w="3000" w:type="dxa"/>
            <w:tcMar>
              <w:top w:w="80" w:type="dxa"/>
              <w:left w:w="100" w:type="dxa"/>
              <w:bottom w:w="80" w:type="dxa"/>
              <w:right w:w="100" w:type="dxa"/>
            </w:tcMar>
          </w:tcPr>
          <w:p w14:paraId="6A956A97"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Application: Joint</w:t>
            </w:r>
          </w:p>
        </w:tc>
        <w:tc>
          <w:tcPr>
            <w:tcW w:w="1600" w:type="dxa"/>
            <w:tcMar>
              <w:top w:w="80" w:type="dxa"/>
              <w:left w:w="100" w:type="dxa"/>
              <w:bottom w:w="80" w:type="dxa"/>
              <w:right w:w="100" w:type="dxa"/>
            </w:tcMar>
          </w:tcPr>
          <w:p w14:paraId="01271FD7"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1,495</w:t>
            </w:r>
          </w:p>
        </w:tc>
        <w:tc>
          <w:tcPr>
            <w:tcW w:w="3000" w:type="dxa"/>
            <w:tcMar>
              <w:top w:w="80" w:type="dxa"/>
              <w:left w:w="100" w:type="dxa"/>
              <w:bottom w:w="80" w:type="dxa"/>
              <w:right w:w="100" w:type="dxa"/>
            </w:tcMar>
          </w:tcPr>
          <w:p w14:paraId="54FD2DAE"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2.47</w:t>
            </w:r>
          </w:p>
        </w:tc>
        <w:tc>
          <w:tcPr>
            <w:tcW w:w="3000" w:type="dxa"/>
            <w:tcMar>
              <w:top w:w="80" w:type="dxa"/>
              <w:left w:w="100" w:type="dxa"/>
              <w:bottom w:w="80" w:type="dxa"/>
              <w:right w:w="100" w:type="dxa"/>
            </w:tcMar>
          </w:tcPr>
          <w:p w14:paraId="0FCE5D5B" w14:textId="77777777" w:rsidR="007A23A8" w:rsidRPr="00B3233B" w:rsidRDefault="00000000">
            <w:pPr>
              <w:jc w:val="center"/>
              <w:rPr>
                <w:rFonts w:asciiTheme="minorHAnsi" w:hAnsiTheme="minorHAnsi"/>
                <w:sz w:val="24"/>
                <w:szCs w:val="24"/>
              </w:rPr>
            </w:pPr>
            <w:r w:rsidRPr="00B3233B">
              <w:rPr>
                <w:rFonts w:asciiTheme="minorHAnsi" w:hAnsiTheme="minorHAnsi"/>
                <w:color w:val="000000"/>
                <w:sz w:val="24"/>
                <w:szCs w:val="24"/>
              </w:rPr>
              <w:t>6.83</w:t>
            </w:r>
          </w:p>
        </w:tc>
      </w:tr>
    </w:tbl>
    <w:p w14:paraId="37BCF90E" w14:textId="77777777" w:rsidR="005D35A7" w:rsidRDefault="005D35A7">
      <w:pPr>
        <w:jc w:val="center"/>
        <w:rPr>
          <w:rFonts w:asciiTheme="minorHAnsi" w:hAnsiTheme="minorHAnsi"/>
          <w:sz w:val="24"/>
          <w:szCs w:val="24"/>
        </w:rPr>
      </w:pPr>
    </w:p>
    <w:p w14:paraId="337FDAA3" w14:textId="77777777" w:rsidR="005D35A7" w:rsidRDefault="005D35A7">
      <w:pPr>
        <w:jc w:val="center"/>
        <w:rPr>
          <w:rFonts w:asciiTheme="minorHAnsi" w:hAnsiTheme="minorHAnsi"/>
          <w:sz w:val="24"/>
          <w:szCs w:val="24"/>
        </w:rPr>
      </w:pPr>
    </w:p>
    <w:p w14:paraId="63440A82" w14:textId="77777777" w:rsidR="002E036B" w:rsidRDefault="002E036B">
      <w:pPr>
        <w:jc w:val="center"/>
        <w:rPr>
          <w:rFonts w:asciiTheme="minorHAnsi" w:hAnsiTheme="minorHAnsi"/>
          <w:sz w:val="24"/>
          <w:szCs w:val="24"/>
        </w:rPr>
      </w:pPr>
    </w:p>
    <w:p w14:paraId="685EC920" w14:textId="77777777" w:rsidR="002E036B" w:rsidRDefault="002E036B">
      <w:pPr>
        <w:jc w:val="center"/>
        <w:rPr>
          <w:rFonts w:asciiTheme="minorHAnsi" w:hAnsiTheme="minorHAnsi"/>
          <w:sz w:val="24"/>
          <w:szCs w:val="24"/>
        </w:rPr>
      </w:pPr>
    </w:p>
    <w:p w14:paraId="0676964B" w14:textId="67AB58F0" w:rsidR="007A23A8" w:rsidRDefault="00000000">
      <w:pPr>
        <w:jc w:val="center"/>
        <w:rPr>
          <w:rFonts w:asciiTheme="minorHAnsi" w:hAnsiTheme="minorHAnsi"/>
          <w:sz w:val="24"/>
          <w:szCs w:val="24"/>
        </w:rPr>
      </w:pPr>
      <w:r w:rsidRPr="00B3233B">
        <w:rPr>
          <w:rFonts w:asciiTheme="minorHAnsi" w:hAnsiTheme="minorHAnsi"/>
          <w:noProof/>
          <w:sz w:val="24"/>
          <w:szCs w:val="24"/>
        </w:rPr>
        <w:drawing>
          <wp:inline distT="0" distB="0" distL="0" distR="0" wp14:anchorId="600DC998" wp14:editId="0BFBC468">
            <wp:extent cx="5760720" cy="149661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actual_default_rate_crop.png"/>
                    <pic:cNvPicPr/>
                  </pic:nvPicPr>
                  <pic:blipFill>
                    <a:blip r:embed="rId16"/>
                    <a:stretch>
                      <a:fillRect/>
                    </a:stretch>
                  </pic:blipFill>
                  <pic:spPr>
                    <a:xfrm>
                      <a:off x="0" y="0"/>
                      <a:ext cx="5760720" cy="1496612"/>
                    </a:xfrm>
                    <a:prstGeom prst="rect">
                      <a:avLst/>
                    </a:prstGeom>
                  </pic:spPr>
                </pic:pic>
              </a:graphicData>
            </a:graphic>
          </wp:inline>
        </w:drawing>
      </w:r>
    </w:p>
    <w:p w14:paraId="2088F7ED" w14:textId="77777777" w:rsidR="00B60307" w:rsidRDefault="00B60307" w:rsidP="00B60307">
      <w:pPr>
        <w:pStyle w:val="Heading3"/>
        <w:ind w:firstLine="720"/>
      </w:pPr>
    </w:p>
    <w:p w14:paraId="5AD2409A" w14:textId="5605332C" w:rsidR="00B60307" w:rsidRPr="00B60307" w:rsidRDefault="00B60307" w:rsidP="00B60307">
      <w:pPr>
        <w:pStyle w:val="Heading3"/>
        <w:ind w:firstLine="720"/>
        <w:jc w:val="center"/>
      </w:pPr>
      <w:bookmarkStart w:id="17" w:name="_Toc236009735"/>
      <w:r w:rsidRPr="00B60307">
        <w:t>Figure 8</w:t>
      </w:r>
      <w:r>
        <w:t>:</w:t>
      </w:r>
      <w:r w:rsidRPr="00B60307">
        <w:t xml:space="preserve"> shows the actual default rate by homeownership status, area, and income verification.</w:t>
      </w:r>
      <w:bookmarkEnd w:id="17"/>
    </w:p>
    <w:p w14:paraId="766FC2AC" w14:textId="77777777" w:rsidR="005D35A7" w:rsidRDefault="005D35A7">
      <w:pPr>
        <w:jc w:val="center"/>
        <w:rPr>
          <w:rFonts w:asciiTheme="minorHAnsi" w:hAnsiTheme="minorHAnsi"/>
          <w:sz w:val="24"/>
          <w:szCs w:val="24"/>
        </w:rPr>
      </w:pPr>
    </w:p>
    <w:p w14:paraId="778EF233" w14:textId="77777777" w:rsidR="005D35A7" w:rsidRDefault="005D35A7">
      <w:pPr>
        <w:jc w:val="center"/>
        <w:rPr>
          <w:rFonts w:asciiTheme="minorHAnsi" w:hAnsiTheme="minorHAnsi"/>
          <w:sz w:val="24"/>
          <w:szCs w:val="24"/>
        </w:rPr>
      </w:pPr>
    </w:p>
    <w:p w14:paraId="0C0F2CF7" w14:textId="388C4063" w:rsidR="007A23A8" w:rsidRDefault="00000000">
      <w:pPr>
        <w:jc w:val="center"/>
        <w:rPr>
          <w:rFonts w:asciiTheme="minorHAnsi" w:hAnsiTheme="minorHAnsi"/>
          <w:sz w:val="24"/>
          <w:szCs w:val="24"/>
        </w:rPr>
      </w:pPr>
      <w:r w:rsidRPr="00B3233B">
        <w:rPr>
          <w:rFonts w:asciiTheme="minorHAnsi" w:hAnsiTheme="minorHAnsi"/>
          <w:noProof/>
          <w:sz w:val="24"/>
          <w:szCs w:val="24"/>
        </w:rPr>
        <w:lastRenderedPageBreak/>
        <w:drawing>
          <wp:inline distT="0" distB="0" distL="0" distR="0" wp14:anchorId="54AA8ABE" wp14:editId="2D99875F">
            <wp:extent cx="5760720" cy="125743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predicted_risk_crop.png"/>
                    <pic:cNvPicPr/>
                  </pic:nvPicPr>
                  <pic:blipFill>
                    <a:blip r:embed="rId17"/>
                    <a:stretch>
                      <a:fillRect/>
                    </a:stretch>
                  </pic:blipFill>
                  <pic:spPr>
                    <a:xfrm>
                      <a:off x="0" y="0"/>
                      <a:ext cx="5760720" cy="1257431"/>
                    </a:xfrm>
                    <a:prstGeom prst="rect">
                      <a:avLst/>
                    </a:prstGeom>
                  </pic:spPr>
                </pic:pic>
              </a:graphicData>
            </a:graphic>
          </wp:inline>
        </w:drawing>
      </w:r>
    </w:p>
    <w:p w14:paraId="4011B5AC" w14:textId="77777777" w:rsidR="00B60307" w:rsidRPr="00B3233B" w:rsidRDefault="00B60307">
      <w:pPr>
        <w:jc w:val="center"/>
        <w:rPr>
          <w:rFonts w:asciiTheme="minorHAnsi" w:hAnsiTheme="minorHAnsi"/>
          <w:sz w:val="24"/>
          <w:szCs w:val="24"/>
        </w:rPr>
      </w:pPr>
    </w:p>
    <w:p w14:paraId="38CCEB6B" w14:textId="53A991B2" w:rsidR="00B60307" w:rsidRPr="00B60307" w:rsidRDefault="00B60307" w:rsidP="00B60307">
      <w:pPr>
        <w:pStyle w:val="Heading3"/>
        <w:ind w:firstLine="720"/>
        <w:jc w:val="center"/>
      </w:pPr>
      <w:bookmarkStart w:id="18" w:name="_Toc236009736"/>
      <w:r w:rsidRPr="00B60307">
        <w:t>Figure 9</w:t>
      </w:r>
      <w:r>
        <w:t xml:space="preserve">: </w:t>
      </w:r>
      <w:r w:rsidRPr="00B60307">
        <w:t>shows the average model-predicted risk by application type, income verification status, homeownership, and area.</w:t>
      </w:r>
      <w:bookmarkEnd w:id="18"/>
    </w:p>
    <w:p w14:paraId="75992844" w14:textId="77777777" w:rsidR="005D35A7" w:rsidRDefault="005D35A7">
      <w:pPr>
        <w:spacing w:after="160" w:line="276" w:lineRule="auto"/>
        <w:jc w:val="both"/>
        <w:rPr>
          <w:rFonts w:asciiTheme="minorHAnsi" w:hAnsiTheme="minorHAnsi"/>
          <w:sz w:val="24"/>
          <w:szCs w:val="24"/>
        </w:rPr>
      </w:pPr>
    </w:p>
    <w:p w14:paraId="2AA04F82" w14:textId="77777777" w:rsidR="005D35A7" w:rsidRDefault="005D35A7" w:rsidP="005D35A7">
      <w:pPr>
        <w:spacing w:after="160" w:line="276" w:lineRule="auto"/>
        <w:jc w:val="both"/>
        <w:rPr>
          <w:rFonts w:asciiTheme="minorHAnsi" w:hAnsiTheme="minorHAnsi"/>
          <w:sz w:val="24"/>
          <w:szCs w:val="24"/>
        </w:rPr>
      </w:pPr>
      <w:r w:rsidRPr="005D35A7">
        <w:rPr>
          <w:rFonts w:asciiTheme="minorHAnsi" w:hAnsiTheme="minorHAnsi"/>
          <w:sz w:val="24"/>
          <w:szCs w:val="24"/>
        </w:rPr>
        <w:t>Even though annual income is already a model feature, renters had a higher mean predicted risk than mortgage holders, indicating that homeownership carries a risk-relevant signal beyond income alone. Additionally, homeownership is a well-established proxy for wealth and, historically, for demographic composition (a legacy of unequal access to homeownership in the United States). A naive interpretation that "verification should reduce risk" would be misleading, as applicants with verified income demonstrated a higher actual and predicted default rate than unverified applicants. This is likely due to Lending Club's selective verification of applicants it already deems to be higher-risk. The Northeast had a somewhat higher rate, but regional differences were rather minor but not insignificant.</w:t>
      </w:r>
    </w:p>
    <w:p w14:paraId="7F4E1A32" w14:textId="77777777" w:rsidR="005D35A7" w:rsidRPr="005D35A7" w:rsidRDefault="005D35A7" w:rsidP="005D35A7">
      <w:pPr>
        <w:spacing w:after="160" w:line="276" w:lineRule="auto"/>
        <w:jc w:val="both"/>
        <w:rPr>
          <w:rFonts w:asciiTheme="minorHAnsi" w:hAnsiTheme="minorHAnsi"/>
          <w:sz w:val="24"/>
          <w:szCs w:val="24"/>
        </w:rPr>
      </w:pPr>
      <w:r w:rsidRPr="005D35A7">
        <w:rPr>
          <w:rFonts w:asciiTheme="minorHAnsi" w:hAnsiTheme="minorHAnsi"/>
          <w:sz w:val="24"/>
          <w:szCs w:val="24"/>
        </w:rPr>
        <w:t>With just about 178 positive examples in the entire dataset, subgroup estimates contain significant statistical uncertainty, thus none of these patterns should be interpreted as proof of illegal discrimination on their own. They do, however, highlight that eliminating sensitive fields from a dataset does not, by itself, ensure an unbiased model and show precisely the kind of indirect, proxy-driven disparity that regulators expect lenders to actively test for under ECOA's disparate-impact doctrine, even when no protected attribute is used directly.</w:t>
      </w:r>
    </w:p>
    <w:p w14:paraId="74D8F1C0" w14:textId="77777777" w:rsidR="002E036B" w:rsidRDefault="002E036B">
      <w:pPr>
        <w:pStyle w:val="Heading1"/>
        <w:spacing w:before="320" w:after="160"/>
        <w:rPr>
          <w:rFonts w:asciiTheme="minorHAnsi" w:hAnsiTheme="minorHAnsi"/>
          <w:b/>
          <w:bCs/>
        </w:rPr>
      </w:pPr>
    </w:p>
    <w:p w14:paraId="627C9C38" w14:textId="77777777" w:rsidR="002E036B" w:rsidRDefault="002E036B">
      <w:pPr>
        <w:pStyle w:val="Heading1"/>
        <w:spacing w:before="320" w:after="160"/>
        <w:rPr>
          <w:rFonts w:asciiTheme="minorHAnsi" w:hAnsiTheme="minorHAnsi"/>
          <w:b/>
          <w:bCs/>
        </w:rPr>
      </w:pPr>
    </w:p>
    <w:p w14:paraId="5129F16D" w14:textId="77777777" w:rsidR="002E036B" w:rsidRDefault="002E036B">
      <w:pPr>
        <w:pStyle w:val="Heading1"/>
        <w:spacing w:before="320" w:after="160"/>
        <w:rPr>
          <w:rFonts w:asciiTheme="minorHAnsi" w:hAnsiTheme="minorHAnsi"/>
          <w:b/>
          <w:bCs/>
        </w:rPr>
      </w:pPr>
    </w:p>
    <w:p w14:paraId="491CCB67" w14:textId="77777777" w:rsidR="002E036B" w:rsidRDefault="002E036B">
      <w:pPr>
        <w:pStyle w:val="Heading1"/>
        <w:spacing w:before="320" w:after="160"/>
        <w:rPr>
          <w:rFonts w:asciiTheme="minorHAnsi" w:hAnsiTheme="minorHAnsi"/>
          <w:b/>
          <w:bCs/>
        </w:rPr>
      </w:pPr>
    </w:p>
    <w:p w14:paraId="46B331E1" w14:textId="77777777" w:rsidR="002E036B" w:rsidRDefault="002E036B">
      <w:pPr>
        <w:pStyle w:val="Heading1"/>
        <w:spacing w:before="320" w:after="160"/>
        <w:rPr>
          <w:rFonts w:asciiTheme="minorHAnsi" w:hAnsiTheme="minorHAnsi"/>
          <w:b/>
          <w:bCs/>
        </w:rPr>
      </w:pPr>
    </w:p>
    <w:p w14:paraId="42AE5736" w14:textId="77777777" w:rsidR="002E036B" w:rsidRDefault="002E036B">
      <w:pPr>
        <w:pStyle w:val="Heading1"/>
        <w:spacing w:before="320" w:after="160"/>
        <w:rPr>
          <w:rFonts w:asciiTheme="minorHAnsi" w:hAnsiTheme="minorHAnsi"/>
          <w:b/>
          <w:bCs/>
        </w:rPr>
      </w:pPr>
    </w:p>
    <w:p w14:paraId="089A2ACC" w14:textId="77777777" w:rsidR="002E036B" w:rsidRDefault="002E036B">
      <w:pPr>
        <w:pStyle w:val="Heading1"/>
        <w:spacing w:before="320" w:after="160"/>
        <w:rPr>
          <w:rFonts w:asciiTheme="minorHAnsi" w:hAnsiTheme="minorHAnsi"/>
          <w:b/>
          <w:bCs/>
        </w:rPr>
      </w:pPr>
    </w:p>
    <w:p w14:paraId="150491DE" w14:textId="3554930D" w:rsidR="007A23A8" w:rsidRPr="005D35A7" w:rsidRDefault="00000000">
      <w:pPr>
        <w:pStyle w:val="Heading1"/>
        <w:spacing w:before="320" w:after="160"/>
        <w:rPr>
          <w:rFonts w:asciiTheme="minorHAnsi" w:hAnsiTheme="minorHAnsi"/>
        </w:rPr>
      </w:pPr>
      <w:bookmarkStart w:id="19" w:name="_Toc236009737"/>
      <w:r w:rsidRPr="005D35A7">
        <w:rPr>
          <w:rFonts w:asciiTheme="minorHAnsi" w:hAnsiTheme="minorHAnsi"/>
          <w:b/>
          <w:bCs/>
        </w:rPr>
        <w:lastRenderedPageBreak/>
        <w:t>5. Conclusion and Recommendations</w:t>
      </w:r>
      <w:r w:rsidR="005D35A7" w:rsidRPr="005D35A7">
        <w:rPr>
          <w:rFonts w:asciiTheme="minorHAnsi" w:hAnsiTheme="minorHAnsi"/>
          <w:b/>
          <w:bCs/>
        </w:rPr>
        <w:t>:</w:t>
      </w:r>
      <w:bookmarkEnd w:id="19"/>
    </w:p>
    <w:p w14:paraId="4D0BE1A7" w14:textId="42570988" w:rsidR="005D35A7" w:rsidRPr="005D35A7" w:rsidRDefault="005D35A7" w:rsidP="005D35A7">
      <w:pPr>
        <w:spacing w:after="160" w:line="276" w:lineRule="auto"/>
        <w:jc w:val="both"/>
        <w:rPr>
          <w:rFonts w:asciiTheme="minorHAnsi" w:hAnsiTheme="minorHAnsi"/>
          <w:sz w:val="24"/>
          <w:szCs w:val="24"/>
        </w:rPr>
      </w:pPr>
      <w:r w:rsidRPr="005D35A7">
        <w:rPr>
          <w:rFonts w:asciiTheme="minorHAnsi" w:hAnsiTheme="minorHAnsi"/>
          <w:sz w:val="24"/>
          <w:szCs w:val="24"/>
        </w:rPr>
        <w:t>For early-stage loan default risk, this study created and contrasted logistic regression and random forest classifiers using a limited, quarterly Lending Club snapshot. While logistic regression provided readily readable coefficients at somewhat lower discriminative power, random forest achieved somewhat superior ranking performance (ROC-AUC 0.662 vs. 0.559; PR-AUC 0.040 vs. 0.031) at the expense of requiring extra interpretability tools. The logistic coefficients identified the same core risk drivers as the SHAP-based explanation of the random forest: debt-to-income, income, credit utilisation and limits, and recent credit-inquiry activity. This is a comforting consistency check between the two very different modelling approaches.</w:t>
      </w:r>
      <w:r>
        <w:rPr>
          <w:rFonts w:asciiTheme="minorHAnsi" w:hAnsiTheme="minorHAnsi"/>
          <w:sz w:val="24"/>
          <w:szCs w:val="24"/>
        </w:rPr>
        <w:t xml:space="preserve"> </w:t>
      </w:r>
      <w:r w:rsidRPr="005D35A7">
        <w:rPr>
          <w:rFonts w:asciiTheme="minorHAnsi" w:hAnsiTheme="minorHAnsi"/>
          <w:sz w:val="24"/>
          <w:szCs w:val="24"/>
        </w:rPr>
        <w:t>Even in the absence of any protected factor in the data, proxy-driven discrepancies in anticipated risk were found by a fairness audit across homeownership, income-verification status, and area that warrant active monitoring.</w:t>
      </w:r>
    </w:p>
    <w:p w14:paraId="78D68426" w14:textId="77777777" w:rsidR="005D35A7" w:rsidRPr="005D35A7" w:rsidRDefault="005D35A7" w:rsidP="005D35A7">
      <w:pPr>
        <w:spacing w:after="160" w:line="276" w:lineRule="auto"/>
        <w:jc w:val="both"/>
        <w:rPr>
          <w:rFonts w:asciiTheme="minorHAnsi" w:hAnsiTheme="minorHAnsi"/>
          <w:sz w:val="24"/>
          <w:szCs w:val="24"/>
        </w:rPr>
      </w:pPr>
      <w:r w:rsidRPr="005D35A7">
        <w:rPr>
          <w:rFonts w:asciiTheme="minorHAnsi" w:hAnsiTheme="minorHAnsi"/>
          <w:sz w:val="24"/>
          <w:szCs w:val="24"/>
        </w:rPr>
        <w:t>Four recommendations are based on these findings. First, because the current proxy target and the consequent poor precision limit real-world applicability, any practical deployment should be postponed until a longer observation window delivers a considerably larger number of confirmed, resolved outcomes (Fully Paid or Charged Off). Second, if a single model must be selected today, random forest is better on predictive grounds, but it should be combined with SHAP-based explanations for each unfavourable decision to maintain the transparency that both applicants and regulators demand; alternatively, a well-regularized logistic model continues to be a more transparent and defendable option where interpretability is given precedence over the final few points of ranking performance.</w:t>
      </w:r>
      <w:r>
        <w:rPr>
          <w:rFonts w:asciiTheme="minorHAnsi" w:hAnsiTheme="minorHAnsi"/>
          <w:sz w:val="24"/>
          <w:szCs w:val="24"/>
        </w:rPr>
        <w:t xml:space="preserve"> </w:t>
      </w:r>
      <w:r w:rsidRPr="005D35A7">
        <w:rPr>
          <w:rFonts w:asciiTheme="minorHAnsi" w:hAnsiTheme="minorHAnsi"/>
          <w:sz w:val="24"/>
          <w:szCs w:val="24"/>
        </w:rPr>
        <w:t>Third, considering how sensitive these estimates were to already-constrained sample sizes, regular disparate-impact testing of homeownership, income-verification status, and any other socio-economic proxy variable should be conducted continuously, not only during model-build time. Fourth, in accordance with ECOA's adverse-action notice requirements, human review should continue to be involved in any borderline or unfavourable decision, both to make up for the model's existing low precision and to give applicants a way to challenge automated risk assessments.</w:t>
      </w:r>
    </w:p>
    <w:p w14:paraId="5E630FBC" w14:textId="5898A6C1" w:rsidR="005D35A7" w:rsidRPr="005D35A7" w:rsidRDefault="005D35A7" w:rsidP="005D35A7">
      <w:pPr>
        <w:spacing w:after="160" w:line="276" w:lineRule="auto"/>
        <w:jc w:val="both"/>
        <w:rPr>
          <w:rFonts w:asciiTheme="minorHAnsi" w:hAnsiTheme="minorHAnsi"/>
          <w:sz w:val="24"/>
          <w:szCs w:val="24"/>
        </w:rPr>
      </w:pPr>
    </w:p>
    <w:p w14:paraId="2597D8A0" w14:textId="77777777" w:rsidR="005D35A7" w:rsidRDefault="005D35A7">
      <w:pPr>
        <w:pStyle w:val="Heading1"/>
        <w:spacing w:before="320" w:after="160"/>
        <w:rPr>
          <w:rFonts w:asciiTheme="minorHAnsi" w:hAnsiTheme="minorHAnsi"/>
          <w:b/>
          <w:bCs/>
          <w:sz w:val="24"/>
          <w:szCs w:val="24"/>
        </w:rPr>
      </w:pPr>
    </w:p>
    <w:p w14:paraId="30833ECB" w14:textId="77777777" w:rsidR="005D35A7" w:rsidRDefault="005D35A7">
      <w:pPr>
        <w:pStyle w:val="Heading1"/>
        <w:spacing w:before="320" w:after="160"/>
        <w:rPr>
          <w:rFonts w:asciiTheme="minorHAnsi" w:hAnsiTheme="minorHAnsi"/>
          <w:b/>
          <w:bCs/>
          <w:sz w:val="24"/>
          <w:szCs w:val="24"/>
        </w:rPr>
      </w:pPr>
    </w:p>
    <w:p w14:paraId="23DCABD0" w14:textId="77777777" w:rsidR="005D35A7" w:rsidRDefault="005D35A7">
      <w:pPr>
        <w:pStyle w:val="Heading1"/>
        <w:spacing w:before="320" w:after="160"/>
        <w:rPr>
          <w:rFonts w:asciiTheme="minorHAnsi" w:hAnsiTheme="minorHAnsi"/>
          <w:b/>
          <w:bCs/>
          <w:sz w:val="24"/>
          <w:szCs w:val="24"/>
        </w:rPr>
      </w:pPr>
    </w:p>
    <w:p w14:paraId="279ED485" w14:textId="77777777" w:rsidR="005D35A7" w:rsidRDefault="005D35A7">
      <w:pPr>
        <w:pStyle w:val="Heading1"/>
        <w:spacing w:before="320" w:after="160"/>
        <w:rPr>
          <w:rFonts w:asciiTheme="minorHAnsi" w:hAnsiTheme="minorHAnsi"/>
          <w:b/>
          <w:bCs/>
          <w:sz w:val="24"/>
          <w:szCs w:val="24"/>
        </w:rPr>
      </w:pPr>
    </w:p>
    <w:p w14:paraId="5139F3BA" w14:textId="77777777" w:rsidR="002E036B" w:rsidRDefault="002E036B">
      <w:pPr>
        <w:pStyle w:val="Heading1"/>
        <w:spacing w:before="320" w:after="160"/>
        <w:rPr>
          <w:rFonts w:asciiTheme="minorHAnsi" w:hAnsiTheme="minorHAnsi"/>
          <w:b/>
          <w:bCs/>
          <w:sz w:val="24"/>
          <w:szCs w:val="24"/>
        </w:rPr>
      </w:pPr>
    </w:p>
    <w:p w14:paraId="6D5FBBC9" w14:textId="1D689C1E" w:rsidR="007A23A8" w:rsidRPr="005D35A7" w:rsidRDefault="00000000">
      <w:pPr>
        <w:pStyle w:val="Heading1"/>
        <w:spacing w:before="320" w:after="160"/>
        <w:rPr>
          <w:rFonts w:asciiTheme="minorHAnsi" w:hAnsiTheme="minorHAnsi"/>
        </w:rPr>
      </w:pPr>
      <w:bookmarkStart w:id="20" w:name="_Toc236009738"/>
      <w:r w:rsidRPr="005D35A7">
        <w:rPr>
          <w:rFonts w:asciiTheme="minorHAnsi" w:hAnsiTheme="minorHAnsi"/>
          <w:b/>
          <w:bCs/>
        </w:rPr>
        <w:lastRenderedPageBreak/>
        <w:t>References</w:t>
      </w:r>
      <w:r w:rsidR="005D35A7">
        <w:rPr>
          <w:rFonts w:asciiTheme="minorHAnsi" w:hAnsiTheme="minorHAnsi"/>
          <w:b/>
          <w:bCs/>
        </w:rPr>
        <w:t>:</w:t>
      </w:r>
      <w:bookmarkEnd w:id="20"/>
    </w:p>
    <w:p w14:paraId="0CB3FDF7" w14:textId="77777777" w:rsidR="007A23A8" w:rsidRPr="00B3233B" w:rsidRDefault="00000000">
      <w:pPr>
        <w:spacing w:after="120" w:line="264" w:lineRule="auto"/>
        <w:ind w:left="431" w:hanging="431"/>
        <w:rPr>
          <w:rFonts w:asciiTheme="minorHAnsi" w:hAnsiTheme="minorHAnsi"/>
          <w:sz w:val="24"/>
          <w:szCs w:val="24"/>
        </w:rPr>
      </w:pPr>
      <w:r w:rsidRPr="00B3233B">
        <w:rPr>
          <w:rFonts w:asciiTheme="minorHAnsi" w:hAnsiTheme="minorHAnsi"/>
          <w:sz w:val="24"/>
          <w:szCs w:val="24"/>
        </w:rPr>
        <w:t>[1] T. H. Nguyen and D. B. Tran, “Business analytics using random forest trees for credit risk prediction: A comparison study,” ResearchGate preprint, 2025.</w:t>
      </w:r>
    </w:p>
    <w:p w14:paraId="7022AE97" w14:textId="77777777" w:rsidR="007A23A8" w:rsidRPr="00B3233B" w:rsidRDefault="00000000">
      <w:pPr>
        <w:spacing w:after="120" w:line="264" w:lineRule="auto"/>
        <w:ind w:left="431" w:hanging="431"/>
        <w:rPr>
          <w:rFonts w:asciiTheme="minorHAnsi" w:hAnsiTheme="minorHAnsi"/>
          <w:sz w:val="24"/>
          <w:szCs w:val="24"/>
        </w:rPr>
      </w:pPr>
      <w:r w:rsidRPr="00B3233B">
        <w:rPr>
          <w:rFonts w:asciiTheme="minorHAnsi" w:hAnsiTheme="minorHAnsi"/>
          <w:sz w:val="24"/>
          <w:szCs w:val="24"/>
        </w:rPr>
        <w:t>[2] S. Kumar et al., “Machine learning approach to credit risk prediction: A comparative study using decision tree, random forest, support vector machine and logistic regression,” ResearchGate preprint, 2023.</w:t>
      </w:r>
    </w:p>
    <w:p w14:paraId="7D90CA17" w14:textId="77777777" w:rsidR="007A23A8" w:rsidRPr="00B3233B" w:rsidRDefault="00000000">
      <w:pPr>
        <w:spacing w:after="120" w:line="264" w:lineRule="auto"/>
        <w:ind w:left="431" w:hanging="431"/>
        <w:rPr>
          <w:rFonts w:asciiTheme="minorHAnsi" w:hAnsiTheme="minorHAnsi"/>
          <w:sz w:val="24"/>
          <w:szCs w:val="24"/>
        </w:rPr>
      </w:pPr>
      <w:r w:rsidRPr="00B3233B">
        <w:rPr>
          <w:rFonts w:asciiTheme="minorHAnsi" w:hAnsiTheme="minorHAnsi"/>
          <w:sz w:val="24"/>
          <w:szCs w:val="24"/>
        </w:rPr>
        <w:t>[3] Y. Zhang et al., “Evaluating machine learning models for personal credit risk: A comparison of logistic regression, random forest, and XGBoost,” ResearchGate preprint, 2025.</w:t>
      </w:r>
    </w:p>
    <w:p w14:paraId="36A5E2A5" w14:textId="77777777" w:rsidR="007A23A8" w:rsidRPr="00B3233B" w:rsidRDefault="00000000">
      <w:pPr>
        <w:spacing w:after="120" w:line="264" w:lineRule="auto"/>
        <w:ind w:left="431" w:hanging="431"/>
        <w:rPr>
          <w:rFonts w:asciiTheme="minorHAnsi" w:hAnsiTheme="minorHAnsi"/>
          <w:sz w:val="24"/>
          <w:szCs w:val="24"/>
        </w:rPr>
      </w:pPr>
      <w:r w:rsidRPr="00B3233B">
        <w:rPr>
          <w:rFonts w:asciiTheme="minorHAnsi" w:hAnsiTheme="minorHAnsi"/>
          <w:sz w:val="24"/>
          <w:szCs w:val="24"/>
        </w:rPr>
        <w:t>[4] S. Kakkar, “Explainable AI models for credit risk scoring in banking: Balancing accuracy and regulatory transparency,” Int. J. Financial Data Sci. (IJFDS), vol. 3, no. 2, pp. 1–6, Aug. 2025, doi: 10.34218/IJFDS_03_02_001.</w:t>
      </w:r>
    </w:p>
    <w:p w14:paraId="14F4AB63" w14:textId="77777777" w:rsidR="007A23A8" w:rsidRPr="00B3233B" w:rsidRDefault="00000000">
      <w:pPr>
        <w:spacing w:after="120" w:line="264" w:lineRule="auto"/>
        <w:ind w:left="431" w:hanging="431"/>
        <w:rPr>
          <w:rFonts w:asciiTheme="minorHAnsi" w:hAnsiTheme="minorHAnsi"/>
          <w:sz w:val="24"/>
          <w:szCs w:val="24"/>
        </w:rPr>
      </w:pPr>
      <w:r w:rsidRPr="00B3233B">
        <w:rPr>
          <w:rFonts w:asciiTheme="minorHAnsi" w:hAnsiTheme="minorHAnsi"/>
          <w:sz w:val="24"/>
          <w:szCs w:val="24"/>
        </w:rPr>
        <w:t>[5] LendingClub, “Loans full schema dataset (Q1 2018 originations),” openintro.org, 2018. [Online]. Available: https://www.openintro.org/data/index.php?data=loans_full_schema</w:t>
      </w:r>
    </w:p>
    <w:p w14:paraId="095FA778" w14:textId="77777777" w:rsidR="007A23A8" w:rsidRPr="00B3233B" w:rsidRDefault="00000000">
      <w:pPr>
        <w:spacing w:after="120" w:line="264" w:lineRule="auto"/>
        <w:ind w:left="431" w:hanging="431"/>
        <w:rPr>
          <w:rFonts w:asciiTheme="minorHAnsi" w:hAnsiTheme="minorHAnsi"/>
          <w:sz w:val="24"/>
          <w:szCs w:val="24"/>
        </w:rPr>
      </w:pPr>
      <w:r w:rsidRPr="00B3233B">
        <w:rPr>
          <w:rFonts w:asciiTheme="minorHAnsi" w:hAnsiTheme="minorHAnsi"/>
          <w:sz w:val="24"/>
          <w:szCs w:val="24"/>
        </w:rPr>
        <w:t>[6] R. Hlongwane, K. Ramaboa, and W. Mongwe, “A novel framework for enhancing transparency in credit scoring: Leveraging Shapley values for interpretable credit scorecards,” PLOS ONE, vol. 19, no. 8, e0308718, Aug. 2024, doi: 10.1371/journal.pone.0308718.</w:t>
      </w:r>
    </w:p>
    <w:p w14:paraId="35A86A68" w14:textId="77777777" w:rsidR="007A23A8" w:rsidRPr="00B3233B" w:rsidRDefault="00000000">
      <w:pPr>
        <w:spacing w:after="120" w:line="264" w:lineRule="auto"/>
        <w:ind w:left="431" w:hanging="431"/>
        <w:rPr>
          <w:rFonts w:asciiTheme="minorHAnsi" w:hAnsiTheme="minorHAnsi"/>
          <w:sz w:val="24"/>
          <w:szCs w:val="24"/>
        </w:rPr>
      </w:pPr>
      <w:r w:rsidRPr="00B3233B">
        <w:rPr>
          <w:rFonts w:asciiTheme="minorHAnsi" w:hAnsiTheme="minorHAnsi"/>
          <w:sz w:val="24"/>
          <w:szCs w:val="24"/>
        </w:rPr>
        <w:t>[7] Consumer Financial Protection Bureau, “Consumer Financial Protection Circular 2023-03: Adverse action notification requirements and the proper use of the CFPB's sample forms provided in Regulation B,” Sept. 19, 2023. [Online]. Available: https://www.consumerfinance.gov/compliance/circulars/circular-2023-03-adverse-action-notification-requirements-and-proper-use-of-the-cfpbs-sample-forms-provided-in-regulation-b/</w:t>
      </w:r>
    </w:p>
    <w:p w14:paraId="1906DA05" w14:textId="77777777" w:rsidR="007A23A8" w:rsidRPr="00B3233B" w:rsidRDefault="00000000">
      <w:pPr>
        <w:spacing w:after="120" w:line="264" w:lineRule="auto"/>
        <w:ind w:left="431" w:hanging="431"/>
        <w:rPr>
          <w:rFonts w:asciiTheme="minorHAnsi" w:hAnsiTheme="minorHAnsi"/>
          <w:sz w:val="24"/>
          <w:szCs w:val="24"/>
        </w:rPr>
      </w:pPr>
      <w:r w:rsidRPr="00B3233B">
        <w:rPr>
          <w:rFonts w:asciiTheme="minorHAnsi" w:hAnsiTheme="minorHAnsi"/>
          <w:sz w:val="24"/>
          <w:szCs w:val="24"/>
        </w:rPr>
        <w:t>[8] scikit-learn developers, “scikit-learn: Machine learning in Python — Release 1.8.0,” Dec. 2025. [Online]. Available: https://scikit-learn.org/</w:t>
      </w:r>
    </w:p>
    <w:sectPr w:rsidR="007A23A8" w:rsidRPr="00B3233B">
      <w:headerReference w:type="default" r:id="rId18"/>
      <w:footerReference w:type="default" r:id="rId19"/>
      <w:pgSz w:w="12240" w:h="15840"/>
      <w:pgMar w:top="1080" w:right="1260" w:bottom="108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3F6D0" w14:textId="77777777" w:rsidR="005C4D27" w:rsidRDefault="005C4D27">
      <w:r>
        <w:separator/>
      </w:r>
    </w:p>
  </w:endnote>
  <w:endnote w:type="continuationSeparator" w:id="0">
    <w:p w14:paraId="2CC715C8" w14:textId="77777777" w:rsidR="005C4D27" w:rsidRDefault="005C4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17B07" w14:textId="368CBF0C" w:rsidR="007A23A8" w:rsidRDefault="007A23A8">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37640" w14:textId="77777777" w:rsidR="005C4D27" w:rsidRDefault="005C4D27">
      <w:r>
        <w:separator/>
      </w:r>
    </w:p>
  </w:footnote>
  <w:footnote w:type="continuationSeparator" w:id="0">
    <w:p w14:paraId="1BCA63B8" w14:textId="77777777" w:rsidR="005C4D27" w:rsidRDefault="005C4D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166CF" w14:textId="7A61DFD0" w:rsidR="007A23A8" w:rsidRDefault="007A23A8">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314C02"/>
    <w:multiLevelType w:val="hybridMultilevel"/>
    <w:tmpl w:val="796CC8DA"/>
    <w:lvl w:ilvl="0" w:tplc="DF36B0A4">
      <w:start w:val="1"/>
      <w:numFmt w:val="bullet"/>
      <w:lvlText w:val="●"/>
      <w:lvlJc w:val="left"/>
      <w:pPr>
        <w:ind w:left="720" w:hanging="360"/>
      </w:pPr>
    </w:lvl>
    <w:lvl w:ilvl="1" w:tplc="F7C61F20">
      <w:start w:val="1"/>
      <w:numFmt w:val="bullet"/>
      <w:lvlText w:val="○"/>
      <w:lvlJc w:val="left"/>
      <w:pPr>
        <w:ind w:left="1440" w:hanging="360"/>
      </w:pPr>
    </w:lvl>
    <w:lvl w:ilvl="2" w:tplc="5606BFE6">
      <w:start w:val="1"/>
      <w:numFmt w:val="bullet"/>
      <w:lvlText w:val="■"/>
      <w:lvlJc w:val="left"/>
      <w:pPr>
        <w:ind w:left="2160" w:hanging="360"/>
      </w:pPr>
    </w:lvl>
    <w:lvl w:ilvl="3" w:tplc="81AC33AE">
      <w:start w:val="1"/>
      <w:numFmt w:val="bullet"/>
      <w:lvlText w:val="●"/>
      <w:lvlJc w:val="left"/>
      <w:pPr>
        <w:ind w:left="2880" w:hanging="360"/>
      </w:pPr>
    </w:lvl>
    <w:lvl w:ilvl="4" w:tplc="FD681842">
      <w:start w:val="1"/>
      <w:numFmt w:val="bullet"/>
      <w:lvlText w:val="○"/>
      <w:lvlJc w:val="left"/>
      <w:pPr>
        <w:ind w:left="3600" w:hanging="360"/>
      </w:pPr>
    </w:lvl>
    <w:lvl w:ilvl="5" w:tplc="199AA962">
      <w:start w:val="1"/>
      <w:numFmt w:val="bullet"/>
      <w:lvlText w:val="■"/>
      <w:lvlJc w:val="left"/>
      <w:pPr>
        <w:ind w:left="4320" w:hanging="360"/>
      </w:pPr>
    </w:lvl>
    <w:lvl w:ilvl="6" w:tplc="93D85B3C">
      <w:start w:val="1"/>
      <w:numFmt w:val="bullet"/>
      <w:lvlText w:val="●"/>
      <w:lvlJc w:val="left"/>
      <w:pPr>
        <w:ind w:left="5040" w:hanging="360"/>
      </w:pPr>
    </w:lvl>
    <w:lvl w:ilvl="7" w:tplc="8B361D26">
      <w:start w:val="1"/>
      <w:numFmt w:val="bullet"/>
      <w:lvlText w:val="●"/>
      <w:lvlJc w:val="left"/>
      <w:pPr>
        <w:ind w:left="5760" w:hanging="360"/>
      </w:pPr>
    </w:lvl>
    <w:lvl w:ilvl="8" w:tplc="BCEAFEFA">
      <w:start w:val="1"/>
      <w:numFmt w:val="bullet"/>
      <w:lvlText w:val="●"/>
      <w:lvlJc w:val="left"/>
      <w:pPr>
        <w:ind w:left="6480" w:hanging="360"/>
      </w:pPr>
    </w:lvl>
  </w:abstractNum>
  <w:abstractNum w:abstractNumId="1" w15:restartNumberingAfterBreak="0">
    <w:nsid w:val="759C3BD9"/>
    <w:multiLevelType w:val="hybridMultilevel"/>
    <w:tmpl w:val="72E4338E"/>
    <w:lvl w:ilvl="0" w:tplc="565460B0">
      <w:start w:val="1"/>
      <w:numFmt w:val="bullet"/>
      <w:lvlText w:val="•"/>
      <w:lvlJc w:val="left"/>
    </w:lvl>
    <w:lvl w:ilvl="1" w:tplc="C4B60A90">
      <w:numFmt w:val="decimal"/>
      <w:lvlText w:val=""/>
      <w:lvlJc w:val="left"/>
    </w:lvl>
    <w:lvl w:ilvl="2" w:tplc="9732BE7C">
      <w:numFmt w:val="decimal"/>
      <w:lvlText w:val=""/>
      <w:lvlJc w:val="left"/>
    </w:lvl>
    <w:lvl w:ilvl="3" w:tplc="443C4680">
      <w:numFmt w:val="decimal"/>
      <w:lvlText w:val=""/>
      <w:lvlJc w:val="left"/>
    </w:lvl>
    <w:lvl w:ilvl="4" w:tplc="26D05742">
      <w:numFmt w:val="decimal"/>
      <w:lvlText w:val=""/>
      <w:lvlJc w:val="left"/>
    </w:lvl>
    <w:lvl w:ilvl="5" w:tplc="12909110">
      <w:numFmt w:val="decimal"/>
      <w:lvlText w:val=""/>
      <w:lvlJc w:val="left"/>
    </w:lvl>
    <w:lvl w:ilvl="6" w:tplc="81923268">
      <w:numFmt w:val="decimal"/>
      <w:lvlText w:val=""/>
      <w:lvlJc w:val="left"/>
    </w:lvl>
    <w:lvl w:ilvl="7" w:tplc="32CC4D1A">
      <w:numFmt w:val="decimal"/>
      <w:lvlText w:val=""/>
      <w:lvlJc w:val="left"/>
    </w:lvl>
    <w:lvl w:ilvl="8" w:tplc="731C860A">
      <w:numFmt w:val="decimal"/>
      <w:lvlText w:val=""/>
      <w:lvlJc w:val="left"/>
    </w:lvl>
  </w:abstractNum>
  <w:num w:numId="1" w16cid:durableId="19971205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3A8"/>
    <w:rsid w:val="001C0683"/>
    <w:rsid w:val="0023038E"/>
    <w:rsid w:val="002C1603"/>
    <w:rsid w:val="002E036B"/>
    <w:rsid w:val="00457251"/>
    <w:rsid w:val="005C4D27"/>
    <w:rsid w:val="005D35A7"/>
    <w:rsid w:val="007A23A8"/>
    <w:rsid w:val="00952B97"/>
    <w:rsid w:val="009A57BB"/>
    <w:rsid w:val="00B3233B"/>
    <w:rsid w:val="00B60307"/>
    <w:rsid w:val="00C70E37"/>
    <w:rsid w:val="00C90491"/>
    <w:rsid w:val="00F21BE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1F4E8"/>
  <w15:docId w15:val="{F2D79041-82D7-44C1-BCC5-7192777D8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B3233B"/>
    <w:pPr>
      <w:tabs>
        <w:tab w:val="center" w:pos="4513"/>
        <w:tab w:val="right" w:pos="9026"/>
      </w:tabs>
    </w:pPr>
  </w:style>
  <w:style w:type="character" w:customStyle="1" w:styleId="HeaderChar">
    <w:name w:val="Header Char"/>
    <w:basedOn w:val="DefaultParagraphFont"/>
    <w:link w:val="Header"/>
    <w:uiPriority w:val="99"/>
    <w:rsid w:val="00B3233B"/>
  </w:style>
  <w:style w:type="paragraph" w:styleId="Footer">
    <w:name w:val="footer"/>
    <w:basedOn w:val="Normal"/>
    <w:link w:val="FooterChar"/>
    <w:uiPriority w:val="99"/>
    <w:unhideWhenUsed/>
    <w:rsid w:val="00B3233B"/>
    <w:pPr>
      <w:tabs>
        <w:tab w:val="center" w:pos="4513"/>
        <w:tab w:val="right" w:pos="9026"/>
      </w:tabs>
    </w:pPr>
  </w:style>
  <w:style w:type="character" w:customStyle="1" w:styleId="FooterChar">
    <w:name w:val="Footer Char"/>
    <w:basedOn w:val="DefaultParagraphFont"/>
    <w:link w:val="Footer"/>
    <w:uiPriority w:val="99"/>
    <w:rsid w:val="00B3233B"/>
  </w:style>
  <w:style w:type="paragraph" w:styleId="TOCHeading">
    <w:name w:val="TOC Heading"/>
    <w:basedOn w:val="Heading1"/>
    <w:next w:val="Normal"/>
    <w:uiPriority w:val="39"/>
    <w:unhideWhenUsed/>
    <w:qFormat/>
    <w:rsid w:val="002E036B"/>
    <w:pPr>
      <w:keepNext/>
      <w:keepLines/>
      <w:spacing w:before="240" w:line="259" w:lineRule="auto"/>
      <w:outlineLvl w:val="9"/>
    </w:pPr>
    <w:rPr>
      <w:rFonts w:asciiTheme="majorHAnsi" w:eastAsiaTheme="majorEastAsia" w:hAnsiTheme="majorHAnsi" w:cstheme="majorBidi"/>
      <w:color w:val="0F4761" w:themeColor="accent1" w:themeShade="BF"/>
      <w:lang w:val="en-US" w:eastAsia="en-US"/>
    </w:rPr>
  </w:style>
  <w:style w:type="paragraph" w:styleId="TOC1">
    <w:name w:val="toc 1"/>
    <w:basedOn w:val="Normal"/>
    <w:next w:val="Normal"/>
    <w:autoRedefine/>
    <w:uiPriority w:val="39"/>
    <w:unhideWhenUsed/>
    <w:rsid w:val="002E036B"/>
    <w:pPr>
      <w:spacing w:after="100"/>
    </w:pPr>
  </w:style>
  <w:style w:type="paragraph" w:styleId="TOC2">
    <w:name w:val="toc 2"/>
    <w:basedOn w:val="Normal"/>
    <w:next w:val="Normal"/>
    <w:autoRedefine/>
    <w:uiPriority w:val="39"/>
    <w:unhideWhenUsed/>
    <w:rsid w:val="002E036B"/>
    <w:pPr>
      <w:spacing w:after="100"/>
      <w:ind w:left="220"/>
    </w:pPr>
  </w:style>
  <w:style w:type="paragraph" w:styleId="TOC3">
    <w:name w:val="toc 3"/>
    <w:basedOn w:val="Normal"/>
    <w:next w:val="Normal"/>
    <w:autoRedefine/>
    <w:uiPriority w:val="39"/>
    <w:unhideWhenUsed/>
    <w:rsid w:val="002E036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29DCE-A8CA-48A0-BFBE-F1D4E628F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17</Pages>
  <Words>3768</Words>
  <Characters>21484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Vivek Nelapati (2511594)</cp:lastModifiedBy>
  <cp:revision>6</cp:revision>
  <dcterms:created xsi:type="dcterms:W3CDTF">2026-07-17T13:19:00Z</dcterms:created>
  <dcterms:modified xsi:type="dcterms:W3CDTF">2026-07-27T00:56:00Z</dcterms:modified>
</cp:coreProperties>
</file>