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7A791" w14:textId="7313AA63" w:rsidR="00A47C19" w:rsidRPr="00A47C19" w:rsidRDefault="00A47C19">
      <w:pPr>
        <w:rPr>
          <w:b/>
          <w:bCs/>
          <w:u w:val="single"/>
        </w:rPr>
      </w:pPr>
      <w:r w:rsidRPr="00A47C19">
        <w:rPr>
          <w:b/>
          <w:bCs/>
          <w:u w:val="single"/>
        </w:rPr>
        <w:t>Rhan B</w:t>
      </w:r>
      <w:r w:rsidR="00704118" w:rsidRPr="00704118">
        <w:rPr>
          <w:b/>
          <w:bCs/>
          <w:u w:val="single"/>
        </w:rPr>
        <w:t>: Gwerthusiad beirniadol o ddatblygiad targed strategol mewn Cynllun Datblygu Ysgol: Camau Gweithredu, Effaith ac Adfyfyrdodau ar sail Tystiolaeth</w:t>
      </w:r>
    </w:p>
    <w:p w14:paraId="596C23BE" w14:textId="77777777" w:rsidR="00C03F0D" w:rsidRDefault="00FC27FE" w:rsidP="00371E7E">
      <w:pPr>
        <w:ind w:firstLine="720"/>
      </w:pPr>
      <w:r w:rsidRPr="00FC27FE">
        <w:t>Mae Cynllun Datblygu Ysgolion (CDY) yn arf hanfodol ar gyfer cynllunio strategol mewn ysgolion, gan sicrhau gwelliannau wedi’u targedu sy’n seiliedig ar dystiolaeth (Llywodraeth Cymru, 2022). Nod yr aseiniad hwn yw arfarnu’n feirniadol un pwynt gweithredu penodol o fewn CDY, gan ystyried y camau gweithredu a gymerwyd, yr effaith a gafwyd, a’r adfyfyrdodau a wnaed ar sail tystiolaeth.</w:t>
      </w:r>
      <w:r>
        <w:t xml:space="preserve"> </w:t>
      </w:r>
      <w:r w:rsidR="004003C9">
        <w:tab/>
      </w:r>
      <w:r w:rsidR="004003C9">
        <w:tab/>
      </w:r>
      <w:r w:rsidR="004003C9">
        <w:tab/>
      </w:r>
      <w:r w:rsidR="004003C9">
        <w:tab/>
      </w:r>
      <w:r w:rsidR="004003C9">
        <w:tab/>
      </w:r>
      <w:r w:rsidR="004003C9">
        <w:tab/>
      </w:r>
      <w:r w:rsidR="001F25B1" w:rsidRPr="001F25B1">
        <w:t xml:space="preserve">Yn benodol, bydd yr aseiniad hwn yn canolbwyntio ar y targed strategol o wella medrau ysgrifennu dysgwyr. Mae ysgrifennu’n sgil allweddol sy’n cefnogi datblygiad academaidd a chymdeithasol dysgwyr, ac mae ymchwil wedi dangos bod bylchau sylweddol yn gallu datblygu os na roddir cefnogaeth briodol i’w meithrin </w:t>
      </w:r>
      <w:r w:rsidR="000D5CE6">
        <w:t>(</w:t>
      </w:r>
      <w:r w:rsidR="001F25B1" w:rsidRPr="001F25B1">
        <w:t>Estyn, 202</w:t>
      </w:r>
      <w:r w:rsidR="000D5CE6">
        <w:t>4</w:t>
      </w:r>
      <w:r w:rsidR="001F25B1" w:rsidRPr="001F25B1">
        <w:t>).</w:t>
      </w:r>
      <w:r w:rsidR="003455B7">
        <w:t xml:space="preserve"> </w:t>
      </w:r>
      <w:r w:rsidR="003455B7" w:rsidRPr="003455B7">
        <w:t xml:space="preserve">Yn ogystal, mewn ysgolion cyfrwng Cymraeg, gall heriau ychwanegol godi wrth i ddisgyblion ddatblygu llythrennedd yn eu hiaith gyntaf ac ail iaith, gan wneud y targed hwn yn bwysig i sicrhau cyfleoedd cyfartal i bob dysgwr </w:t>
      </w:r>
      <w:r w:rsidR="00B365E5" w:rsidRPr="00B365E5">
        <w:t>(Miller, Mccardle a Connelly, 2017)</w:t>
      </w:r>
      <w:r w:rsidR="00B365E5">
        <w:t xml:space="preserve">. </w:t>
      </w:r>
      <w:r w:rsidR="004003C9">
        <w:tab/>
      </w:r>
      <w:r w:rsidR="004003C9">
        <w:tab/>
      </w:r>
      <w:r w:rsidR="004003C9">
        <w:tab/>
      </w:r>
      <w:r w:rsidR="004003C9">
        <w:tab/>
      </w:r>
      <w:r w:rsidR="007C3EBC" w:rsidRPr="007C3EBC">
        <w:t>Mae’r ysgol dan sylw, sef ysgol gynradd gyfrwng Cymraeg mewn ardal lle mae niferoedd cynyddol o ddysgwyr o gefndiroedd amlieithog, wedi wynebu heriau penodol mewn perthynas â safonau ysgrifennu. Mae data mewnol wedi dangos anghysondebau mewn cyrhaeddiad ysgrifennu ar draws grwpiau oedran, gyda bylchau’n fwy amlwg ymhlith dysgwyr ag Anghenion Dysgu Ychwanegol (ADY). Mae hyn yn adlewyrchu’r heriau ehangach a nodwyd mewn adroddiadau ymchwil sy’n pwysleisio’r angen am strategaethau pwrpasol i gefnogi’r dysgwyr hyn (Cremin &amp; Myhill, 2012).</w:t>
      </w:r>
      <w:r w:rsidR="000A5F3A">
        <w:tab/>
      </w:r>
      <w:r w:rsidR="000A5F3A">
        <w:tab/>
      </w:r>
      <w:r w:rsidR="000A5F3A">
        <w:tab/>
      </w:r>
      <w:r w:rsidR="000A5F3A">
        <w:tab/>
      </w:r>
      <w:r w:rsidR="000A5F3A">
        <w:tab/>
      </w:r>
      <w:r w:rsidR="000A5F3A">
        <w:tab/>
      </w:r>
      <w:r w:rsidR="000A5F3A">
        <w:tab/>
      </w:r>
      <w:r w:rsidR="000A5F3A" w:rsidRPr="000A5F3A">
        <w:t>Bydd yr aseiniad hwn yn dilyn strwythur clir i arfarnu’r targed strategol hwn. Yn gyntaf, bydd yn trafod y camau gweithredu a gymerwyd gan yr ysgol, gan gynnwys y dulliau addysgu a fabwysiadwyd i wella medrau ysgrifennu. Yn ail, bydd yn asesu’r effaith, gan ddefnyddio tystiolaeth megis data cynnydd disgyblion a gwerthusiadau gan athrawon. Yn olaf, bydd yr aseiniad yn archwilio adfyfyrdodau ar sail tystiolaeth, gan ystyried llwyddiannau, heriau, a gwelliannau posibl ar gyfer y dyfodol.</w:t>
      </w:r>
      <w:r w:rsidR="008557BE">
        <w:tab/>
      </w:r>
      <w:r w:rsidR="008557BE">
        <w:tab/>
      </w:r>
      <w:r w:rsidR="008557BE">
        <w:tab/>
      </w:r>
      <w:r w:rsidR="008557BE">
        <w:tab/>
      </w:r>
      <w:r w:rsidR="008557BE">
        <w:tab/>
      </w:r>
    </w:p>
    <w:p w14:paraId="736445BB" w14:textId="61AB9A4A" w:rsidR="008E30B0" w:rsidRDefault="00A3707D" w:rsidP="00371E7E">
      <w:pPr>
        <w:ind w:firstLine="720"/>
      </w:pPr>
      <w:r w:rsidRPr="00A3707D">
        <w:t>Mae Cynllun Datblygiad Ysgol (CDY) yn ddull strwythuredig o wella ysgolion, gan sicrhau bod nodau strategol yn cyd-fynd â blaenoriaethau addysgol cenedlaethol ac anghenion sefydliadol. Mae Llywodraeth Cymru (2021) yn pwysleisio bod yn rhaid i CDY effeithiol gael ei lywio gan ddata, yn gydweithredol, ac yn seiliedig ar dystiolaeth i feithrin cynnydd cynaliadwy.</w:t>
      </w:r>
      <w:r w:rsidR="00013274">
        <w:t xml:space="preserve"> </w:t>
      </w:r>
      <w:r w:rsidR="00013274" w:rsidRPr="00013274">
        <w:t>Yn ôl Harris a Jones (2017), mae CDY yn dilyn proses gylchol sy’n cynnwys dadansoddi anghenion, gosod targedau, gweithredu, monitro a gwerthuso. Mae ymchwil yn amlygu bod CDY effeithiol yn gofyn am gydbwysedd rhwng polisïau o'r brig i'r bôn ac ymgysylltu o'r gwaelod i fyny (Fullan, 2016). Er bod cyfarwyddebau’r llywodraeth yn gosod nodau trosfwaol, rhaid i ysgolion deilwra’r rhain i’w cyd-destunau unigryw (Estyn, 202</w:t>
      </w:r>
      <w:r w:rsidR="006A75A3">
        <w:t>4</w:t>
      </w:r>
      <w:r w:rsidR="00013274" w:rsidRPr="00013274">
        <w:t>). Yng Nghymru, mae Cwricwlwm i Gymru (2022) yn tanlinellu pwysigrwydd datblygu llythrennedd fel cyfrifoldeb trawsgwricwlaidd, gan wneud gwella sgiliau ysgrifennu yn flaenoriaeth allweddol.</w:t>
      </w:r>
      <w:r w:rsidR="00C80A41">
        <w:tab/>
      </w:r>
      <w:r w:rsidR="00C80A41">
        <w:tab/>
      </w:r>
      <w:r w:rsidR="00C80A41">
        <w:tab/>
      </w:r>
      <w:r w:rsidR="00C80A41">
        <w:tab/>
      </w:r>
      <w:r w:rsidR="00C80A41">
        <w:tab/>
      </w:r>
      <w:r w:rsidR="00C80A41">
        <w:tab/>
      </w:r>
      <w:r w:rsidR="00C80A41">
        <w:tab/>
      </w:r>
      <w:r w:rsidR="00C80A41">
        <w:tab/>
      </w:r>
      <w:r w:rsidR="00C80A41">
        <w:tab/>
      </w:r>
      <w:r w:rsidR="00C80A41">
        <w:tab/>
      </w:r>
      <w:r w:rsidR="00896AEF" w:rsidRPr="00896AEF">
        <w:t>Mae Fframwaith Llythrennedd a Rhifedd Cenedlaethol Llywodraeth Cymru yn ei gwneud yn ofynnol i bob ysgol ymgorffori llythrennedd ar draws pynciau, gan sicrhau dilyniant yn sgiliau ysgrifennu dysgwyr. Yn ogystal, mae Estyn (202</w:t>
      </w:r>
      <w:r w:rsidR="006A75A3">
        <w:t>4</w:t>
      </w:r>
      <w:r w:rsidR="00896AEF" w:rsidRPr="00896AEF">
        <w:t xml:space="preserve">) yn pwysleisio bod yn </w:t>
      </w:r>
      <w:r w:rsidR="00896AEF" w:rsidRPr="00896AEF">
        <w:lastRenderedPageBreak/>
        <w:t>rhaid blaenoriaethu llythrennedd mewn Cynlluniau Datblygu Ysgol, yn enwedig ar gyfer dysgwyr difreintiedig a’r rhai ag anghenion dysgu ychwanegol (ADY). Mae Addysg yng Nghymru hefyd yn cyd-fynd â’r safbwyntiau hyn, gan eiriol dros ymyriadau sy’n seiliedig ar dystiolaeth i wella rhuglder ysgrifennu, cywirdeb gramadeg, a chreadigrwydd ymhlith dysgwyr.</w:t>
      </w:r>
      <w:r w:rsidR="00D671B0">
        <w:tab/>
      </w:r>
      <w:r w:rsidR="00D671B0">
        <w:tab/>
      </w:r>
      <w:r w:rsidR="00D671B0">
        <w:tab/>
      </w:r>
      <w:r w:rsidR="00D671B0">
        <w:tab/>
      </w:r>
      <w:r w:rsidR="00D671B0">
        <w:tab/>
      </w:r>
      <w:r w:rsidR="00D671B0">
        <w:tab/>
      </w:r>
      <w:r w:rsidR="00D671B0">
        <w:tab/>
      </w:r>
      <w:r w:rsidR="00D671B0">
        <w:tab/>
      </w:r>
      <w:r w:rsidR="00D671B0">
        <w:tab/>
      </w:r>
      <w:r w:rsidR="00D671B0">
        <w:tab/>
      </w:r>
      <w:r w:rsidR="00D671B0">
        <w:tab/>
      </w:r>
      <w:r w:rsidR="00D671B0">
        <w:tab/>
        <w:t>Gall</w:t>
      </w:r>
      <w:r w:rsidR="00D671B0" w:rsidRPr="00D671B0">
        <w:t xml:space="preserve"> datblygu sgiliau ysgrifennu dysgwyr </w:t>
      </w:r>
      <w:r w:rsidR="00D671B0">
        <w:t>g</w:t>
      </w:r>
      <w:r w:rsidR="00D671B0" w:rsidRPr="00D671B0">
        <w:t>yflwyno sawl her, yn aml yn gysylltiedig â chefndir economaidd-gymdeithasol, hyfedredd iaith, cynllunio’r cwricwlwm, ac arbenigedd athrawon (Myhill, 2018). Mae amlygiad cyfyngedig i ysgrifennu academaidd yn un rhwystr sylweddol, oherwydd efallai y bydd dysgwyr o gefndiroedd difreintiedig yn cael llai o gyfleoedd i ymgymryd ag ysgrifennu strwythuredig y tu allan i’r ysgol</w:t>
      </w:r>
      <w:r w:rsidR="00757D10">
        <w:t xml:space="preserve"> </w:t>
      </w:r>
      <w:r w:rsidR="003155AD" w:rsidRPr="003155AD">
        <w:t>(Shepherd, 2019)</w:t>
      </w:r>
      <w:r w:rsidR="00D671B0" w:rsidRPr="00D671B0">
        <w:t>.</w:t>
      </w:r>
      <w:r w:rsidR="004648D2">
        <w:t xml:space="preserve"> </w:t>
      </w:r>
      <w:r w:rsidR="004648D2" w:rsidRPr="004648D2">
        <w:t xml:space="preserve">Yn ogystal, mae dysgwyr Saesneg fel Iaith Ychwanegol (EAL) angen cyfarwyddyd penodol mewn strwythurau gramadeg a nodweddion </w:t>
      </w:r>
      <w:r w:rsidR="00757D10" w:rsidRPr="004648D2">
        <w:t>di sgwrs</w:t>
      </w:r>
      <w:r w:rsidR="004648D2" w:rsidRPr="004648D2">
        <w:t xml:space="preserve"> i symud ymlaen mewn ysgrifennu (Gibbons, 20</w:t>
      </w:r>
      <w:r w:rsidR="005A55BA">
        <w:t>14</w:t>
      </w:r>
      <w:r w:rsidR="004648D2" w:rsidRPr="004648D2">
        <w:t>). Her arall yw cymhelliant isel a phryder ysgrifennu, gyda llawer o fyfyrwyr yn gweld ysgrifennu yn wybyddol feichus, gan arwain at ymddieithrio</w:t>
      </w:r>
      <w:r w:rsidR="00724637">
        <w:t xml:space="preserve"> </w:t>
      </w:r>
      <w:r w:rsidR="00BD3CFA" w:rsidRPr="00BD3CFA">
        <w:t>(Molyneaux, 2019)</w:t>
      </w:r>
      <w:r w:rsidR="00724637">
        <w:t xml:space="preserve">. </w:t>
      </w:r>
      <w:r w:rsidR="004648D2" w:rsidRPr="004648D2">
        <w:t>Mae Estyn (2021) wedi nodi strategaethau addysgu anghyson fel ffactor sy’n cyfyngu ar gynnydd ysgrifennu. Mae diffyg hyfforddiant arbenigol mewn addysgeg ysgrifennu gan rai athrawon, gan arwain at or-bwyslais ar gywiro gramadeg yn hytrach na meithrin rhuglder ysgrifennu.</w:t>
      </w:r>
      <w:r w:rsidR="001910C4">
        <w:tab/>
      </w:r>
      <w:r w:rsidR="001910C4" w:rsidRPr="001910C4">
        <w:t xml:space="preserve">Mae cyfarwyddyd ysgrifennu effeithiol yn gofyn am gyfuniad o addysgu penodol, sgaffaldiau, adborth, a dulliau myfyriwr-ganolog </w:t>
      </w:r>
      <w:r w:rsidR="001A11E3" w:rsidRPr="001A11E3">
        <w:t>(Graham, Hebert a</w:t>
      </w:r>
      <w:r w:rsidR="001A11E3">
        <w:t xml:space="preserve"> </w:t>
      </w:r>
      <w:r w:rsidR="001A11E3" w:rsidRPr="001A11E3">
        <w:t>Harris, 2015)</w:t>
      </w:r>
      <w:r w:rsidR="001910C4" w:rsidRPr="001910C4">
        <w:t>. Mae The Writing Process Approach, sy’n annog dysgwyr i gynllunio, drafftio, adolygu, a golygu eu gwaith yn systematig, yn hyrwyddo sgiliau</w:t>
      </w:r>
      <w:r w:rsidR="001910C4">
        <w:t xml:space="preserve"> g</w:t>
      </w:r>
      <w:r w:rsidR="001910C4" w:rsidRPr="001910C4">
        <w:t>wybyddol</w:t>
      </w:r>
      <w:r w:rsidR="001910C4" w:rsidRPr="001910C4">
        <w:t xml:space="preserve"> ac mae wedi cael cefnogaeth eang mewn ymchwil (Flower &amp; Hayes, 1981). Mae Talk for Writing yn ddull strwythuredig arall sy’n gwella rhuglder ysgrifennu trwy ymarfer llafar ac ysgrifennu wedi’i fodelu, a dangoswyd ei fod yn effeithiol mewn lleoliadau cynradd ac uwchradd</w:t>
      </w:r>
      <w:r w:rsidR="002058D3">
        <w:t xml:space="preserve"> (</w:t>
      </w:r>
      <w:r w:rsidR="001910C4" w:rsidRPr="001910C4">
        <w:t>Corbett, 2020). At hynny, mae ymchwil yn awgrymu y gall integreiddio technoleg, fel blogio, offer ysgrifennu cydweithredol, ac adborth gyda chymorth AI, wella ansawdd ymgysylltu ac ysgrifennu (Merchant, 20</w:t>
      </w:r>
      <w:r w:rsidR="00442997">
        <w:t>20</w:t>
      </w:r>
      <w:r w:rsidR="001910C4" w:rsidRPr="001910C4">
        <w:t>). Yn y cyd-destun Cymreig, mae Estyn (202</w:t>
      </w:r>
      <w:r w:rsidR="006A75A3">
        <w:t>4</w:t>
      </w:r>
      <w:r w:rsidR="001910C4" w:rsidRPr="001910C4">
        <w:t>) yn argymell ymagwedd drawsgwricwlaidd at ysgrifennu, gan sicrhau bod myfyrwyr yn cymhwyso sgiliau ysgrifennu ar draws pynciau yn hytrach nag ar wahân.</w:t>
      </w:r>
      <w:r w:rsidR="0038683C">
        <w:tab/>
      </w:r>
      <w:r w:rsidR="0038683C">
        <w:tab/>
      </w:r>
      <w:r w:rsidR="0038683C">
        <w:tab/>
      </w:r>
      <w:r w:rsidR="0038683C">
        <w:tab/>
      </w:r>
      <w:r w:rsidR="0038683C">
        <w:tab/>
      </w:r>
      <w:r w:rsidR="0038683C">
        <w:tab/>
      </w:r>
      <w:r w:rsidR="0038683C">
        <w:tab/>
      </w:r>
      <w:r w:rsidR="0038683C">
        <w:tab/>
      </w:r>
      <w:r w:rsidR="0038683C" w:rsidRPr="0038683C">
        <w:t xml:space="preserve">Er gwaethaf y </w:t>
      </w:r>
      <w:r w:rsidR="0054474E">
        <w:t>nifer</w:t>
      </w:r>
      <w:r w:rsidR="0038683C" w:rsidRPr="0038683C">
        <w:t xml:space="preserve"> o ymchwil ar addysgeg ysgrifennu, mae nifer o fylchau a gwrthddywediadau allweddol yn bodoli. Mae un ddadl barhaus yn ymwneud â'r tensiwn rhwng cyfarwyddyd gramadeg penodol ac ysgrifennu creadigol. Mae dulliau traddodiadol yn pwysleisio cywirdeb technegol, tra bod addysgeg modern yn dadlau dros greadigrwydd a hunanfynegiant </w:t>
      </w:r>
      <w:r w:rsidR="00730C66" w:rsidRPr="00730C66">
        <w:t>(Myhill, Watson a</w:t>
      </w:r>
      <w:r w:rsidR="00730C66">
        <w:t xml:space="preserve"> </w:t>
      </w:r>
      <w:r w:rsidR="00730C66" w:rsidRPr="00730C66">
        <w:t>Newman, 2020)</w:t>
      </w:r>
      <w:r w:rsidR="0038683C" w:rsidRPr="0038683C">
        <w:t xml:space="preserve">. Maes dadleuol arall yw effaith profion safonol. Mae beirniaid yn dadlau bod profion sylweddol yn aml yn cyfyngu cyfarwyddyd ysgrifennu i strwythurau </w:t>
      </w:r>
      <w:r w:rsidR="0068770F" w:rsidRPr="0038683C">
        <w:t>fformiwlâu</w:t>
      </w:r>
      <w:r w:rsidR="0038683C" w:rsidRPr="0038683C">
        <w:t xml:space="preserve">, gan gyfyngu ar allu myfyrwyr i ddatblygu lleisiau ysgrifennu dilys </w:t>
      </w:r>
      <w:r w:rsidR="00533BB8" w:rsidRPr="00533BB8">
        <w:t xml:space="preserve">(Herman </w:t>
      </w:r>
      <w:r w:rsidR="00533BB8">
        <w:t>a</w:t>
      </w:r>
      <w:r w:rsidR="00533BB8" w:rsidRPr="00533BB8">
        <w:t xml:space="preserve"> Golan, 2005)</w:t>
      </w:r>
      <w:r w:rsidR="00533BB8">
        <w:t>.</w:t>
      </w:r>
      <w:r w:rsidR="00BC2FEE">
        <w:t xml:space="preserve"> </w:t>
      </w:r>
      <w:r w:rsidR="0038683C" w:rsidRPr="0038683C">
        <w:t xml:space="preserve">Yn ogystal, er bod technoleg yn cael ei hyrwyddo'n eang fel arf ar gyfer datblygu ysgrifennu, mae rhai astudiaethau'n cwestiynu ei heffeithiolrwydd hirdymor o gymharu ag adborth traddodiadol gan athrawon </w:t>
      </w:r>
      <w:r w:rsidR="003A166D" w:rsidRPr="003A166D">
        <w:t>(Sari a</w:t>
      </w:r>
      <w:r w:rsidR="001F3D59">
        <w:t xml:space="preserve"> </w:t>
      </w:r>
      <w:r w:rsidR="003A166D" w:rsidRPr="003A166D">
        <w:t>Han, 2024)</w:t>
      </w:r>
      <w:r w:rsidR="0038683C" w:rsidRPr="0038683C">
        <w:t xml:space="preserve">. Mae tueddiadau sy'n dod i'r amlwg yn y maes yn awgrymu symudiad tuag at fodelau hybrid o gyfarwyddyd ysgrifennu, gan integreiddio adborth wedi'i bweru gan AI, cydweithredu cymheiriaid, ac adfyfyrio </w:t>
      </w:r>
      <w:r w:rsidR="00215874" w:rsidRPr="0038683C">
        <w:t>meta wybyddol</w:t>
      </w:r>
      <w:r w:rsidR="0038683C" w:rsidRPr="0038683C">
        <w:t xml:space="preserve"> i wella hyfedredd ysgrifennu </w:t>
      </w:r>
      <w:r w:rsidR="008D5630" w:rsidRPr="008D5630">
        <w:t>(Timotheou et al., 2022</w:t>
      </w:r>
      <w:r w:rsidR="008D5630">
        <w:t>).</w:t>
      </w:r>
      <w:r w:rsidR="0077712F">
        <w:tab/>
      </w:r>
      <w:r w:rsidR="0077712F">
        <w:tab/>
      </w:r>
      <w:r w:rsidR="0077712F">
        <w:tab/>
      </w:r>
      <w:r w:rsidR="0077712F">
        <w:tab/>
      </w:r>
      <w:r w:rsidR="0077712F">
        <w:tab/>
      </w:r>
      <w:r w:rsidR="0077712F">
        <w:tab/>
      </w:r>
      <w:r w:rsidR="0077712F">
        <w:tab/>
      </w:r>
      <w:r w:rsidR="0077712F">
        <w:tab/>
      </w:r>
      <w:r w:rsidR="0077712F">
        <w:tab/>
      </w:r>
      <w:r w:rsidR="0077712F">
        <w:tab/>
      </w:r>
      <w:r w:rsidR="0077712F" w:rsidRPr="0077712F">
        <w:t xml:space="preserve">Mae’r llenyddiaeth yn pwysleisio bod gwella sgiliau ysgrifennu dysgwyr yn gofyn am </w:t>
      </w:r>
      <w:r w:rsidR="0077712F" w:rsidRPr="0077712F">
        <w:lastRenderedPageBreak/>
        <w:t>ddull amlochrog, sy’n cyfuno addysgu penodol, adborth ystyrlon, ac integreiddio llythrennedd trawsgwricwlaidd. Fodd bynnag, mae heriau'n parhau, yn enwedig o ran tegwch o ran mynediad at gymorth ysgrifennu, hyfforddiant athrawon ac arferion asesu. Dylai gwerthusiad beirniadol o ymyriadau yn yr ysgol ystyried y ffactorau hyn i sicrhau gwelliannau cynaliadwy mewn hyfedredd ysgrifennu.</w:t>
      </w:r>
      <w:r w:rsidR="001F0962">
        <w:tab/>
      </w:r>
      <w:r w:rsidR="001F0962">
        <w:tab/>
      </w:r>
      <w:r w:rsidR="001F0962">
        <w:tab/>
      </w:r>
      <w:r w:rsidR="001F0962">
        <w:tab/>
      </w:r>
      <w:r w:rsidR="001F0962">
        <w:tab/>
      </w:r>
      <w:r w:rsidR="001F0962">
        <w:tab/>
      </w:r>
    </w:p>
    <w:p w14:paraId="5DB70DE3" w14:textId="40283544" w:rsidR="00B326B0" w:rsidRDefault="00470613" w:rsidP="00B326B0">
      <w:pPr>
        <w:ind w:firstLine="720"/>
      </w:pPr>
      <w:r w:rsidRPr="00470613">
        <w:t>Mae’r targed o wella medrau ysgrifennu dysgwyr yn cyd-fynd yn agos â chenhadaeth ehangach yr ysgol o feithrin rhagoriaeth academaidd a datblygiad cyfannol myfyrwyr. Mae gweledigaeth yn pwysleisio arfogi myfyrwyr â chymwyseddau llythrennedd hanfodol sy’n eu galluogi i feddwl yn feirniadol, mynegi eu syniadau’n effeithiol, a llwyddo mewn sefyllfaoedd academaidd a phroffesiynol.</w:t>
      </w:r>
      <w:r w:rsidR="009E3960">
        <w:t xml:space="preserve"> </w:t>
      </w:r>
      <w:r w:rsidR="009E3960" w:rsidRPr="009E3960">
        <w:t xml:space="preserve">Mae ysgrifennu yn sgil sylfaenol sy'n effeithio ar bob maes dysgu, gan ei wneud yn flaenoriaeth hollbwysig yn y Cynllun Datblygu Ysgol (CDY). Cafodd y penderfyniad i ganolbwyntio ar sgiliau ysgrifennu ei ddylanwadu gan sawl ffactor allweddol. Amlygodd adborth arolygu gan </w:t>
      </w:r>
      <w:r w:rsidR="00A602DB">
        <w:t>Estyn</w:t>
      </w:r>
      <w:r w:rsidR="009E3960" w:rsidRPr="009E3960">
        <w:t xml:space="preserve"> heriau parhaus yng ngallu myfyrwyr i strwythuro eu hysgrifennu’n gydlynol, defnyddio geirfa amrywiol, a dangos eglurder yn eu mynegiant ysgrifenedig.</w:t>
      </w:r>
      <w:r w:rsidR="00831CA8">
        <w:t xml:space="preserve"> </w:t>
      </w:r>
      <w:r w:rsidR="00831CA8" w:rsidRPr="00831CA8">
        <w:t>Roedd data asesu mewnol yn atgyfnerthu’r angen hwn ymhellach, gan ddatgelu bwlch amlwg rhwng sgiliau cyfathrebu llafar ac ysgrifenedig myfyrwyr, gyda llawer yn dangos mwy o ruglder mewn trafodaethau llafar o gymharu â’u gwaith ysgrifenedig. At hynny, mae disgwyliadau’r cwricwlwm cenedlaethol a pholisïau’r llywodraeth wedi rhoi pwyslais cryf ar lythrennedd fel dangosydd perfformiad allweddol ar gyfer llwyddiant ysgol, gan danlinellu pwysigrwydd sicrhau bod pob myfyriwr yn bodloni’r safonau hyfedredd ysgrifennu gofynnol. Roedd y ffactorau cyfunol hyn yn gwneud gwella sgiliau ysgrifennu yn flaenoriaeth, gan arwain at weithredu strategaethau wedi'u targedu i fynd i'r afael â'r maes hwn sy'n peri pryder.</w:t>
      </w:r>
      <w:r w:rsidR="00955563">
        <w:tab/>
      </w:r>
      <w:r w:rsidR="00955563">
        <w:tab/>
      </w:r>
      <w:r w:rsidR="00955563">
        <w:tab/>
      </w:r>
      <w:r w:rsidR="00955563">
        <w:tab/>
      </w:r>
      <w:r w:rsidR="00955563">
        <w:tab/>
      </w:r>
      <w:r w:rsidR="00955563">
        <w:tab/>
      </w:r>
      <w:r w:rsidR="00955563">
        <w:tab/>
      </w:r>
      <w:r w:rsidR="00955563">
        <w:tab/>
      </w:r>
      <w:r w:rsidR="00955563">
        <w:tab/>
      </w:r>
      <w:r w:rsidR="00955563">
        <w:tab/>
      </w:r>
      <w:r w:rsidR="00955563">
        <w:tab/>
      </w:r>
      <w:r w:rsidR="00955563" w:rsidRPr="00955563">
        <w:t xml:space="preserve">Er mwyn mynd i’r afael â’r targed sgiliau ysgrifennu, rhoddodd yr ysgol gynllun ymyrraeth strwythuredig ar waith yn </w:t>
      </w:r>
      <w:r w:rsidR="00777109">
        <w:t>para yn ystod y</w:t>
      </w:r>
      <w:r w:rsidR="00955563" w:rsidRPr="00955563">
        <w:t xml:space="preserve"> </w:t>
      </w:r>
      <w:r w:rsidR="00777109">
        <w:t>f</w:t>
      </w:r>
      <w:r w:rsidR="00955563" w:rsidRPr="00955563">
        <w:t xml:space="preserve">lwyddyn academaidd. Roedd y cam cyntaf yn ymwneud â gwella'r cwricwlwm trwy adolygu cynlluniau gwaith i ymgorffori datblygiad sgiliau ysgrifennu penodol ar draws yr </w:t>
      </w:r>
      <w:r w:rsidR="00D817C3">
        <w:t>meysydd dysgu a phrofiad</w:t>
      </w:r>
      <w:r w:rsidR="00955563" w:rsidRPr="00955563">
        <w:t>.</w:t>
      </w:r>
      <w:r w:rsidR="00A82C57">
        <w:t xml:space="preserve"> </w:t>
      </w:r>
      <w:r w:rsidR="00A82C57" w:rsidRPr="00A82C57">
        <w:t>Cyflwynwyd fframwaith ysgrifennu cynyddol, gan sicrhau bod myfyrwyr yn symud ymlaen yn raddol o feistroli llunio brawddegau yn y blynyddoedd cynnar i ddatblygu paragraffau wedi’u strwythuro’n dda a</w:t>
      </w:r>
      <w:r w:rsidR="00955452">
        <w:t>c yna symud ymlaen i greu</w:t>
      </w:r>
      <w:r w:rsidR="00150CFC">
        <w:t xml:space="preserve"> </w:t>
      </w:r>
      <w:r w:rsidR="00A82C57" w:rsidRPr="00A82C57">
        <w:t>da</w:t>
      </w:r>
      <w:r w:rsidR="00150CFC">
        <w:t xml:space="preserve">rnau ysgrifenedig beirniadol creadigol erbyn gadael yr ysgol. </w:t>
      </w:r>
      <w:r w:rsidR="00A718E5" w:rsidRPr="00A718E5">
        <w:t xml:space="preserve">Ar yr un pryd, trefnwyd cyfres o sesiynau datblygiad proffesiynol athrawon i arfogi addysgwyr â strategaethau cyfarwyddo ysgrifennu effeithiol, megis </w:t>
      </w:r>
      <w:r w:rsidR="00A718E5" w:rsidRPr="00A718E5">
        <w:t>sgaffaldau</w:t>
      </w:r>
      <w:r w:rsidR="00A718E5" w:rsidRPr="00A718E5">
        <w:t>, modelu, a thechnegau adborth ffurfiannol</w:t>
      </w:r>
      <w:r w:rsidR="00A718E5">
        <w:t xml:space="preserve">. </w:t>
      </w:r>
      <w:r w:rsidR="00A718E5" w:rsidRPr="00A718E5">
        <w:t>Darparodd y gweithdai hyn ddulliau seiliedig ar dystiolaeth i athrawon gefnogi ysgrifennu myfyrwyr yn fwy effeithiol.</w:t>
      </w:r>
      <w:r w:rsidR="008570E6">
        <w:t xml:space="preserve"> </w:t>
      </w:r>
      <w:r w:rsidR="008570E6" w:rsidRPr="008570E6">
        <w:t xml:space="preserve">Yn ogystal, cyflwynwyd cymorth wedi'i dargedu i fyfyrwyr, gydag asesiadau sylfaenol yn nodi myfyrwyr y mae angen ymyrraeth ychwanegol arnynt. Derbyniodd y myfyrwyr hyn gymorth personol trwy </w:t>
      </w:r>
      <w:r w:rsidR="00370CCD">
        <w:t xml:space="preserve">gymorth </w:t>
      </w:r>
      <w:r w:rsidR="008570E6" w:rsidRPr="008570E6">
        <w:t xml:space="preserve">un-i-un, gweithdai ysgrifennu mewn grwpiau bach, a gweithgareddau adolygu cymheiriaid strwythuredig gan ddefnyddio cyfarwyddiadau. Rhoddodd yr ysgol bwyslais cryf hefyd ar integreiddio arfer ysgrifennu ar draws y cwricwlwm, gan sicrhau bod tasgau ysgrifennu estynedig yn cael eu gwreiddio nid yn unig mewn gwersi </w:t>
      </w:r>
      <w:r w:rsidR="00370CCD">
        <w:t>iaith</w:t>
      </w:r>
      <w:r w:rsidR="008570E6" w:rsidRPr="008570E6">
        <w:t xml:space="preserve"> ond hefyd mewn </w:t>
      </w:r>
      <w:r w:rsidR="00370CCD">
        <w:t>meysydd</w:t>
      </w:r>
      <w:r w:rsidR="008570E6" w:rsidRPr="008570E6">
        <w:t xml:space="preserve"> fel </w:t>
      </w:r>
      <w:r w:rsidR="00370CCD">
        <w:t>y Dyniaethau a gwyddoniaeth</w:t>
      </w:r>
      <w:r w:rsidR="008570E6" w:rsidRPr="008570E6">
        <w:t>.</w:t>
      </w:r>
      <w:r w:rsidR="00371E7E">
        <w:t xml:space="preserve"> </w:t>
      </w:r>
      <w:r w:rsidR="00371E7E" w:rsidRPr="00371E7E">
        <w:t xml:space="preserve">Roedd y dull hwn yn annog myfyrwyr i gymhwyso eu sgiliau ysgrifennu mewn amrywiaeth o gyd-destunau, gan atgyfnerthu eu dysgu. Elfen allweddol </w:t>
      </w:r>
      <w:r w:rsidR="00371E7E" w:rsidRPr="00371E7E">
        <w:lastRenderedPageBreak/>
        <w:t>arall o'r gweithredu oedd cyfranogiad rhieni. Cynhaliwyd gweithdai i addysgu rhieni ar ffyrdd o gefnogi datblygiad ysgrifennu gartref, a darparwyd adnoddau ychwanegol megis canllawiau ysgrifennu a deunyddiau ar-lein i annog ymarfer ychwanegol y tu hwnt i oriau ysgol. Yn olaf,</w:t>
      </w:r>
      <w:r w:rsidR="00371E7E">
        <w:t xml:space="preserve"> ymgorfforwyd</w:t>
      </w:r>
      <w:r w:rsidR="00371E7E" w:rsidRPr="00371E7E">
        <w:t xml:space="preserve"> technoleg i gefnogi datblygiad ysgrifennu trwy gyflwyno offer digidol fel Google Docs ar gyfer ysgrifennu cydweithredol a </w:t>
      </w:r>
      <w:r w:rsidR="005776B2">
        <w:t xml:space="preserve">meddalwedd </w:t>
      </w:r>
      <w:r w:rsidR="00371E7E" w:rsidRPr="00371E7E">
        <w:t>ar gyfer</w:t>
      </w:r>
      <w:r w:rsidR="005776B2">
        <w:t xml:space="preserve"> </w:t>
      </w:r>
      <w:r w:rsidR="00A671DE">
        <w:t>gwirio</w:t>
      </w:r>
      <w:r w:rsidR="00371E7E" w:rsidRPr="00371E7E">
        <w:t xml:space="preserve"> gramadeg a sillafu, gan helpu myfyrwyr i fireinio eu hysgrifennu mewn modd rhyngweithiol a deniadol.</w:t>
      </w:r>
      <w:r w:rsidR="008E30B0">
        <w:t xml:space="preserve"> </w:t>
      </w:r>
      <w:r w:rsidR="008912E2">
        <w:tab/>
      </w:r>
      <w:r w:rsidR="008912E2">
        <w:tab/>
      </w:r>
      <w:r w:rsidR="008912E2">
        <w:tab/>
      </w:r>
      <w:r w:rsidR="008912E2">
        <w:tab/>
      </w:r>
      <w:r w:rsidR="008912E2">
        <w:tab/>
      </w:r>
      <w:r w:rsidR="008912E2">
        <w:tab/>
      </w:r>
      <w:r w:rsidR="008912E2">
        <w:tab/>
      </w:r>
      <w:r w:rsidR="008912E2">
        <w:tab/>
      </w:r>
      <w:r w:rsidR="008912E2">
        <w:tab/>
      </w:r>
      <w:r w:rsidR="008912E2">
        <w:tab/>
      </w:r>
      <w:r w:rsidR="008912E2">
        <w:tab/>
      </w:r>
      <w:r w:rsidR="008912E2">
        <w:tab/>
      </w:r>
      <w:r w:rsidR="00B326B0" w:rsidRPr="00B326B0">
        <w:t>Gwerthuswyd effeithiolrwydd y fenter gan ddefnyddio cyfuniad o offer asesu ansoddol a meintiol. Un mesur sylfaenol oedd perfformiad myfyrwyr mewn asesiadau ysgrifennu ffurfiannol a chrynodol, gan gynnwys tasgau dosbarth, traethodau estynedig, a phrofion llythrennedd safonol, a oedd yn olrhain cynnydd dros amser. Cyflwynwyd portffolios ysgrifennu hefyd i ddogfennu twf myfyrwyr a darparu cofnod diriaethol o welliant</w:t>
      </w:r>
      <w:r w:rsidR="00E72E27">
        <w:t xml:space="preserve">. </w:t>
      </w:r>
      <w:r w:rsidR="00B326B0" w:rsidRPr="00B326B0">
        <w:t xml:space="preserve">Yn ogystal ag asesiadau, casglwyd adborth gan amrywiol </w:t>
      </w:r>
      <w:r w:rsidR="00E72E27" w:rsidRPr="00B326B0">
        <w:t>rhanddeiliaid</w:t>
      </w:r>
      <w:r w:rsidR="00B326B0" w:rsidRPr="00B326B0">
        <w:t xml:space="preserve"> trwy arolygon, gan gynnwys </w:t>
      </w:r>
      <w:r w:rsidR="00E72E27">
        <w:t>dysgwyr</w:t>
      </w:r>
      <w:r w:rsidR="00B326B0" w:rsidRPr="00B326B0">
        <w:t>, athrawon, a rhieni, i fesur canfyddiadau o gynnydd ac ymgysylltiad â gweithgareddau ysgrifennu. Cafodd data presenoldeb a chyfranogiad o sesiynau ymyrraeth ysgrifennu eu monitro i asesu cyfranogiad myfyrwyr ac effeithiolrwydd rhaglenni cymorth wedi'u targedu. Gyda'i gilydd, rhoddodd y dulliau gwerthuso hyn fewnwelediadau gwerthfawr i'r cryfderau a'r meysydd i'w gwella yn y strategaeth ymyrraeth ysgrifennu.</w:t>
      </w:r>
    </w:p>
    <w:p w14:paraId="2885379B" w14:textId="729305C2" w:rsidR="0088669F" w:rsidRDefault="0060072B" w:rsidP="0088669F">
      <w:pPr>
        <w:ind w:firstLine="720"/>
      </w:pPr>
      <w:r w:rsidRPr="0060072B">
        <w:t>Roedd dull yr ysgol o wella medrau ysgrifennu yn dangos nifer o gryfderau, gan gynnwys cynllun ymyrraeth strwythuredig a chynhwysfawr a oedd yn sicrhau datblygiad medrau systematig ar draws gwahanol grwpiau blwyddyn. Helpodd y pwyslais ar hyfforddiant athrawon trwy weithdai i wella arferion hyfforddi, gan alluogi addysgwyr i roi strategaethau ysgrifennu mwy effeithiol ar waith yn yr ystafell ddosbarth (Graham a Perin, 2007).</w:t>
      </w:r>
      <w:r w:rsidR="00B5026D">
        <w:t xml:space="preserve"> </w:t>
      </w:r>
      <w:r w:rsidR="00B5026D" w:rsidRPr="00B5026D">
        <w:t xml:space="preserve">Roedd y pwyslais ar ysgrifennu trawsgwricwlaidd yn gryfder nodedig arall, gan ei fod yn rhoi cyfleoedd amrywiol i fyfyrwyr ddatblygu eu hysgrifennu mewn meysydd pwnc lluosog, gan atgyfnerthu pwysigrwydd cyfathrebu ysgrifenedig cryf (Shanahan, 2016). Yn ogystal, roedd integreiddio offer digidol fel Google Docs a </w:t>
      </w:r>
      <w:r w:rsidR="00B5026D">
        <w:t xml:space="preserve">meddalwedd gwirio </w:t>
      </w:r>
      <w:r w:rsidR="00B5026D" w:rsidRPr="00B5026D">
        <w:t>wedi helpu i wneud tasgau ysgrifennu yn fwy rhyngweithiol a diddorol, yn enwedig ar gyfer myfyrwyr a allai gael trafferth gydag ymarferion pen-a-phapur traddodiadol (Hayes, 2012).</w:t>
      </w:r>
      <w:r w:rsidR="00676567">
        <w:t xml:space="preserve"> </w:t>
      </w:r>
      <w:r w:rsidR="00676567">
        <w:tab/>
      </w:r>
      <w:r w:rsidR="00676567">
        <w:tab/>
      </w:r>
      <w:r w:rsidR="00676567" w:rsidRPr="00676567">
        <w:t>Fodd bynnag, roedd rhai heriau a meysydd i'w gwella hefyd. Un cyfyngiad allweddol oedd mater cyfyngiadau amser, gan fod ymyriadau sy’n canolbwyntio ar ysgrifennu yn gofyn am amser hyfforddi ychwanegol, a oedd yn anodd ei gydbwyso o fewn y cwricwlwm. Roedd cymhelliant myfyrwyr hefyd yn her, gyda rhai myfyrwyr yn dangos gwrthwynebiad i dasgau ysgrifennu estynedig, gan awgrymu angen am weithgareddau ysgrifennu mwy deniadol a rhyngweithiol, megis adrodd straeon creadigol ac ymarferion ysgrifennu</w:t>
      </w:r>
      <w:r w:rsidR="00676567">
        <w:t xml:space="preserve">. </w:t>
      </w:r>
      <w:r w:rsidR="0088669F" w:rsidRPr="0088669F">
        <w:t>Maes arall i’w wella oedd cyfranogiad rhieni, a oedd, er gwaethaf ymdrechion i ymgysylltu â theuluoedd trwy weithdai ac adnoddau, yn parhau’n anghyson, gyda rhai myfyrwyr yn cael cymorth cyfyngedig gartref. Yn olaf, roedd sicrhau cynaliadwyedd hirdymor y fenter yn her, gan fod cynnal momentwm y tu hwnt i’r cyfnod gweithredu cychwynnol yn gofyn am ddyraniad parhaus o adnoddau ac ymrwymiad athrawon</w:t>
      </w:r>
      <w:r w:rsidR="0088669F">
        <w:t xml:space="preserve">. </w:t>
      </w:r>
      <w:r w:rsidR="00DC6BD2">
        <w:tab/>
      </w:r>
      <w:r w:rsidR="00DC6BD2">
        <w:tab/>
      </w:r>
      <w:r w:rsidR="00DC6BD2">
        <w:tab/>
      </w:r>
      <w:r w:rsidR="00DC6BD2">
        <w:tab/>
      </w:r>
      <w:r w:rsidR="00DC6BD2">
        <w:tab/>
      </w:r>
      <w:r w:rsidR="00DC6BD2">
        <w:tab/>
      </w:r>
      <w:r w:rsidR="00DC6BD2">
        <w:tab/>
      </w:r>
      <w:r w:rsidR="0088669F" w:rsidRPr="0088669F">
        <w:t xml:space="preserve">Er mwyn mynd i'r afael â'r heriau hyn, gellid gwneud nifer o welliannau. Gallai cyflwyno dulliau sy’n canolbwyntio mwy ar y myfyriwr, fel adrodd straeon digidol, a </w:t>
      </w:r>
      <w:r w:rsidR="0088669F" w:rsidRPr="0088669F">
        <w:lastRenderedPageBreak/>
        <w:t>llwyfannau ysgrifennu rhyngweithiol</w:t>
      </w:r>
      <w:r w:rsidR="00084189">
        <w:t xml:space="preserve"> i </w:t>
      </w:r>
      <w:r w:rsidR="0088669F" w:rsidRPr="0088669F">
        <w:t>wella ymgysylltiad a chymhelliant. Gallai ehangu mecanweithiau adborth ysgrifennu trwy ymgorffori mwy o gyfleoedd adolygu gan gymheiriaid a hunanasesu hefyd annog mwy o annibyniaeth ac adfyfyrio yn ysgrifennu myfyrwyr. Yn ogystal, gallai cryfhau partneriaethau cymunedol trwy gynnwys awduron lleol,  a gweithwyr proffesiynol mewn gweithdai ysgrifennu roi mewnwelediad byd go iawn i fyfyrwyr ar ysgrifennu cymwysiadau. Yn olaf, gallai meithrin diwylliant ysgrifennu hirdymor trwy weithgareddau allgyrsiol megis clybiau ysgrifennu, cystadlaethau, a chyhoeddiadau myfyrwyr helpu i gynnal diddordeb myfyrwyr a datblygiad sgiliau parhaus.</w:t>
      </w:r>
    </w:p>
    <w:p w14:paraId="4F91A5B6" w14:textId="77777777" w:rsidR="00B65BAE" w:rsidRDefault="00506182" w:rsidP="00B65BAE">
      <w:pPr>
        <w:ind w:firstLine="720"/>
      </w:pPr>
      <w:r w:rsidRPr="00506182">
        <w:t>Mae datblygu targed strategol o fewn cynllun datblygu’r ysgol yn gofyn am adfyfyrio parhaus i asesu ei effeithiolrwydd, ei gynaliadwyedd, a’i effaith gyffredinol. Drwy gydol y broses weithredu, roedd yn hanfodol dadansoddi sut roedd y camau gweithredu a osodwyd yn dylanwadu ar ddeilliannau dysgu myfyrwyr ac amcanion addysgol ehangach yr ysgol. Mae'r adlewyrchiad hwn yn gwerthuso'r cynnydd a wnaed, yr heriau a wynebwyd, ac argymhellion posibl ar gyfer gwelliant yn y dyfodol.</w:t>
      </w:r>
      <w:r w:rsidR="005E7C6D">
        <w:t xml:space="preserve"> </w:t>
      </w:r>
      <w:r w:rsidR="005E7C6D">
        <w:tab/>
      </w:r>
      <w:r w:rsidR="005E7C6D">
        <w:tab/>
      </w:r>
      <w:r w:rsidR="005E7C6D">
        <w:tab/>
      </w:r>
      <w:r w:rsidR="005E7C6D">
        <w:tab/>
      </w:r>
      <w:r w:rsidR="005E7C6D">
        <w:tab/>
      </w:r>
      <w:r w:rsidR="005E7C6D">
        <w:tab/>
      </w:r>
      <w:r w:rsidR="005E7C6D">
        <w:tab/>
      </w:r>
      <w:r w:rsidR="005E7C6D" w:rsidRPr="005E7C6D">
        <w:t>Roedd y targed strategol yn canolbwyntio ar wella medrau ysgrifennu dysgwyr. Un ymagwedd allweddol</w:t>
      </w:r>
      <w:r w:rsidR="005E7C6D">
        <w:t xml:space="preserve"> a ddefnyddiais oedd</w:t>
      </w:r>
      <w:r w:rsidR="005E7C6D" w:rsidRPr="005E7C6D">
        <w:t xml:space="preserve"> ymgorffori tasgau llafar cyn gweithgareddau ysgrifennu i wella ymgysylltiad a dealltwriaeth.</w:t>
      </w:r>
      <w:r w:rsidR="00C01672">
        <w:t xml:space="preserve"> </w:t>
      </w:r>
      <w:r w:rsidR="00C01672" w:rsidRPr="00C01672">
        <w:t>Trwy gynnwys myfyrwyr mewn trafodaethau llafar strwythuredig, dadleuon, ac ymarferion adrodd stori, roeddent yn gallu mynegi eu meddyliau yn gliriach cyn eu trosglwyddo i bapur. Helpodd y dull hwn i bontio’r bwlch rhwng iaith lafar ac ysgrifenedig, gan feithrin hyder a rhuglder wrth ysgrifennu.</w:t>
      </w:r>
      <w:r w:rsidR="009251DE">
        <w:t xml:space="preserve"> </w:t>
      </w:r>
      <w:r w:rsidR="00417F46" w:rsidRPr="00417F46">
        <w:t>Mae’r Education Endowment Foundation (2023) yn amlygu y gall ymyriadau iaith lafar arwain at gyfartaledd o chwe mis o gynnydd ychwanegol yng nghanlyniadau academaidd myfyrwyr, gan gefnogi integreiddio arferion o’r fath i wella sgiliau ysgrifennu.</w:t>
      </w:r>
      <w:r w:rsidR="0061575C">
        <w:t xml:space="preserve"> Trwy</w:t>
      </w:r>
      <w:r w:rsidR="0061575C" w:rsidRPr="0061575C">
        <w:t xml:space="preserve"> arsylwad</w:t>
      </w:r>
      <w:r w:rsidR="0061575C">
        <w:t>au</w:t>
      </w:r>
      <w:r w:rsidR="0061575C" w:rsidRPr="0061575C">
        <w:t xml:space="preserve"> a </w:t>
      </w:r>
      <w:r w:rsidR="008B4933">
        <w:t xml:space="preserve">gwaith </w:t>
      </w:r>
      <w:r w:rsidR="0061575C" w:rsidRPr="0061575C">
        <w:t>ysgrifennu</w:t>
      </w:r>
      <w:r w:rsidR="008B4933">
        <w:t xml:space="preserve">, roedd </w:t>
      </w:r>
      <w:r w:rsidR="0061575C" w:rsidRPr="0061575C">
        <w:t>myfyrwyr hefyd yn nodi gwelliannau amlwg, a mynegodd myfyrwyr fwy o frwdfrydedd dros dasgau ysgrifennu, gan fod yr ymarferion llafar yn rhoi ymdeimlad cliriach o gyfeiriad a syniadau iddynt cyn iddynt ddechrau ysgrifennu.</w:t>
      </w:r>
      <w:r w:rsidR="004829B6">
        <w:tab/>
      </w:r>
      <w:r w:rsidR="004829B6">
        <w:tab/>
      </w:r>
      <w:r w:rsidR="004829B6">
        <w:tab/>
      </w:r>
      <w:r w:rsidR="004829B6">
        <w:tab/>
      </w:r>
      <w:r w:rsidR="004829B6" w:rsidRPr="004829B6">
        <w:t>Fodd bynnag, daeth heriau i'r amlwg o ran sicrhau bod pob myfyriwr yn elwa'n gyfartal o'r dull hwn. Roedd angen cymorth ychwanegol ar rai dysgwyr i bontio'n effeithiol o fynegiant llafar i ysgrifenedig. Yn ogystal, roedd cyfyngiadau amser yn her, gan fod ymgorffori tasgau llafar helaeth cyn pob ymarfer ysgrifennu weithiau'n cyfyngu ar yr amser a oedd ar gael ar gyfer ymarfer ysgrifenedig ac adborth.</w:t>
      </w:r>
      <w:r w:rsidR="00BF6181">
        <w:t xml:space="preserve"> </w:t>
      </w:r>
      <w:r w:rsidR="00BF6181">
        <w:tab/>
      </w:r>
      <w:r w:rsidR="00BF6181">
        <w:tab/>
      </w:r>
      <w:r w:rsidR="00BF6181">
        <w:tab/>
      </w:r>
      <w:r w:rsidR="00BF6181">
        <w:tab/>
      </w:r>
      <w:r w:rsidR="00BF6181">
        <w:tab/>
      </w:r>
      <w:r w:rsidR="00BF6181">
        <w:tab/>
      </w:r>
      <w:r w:rsidR="00BF6181" w:rsidRPr="00BF6181">
        <w:t>Er mwyn gwella effaith y dull hwn, argymhellir gweithredu mwy strwythuredig a gwahaniaethol. Mae canllawiau Llywodraeth Cymru ar addysgu sgiliau ysgrifennu yn pwysleisio pwysigrwydd integreiddio gweithgareddau iaith lafar i gefnogi datblygiad ysgrifennu, gan awgrymu y gall integreiddio o’r fath arwain at well canlyniadau ysgrifennu (Llywodraeth Cymru, 2023).</w:t>
      </w:r>
      <w:r w:rsidR="00F2130C">
        <w:t xml:space="preserve"> </w:t>
      </w:r>
      <w:r w:rsidR="00F2130C" w:rsidRPr="00F2130C">
        <w:t>Gall defnyddio cymhorthion gweledol, dechreuwyr brawddegau, a thrafodaethau ar y cyd â chyfoedion gefnogi dysgwyr sy’n cael trafferth datblygu eu syniadau ymhellach cyn ysgrifennu. Yn ogystal, mae ymgorffori offer digidol, fel cymwysiadau llais-i-destun neu drafodaethau wedi'u recordio, yn darparu ffyrdd amgen i fyfyrwyr gasglu eu meddyliau a'u mireinio ar ffurf ysgrifenedig.</w:t>
      </w:r>
      <w:r w:rsidR="003F08A4">
        <w:tab/>
      </w:r>
      <w:r w:rsidR="003F08A4">
        <w:tab/>
      </w:r>
      <w:r w:rsidR="003F08A4">
        <w:tab/>
      </w:r>
      <w:r w:rsidR="003F08A4">
        <w:tab/>
      </w:r>
      <w:r w:rsidR="003F08A4">
        <w:tab/>
      </w:r>
      <w:r w:rsidR="003F08A4" w:rsidRPr="003F08A4">
        <w:t>Ystyriaeth allweddol arall yw datblygiad proffesiynol athrawon ar wneud y mwyaf o effeithiolrwydd trosglwyddo llafar i ysgrifennu. Mae’r Bell Foundation</w:t>
      </w:r>
      <w:r w:rsidR="003F08A4">
        <w:t xml:space="preserve"> (2023)</w:t>
      </w:r>
      <w:r w:rsidR="003F08A4" w:rsidRPr="003F08A4">
        <w:t xml:space="preserve"> yn argymell gweithgareddau fel cyn-ddysgu geirfa allweddol a defnyddio cymhorthion gweledol i gefnogi </w:t>
      </w:r>
      <w:r w:rsidR="003F08A4" w:rsidRPr="003F08A4">
        <w:lastRenderedPageBreak/>
        <w:t>datblygiad iaith lafar, a all wedyn wella sgiliau. Bydd sicrhau dyraniad amser digonol o fewn cynllunio gwersi a chynnal asesiad parhaus o gynnydd myfyrwyr hefyd yn hanfodol i gynnal gwelliannau mewn sgiliau ysgrifennu.</w:t>
      </w:r>
      <w:r w:rsidR="00BE7D6E">
        <w:tab/>
      </w:r>
      <w:r w:rsidR="00BE7D6E">
        <w:tab/>
      </w:r>
      <w:r w:rsidR="00BE7D6E">
        <w:tab/>
      </w:r>
      <w:r w:rsidR="00BE7D6E">
        <w:tab/>
      </w:r>
      <w:r w:rsidR="00BE7D6E">
        <w:tab/>
      </w:r>
      <w:r w:rsidR="00BE7D6E">
        <w:tab/>
      </w:r>
      <w:r w:rsidR="00BE7D6E">
        <w:tab/>
      </w:r>
      <w:r w:rsidR="00BE7D6E">
        <w:tab/>
      </w:r>
    </w:p>
    <w:p w14:paraId="2D9EB727" w14:textId="58F524CD" w:rsidR="00BE7D6E" w:rsidRDefault="00BE7D6E" w:rsidP="00B65BAE">
      <w:pPr>
        <w:ind w:firstLine="720"/>
      </w:pPr>
      <w:r w:rsidRPr="00BE7D6E">
        <w:t xml:space="preserve">I gloi, mae ymgorffori tasgau llafar cyn ysgrifennu wedi bod yn strategaeth werthfawr i wella ymgysylltiad myfyrwyr a hyfedredd ysgrifennu. Er bod y dull wedi dangos canlyniadau cadarnhaol, bydd mireinio ei weithrediad trwy </w:t>
      </w:r>
      <w:r w:rsidRPr="00BE7D6E">
        <w:t>sgaffaldau</w:t>
      </w:r>
      <w:r w:rsidRPr="00BE7D6E">
        <w:t xml:space="preserve"> strwythuredig, cymorth wedi'i dargedu, a datblygiad proffesiynol yn helpu i sicrhau ei effeithiolrwydd hirdymor. Wrth symud ymlaen, bydd gwreiddio diwylliant o ymarfer myfyriol yn allweddol i gynnal gwelliannau yn sgiliau ysgrifennu myfyrwyr fel rhan o gynllun datblygu’r ysgol.</w:t>
      </w:r>
    </w:p>
    <w:p w14:paraId="7DB0A2E6" w14:textId="77777777" w:rsidR="00704118" w:rsidRDefault="00704118" w:rsidP="00704118"/>
    <w:p w14:paraId="390E430C" w14:textId="6D09314E" w:rsidR="00704118" w:rsidRPr="00BE7D6E" w:rsidRDefault="00704118" w:rsidP="00704118">
      <w:pPr>
        <w:rPr>
          <w:u w:val="single"/>
        </w:rPr>
      </w:pPr>
      <w:r w:rsidRPr="00704118">
        <w:rPr>
          <w:u w:val="single"/>
        </w:rPr>
        <w:t xml:space="preserve">Rhestr Cyfeiriadau </w:t>
      </w:r>
    </w:p>
    <w:p w14:paraId="5257E356" w14:textId="19CB57C9" w:rsidR="00FF23BD" w:rsidRDefault="00FF23BD" w:rsidP="00FF23BD">
      <w:r>
        <w:t>Corbett, P. (2020). Talk for Writing across the Curriculum, How to Teach Non-Fiction Writing to 5-12 Year Olds. McGraw-Hill Education (UK).</w:t>
      </w:r>
    </w:p>
    <w:p w14:paraId="10B92E04" w14:textId="77777777" w:rsidR="00FF23BD" w:rsidRDefault="00FF23BD" w:rsidP="00FF23BD"/>
    <w:p w14:paraId="2B2705C7" w14:textId="77777777" w:rsidR="00FF23BD" w:rsidRDefault="00FF23BD" w:rsidP="00FF23BD">
      <w:r>
        <w:t>Cremin, T. and Myhill, D. (2012). Writing voices : creating communities of writers. London: Routledge.</w:t>
      </w:r>
    </w:p>
    <w:p w14:paraId="13157139" w14:textId="77777777" w:rsidR="00FF23BD" w:rsidRDefault="00FF23BD" w:rsidP="00FF23BD"/>
    <w:p w14:paraId="38A54796" w14:textId="57D8B68E" w:rsidR="00FF23BD" w:rsidRDefault="00FF23BD" w:rsidP="00FF23BD">
      <w:r>
        <w:t>Education Endowment Foundation (2021). Oral Language Interventions. [</w:t>
      </w:r>
      <w:r w:rsidR="00CC5870">
        <w:t>arlein</w:t>
      </w:r>
      <w:r>
        <w:t>] EEF. Available at: https://educationendowmentfoundation.org.uk/education-evidence/teaching-learning-toolkit/oral-language-interventions [</w:t>
      </w:r>
      <w:r w:rsidR="00CC5870">
        <w:t>Cyrchwyd</w:t>
      </w:r>
      <w:r>
        <w:t xml:space="preserve"> 3 Ma</w:t>
      </w:r>
      <w:r w:rsidR="00CC5870">
        <w:t>w</w:t>
      </w:r>
      <w:r>
        <w:t>. 2025].</w:t>
      </w:r>
    </w:p>
    <w:p w14:paraId="37B821F4" w14:textId="77777777" w:rsidR="00FF23BD" w:rsidRDefault="00FF23BD" w:rsidP="00FF23BD"/>
    <w:p w14:paraId="2DFB6D07" w14:textId="5424DE88" w:rsidR="00FF23BD" w:rsidRDefault="00FF23BD" w:rsidP="00FF23BD">
      <w:r>
        <w:t>Estyn (2024a). Adroddiad Thematig: Datblygu medrau darllen Cymraeg disgyblion 10-14 oed - Estyn. [</w:t>
      </w:r>
      <w:r w:rsidR="00CC5870">
        <w:t>arlein</w:t>
      </w:r>
      <w:r>
        <w:t>] Estyn. A</w:t>
      </w:r>
      <w:r w:rsidR="00CC5870">
        <w:t>r gael</w:t>
      </w:r>
      <w:r>
        <w:t xml:space="preserve">: </w:t>
      </w:r>
      <w:hyperlink r:id="rId4" w:history="1">
        <w:r w:rsidR="00CC5870" w:rsidRPr="00BB5FAD">
          <w:rPr>
            <w:rStyle w:val="Hyperlink"/>
          </w:rPr>
          <w:t>https://www.estyn.llyw.cymru/adnoddau-gwella/adroddiad-thematig-datblygu-medrau-darllen-cymraeg-disgyblion-10-14-oed/</w:t>
        </w:r>
      </w:hyperlink>
      <w:r>
        <w:t>.</w:t>
      </w:r>
      <w:r w:rsidR="00CC5870">
        <w:t xml:space="preserve"> </w:t>
      </w:r>
      <w:r w:rsidR="004751F2">
        <w:t>[Cyrchwyd 3 Maw. 2025]</w:t>
      </w:r>
    </w:p>
    <w:p w14:paraId="219261CA" w14:textId="77777777" w:rsidR="00FF23BD" w:rsidRDefault="00FF23BD" w:rsidP="00FF23BD"/>
    <w:p w14:paraId="07BE375C" w14:textId="11D41961" w:rsidR="00FF23BD" w:rsidRDefault="00FF23BD" w:rsidP="00FF23BD">
      <w:r>
        <w:t>Estyn (2024b). Writing guide A guide to our report writing style. [</w:t>
      </w:r>
      <w:r w:rsidR="004751F2">
        <w:t>arlein</w:t>
      </w:r>
      <w:r>
        <w:t>] A</w:t>
      </w:r>
      <w:r w:rsidR="004751F2">
        <w:t>r gael</w:t>
      </w:r>
      <w:r>
        <w:t>: https://estyn.gov.wales/app/uploads/2024/09/Estyn-writing-guide-English-language.pdf [</w:t>
      </w:r>
      <w:r w:rsidR="004751F2">
        <w:t>Cyrchwyd</w:t>
      </w:r>
      <w:r>
        <w:t xml:space="preserve"> 1 Mar. 2025].</w:t>
      </w:r>
    </w:p>
    <w:p w14:paraId="275E8802" w14:textId="77777777" w:rsidR="00FF23BD" w:rsidRDefault="00FF23BD" w:rsidP="00FF23BD"/>
    <w:p w14:paraId="7094886B" w14:textId="77777777" w:rsidR="00FF23BD" w:rsidRDefault="00FF23BD" w:rsidP="00FF23BD">
      <w:r>
        <w:t>Flower, L. and Hayes, J.R. (1981). A Cognitive Process Theory of Writing. College Composition and Communication, 32(4), pp.365–387.</w:t>
      </w:r>
    </w:p>
    <w:p w14:paraId="0D426CF5" w14:textId="77777777" w:rsidR="00FF23BD" w:rsidRDefault="00FF23BD" w:rsidP="00FF23BD"/>
    <w:p w14:paraId="485A9EB0" w14:textId="77777777" w:rsidR="00FF23BD" w:rsidRDefault="00FF23BD" w:rsidP="00FF23BD">
      <w:r>
        <w:t>Fullan, M. (2016). The New Meaning of Educational Change. 5th ed. New York, Ny: Teachers College Press.</w:t>
      </w:r>
    </w:p>
    <w:p w14:paraId="57869BCE" w14:textId="77777777" w:rsidR="00FF23BD" w:rsidRDefault="00FF23BD" w:rsidP="00FF23BD"/>
    <w:p w14:paraId="62140DD1" w14:textId="77777777" w:rsidR="00FF23BD" w:rsidRDefault="00FF23BD" w:rsidP="00FF23BD">
      <w:r>
        <w:t>Gibbons, P. (2014). Scaffolding language, scaffolding learning: Teaching english language learners in the mainstream classroom. 2nd ed. Portsmouth: Heinemann.</w:t>
      </w:r>
    </w:p>
    <w:p w14:paraId="3662FEEA" w14:textId="77777777" w:rsidR="00FF23BD" w:rsidRDefault="00FF23BD" w:rsidP="00FF23BD"/>
    <w:p w14:paraId="0EDA37BE" w14:textId="77777777" w:rsidR="00FF23BD" w:rsidRDefault="00FF23BD" w:rsidP="00FF23BD">
      <w:r>
        <w:t>Graham, S., Hebert, M. and Harris, K.R. (2015). Formative Assessment and Writing. The Elementary School Journal, 115(4), pp.523–547. doi:https://doi.org/10.1086/681947.</w:t>
      </w:r>
    </w:p>
    <w:p w14:paraId="64993A9B" w14:textId="77777777" w:rsidR="00FF23BD" w:rsidRDefault="00FF23BD" w:rsidP="00FF23BD"/>
    <w:p w14:paraId="656A2A31" w14:textId="77777777" w:rsidR="00FF23BD" w:rsidRDefault="00FF23BD" w:rsidP="00FF23BD">
      <w:r>
        <w:t>Graham, S. and Perin, D. (2007). A meta-analysis of Writing Instruction for Adolescent students. Journal of Educational Psychology, 99(3), pp.445–476.</w:t>
      </w:r>
    </w:p>
    <w:p w14:paraId="34E18A7E" w14:textId="77777777" w:rsidR="00FF23BD" w:rsidRDefault="00FF23BD" w:rsidP="00FF23BD"/>
    <w:p w14:paraId="4B8AE4CE" w14:textId="77777777" w:rsidR="00FF23BD" w:rsidRDefault="00FF23BD" w:rsidP="00FF23BD">
      <w:r>
        <w:t>Harris, A. and Jones, M. (2017). Leading Educational Change and Improvement at scale: Some Inconvenient Truths about System Performance. International Journal of Leadership in Education, 20(5), pp.632–641. doi:https://doi.org/10.1080/13603124.2016.1274786.</w:t>
      </w:r>
    </w:p>
    <w:p w14:paraId="2A78954B" w14:textId="77777777" w:rsidR="00FF23BD" w:rsidRDefault="00FF23BD" w:rsidP="00FF23BD"/>
    <w:p w14:paraId="6F042BA5" w14:textId="77777777" w:rsidR="00FF23BD" w:rsidRDefault="00FF23BD" w:rsidP="00FF23BD">
      <w:r>
        <w:t>Hayes, J.R. (2012). Modeling and Remodeling Writing. Written Communication, 29(3), pp.369–388. doi:https://doi.org/10.1177/0741088312451260.</w:t>
      </w:r>
    </w:p>
    <w:p w14:paraId="0E0B4B23" w14:textId="77777777" w:rsidR="00FF23BD" w:rsidRDefault="00FF23BD" w:rsidP="00FF23BD"/>
    <w:p w14:paraId="624E2A4C" w14:textId="77777777" w:rsidR="00FF23BD" w:rsidRDefault="00FF23BD" w:rsidP="00FF23BD">
      <w:r>
        <w:t>Herman, J.L. and Golan, S. (2005). The Effects of Standardized Testing on Teaching and Schools. Educational Measurement: Issues and Practice, [online] 12(4), pp.20–25. doi:https://doi.org/10.1111/j.1745-3992.1993.tb00550.x.</w:t>
      </w:r>
    </w:p>
    <w:p w14:paraId="6BB9825E" w14:textId="77777777" w:rsidR="00FF23BD" w:rsidRDefault="00FF23BD" w:rsidP="00FF23BD"/>
    <w:p w14:paraId="46CB4B68" w14:textId="3F6A5007" w:rsidR="00FF23BD" w:rsidRDefault="00FF23BD" w:rsidP="00FF23BD">
      <w:r>
        <w:t>Llywodraeth Cymru (2022). School development plans. [</w:t>
      </w:r>
      <w:r w:rsidR="004751F2">
        <w:t>arlein</w:t>
      </w:r>
      <w:r>
        <w:t>] GOV.WALES. A</w:t>
      </w:r>
      <w:r w:rsidR="004751F2">
        <w:t>r gael</w:t>
      </w:r>
      <w:r>
        <w:t xml:space="preserve">: </w:t>
      </w:r>
      <w:hyperlink r:id="rId5" w:history="1">
        <w:r w:rsidR="004751F2" w:rsidRPr="00BB5FAD">
          <w:rPr>
            <w:rStyle w:val="Hyperlink"/>
          </w:rPr>
          <w:t>https://gov.wales/school-development-plans</w:t>
        </w:r>
      </w:hyperlink>
      <w:r>
        <w:t>.</w:t>
      </w:r>
      <w:r w:rsidR="004751F2">
        <w:t xml:space="preserve"> [Cyrchwyd</w:t>
      </w:r>
      <w:r w:rsidR="00FD5A49">
        <w:t xml:space="preserve"> 3 Maw. 2025]</w:t>
      </w:r>
    </w:p>
    <w:p w14:paraId="0018A6FB" w14:textId="77777777" w:rsidR="00FF23BD" w:rsidRDefault="00FF23BD" w:rsidP="00FF23BD"/>
    <w:p w14:paraId="4CCAA8A0" w14:textId="206085D9" w:rsidR="00FF23BD" w:rsidRDefault="00FF23BD" w:rsidP="00FF23BD">
      <w:r>
        <w:t>Llywodraeth Cymru (2023). Guidance on the teaching of writing skills. [</w:t>
      </w:r>
      <w:r w:rsidR="00FD5A49">
        <w:t>arlein</w:t>
      </w:r>
      <w:r>
        <w:t>] A</w:t>
      </w:r>
      <w:r w:rsidR="00FD5A49">
        <w:t>r gael</w:t>
      </w:r>
      <w:r>
        <w:t xml:space="preserve">: </w:t>
      </w:r>
      <w:hyperlink r:id="rId6" w:history="1">
        <w:r w:rsidR="00FD5A49" w:rsidRPr="00BB5FAD">
          <w:rPr>
            <w:rStyle w:val="Hyperlink"/>
          </w:rPr>
          <w:t>https://hwb.gov.wales/api/storage/1aa780c8-d288-4f23-958d-5511e902f88f/guidance-on-the-teaching-of-writing-skills.pdf</w:t>
        </w:r>
      </w:hyperlink>
      <w:r w:rsidR="00FD5A49">
        <w:t xml:space="preserve"> </w:t>
      </w:r>
      <w:r>
        <w:t xml:space="preserve"> [</w:t>
      </w:r>
      <w:r w:rsidR="00FD5A49">
        <w:t>Cyrchwyd</w:t>
      </w:r>
      <w:r>
        <w:t xml:space="preserve"> 3 Ma</w:t>
      </w:r>
      <w:r w:rsidR="00FD5A49">
        <w:t>w</w:t>
      </w:r>
      <w:r>
        <w:t>. 2025].</w:t>
      </w:r>
    </w:p>
    <w:p w14:paraId="15B3D9DF" w14:textId="77777777" w:rsidR="00FF23BD" w:rsidRDefault="00FF23BD" w:rsidP="00FF23BD"/>
    <w:p w14:paraId="2FB9F5A9" w14:textId="4D2628D8" w:rsidR="00FF23BD" w:rsidRDefault="00FF23BD" w:rsidP="00FF23BD">
      <w:r>
        <w:t>Llywodraeth Cymru (2022). Curriculum for Wales - Hwb. [</w:t>
      </w:r>
      <w:r w:rsidR="00FD5A49">
        <w:t>arlein</w:t>
      </w:r>
      <w:r>
        <w:t>] hwb.gov.wales. A</w:t>
      </w:r>
      <w:r w:rsidR="00FD5A49">
        <w:t>r gael</w:t>
      </w:r>
      <w:r>
        <w:t xml:space="preserve">: </w:t>
      </w:r>
      <w:hyperlink r:id="rId7" w:history="1">
        <w:r w:rsidR="00FD5A49" w:rsidRPr="00BB5FAD">
          <w:rPr>
            <w:rStyle w:val="Hyperlink"/>
          </w:rPr>
          <w:t>https://hwb.gov.wales/curriculum-for-wales</w:t>
        </w:r>
      </w:hyperlink>
      <w:r>
        <w:t>.</w:t>
      </w:r>
      <w:r w:rsidR="00FD5A49">
        <w:t xml:space="preserve"> [Cyrchwyd 3 Maw. 2025]</w:t>
      </w:r>
    </w:p>
    <w:p w14:paraId="0C123056" w14:textId="77777777" w:rsidR="00FF23BD" w:rsidRDefault="00FF23BD" w:rsidP="00FF23BD"/>
    <w:p w14:paraId="30D501D9" w14:textId="49C9FF11" w:rsidR="00FF23BD" w:rsidRDefault="00FF23BD" w:rsidP="00FF23BD">
      <w:r>
        <w:t>Merchant, G. (2020). Reading with Technology: the new normal. [</w:t>
      </w:r>
      <w:r w:rsidR="00FD5A49">
        <w:t>arlein</w:t>
      </w:r>
      <w:r>
        <w:t>] A</w:t>
      </w:r>
      <w:r w:rsidR="00FD5A49">
        <w:t>r gael</w:t>
      </w:r>
      <w:r>
        <w:t xml:space="preserve">: </w:t>
      </w:r>
      <w:hyperlink r:id="rId8" w:history="1">
        <w:r w:rsidR="00FD5A49" w:rsidRPr="00BB5FAD">
          <w:rPr>
            <w:rStyle w:val="Hyperlink"/>
          </w:rPr>
          <w:t>https://shura.shu.ac.uk/27295/4/Merchant_ReadingWithTechnology%28AM%29pdf.pdf</w:t>
        </w:r>
      </w:hyperlink>
      <w:r w:rsidR="00FD5A49">
        <w:t xml:space="preserve"> </w:t>
      </w:r>
      <w:r>
        <w:t xml:space="preserve"> </w:t>
      </w:r>
      <w:r w:rsidR="00FD5A49">
        <w:t xml:space="preserve"> </w:t>
      </w:r>
      <w:r>
        <w:t>[</w:t>
      </w:r>
      <w:r w:rsidR="00FD5A49">
        <w:t>Cyrchwyd</w:t>
      </w:r>
      <w:r>
        <w:t xml:space="preserve"> Ma</w:t>
      </w:r>
      <w:r w:rsidR="00FD5A49">
        <w:t>w</w:t>
      </w:r>
      <w:r>
        <w:t>. 2025].</w:t>
      </w:r>
    </w:p>
    <w:p w14:paraId="76B4BAEB" w14:textId="77777777" w:rsidR="00FF23BD" w:rsidRDefault="00FF23BD" w:rsidP="00FF23BD"/>
    <w:p w14:paraId="0E73C874" w14:textId="77777777" w:rsidR="00FF23BD" w:rsidRDefault="00FF23BD" w:rsidP="00FF23BD">
      <w:r>
        <w:t>Miller, B., Mccardle, P.D. and Connelly, V. (2017). Writing Development in Struggling Learners : Understanding the Needs of Writers across the Lifecourse. Brill.</w:t>
      </w:r>
    </w:p>
    <w:p w14:paraId="0ADDC005" w14:textId="77777777" w:rsidR="00FF23BD" w:rsidRDefault="00FF23BD" w:rsidP="00FF23BD"/>
    <w:p w14:paraId="781C23EE" w14:textId="0E464865" w:rsidR="00FF23BD" w:rsidRDefault="00FF23BD" w:rsidP="00FF23BD">
      <w:r>
        <w:t>Molyneaux, A. (2019). Teaching and Learning Writing at Primary school: an Exploration of Writing environments, Transcription and Text Generation. [</w:t>
      </w:r>
      <w:r w:rsidR="00D9011E">
        <w:t>arlein</w:t>
      </w:r>
      <w:r>
        <w:t>] A</w:t>
      </w:r>
      <w:r w:rsidR="00D9011E">
        <w:t>r gael</w:t>
      </w:r>
      <w:r>
        <w:t>: https://radar.brookes.ac.uk/radar/file/8d6cba9e-70da-4eb7-ab0e-ea0f088df9eb/1/Molyneaux.pdf [</w:t>
      </w:r>
      <w:r w:rsidR="00D9011E">
        <w:t>Cyrchwyd</w:t>
      </w:r>
      <w:r>
        <w:t xml:space="preserve"> 3 Ma</w:t>
      </w:r>
      <w:r w:rsidR="00D9011E">
        <w:t>w</w:t>
      </w:r>
      <w:r>
        <w:t>. 2025].</w:t>
      </w:r>
    </w:p>
    <w:p w14:paraId="6A9B506D" w14:textId="77777777" w:rsidR="00FF23BD" w:rsidRDefault="00FF23BD" w:rsidP="00FF23BD"/>
    <w:p w14:paraId="6369663F" w14:textId="77777777" w:rsidR="00FF23BD" w:rsidRDefault="00FF23BD" w:rsidP="00FF23BD">
      <w:r>
        <w:t>Myhill, D. (2018). Grammar as a meaning-making Resource for Language Development. L1 Educational Studies in Language and Literature, 18, Running Issue(Running Issue), pp.1–21. doi:https://doi.org/10.17239/l1esll-2018.18.04.04.</w:t>
      </w:r>
    </w:p>
    <w:p w14:paraId="5D847A5E" w14:textId="77777777" w:rsidR="00FF23BD" w:rsidRDefault="00FF23BD" w:rsidP="00FF23BD"/>
    <w:p w14:paraId="3E574F2D" w14:textId="77777777" w:rsidR="00FF23BD" w:rsidRDefault="00FF23BD" w:rsidP="00FF23BD">
      <w:r>
        <w:t>Myhill, D., Watson, A. and Newman, R. (2020). Thinking differently about grammar and metalinguistic understanding in writing. Bellaterra Journal of Teaching &amp; Learning Language &amp; Literature, 13(2), p.870. doi:https://doi.org/10.5565/rev/jtl3.870.</w:t>
      </w:r>
    </w:p>
    <w:p w14:paraId="368541D2" w14:textId="77777777" w:rsidR="00FF23BD" w:rsidRDefault="00FF23BD" w:rsidP="00FF23BD"/>
    <w:p w14:paraId="313AF247" w14:textId="77777777" w:rsidR="00FF23BD" w:rsidRDefault="00FF23BD" w:rsidP="00FF23BD">
      <w:r>
        <w:t>Sari, E. and Han, T. (2024). The Impact of Automated Writing Evaluation on English as a Foreign Language learners’ Writing self‐efficacy, self‐regulation, anxiety, and Performance. Journal of computer assisted learning, 40(5). doi:https://doi.org/10.1111/jcal.13004.</w:t>
      </w:r>
    </w:p>
    <w:p w14:paraId="3D6D513B" w14:textId="77777777" w:rsidR="00FF23BD" w:rsidRDefault="00FF23BD" w:rsidP="00FF23BD"/>
    <w:p w14:paraId="25D20A32" w14:textId="77777777" w:rsidR="00FF23BD" w:rsidRDefault="00FF23BD" w:rsidP="00FF23BD">
      <w:r>
        <w:t>Shanahan, T. (2016). Relationships between Reading and Writing Development. Handbook of Writing Research, 4(1), pp.194–207.</w:t>
      </w:r>
    </w:p>
    <w:p w14:paraId="05DDD7C4" w14:textId="77777777" w:rsidR="00FF23BD" w:rsidRDefault="00FF23BD" w:rsidP="00FF23BD"/>
    <w:p w14:paraId="2AAB2523" w14:textId="1E37D433" w:rsidR="00FF23BD" w:rsidRDefault="00FF23BD" w:rsidP="00FF23BD">
      <w:r>
        <w:t>Shepherd, B. (2019). Bob Shepherd: Assessing E.D. Hirsch Jr. and Cultural Literacy. [</w:t>
      </w:r>
      <w:r w:rsidR="00D9011E">
        <w:t>arlein</w:t>
      </w:r>
      <w:r>
        <w:t>] Diane Ravitch’s Blog. A</w:t>
      </w:r>
      <w:r w:rsidR="00D9011E">
        <w:t>r gael</w:t>
      </w:r>
      <w:r>
        <w:t>: https://dianeravitch.net/2019/07/12/bob-shepherd-assessing-e-d-hirsch-jr-and-cultural-literacy/ [</w:t>
      </w:r>
      <w:r w:rsidR="00D9011E">
        <w:t xml:space="preserve">Cyrchwyd </w:t>
      </w:r>
      <w:r>
        <w:t>3 Ma</w:t>
      </w:r>
      <w:r w:rsidR="00D9011E">
        <w:t>w</w:t>
      </w:r>
      <w:r>
        <w:t>. 2025].</w:t>
      </w:r>
    </w:p>
    <w:p w14:paraId="02BC8CA1" w14:textId="77777777" w:rsidR="00FF23BD" w:rsidRDefault="00FF23BD" w:rsidP="00FF23BD"/>
    <w:p w14:paraId="166BB8F5" w14:textId="1666A071" w:rsidR="00FF23BD" w:rsidRDefault="00FF23BD" w:rsidP="00FF23BD">
      <w:r>
        <w:t>The Bell Foundation (2023). EAL Great Idea: from Talk to Writing. [</w:t>
      </w:r>
      <w:r w:rsidR="00D9011E">
        <w:t>arlein</w:t>
      </w:r>
      <w:r>
        <w:t>] The Bell Foundation. A</w:t>
      </w:r>
      <w:r w:rsidR="00D9011E">
        <w:t>r gael</w:t>
      </w:r>
      <w:r>
        <w:t xml:space="preserve">: </w:t>
      </w:r>
      <w:hyperlink r:id="rId9" w:history="1">
        <w:r w:rsidR="00D9011E" w:rsidRPr="00BB5FAD">
          <w:rPr>
            <w:rStyle w:val="Hyperlink"/>
          </w:rPr>
          <w:t>https://www.bell-foundation.org.uk/resources/great-ideas/from-talk-to-writing/</w:t>
        </w:r>
      </w:hyperlink>
      <w:r>
        <w:t>.</w:t>
      </w:r>
      <w:r w:rsidR="00D9011E">
        <w:t xml:space="preserve"> [Cyrchwyd 3 Maw. 2025]</w:t>
      </w:r>
    </w:p>
    <w:p w14:paraId="3DA358E3" w14:textId="77777777" w:rsidR="00FF23BD" w:rsidRDefault="00FF23BD" w:rsidP="00FF23BD"/>
    <w:p w14:paraId="58E907BF" w14:textId="3E95CAB1" w:rsidR="00BE7D6E" w:rsidRPr="003F08A4" w:rsidRDefault="00FF23BD" w:rsidP="00FF23BD">
      <w:r>
        <w:t xml:space="preserve">Timotheou, S., Miliou, O., Dimitriadis, Y., Sobrino, S.V., Giannoutsou, N., Cachia, R., Monés, A.M. and Ioannou, A. (2022). Impacts of Digital Technologies on Education and Factors Influencing schools’ Digital Capacity and transformation: a Literature Review. Education and </w:t>
      </w:r>
      <w:r>
        <w:lastRenderedPageBreak/>
        <w:t>Information Technologies, 28(28), pp.6695–6726. doi:https://doi.org/10.1007/s10639-022-11431-8.</w:t>
      </w:r>
    </w:p>
    <w:p w14:paraId="0270B4B3" w14:textId="6DEC239C" w:rsidR="00BF6181" w:rsidRPr="00BF6181" w:rsidRDefault="00BF6181" w:rsidP="003F08A4">
      <w:pPr>
        <w:ind w:firstLine="720"/>
      </w:pPr>
    </w:p>
    <w:p w14:paraId="0CECFF9F" w14:textId="38D0F31F" w:rsidR="004829B6" w:rsidRPr="004829B6" w:rsidRDefault="004829B6" w:rsidP="004829B6">
      <w:pPr>
        <w:ind w:firstLine="720"/>
      </w:pPr>
    </w:p>
    <w:p w14:paraId="60C1D47E" w14:textId="77777777" w:rsidR="004829B6" w:rsidRPr="0061575C" w:rsidRDefault="004829B6" w:rsidP="0061575C">
      <w:pPr>
        <w:ind w:firstLine="720"/>
      </w:pPr>
    </w:p>
    <w:p w14:paraId="4448566D" w14:textId="49E330D0" w:rsidR="00417F46" w:rsidRPr="00417F46" w:rsidRDefault="00417F46" w:rsidP="00417F46">
      <w:pPr>
        <w:ind w:firstLine="720"/>
      </w:pPr>
    </w:p>
    <w:p w14:paraId="21F8E539" w14:textId="26287FCC" w:rsidR="005E7C6D" w:rsidRPr="005E7C6D" w:rsidRDefault="005E7C6D" w:rsidP="009251DE">
      <w:pPr>
        <w:ind w:firstLine="720"/>
      </w:pPr>
    </w:p>
    <w:p w14:paraId="3BB12B82" w14:textId="647E7939" w:rsidR="00506182" w:rsidRPr="00506182" w:rsidRDefault="00506182" w:rsidP="00506182">
      <w:pPr>
        <w:ind w:firstLine="720"/>
      </w:pPr>
    </w:p>
    <w:p w14:paraId="0D816D12" w14:textId="34346A60" w:rsidR="000450F6" w:rsidRPr="0088669F" w:rsidRDefault="000450F6" w:rsidP="0088669F">
      <w:pPr>
        <w:ind w:firstLine="720"/>
      </w:pPr>
    </w:p>
    <w:p w14:paraId="1434E02D" w14:textId="19B2F1B4" w:rsidR="00676567" w:rsidRPr="00676567" w:rsidRDefault="00676567" w:rsidP="00676567">
      <w:pPr>
        <w:ind w:firstLine="720"/>
      </w:pPr>
    </w:p>
    <w:p w14:paraId="25B8BF35" w14:textId="4B88E53B" w:rsidR="00B5026D" w:rsidRPr="00B5026D" w:rsidRDefault="009F75F5" w:rsidP="00B5026D">
      <w:pPr>
        <w:ind w:firstLine="720"/>
      </w:pPr>
      <w:r>
        <w:tab/>
      </w:r>
      <w:r>
        <w:tab/>
      </w:r>
      <w:r>
        <w:tab/>
      </w:r>
    </w:p>
    <w:p w14:paraId="26171759" w14:textId="3B8C191D" w:rsidR="0060072B" w:rsidRPr="0060072B" w:rsidRDefault="0060072B" w:rsidP="0060072B">
      <w:pPr>
        <w:ind w:firstLine="720"/>
      </w:pPr>
    </w:p>
    <w:p w14:paraId="79B2EA7E" w14:textId="77777777" w:rsidR="0060072B" w:rsidRPr="00B326B0" w:rsidRDefault="0060072B" w:rsidP="00B326B0">
      <w:pPr>
        <w:ind w:firstLine="720"/>
      </w:pPr>
    </w:p>
    <w:p w14:paraId="552B8844" w14:textId="529CA491" w:rsidR="00371E7E" w:rsidRPr="00371E7E" w:rsidRDefault="00371E7E" w:rsidP="00371E7E">
      <w:pPr>
        <w:ind w:firstLine="720"/>
      </w:pPr>
    </w:p>
    <w:p w14:paraId="779BE991" w14:textId="02176B6E" w:rsidR="008570E6" w:rsidRPr="008570E6" w:rsidRDefault="008570E6" w:rsidP="008570E6">
      <w:pPr>
        <w:ind w:firstLine="720"/>
      </w:pPr>
    </w:p>
    <w:p w14:paraId="42A4058D" w14:textId="335C6952" w:rsidR="00A718E5" w:rsidRPr="00A718E5" w:rsidRDefault="00A718E5" w:rsidP="00A718E5">
      <w:pPr>
        <w:ind w:firstLine="720"/>
      </w:pPr>
    </w:p>
    <w:p w14:paraId="71A9974F" w14:textId="2975D162" w:rsidR="00A82C57" w:rsidRPr="00A82C57" w:rsidRDefault="00A82C57" w:rsidP="00A82C57">
      <w:pPr>
        <w:ind w:firstLine="720"/>
      </w:pPr>
    </w:p>
    <w:p w14:paraId="4EEAACAA" w14:textId="121EA76A" w:rsidR="00955563" w:rsidRPr="00955563" w:rsidRDefault="00955563" w:rsidP="00955563">
      <w:pPr>
        <w:ind w:firstLine="720"/>
      </w:pPr>
    </w:p>
    <w:p w14:paraId="21965EE8" w14:textId="1BEED54B" w:rsidR="00831CA8" w:rsidRPr="00831CA8" w:rsidRDefault="00831CA8" w:rsidP="00831CA8">
      <w:pPr>
        <w:ind w:firstLine="720"/>
      </w:pPr>
    </w:p>
    <w:p w14:paraId="14BF095E" w14:textId="20C3A840" w:rsidR="009E3960" w:rsidRPr="009E3960" w:rsidRDefault="009E3960" w:rsidP="009E3960">
      <w:pPr>
        <w:ind w:firstLine="720"/>
      </w:pPr>
    </w:p>
    <w:p w14:paraId="04392FB4" w14:textId="7FD71F8E" w:rsidR="00470613" w:rsidRPr="00470613" w:rsidRDefault="00470613" w:rsidP="00470613">
      <w:pPr>
        <w:ind w:firstLine="720"/>
      </w:pPr>
    </w:p>
    <w:p w14:paraId="6B4B500F" w14:textId="20E7C3FD" w:rsidR="0077712F" w:rsidRPr="0077712F" w:rsidRDefault="0077712F" w:rsidP="0077712F">
      <w:pPr>
        <w:ind w:firstLine="720"/>
      </w:pPr>
    </w:p>
    <w:p w14:paraId="528C6AB9" w14:textId="434B3042" w:rsidR="0038683C" w:rsidRPr="0038683C" w:rsidRDefault="0038683C" w:rsidP="00533BB8">
      <w:pPr>
        <w:ind w:firstLine="720"/>
      </w:pPr>
    </w:p>
    <w:p w14:paraId="483294EC" w14:textId="6FE721EE" w:rsidR="001910C4" w:rsidRPr="001910C4" w:rsidRDefault="001910C4" w:rsidP="001A11E3">
      <w:pPr>
        <w:ind w:firstLine="720"/>
      </w:pPr>
    </w:p>
    <w:p w14:paraId="7D4161FB" w14:textId="57880829" w:rsidR="004648D2" w:rsidRPr="004648D2" w:rsidRDefault="004648D2" w:rsidP="00724637">
      <w:pPr>
        <w:ind w:firstLine="720"/>
      </w:pPr>
    </w:p>
    <w:p w14:paraId="1F9FB785" w14:textId="5058D165" w:rsidR="00D671B0" w:rsidRPr="00D671B0" w:rsidRDefault="00D671B0" w:rsidP="00D671B0">
      <w:pPr>
        <w:ind w:firstLine="720"/>
      </w:pPr>
    </w:p>
    <w:p w14:paraId="15BC3D2C" w14:textId="4D501FB7" w:rsidR="00896AEF" w:rsidRPr="00896AEF" w:rsidRDefault="00896AEF" w:rsidP="00896AEF">
      <w:pPr>
        <w:ind w:firstLine="720"/>
      </w:pPr>
    </w:p>
    <w:p w14:paraId="7ED117B1" w14:textId="71838DDC" w:rsidR="00013274" w:rsidRPr="00013274" w:rsidRDefault="00013274" w:rsidP="00013274">
      <w:pPr>
        <w:ind w:firstLine="720"/>
      </w:pPr>
    </w:p>
    <w:p w14:paraId="4F80EEF5" w14:textId="3686D464" w:rsidR="00A3707D" w:rsidRPr="00A3707D" w:rsidRDefault="00A3707D" w:rsidP="00A3707D">
      <w:pPr>
        <w:ind w:firstLine="720"/>
      </w:pPr>
    </w:p>
    <w:p w14:paraId="0303CD05" w14:textId="205BFF94" w:rsidR="000A5F3A" w:rsidRPr="000A5F3A" w:rsidRDefault="000A5F3A" w:rsidP="000A5F3A">
      <w:pPr>
        <w:ind w:firstLine="720"/>
      </w:pPr>
    </w:p>
    <w:p w14:paraId="2B326A28" w14:textId="43DCDF68" w:rsidR="00B365E5" w:rsidRPr="00B365E5" w:rsidRDefault="00B365E5" w:rsidP="004003C9">
      <w:pPr>
        <w:ind w:firstLine="720"/>
      </w:pPr>
    </w:p>
    <w:p w14:paraId="42F0B528" w14:textId="481F51AE" w:rsidR="001F25B1" w:rsidRDefault="001F25B1" w:rsidP="00FC27FE"/>
    <w:sectPr w:rsidR="001F2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C19"/>
    <w:rsid w:val="00013274"/>
    <w:rsid w:val="000450F6"/>
    <w:rsid w:val="00084189"/>
    <w:rsid w:val="000A5F3A"/>
    <w:rsid w:val="000D5CE6"/>
    <w:rsid w:val="00150CFC"/>
    <w:rsid w:val="001910C4"/>
    <w:rsid w:val="001A11E3"/>
    <w:rsid w:val="001F0962"/>
    <w:rsid w:val="001F25B1"/>
    <w:rsid w:val="001F3D59"/>
    <w:rsid w:val="002058D3"/>
    <w:rsid w:val="00215874"/>
    <w:rsid w:val="00243776"/>
    <w:rsid w:val="002B310A"/>
    <w:rsid w:val="003155AD"/>
    <w:rsid w:val="003455B7"/>
    <w:rsid w:val="00350190"/>
    <w:rsid w:val="00365E79"/>
    <w:rsid w:val="00370CCD"/>
    <w:rsid w:val="00371E7E"/>
    <w:rsid w:val="0037777E"/>
    <w:rsid w:val="0038683C"/>
    <w:rsid w:val="003A166D"/>
    <w:rsid w:val="003F08A4"/>
    <w:rsid w:val="004003C9"/>
    <w:rsid w:val="00417F46"/>
    <w:rsid w:val="004220AA"/>
    <w:rsid w:val="00442997"/>
    <w:rsid w:val="004648D2"/>
    <w:rsid w:val="00470613"/>
    <w:rsid w:val="004751F2"/>
    <w:rsid w:val="004829B6"/>
    <w:rsid w:val="00506182"/>
    <w:rsid w:val="00533BB8"/>
    <w:rsid w:val="0054474E"/>
    <w:rsid w:val="005776B2"/>
    <w:rsid w:val="005A55BA"/>
    <w:rsid w:val="005E7C6D"/>
    <w:rsid w:val="0060072B"/>
    <w:rsid w:val="0061575C"/>
    <w:rsid w:val="00661B67"/>
    <w:rsid w:val="00676567"/>
    <w:rsid w:val="0068770F"/>
    <w:rsid w:val="006A75A3"/>
    <w:rsid w:val="00704118"/>
    <w:rsid w:val="00724637"/>
    <w:rsid w:val="00730C66"/>
    <w:rsid w:val="007401DB"/>
    <w:rsid w:val="00757D10"/>
    <w:rsid w:val="00777109"/>
    <w:rsid w:val="0077712F"/>
    <w:rsid w:val="007C3EBC"/>
    <w:rsid w:val="00831CA8"/>
    <w:rsid w:val="008557BE"/>
    <w:rsid w:val="008570E6"/>
    <w:rsid w:val="008641DC"/>
    <w:rsid w:val="0088669F"/>
    <w:rsid w:val="008912E2"/>
    <w:rsid w:val="00896AEF"/>
    <w:rsid w:val="008B4933"/>
    <w:rsid w:val="008D5630"/>
    <w:rsid w:val="008E30B0"/>
    <w:rsid w:val="009251DE"/>
    <w:rsid w:val="00936349"/>
    <w:rsid w:val="0093671E"/>
    <w:rsid w:val="00955452"/>
    <w:rsid w:val="00955563"/>
    <w:rsid w:val="009A1CF0"/>
    <w:rsid w:val="009B2886"/>
    <w:rsid w:val="009E3960"/>
    <w:rsid w:val="009F75F5"/>
    <w:rsid w:val="00A3707D"/>
    <w:rsid w:val="00A47C19"/>
    <w:rsid w:val="00A602DB"/>
    <w:rsid w:val="00A671DE"/>
    <w:rsid w:val="00A718E5"/>
    <w:rsid w:val="00A82C57"/>
    <w:rsid w:val="00A8499B"/>
    <w:rsid w:val="00AD4E22"/>
    <w:rsid w:val="00AE6767"/>
    <w:rsid w:val="00B326B0"/>
    <w:rsid w:val="00B365E5"/>
    <w:rsid w:val="00B5026D"/>
    <w:rsid w:val="00B65BAE"/>
    <w:rsid w:val="00BC2FEE"/>
    <w:rsid w:val="00BD3CFA"/>
    <w:rsid w:val="00BE7D6E"/>
    <w:rsid w:val="00BF6181"/>
    <w:rsid w:val="00C01672"/>
    <w:rsid w:val="00C03F0D"/>
    <w:rsid w:val="00C42E0C"/>
    <w:rsid w:val="00C80A41"/>
    <w:rsid w:val="00CC5870"/>
    <w:rsid w:val="00D671B0"/>
    <w:rsid w:val="00D817C3"/>
    <w:rsid w:val="00D9011E"/>
    <w:rsid w:val="00DA109E"/>
    <w:rsid w:val="00DC6BD2"/>
    <w:rsid w:val="00E72E27"/>
    <w:rsid w:val="00EA7F8F"/>
    <w:rsid w:val="00F2130C"/>
    <w:rsid w:val="00FC27FE"/>
    <w:rsid w:val="00FD5A49"/>
    <w:rsid w:val="00FF23BD"/>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1BEBF"/>
  <w15:chartTrackingRefBased/>
  <w15:docId w15:val="{A8268B5C-5151-4177-B8E8-E022ACDCB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C1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C1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47C1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47C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7C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7C1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7C1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C1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C1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47C1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47C1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47C1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47C1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47C1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47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C1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C1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47C19"/>
    <w:pPr>
      <w:spacing w:before="160"/>
      <w:jc w:val="center"/>
    </w:pPr>
    <w:rPr>
      <w:i/>
      <w:iCs/>
      <w:color w:val="404040" w:themeColor="text1" w:themeTint="BF"/>
    </w:rPr>
  </w:style>
  <w:style w:type="character" w:customStyle="1" w:styleId="QuoteChar">
    <w:name w:val="Quote Char"/>
    <w:basedOn w:val="DefaultParagraphFont"/>
    <w:link w:val="Quote"/>
    <w:uiPriority w:val="29"/>
    <w:rsid w:val="00A47C19"/>
    <w:rPr>
      <w:i/>
      <w:iCs/>
      <w:color w:val="404040" w:themeColor="text1" w:themeTint="BF"/>
    </w:rPr>
  </w:style>
  <w:style w:type="paragraph" w:styleId="ListParagraph">
    <w:name w:val="List Paragraph"/>
    <w:basedOn w:val="Normal"/>
    <w:uiPriority w:val="34"/>
    <w:qFormat/>
    <w:rsid w:val="00A47C19"/>
    <w:pPr>
      <w:ind w:left="720"/>
      <w:contextualSpacing/>
    </w:pPr>
  </w:style>
  <w:style w:type="character" w:styleId="IntenseEmphasis">
    <w:name w:val="Intense Emphasis"/>
    <w:basedOn w:val="DefaultParagraphFont"/>
    <w:uiPriority w:val="21"/>
    <w:qFormat/>
    <w:rsid w:val="00A47C19"/>
    <w:rPr>
      <w:i/>
      <w:iCs/>
      <w:color w:val="0F4761" w:themeColor="accent1" w:themeShade="BF"/>
    </w:rPr>
  </w:style>
  <w:style w:type="paragraph" w:styleId="IntenseQuote">
    <w:name w:val="Intense Quote"/>
    <w:basedOn w:val="Normal"/>
    <w:next w:val="Normal"/>
    <w:link w:val="IntenseQuoteChar"/>
    <w:uiPriority w:val="30"/>
    <w:qFormat/>
    <w:rsid w:val="00A47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C19"/>
    <w:rPr>
      <w:i/>
      <w:iCs/>
      <w:color w:val="0F4761" w:themeColor="accent1" w:themeShade="BF"/>
    </w:rPr>
  </w:style>
  <w:style w:type="character" w:styleId="IntenseReference">
    <w:name w:val="Intense Reference"/>
    <w:basedOn w:val="DefaultParagraphFont"/>
    <w:uiPriority w:val="32"/>
    <w:qFormat/>
    <w:rsid w:val="00A47C19"/>
    <w:rPr>
      <w:b/>
      <w:bCs/>
      <w:smallCaps/>
      <w:color w:val="0F4761" w:themeColor="accent1" w:themeShade="BF"/>
      <w:spacing w:val="5"/>
    </w:rPr>
  </w:style>
  <w:style w:type="paragraph" w:styleId="NormalWeb">
    <w:name w:val="Normal (Web)"/>
    <w:basedOn w:val="Normal"/>
    <w:uiPriority w:val="99"/>
    <w:semiHidden/>
    <w:unhideWhenUsed/>
    <w:rsid w:val="000A5F3A"/>
    <w:rPr>
      <w:rFonts w:ascii="Times New Roman" w:hAnsi="Times New Roman" w:cs="Times New Roman"/>
      <w:szCs w:val="24"/>
    </w:rPr>
  </w:style>
  <w:style w:type="paragraph" w:styleId="HTMLPreformatted">
    <w:name w:val="HTML Preformatted"/>
    <w:basedOn w:val="Normal"/>
    <w:link w:val="HTMLPreformattedChar"/>
    <w:uiPriority w:val="99"/>
    <w:semiHidden/>
    <w:unhideWhenUsed/>
    <w:rsid w:val="00A3707D"/>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3707D"/>
    <w:rPr>
      <w:rFonts w:ascii="Consolas" w:hAnsi="Consolas"/>
      <w:sz w:val="20"/>
      <w:szCs w:val="20"/>
    </w:rPr>
  </w:style>
  <w:style w:type="character" w:styleId="Hyperlink">
    <w:name w:val="Hyperlink"/>
    <w:basedOn w:val="DefaultParagraphFont"/>
    <w:uiPriority w:val="99"/>
    <w:unhideWhenUsed/>
    <w:rsid w:val="00CC5870"/>
    <w:rPr>
      <w:color w:val="467886" w:themeColor="hyperlink"/>
      <w:u w:val="single"/>
    </w:rPr>
  </w:style>
  <w:style w:type="character" w:styleId="UnresolvedMention">
    <w:name w:val="Unresolved Mention"/>
    <w:basedOn w:val="DefaultParagraphFont"/>
    <w:uiPriority w:val="99"/>
    <w:semiHidden/>
    <w:unhideWhenUsed/>
    <w:rsid w:val="00CC58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12803">
      <w:bodyDiv w:val="1"/>
      <w:marLeft w:val="0"/>
      <w:marRight w:val="0"/>
      <w:marTop w:val="0"/>
      <w:marBottom w:val="0"/>
      <w:divBdr>
        <w:top w:val="none" w:sz="0" w:space="0" w:color="auto"/>
        <w:left w:val="none" w:sz="0" w:space="0" w:color="auto"/>
        <w:bottom w:val="none" w:sz="0" w:space="0" w:color="auto"/>
        <w:right w:val="none" w:sz="0" w:space="0" w:color="auto"/>
      </w:divBdr>
    </w:div>
    <w:div w:id="112135384">
      <w:bodyDiv w:val="1"/>
      <w:marLeft w:val="0"/>
      <w:marRight w:val="0"/>
      <w:marTop w:val="0"/>
      <w:marBottom w:val="0"/>
      <w:divBdr>
        <w:top w:val="none" w:sz="0" w:space="0" w:color="auto"/>
        <w:left w:val="none" w:sz="0" w:space="0" w:color="auto"/>
        <w:bottom w:val="none" w:sz="0" w:space="0" w:color="auto"/>
        <w:right w:val="none" w:sz="0" w:space="0" w:color="auto"/>
      </w:divBdr>
    </w:div>
    <w:div w:id="156920982">
      <w:bodyDiv w:val="1"/>
      <w:marLeft w:val="0"/>
      <w:marRight w:val="0"/>
      <w:marTop w:val="0"/>
      <w:marBottom w:val="0"/>
      <w:divBdr>
        <w:top w:val="none" w:sz="0" w:space="0" w:color="auto"/>
        <w:left w:val="none" w:sz="0" w:space="0" w:color="auto"/>
        <w:bottom w:val="none" w:sz="0" w:space="0" w:color="auto"/>
        <w:right w:val="none" w:sz="0" w:space="0" w:color="auto"/>
      </w:divBdr>
    </w:div>
    <w:div w:id="181168575">
      <w:bodyDiv w:val="1"/>
      <w:marLeft w:val="0"/>
      <w:marRight w:val="0"/>
      <w:marTop w:val="0"/>
      <w:marBottom w:val="0"/>
      <w:divBdr>
        <w:top w:val="none" w:sz="0" w:space="0" w:color="auto"/>
        <w:left w:val="none" w:sz="0" w:space="0" w:color="auto"/>
        <w:bottom w:val="none" w:sz="0" w:space="0" w:color="auto"/>
        <w:right w:val="none" w:sz="0" w:space="0" w:color="auto"/>
      </w:divBdr>
    </w:div>
    <w:div w:id="186607465">
      <w:bodyDiv w:val="1"/>
      <w:marLeft w:val="0"/>
      <w:marRight w:val="0"/>
      <w:marTop w:val="0"/>
      <w:marBottom w:val="0"/>
      <w:divBdr>
        <w:top w:val="none" w:sz="0" w:space="0" w:color="auto"/>
        <w:left w:val="none" w:sz="0" w:space="0" w:color="auto"/>
        <w:bottom w:val="none" w:sz="0" w:space="0" w:color="auto"/>
        <w:right w:val="none" w:sz="0" w:space="0" w:color="auto"/>
      </w:divBdr>
    </w:div>
    <w:div w:id="212275941">
      <w:bodyDiv w:val="1"/>
      <w:marLeft w:val="0"/>
      <w:marRight w:val="0"/>
      <w:marTop w:val="0"/>
      <w:marBottom w:val="0"/>
      <w:divBdr>
        <w:top w:val="none" w:sz="0" w:space="0" w:color="auto"/>
        <w:left w:val="none" w:sz="0" w:space="0" w:color="auto"/>
        <w:bottom w:val="none" w:sz="0" w:space="0" w:color="auto"/>
        <w:right w:val="none" w:sz="0" w:space="0" w:color="auto"/>
      </w:divBdr>
    </w:div>
    <w:div w:id="233778764">
      <w:bodyDiv w:val="1"/>
      <w:marLeft w:val="0"/>
      <w:marRight w:val="0"/>
      <w:marTop w:val="0"/>
      <w:marBottom w:val="0"/>
      <w:divBdr>
        <w:top w:val="none" w:sz="0" w:space="0" w:color="auto"/>
        <w:left w:val="none" w:sz="0" w:space="0" w:color="auto"/>
        <w:bottom w:val="none" w:sz="0" w:space="0" w:color="auto"/>
        <w:right w:val="none" w:sz="0" w:space="0" w:color="auto"/>
      </w:divBdr>
    </w:div>
    <w:div w:id="261497192">
      <w:bodyDiv w:val="1"/>
      <w:marLeft w:val="0"/>
      <w:marRight w:val="0"/>
      <w:marTop w:val="0"/>
      <w:marBottom w:val="0"/>
      <w:divBdr>
        <w:top w:val="none" w:sz="0" w:space="0" w:color="auto"/>
        <w:left w:val="none" w:sz="0" w:space="0" w:color="auto"/>
        <w:bottom w:val="none" w:sz="0" w:space="0" w:color="auto"/>
        <w:right w:val="none" w:sz="0" w:space="0" w:color="auto"/>
      </w:divBdr>
    </w:div>
    <w:div w:id="282424552">
      <w:bodyDiv w:val="1"/>
      <w:marLeft w:val="0"/>
      <w:marRight w:val="0"/>
      <w:marTop w:val="0"/>
      <w:marBottom w:val="0"/>
      <w:divBdr>
        <w:top w:val="none" w:sz="0" w:space="0" w:color="auto"/>
        <w:left w:val="none" w:sz="0" w:space="0" w:color="auto"/>
        <w:bottom w:val="none" w:sz="0" w:space="0" w:color="auto"/>
        <w:right w:val="none" w:sz="0" w:space="0" w:color="auto"/>
      </w:divBdr>
    </w:div>
    <w:div w:id="288320687">
      <w:bodyDiv w:val="1"/>
      <w:marLeft w:val="0"/>
      <w:marRight w:val="0"/>
      <w:marTop w:val="0"/>
      <w:marBottom w:val="0"/>
      <w:divBdr>
        <w:top w:val="none" w:sz="0" w:space="0" w:color="auto"/>
        <w:left w:val="none" w:sz="0" w:space="0" w:color="auto"/>
        <w:bottom w:val="none" w:sz="0" w:space="0" w:color="auto"/>
        <w:right w:val="none" w:sz="0" w:space="0" w:color="auto"/>
      </w:divBdr>
    </w:div>
    <w:div w:id="299312839">
      <w:bodyDiv w:val="1"/>
      <w:marLeft w:val="0"/>
      <w:marRight w:val="0"/>
      <w:marTop w:val="0"/>
      <w:marBottom w:val="0"/>
      <w:divBdr>
        <w:top w:val="none" w:sz="0" w:space="0" w:color="auto"/>
        <w:left w:val="none" w:sz="0" w:space="0" w:color="auto"/>
        <w:bottom w:val="none" w:sz="0" w:space="0" w:color="auto"/>
        <w:right w:val="none" w:sz="0" w:space="0" w:color="auto"/>
      </w:divBdr>
    </w:div>
    <w:div w:id="301157250">
      <w:bodyDiv w:val="1"/>
      <w:marLeft w:val="0"/>
      <w:marRight w:val="0"/>
      <w:marTop w:val="0"/>
      <w:marBottom w:val="0"/>
      <w:divBdr>
        <w:top w:val="none" w:sz="0" w:space="0" w:color="auto"/>
        <w:left w:val="none" w:sz="0" w:space="0" w:color="auto"/>
        <w:bottom w:val="none" w:sz="0" w:space="0" w:color="auto"/>
        <w:right w:val="none" w:sz="0" w:space="0" w:color="auto"/>
      </w:divBdr>
    </w:div>
    <w:div w:id="422455185">
      <w:bodyDiv w:val="1"/>
      <w:marLeft w:val="0"/>
      <w:marRight w:val="0"/>
      <w:marTop w:val="0"/>
      <w:marBottom w:val="0"/>
      <w:divBdr>
        <w:top w:val="none" w:sz="0" w:space="0" w:color="auto"/>
        <w:left w:val="none" w:sz="0" w:space="0" w:color="auto"/>
        <w:bottom w:val="none" w:sz="0" w:space="0" w:color="auto"/>
        <w:right w:val="none" w:sz="0" w:space="0" w:color="auto"/>
      </w:divBdr>
    </w:div>
    <w:div w:id="524834067">
      <w:bodyDiv w:val="1"/>
      <w:marLeft w:val="0"/>
      <w:marRight w:val="0"/>
      <w:marTop w:val="0"/>
      <w:marBottom w:val="0"/>
      <w:divBdr>
        <w:top w:val="none" w:sz="0" w:space="0" w:color="auto"/>
        <w:left w:val="none" w:sz="0" w:space="0" w:color="auto"/>
        <w:bottom w:val="none" w:sz="0" w:space="0" w:color="auto"/>
        <w:right w:val="none" w:sz="0" w:space="0" w:color="auto"/>
      </w:divBdr>
    </w:div>
    <w:div w:id="527448558">
      <w:bodyDiv w:val="1"/>
      <w:marLeft w:val="0"/>
      <w:marRight w:val="0"/>
      <w:marTop w:val="0"/>
      <w:marBottom w:val="0"/>
      <w:divBdr>
        <w:top w:val="none" w:sz="0" w:space="0" w:color="auto"/>
        <w:left w:val="none" w:sz="0" w:space="0" w:color="auto"/>
        <w:bottom w:val="none" w:sz="0" w:space="0" w:color="auto"/>
        <w:right w:val="none" w:sz="0" w:space="0" w:color="auto"/>
      </w:divBdr>
    </w:div>
    <w:div w:id="587691581">
      <w:bodyDiv w:val="1"/>
      <w:marLeft w:val="0"/>
      <w:marRight w:val="0"/>
      <w:marTop w:val="0"/>
      <w:marBottom w:val="0"/>
      <w:divBdr>
        <w:top w:val="none" w:sz="0" w:space="0" w:color="auto"/>
        <w:left w:val="none" w:sz="0" w:space="0" w:color="auto"/>
        <w:bottom w:val="none" w:sz="0" w:space="0" w:color="auto"/>
        <w:right w:val="none" w:sz="0" w:space="0" w:color="auto"/>
      </w:divBdr>
    </w:div>
    <w:div w:id="629820215">
      <w:bodyDiv w:val="1"/>
      <w:marLeft w:val="0"/>
      <w:marRight w:val="0"/>
      <w:marTop w:val="0"/>
      <w:marBottom w:val="0"/>
      <w:divBdr>
        <w:top w:val="none" w:sz="0" w:space="0" w:color="auto"/>
        <w:left w:val="none" w:sz="0" w:space="0" w:color="auto"/>
        <w:bottom w:val="none" w:sz="0" w:space="0" w:color="auto"/>
        <w:right w:val="none" w:sz="0" w:space="0" w:color="auto"/>
      </w:divBdr>
    </w:div>
    <w:div w:id="692339600">
      <w:bodyDiv w:val="1"/>
      <w:marLeft w:val="0"/>
      <w:marRight w:val="0"/>
      <w:marTop w:val="0"/>
      <w:marBottom w:val="0"/>
      <w:divBdr>
        <w:top w:val="none" w:sz="0" w:space="0" w:color="auto"/>
        <w:left w:val="none" w:sz="0" w:space="0" w:color="auto"/>
        <w:bottom w:val="none" w:sz="0" w:space="0" w:color="auto"/>
        <w:right w:val="none" w:sz="0" w:space="0" w:color="auto"/>
      </w:divBdr>
    </w:div>
    <w:div w:id="704332552">
      <w:bodyDiv w:val="1"/>
      <w:marLeft w:val="0"/>
      <w:marRight w:val="0"/>
      <w:marTop w:val="0"/>
      <w:marBottom w:val="0"/>
      <w:divBdr>
        <w:top w:val="none" w:sz="0" w:space="0" w:color="auto"/>
        <w:left w:val="none" w:sz="0" w:space="0" w:color="auto"/>
        <w:bottom w:val="none" w:sz="0" w:space="0" w:color="auto"/>
        <w:right w:val="none" w:sz="0" w:space="0" w:color="auto"/>
      </w:divBdr>
    </w:div>
    <w:div w:id="705253791">
      <w:bodyDiv w:val="1"/>
      <w:marLeft w:val="0"/>
      <w:marRight w:val="0"/>
      <w:marTop w:val="0"/>
      <w:marBottom w:val="0"/>
      <w:divBdr>
        <w:top w:val="none" w:sz="0" w:space="0" w:color="auto"/>
        <w:left w:val="none" w:sz="0" w:space="0" w:color="auto"/>
        <w:bottom w:val="none" w:sz="0" w:space="0" w:color="auto"/>
        <w:right w:val="none" w:sz="0" w:space="0" w:color="auto"/>
      </w:divBdr>
    </w:div>
    <w:div w:id="708527843">
      <w:bodyDiv w:val="1"/>
      <w:marLeft w:val="0"/>
      <w:marRight w:val="0"/>
      <w:marTop w:val="0"/>
      <w:marBottom w:val="0"/>
      <w:divBdr>
        <w:top w:val="none" w:sz="0" w:space="0" w:color="auto"/>
        <w:left w:val="none" w:sz="0" w:space="0" w:color="auto"/>
        <w:bottom w:val="none" w:sz="0" w:space="0" w:color="auto"/>
        <w:right w:val="none" w:sz="0" w:space="0" w:color="auto"/>
      </w:divBdr>
    </w:div>
    <w:div w:id="709114903">
      <w:bodyDiv w:val="1"/>
      <w:marLeft w:val="0"/>
      <w:marRight w:val="0"/>
      <w:marTop w:val="0"/>
      <w:marBottom w:val="0"/>
      <w:divBdr>
        <w:top w:val="none" w:sz="0" w:space="0" w:color="auto"/>
        <w:left w:val="none" w:sz="0" w:space="0" w:color="auto"/>
        <w:bottom w:val="none" w:sz="0" w:space="0" w:color="auto"/>
        <w:right w:val="none" w:sz="0" w:space="0" w:color="auto"/>
      </w:divBdr>
    </w:div>
    <w:div w:id="807237743">
      <w:bodyDiv w:val="1"/>
      <w:marLeft w:val="0"/>
      <w:marRight w:val="0"/>
      <w:marTop w:val="0"/>
      <w:marBottom w:val="0"/>
      <w:divBdr>
        <w:top w:val="none" w:sz="0" w:space="0" w:color="auto"/>
        <w:left w:val="none" w:sz="0" w:space="0" w:color="auto"/>
        <w:bottom w:val="none" w:sz="0" w:space="0" w:color="auto"/>
        <w:right w:val="none" w:sz="0" w:space="0" w:color="auto"/>
      </w:divBdr>
    </w:div>
    <w:div w:id="808328105">
      <w:bodyDiv w:val="1"/>
      <w:marLeft w:val="0"/>
      <w:marRight w:val="0"/>
      <w:marTop w:val="0"/>
      <w:marBottom w:val="0"/>
      <w:divBdr>
        <w:top w:val="none" w:sz="0" w:space="0" w:color="auto"/>
        <w:left w:val="none" w:sz="0" w:space="0" w:color="auto"/>
        <w:bottom w:val="none" w:sz="0" w:space="0" w:color="auto"/>
        <w:right w:val="none" w:sz="0" w:space="0" w:color="auto"/>
      </w:divBdr>
    </w:div>
    <w:div w:id="855726938">
      <w:bodyDiv w:val="1"/>
      <w:marLeft w:val="0"/>
      <w:marRight w:val="0"/>
      <w:marTop w:val="0"/>
      <w:marBottom w:val="0"/>
      <w:divBdr>
        <w:top w:val="none" w:sz="0" w:space="0" w:color="auto"/>
        <w:left w:val="none" w:sz="0" w:space="0" w:color="auto"/>
        <w:bottom w:val="none" w:sz="0" w:space="0" w:color="auto"/>
        <w:right w:val="none" w:sz="0" w:space="0" w:color="auto"/>
      </w:divBdr>
    </w:div>
    <w:div w:id="886835904">
      <w:bodyDiv w:val="1"/>
      <w:marLeft w:val="0"/>
      <w:marRight w:val="0"/>
      <w:marTop w:val="0"/>
      <w:marBottom w:val="0"/>
      <w:divBdr>
        <w:top w:val="none" w:sz="0" w:space="0" w:color="auto"/>
        <w:left w:val="none" w:sz="0" w:space="0" w:color="auto"/>
        <w:bottom w:val="none" w:sz="0" w:space="0" w:color="auto"/>
        <w:right w:val="none" w:sz="0" w:space="0" w:color="auto"/>
      </w:divBdr>
    </w:div>
    <w:div w:id="904726331">
      <w:bodyDiv w:val="1"/>
      <w:marLeft w:val="0"/>
      <w:marRight w:val="0"/>
      <w:marTop w:val="0"/>
      <w:marBottom w:val="0"/>
      <w:divBdr>
        <w:top w:val="none" w:sz="0" w:space="0" w:color="auto"/>
        <w:left w:val="none" w:sz="0" w:space="0" w:color="auto"/>
        <w:bottom w:val="none" w:sz="0" w:space="0" w:color="auto"/>
        <w:right w:val="none" w:sz="0" w:space="0" w:color="auto"/>
      </w:divBdr>
    </w:div>
    <w:div w:id="996953735">
      <w:bodyDiv w:val="1"/>
      <w:marLeft w:val="0"/>
      <w:marRight w:val="0"/>
      <w:marTop w:val="0"/>
      <w:marBottom w:val="0"/>
      <w:divBdr>
        <w:top w:val="none" w:sz="0" w:space="0" w:color="auto"/>
        <w:left w:val="none" w:sz="0" w:space="0" w:color="auto"/>
        <w:bottom w:val="none" w:sz="0" w:space="0" w:color="auto"/>
        <w:right w:val="none" w:sz="0" w:space="0" w:color="auto"/>
      </w:divBdr>
    </w:div>
    <w:div w:id="1007096488">
      <w:bodyDiv w:val="1"/>
      <w:marLeft w:val="0"/>
      <w:marRight w:val="0"/>
      <w:marTop w:val="0"/>
      <w:marBottom w:val="0"/>
      <w:divBdr>
        <w:top w:val="none" w:sz="0" w:space="0" w:color="auto"/>
        <w:left w:val="none" w:sz="0" w:space="0" w:color="auto"/>
        <w:bottom w:val="none" w:sz="0" w:space="0" w:color="auto"/>
        <w:right w:val="none" w:sz="0" w:space="0" w:color="auto"/>
      </w:divBdr>
    </w:div>
    <w:div w:id="1036395440">
      <w:bodyDiv w:val="1"/>
      <w:marLeft w:val="0"/>
      <w:marRight w:val="0"/>
      <w:marTop w:val="0"/>
      <w:marBottom w:val="0"/>
      <w:divBdr>
        <w:top w:val="none" w:sz="0" w:space="0" w:color="auto"/>
        <w:left w:val="none" w:sz="0" w:space="0" w:color="auto"/>
        <w:bottom w:val="none" w:sz="0" w:space="0" w:color="auto"/>
        <w:right w:val="none" w:sz="0" w:space="0" w:color="auto"/>
      </w:divBdr>
    </w:div>
    <w:div w:id="1039357526">
      <w:bodyDiv w:val="1"/>
      <w:marLeft w:val="0"/>
      <w:marRight w:val="0"/>
      <w:marTop w:val="0"/>
      <w:marBottom w:val="0"/>
      <w:divBdr>
        <w:top w:val="none" w:sz="0" w:space="0" w:color="auto"/>
        <w:left w:val="none" w:sz="0" w:space="0" w:color="auto"/>
        <w:bottom w:val="none" w:sz="0" w:space="0" w:color="auto"/>
        <w:right w:val="none" w:sz="0" w:space="0" w:color="auto"/>
      </w:divBdr>
    </w:div>
    <w:div w:id="1054616535">
      <w:bodyDiv w:val="1"/>
      <w:marLeft w:val="0"/>
      <w:marRight w:val="0"/>
      <w:marTop w:val="0"/>
      <w:marBottom w:val="0"/>
      <w:divBdr>
        <w:top w:val="none" w:sz="0" w:space="0" w:color="auto"/>
        <w:left w:val="none" w:sz="0" w:space="0" w:color="auto"/>
        <w:bottom w:val="none" w:sz="0" w:space="0" w:color="auto"/>
        <w:right w:val="none" w:sz="0" w:space="0" w:color="auto"/>
      </w:divBdr>
    </w:div>
    <w:div w:id="1058552982">
      <w:bodyDiv w:val="1"/>
      <w:marLeft w:val="0"/>
      <w:marRight w:val="0"/>
      <w:marTop w:val="0"/>
      <w:marBottom w:val="0"/>
      <w:divBdr>
        <w:top w:val="none" w:sz="0" w:space="0" w:color="auto"/>
        <w:left w:val="none" w:sz="0" w:space="0" w:color="auto"/>
        <w:bottom w:val="none" w:sz="0" w:space="0" w:color="auto"/>
        <w:right w:val="none" w:sz="0" w:space="0" w:color="auto"/>
      </w:divBdr>
    </w:div>
    <w:div w:id="1065908374">
      <w:bodyDiv w:val="1"/>
      <w:marLeft w:val="0"/>
      <w:marRight w:val="0"/>
      <w:marTop w:val="0"/>
      <w:marBottom w:val="0"/>
      <w:divBdr>
        <w:top w:val="none" w:sz="0" w:space="0" w:color="auto"/>
        <w:left w:val="none" w:sz="0" w:space="0" w:color="auto"/>
        <w:bottom w:val="none" w:sz="0" w:space="0" w:color="auto"/>
        <w:right w:val="none" w:sz="0" w:space="0" w:color="auto"/>
      </w:divBdr>
    </w:div>
    <w:div w:id="1075277588">
      <w:bodyDiv w:val="1"/>
      <w:marLeft w:val="0"/>
      <w:marRight w:val="0"/>
      <w:marTop w:val="0"/>
      <w:marBottom w:val="0"/>
      <w:divBdr>
        <w:top w:val="none" w:sz="0" w:space="0" w:color="auto"/>
        <w:left w:val="none" w:sz="0" w:space="0" w:color="auto"/>
        <w:bottom w:val="none" w:sz="0" w:space="0" w:color="auto"/>
        <w:right w:val="none" w:sz="0" w:space="0" w:color="auto"/>
      </w:divBdr>
    </w:div>
    <w:div w:id="1155419657">
      <w:bodyDiv w:val="1"/>
      <w:marLeft w:val="0"/>
      <w:marRight w:val="0"/>
      <w:marTop w:val="0"/>
      <w:marBottom w:val="0"/>
      <w:divBdr>
        <w:top w:val="none" w:sz="0" w:space="0" w:color="auto"/>
        <w:left w:val="none" w:sz="0" w:space="0" w:color="auto"/>
        <w:bottom w:val="none" w:sz="0" w:space="0" w:color="auto"/>
        <w:right w:val="none" w:sz="0" w:space="0" w:color="auto"/>
      </w:divBdr>
    </w:div>
    <w:div w:id="1170222126">
      <w:bodyDiv w:val="1"/>
      <w:marLeft w:val="0"/>
      <w:marRight w:val="0"/>
      <w:marTop w:val="0"/>
      <w:marBottom w:val="0"/>
      <w:divBdr>
        <w:top w:val="none" w:sz="0" w:space="0" w:color="auto"/>
        <w:left w:val="none" w:sz="0" w:space="0" w:color="auto"/>
        <w:bottom w:val="none" w:sz="0" w:space="0" w:color="auto"/>
        <w:right w:val="none" w:sz="0" w:space="0" w:color="auto"/>
      </w:divBdr>
    </w:div>
    <w:div w:id="1172111972">
      <w:bodyDiv w:val="1"/>
      <w:marLeft w:val="0"/>
      <w:marRight w:val="0"/>
      <w:marTop w:val="0"/>
      <w:marBottom w:val="0"/>
      <w:divBdr>
        <w:top w:val="none" w:sz="0" w:space="0" w:color="auto"/>
        <w:left w:val="none" w:sz="0" w:space="0" w:color="auto"/>
        <w:bottom w:val="none" w:sz="0" w:space="0" w:color="auto"/>
        <w:right w:val="none" w:sz="0" w:space="0" w:color="auto"/>
      </w:divBdr>
    </w:div>
    <w:div w:id="1189947962">
      <w:bodyDiv w:val="1"/>
      <w:marLeft w:val="0"/>
      <w:marRight w:val="0"/>
      <w:marTop w:val="0"/>
      <w:marBottom w:val="0"/>
      <w:divBdr>
        <w:top w:val="none" w:sz="0" w:space="0" w:color="auto"/>
        <w:left w:val="none" w:sz="0" w:space="0" w:color="auto"/>
        <w:bottom w:val="none" w:sz="0" w:space="0" w:color="auto"/>
        <w:right w:val="none" w:sz="0" w:space="0" w:color="auto"/>
      </w:divBdr>
    </w:div>
    <w:div w:id="1223058641">
      <w:bodyDiv w:val="1"/>
      <w:marLeft w:val="0"/>
      <w:marRight w:val="0"/>
      <w:marTop w:val="0"/>
      <w:marBottom w:val="0"/>
      <w:divBdr>
        <w:top w:val="none" w:sz="0" w:space="0" w:color="auto"/>
        <w:left w:val="none" w:sz="0" w:space="0" w:color="auto"/>
        <w:bottom w:val="none" w:sz="0" w:space="0" w:color="auto"/>
        <w:right w:val="none" w:sz="0" w:space="0" w:color="auto"/>
      </w:divBdr>
    </w:div>
    <w:div w:id="1238978986">
      <w:bodyDiv w:val="1"/>
      <w:marLeft w:val="0"/>
      <w:marRight w:val="0"/>
      <w:marTop w:val="0"/>
      <w:marBottom w:val="0"/>
      <w:divBdr>
        <w:top w:val="none" w:sz="0" w:space="0" w:color="auto"/>
        <w:left w:val="none" w:sz="0" w:space="0" w:color="auto"/>
        <w:bottom w:val="none" w:sz="0" w:space="0" w:color="auto"/>
        <w:right w:val="none" w:sz="0" w:space="0" w:color="auto"/>
      </w:divBdr>
    </w:div>
    <w:div w:id="1280380867">
      <w:bodyDiv w:val="1"/>
      <w:marLeft w:val="0"/>
      <w:marRight w:val="0"/>
      <w:marTop w:val="0"/>
      <w:marBottom w:val="0"/>
      <w:divBdr>
        <w:top w:val="none" w:sz="0" w:space="0" w:color="auto"/>
        <w:left w:val="none" w:sz="0" w:space="0" w:color="auto"/>
        <w:bottom w:val="none" w:sz="0" w:space="0" w:color="auto"/>
        <w:right w:val="none" w:sz="0" w:space="0" w:color="auto"/>
      </w:divBdr>
    </w:div>
    <w:div w:id="1293174644">
      <w:bodyDiv w:val="1"/>
      <w:marLeft w:val="0"/>
      <w:marRight w:val="0"/>
      <w:marTop w:val="0"/>
      <w:marBottom w:val="0"/>
      <w:divBdr>
        <w:top w:val="none" w:sz="0" w:space="0" w:color="auto"/>
        <w:left w:val="none" w:sz="0" w:space="0" w:color="auto"/>
        <w:bottom w:val="none" w:sz="0" w:space="0" w:color="auto"/>
        <w:right w:val="none" w:sz="0" w:space="0" w:color="auto"/>
      </w:divBdr>
    </w:div>
    <w:div w:id="1307933269">
      <w:bodyDiv w:val="1"/>
      <w:marLeft w:val="0"/>
      <w:marRight w:val="0"/>
      <w:marTop w:val="0"/>
      <w:marBottom w:val="0"/>
      <w:divBdr>
        <w:top w:val="none" w:sz="0" w:space="0" w:color="auto"/>
        <w:left w:val="none" w:sz="0" w:space="0" w:color="auto"/>
        <w:bottom w:val="none" w:sz="0" w:space="0" w:color="auto"/>
        <w:right w:val="none" w:sz="0" w:space="0" w:color="auto"/>
      </w:divBdr>
    </w:div>
    <w:div w:id="1317370810">
      <w:bodyDiv w:val="1"/>
      <w:marLeft w:val="0"/>
      <w:marRight w:val="0"/>
      <w:marTop w:val="0"/>
      <w:marBottom w:val="0"/>
      <w:divBdr>
        <w:top w:val="none" w:sz="0" w:space="0" w:color="auto"/>
        <w:left w:val="none" w:sz="0" w:space="0" w:color="auto"/>
        <w:bottom w:val="none" w:sz="0" w:space="0" w:color="auto"/>
        <w:right w:val="none" w:sz="0" w:space="0" w:color="auto"/>
      </w:divBdr>
    </w:div>
    <w:div w:id="1323197747">
      <w:bodyDiv w:val="1"/>
      <w:marLeft w:val="0"/>
      <w:marRight w:val="0"/>
      <w:marTop w:val="0"/>
      <w:marBottom w:val="0"/>
      <w:divBdr>
        <w:top w:val="none" w:sz="0" w:space="0" w:color="auto"/>
        <w:left w:val="none" w:sz="0" w:space="0" w:color="auto"/>
        <w:bottom w:val="none" w:sz="0" w:space="0" w:color="auto"/>
        <w:right w:val="none" w:sz="0" w:space="0" w:color="auto"/>
      </w:divBdr>
    </w:div>
    <w:div w:id="1333526558">
      <w:bodyDiv w:val="1"/>
      <w:marLeft w:val="0"/>
      <w:marRight w:val="0"/>
      <w:marTop w:val="0"/>
      <w:marBottom w:val="0"/>
      <w:divBdr>
        <w:top w:val="none" w:sz="0" w:space="0" w:color="auto"/>
        <w:left w:val="none" w:sz="0" w:space="0" w:color="auto"/>
        <w:bottom w:val="none" w:sz="0" w:space="0" w:color="auto"/>
        <w:right w:val="none" w:sz="0" w:space="0" w:color="auto"/>
      </w:divBdr>
    </w:div>
    <w:div w:id="1334604856">
      <w:bodyDiv w:val="1"/>
      <w:marLeft w:val="0"/>
      <w:marRight w:val="0"/>
      <w:marTop w:val="0"/>
      <w:marBottom w:val="0"/>
      <w:divBdr>
        <w:top w:val="none" w:sz="0" w:space="0" w:color="auto"/>
        <w:left w:val="none" w:sz="0" w:space="0" w:color="auto"/>
        <w:bottom w:val="none" w:sz="0" w:space="0" w:color="auto"/>
        <w:right w:val="none" w:sz="0" w:space="0" w:color="auto"/>
      </w:divBdr>
    </w:div>
    <w:div w:id="1348171204">
      <w:bodyDiv w:val="1"/>
      <w:marLeft w:val="0"/>
      <w:marRight w:val="0"/>
      <w:marTop w:val="0"/>
      <w:marBottom w:val="0"/>
      <w:divBdr>
        <w:top w:val="none" w:sz="0" w:space="0" w:color="auto"/>
        <w:left w:val="none" w:sz="0" w:space="0" w:color="auto"/>
        <w:bottom w:val="none" w:sz="0" w:space="0" w:color="auto"/>
        <w:right w:val="none" w:sz="0" w:space="0" w:color="auto"/>
      </w:divBdr>
    </w:div>
    <w:div w:id="1349679646">
      <w:bodyDiv w:val="1"/>
      <w:marLeft w:val="0"/>
      <w:marRight w:val="0"/>
      <w:marTop w:val="0"/>
      <w:marBottom w:val="0"/>
      <w:divBdr>
        <w:top w:val="none" w:sz="0" w:space="0" w:color="auto"/>
        <w:left w:val="none" w:sz="0" w:space="0" w:color="auto"/>
        <w:bottom w:val="none" w:sz="0" w:space="0" w:color="auto"/>
        <w:right w:val="none" w:sz="0" w:space="0" w:color="auto"/>
      </w:divBdr>
    </w:div>
    <w:div w:id="1366713945">
      <w:bodyDiv w:val="1"/>
      <w:marLeft w:val="0"/>
      <w:marRight w:val="0"/>
      <w:marTop w:val="0"/>
      <w:marBottom w:val="0"/>
      <w:divBdr>
        <w:top w:val="none" w:sz="0" w:space="0" w:color="auto"/>
        <w:left w:val="none" w:sz="0" w:space="0" w:color="auto"/>
        <w:bottom w:val="none" w:sz="0" w:space="0" w:color="auto"/>
        <w:right w:val="none" w:sz="0" w:space="0" w:color="auto"/>
      </w:divBdr>
    </w:div>
    <w:div w:id="1367175280">
      <w:bodyDiv w:val="1"/>
      <w:marLeft w:val="0"/>
      <w:marRight w:val="0"/>
      <w:marTop w:val="0"/>
      <w:marBottom w:val="0"/>
      <w:divBdr>
        <w:top w:val="none" w:sz="0" w:space="0" w:color="auto"/>
        <w:left w:val="none" w:sz="0" w:space="0" w:color="auto"/>
        <w:bottom w:val="none" w:sz="0" w:space="0" w:color="auto"/>
        <w:right w:val="none" w:sz="0" w:space="0" w:color="auto"/>
      </w:divBdr>
    </w:div>
    <w:div w:id="1372654039">
      <w:bodyDiv w:val="1"/>
      <w:marLeft w:val="0"/>
      <w:marRight w:val="0"/>
      <w:marTop w:val="0"/>
      <w:marBottom w:val="0"/>
      <w:divBdr>
        <w:top w:val="none" w:sz="0" w:space="0" w:color="auto"/>
        <w:left w:val="none" w:sz="0" w:space="0" w:color="auto"/>
        <w:bottom w:val="none" w:sz="0" w:space="0" w:color="auto"/>
        <w:right w:val="none" w:sz="0" w:space="0" w:color="auto"/>
      </w:divBdr>
    </w:div>
    <w:div w:id="1410034573">
      <w:bodyDiv w:val="1"/>
      <w:marLeft w:val="0"/>
      <w:marRight w:val="0"/>
      <w:marTop w:val="0"/>
      <w:marBottom w:val="0"/>
      <w:divBdr>
        <w:top w:val="none" w:sz="0" w:space="0" w:color="auto"/>
        <w:left w:val="none" w:sz="0" w:space="0" w:color="auto"/>
        <w:bottom w:val="none" w:sz="0" w:space="0" w:color="auto"/>
        <w:right w:val="none" w:sz="0" w:space="0" w:color="auto"/>
      </w:divBdr>
    </w:div>
    <w:div w:id="1427144047">
      <w:bodyDiv w:val="1"/>
      <w:marLeft w:val="0"/>
      <w:marRight w:val="0"/>
      <w:marTop w:val="0"/>
      <w:marBottom w:val="0"/>
      <w:divBdr>
        <w:top w:val="none" w:sz="0" w:space="0" w:color="auto"/>
        <w:left w:val="none" w:sz="0" w:space="0" w:color="auto"/>
        <w:bottom w:val="none" w:sz="0" w:space="0" w:color="auto"/>
        <w:right w:val="none" w:sz="0" w:space="0" w:color="auto"/>
      </w:divBdr>
    </w:div>
    <w:div w:id="1436560011">
      <w:bodyDiv w:val="1"/>
      <w:marLeft w:val="0"/>
      <w:marRight w:val="0"/>
      <w:marTop w:val="0"/>
      <w:marBottom w:val="0"/>
      <w:divBdr>
        <w:top w:val="none" w:sz="0" w:space="0" w:color="auto"/>
        <w:left w:val="none" w:sz="0" w:space="0" w:color="auto"/>
        <w:bottom w:val="none" w:sz="0" w:space="0" w:color="auto"/>
        <w:right w:val="none" w:sz="0" w:space="0" w:color="auto"/>
      </w:divBdr>
    </w:div>
    <w:div w:id="1483890796">
      <w:bodyDiv w:val="1"/>
      <w:marLeft w:val="0"/>
      <w:marRight w:val="0"/>
      <w:marTop w:val="0"/>
      <w:marBottom w:val="0"/>
      <w:divBdr>
        <w:top w:val="none" w:sz="0" w:space="0" w:color="auto"/>
        <w:left w:val="none" w:sz="0" w:space="0" w:color="auto"/>
        <w:bottom w:val="none" w:sz="0" w:space="0" w:color="auto"/>
        <w:right w:val="none" w:sz="0" w:space="0" w:color="auto"/>
      </w:divBdr>
    </w:div>
    <w:div w:id="1498034021">
      <w:bodyDiv w:val="1"/>
      <w:marLeft w:val="0"/>
      <w:marRight w:val="0"/>
      <w:marTop w:val="0"/>
      <w:marBottom w:val="0"/>
      <w:divBdr>
        <w:top w:val="none" w:sz="0" w:space="0" w:color="auto"/>
        <w:left w:val="none" w:sz="0" w:space="0" w:color="auto"/>
        <w:bottom w:val="none" w:sz="0" w:space="0" w:color="auto"/>
        <w:right w:val="none" w:sz="0" w:space="0" w:color="auto"/>
      </w:divBdr>
    </w:div>
    <w:div w:id="1501577025">
      <w:bodyDiv w:val="1"/>
      <w:marLeft w:val="0"/>
      <w:marRight w:val="0"/>
      <w:marTop w:val="0"/>
      <w:marBottom w:val="0"/>
      <w:divBdr>
        <w:top w:val="none" w:sz="0" w:space="0" w:color="auto"/>
        <w:left w:val="none" w:sz="0" w:space="0" w:color="auto"/>
        <w:bottom w:val="none" w:sz="0" w:space="0" w:color="auto"/>
        <w:right w:val="none" w:sz="0" w:space="0" w:color="auto"/>
      </w:divBdr>
    </w:div>
    <w:div w:id="1543397743">
      <w:bodyDiv w:val="1"/>
      <w:marLeft w:val="0"/>
      <w:marRight w:val="0"/>
      <w:marTop w:val="0"/>
      <w:marBottom w:val="0"/>
      <w:divBdr>
        <w:top w:val="none" w:sz="0" w:space="0" w:color="auto"/>
        <w:left w:val="none" w:sz="0" w:space="0" w:color="auto"/>
        <w:bottom w:val="none" w:sz="0" w:space="0" w:color="auto"/>
        <w:right w:val="none" w:sz="0" w:space="0" w:color="auto"/>
      </w:divBdr>
    </w:div>
    <w:div w:id="1546719237">
      <w:bodyDiv w:val="1"/>
      <w:marLeft w:val="0"/>
      <w:marRight w:val="0"/>
      <w:marTop w:val="0"/>
      <w:marBottom w:val="0"/>
      <w:divBdr>
        <w:top w:val="none" w:sz="0" w:space="0" w:color="auto"/>
        <w:left w:val="none" w:sz="0" w:space="0" w:color="auto"/>
        <w:bottom w:val="none" w:sz="0" w:space="0" w:color="auto"/>
        <w:right w:val="none" w:sz="0" w:space="0" w:color="auto"/>
      </w:divBdr>
    </w:div>
    <w:div w:id="1574853801">
      <w:bodyDiv w:val="1"/>
      <w:marLeft w:val="0"/>
      <w:marRight w:val="0"/>
      <w:marTop w:val="0"/>
      <w:marBottom w:val="0"/>
      <w:divBdr>
        <w:top w:val="none" w:sz="0" w:space="0" w:color="auto"/>
        <w:left w:val="none" w:sz="0" w:space="0" w:color="auto"/>
        <w:bottom w:val="none" w:sz="0" w:space="0" w:color="auto"/>
        <w:right w:val="none" w:sz="0" w:space="0" w:color="auto"/>
      </w:divBdr>
    </w:div>
    <w:div w:id="1575552320">
      <w:bodyDiv w:val="1"/>
      <w:marLeft w:val="0"/>
      <w:marRight w:val="0"/>
      <w:marTop w:val="0"/>
      <w:marBottom w:val="0"/>
      <w:divBdr>
        <w:top w:val="none" w:sz="0" w:space="0" w:color="auto"/>
        <w:left w:val="none" w:sz="0" w:space="0" w:color="auto"/>
        <w:bottom w:val="none" w:sz="0" w:space="0" w:color="auto"/>
        <w:right w:val="none" w:sz="0" w:space="0" w:color="auto"/>
      </w:divBdr>
    </w:div>
    <w:div w:id="1578594634">
      <w:bodyDiv w:val="1"/>
      <w:marLeft w:val="0"/>
      <w:marRight w:val="0"/>
      <w:marTop w:val="0"/>
      <w:marBottom w:val="0"/>
      <w:divBdr>
        <w:top w:val="none" w:sz="0" w:space="0" w:color="auto"/>
        <w:left w:val="none" w:sz="0" w:space="0" w:color="auto"/>
        <w:bottom w:val="none" w:sz="0" w:space="0" w:color="auto"/>
        <w:right w:val="none" w:sz="0" w:space="0" w:color="auto"/>
      </w:divBdr>
    </w:div>
    <w:div w:id="1586915313">
      <w:bodyDiv w:val="1"/>
      <w:marLeft w:val="0"/>
      <w:marRight w:val="0"/>
      <w:marTop w:val="0"/>
      <w:marBottom w:val="0"/>
      <w:divBdr>
        <w:top w:val="none" w:sz="0" w:space="0" w:color="auto"/>
        <w:left w:val="none" w:sz="0" w:space="0" w:color="auto"/>
        <w:bottom w:val="none" w:sz="0" w:space="0" w:color="auto"/>
        <w:right w:val="none" w:sz="0" w:space="0" w:color="auto"/>
      </w:divBdr>
    </w:div>
    <w:div w:id="1590848906">
      <w:bodyDiv w:val="1"/>
      <w:marLeft w:val="0"/>
      <w:marRight w:val="0"/>
      <w:marTop w:val="0"/>
      <w:marBottom w:val="0"/>
      <w:divBdr>
        <w:top w:val="none" w:sz="0" w:space="0" w:color="auto"/>
        <w:left w:val="none" w:sz="0" w:space="0" w:color="auto"/>
        <w:bottom w:val="none" w:sz="0" w:space="0" w:color="auto"/>
        <w:right w:val="none" w:sz="0" w:space="0" w:color="auto"/>
      </w:divBdr>
    </w:div>
    <w:div w:id="1614899272">
      <w:bodyDiv w:val="1"/>
      <w:marLeft w:val="0"/>
      <w:marRight w:val="0"/>
      <w:marTop w:val="0"/>
      <w:marBottom w:val="0"/>
      <w:divBdr>
        <w:top w:val="none" w:sz="0" w:space="0" w:color="auto"/>
        <w:left w:val="none" w:sz="0" w:space="0" w:color="auto"/>
        <w:bottom w:val="none" w:sz="0" w:space="0" w:color="auto"/>
        <w:right w:val="none" w:sz="0" w:space="0" w:color="auto"/>
      </w:divBdr>
    </w:div>
    <w:div w:id="1616330701">
      <w:bodyDiv w:val="1"/>
      <w:marLeft w:val="0"/>
      <w:marRight w:val="0"/>
      <w:marTop w:val="0"/>
      <w:marBottom w:val="0"/>
      <w:divBdr>
        <w:top w:val="none" w:sz="0" w:space="0" w:color="auto"/>
        <w:left w:val="none" w:sz="0" w:space="0" w:color="auto"/>
        <w:bottom w:val="none" w:sz="0" w:space="0" w:color="auto"/>
        <w:right w:val="none" w:sz="0" w:space="0" w:color="auto"/>
      </w:divBdr>
    </w:div>
    <w:div w:id="1677271610">
      <w:bodyDiv w:val="1"/>
      <w:marLeft w:val="0"/>
      <w:marRight w:val="0"/>
      <w:marTop w:val="0"/>
      <w:marBottom w:val="0"/>
      <w:divBdr>
        <w:top w:val="none" w:sz="0" w:space="0" w:color="auto"/>
        <w:left w:val="none" w:sz="0" w:space="0" w:color="auto"/>
        <w:bottom w:val="none" w:sz="0" w:space="0" w:color="auto"/>
        <w:right w:val="none" w:sz="0" w:space="0" w:color="auto"/>
      </w:divBdr>
    </w:div>
    <w:div w:id="1743213710">
      <w:bodyDiv w:val="1"/>
      <w:marLeft w:val="0"/>
      <w:marRight w:val="0"/>
      <w:marTop w:val="0"/>
      <w:marBottom w:val="0"/>
      <w:divBdr>
        <w:top w:val="none" w:sz="0" w:space="0" w:color="auto"/>
        <w:left w:val="none" w:sz="0" w:space="0" w:color="auto"/>
        <w:bottom w:val="none" w:sz="0" w:space="0" w:color="auto"/>
        <w:right w:val="none" w:sz="0" w:space="0" w:color="auto"/>
      </w:divBdr>
    </w:div>
    <w:div w:id="1754086724">
      <w:bodyDiv w:val="1"/>
      <w:marLeft w:val="0"/>
      <w:marRight w:val="0"/>
      <w:marTop w:val="0"/>
      <w:marBottom w:val="0"/>
      <w:divBdr>
        <w:top w:val="none" w:sz="0" w:space="0" w:color="auto"/>
        <w:left w:val="none" w:sz="0" w:space="0" w:color="auto"/>
        <w:bottom w:val="none" w:sz="0" w:space="0" w:color="auto"/>
        <w:right w:val="none" w:sz="0" w:space="0" w:color="auto"/>
      </w:divBdr>
    </w:div>
    <w:div w:id="1831556202">
      <w:bodyDiv w:val="1"/>
      <w:marLeft w:val="0"/>
      <w:marRight w:val="0"/>
      <w:marTop w:val="0"/>
      <w:marBottom w:val="0"/>
      <w:divBdr>
        <w:top w:val="none" w:sz="0" w:space="0" w:color="auto"/>
        <w:left w:val="none" w:sz="0" w:space="0" w:color="auto"/>
        <w:bottom w:val="none" w:sz="0" w:space="0" w:color="auto"/>
        <w:right w:val="none" w:sz="0" w:space="0" w:color="auto"/>
      </w:divBdr>
    </w:div>
    <w:div w:id="1836145136">
      <w:bodyDiv w:val="1"/>
      <w:marLeft w:val="0"/>
      <w:marRight w:val="0"/>
      <w:marTop w:val="0"/>
      <w:marBottom w:val="0"/>
      <w:divBdr>
        <w:top w:val="none" w:sz="0" w:space="0" w:color="auto"/>
        <w:left w:val="none" w:sz="0" w:space="0" w:color="auto"/>
        <w:bottom w:val="none" w:sz="0" w:space="0" w:color="auto"/>
        <w:right w:val="none" w:sz="0" w:space="0" w:color="auto"/>
      </w:divBdr>
    </w:div>
    <w:div w:id="1843278421">
      <w:bodyDiv w:val="1"/>
      <w:marLeft w:val="0"/>
      <w:marRight w:val="0"/>
      <w:marTop w:val="0"/>
      <w:marBottom w:val="0"/>
      <w:divBdr>
        <w:top w:val="none" w:sz="0" w:space="0" w:color="auto"/>
        <w:left w:val="none" w:sz="0" w:space="0" w:color="auto"/>
        <w:bottom w:val="none" w:sz="0" w:space="0" w:color="auto"/>
        <w:right w:val="none" w:sz="0" w:space="0" w:color="auto"/>
      </w:divBdr>
    </w:div>
    <w:div w:id="1871840116">
      <w:bodyDiv w:val="1"/>
      <w:marLeft w:val="0"/>
      <w:marRight w:val="0"/>
      <w:marTop w:val="0"/>
      <w:marBottom w:val="0"/>
      <w:divBdr>
        <w:top w:val="none" w:sz="0" w:space="0" w:color="auto"/>
        <w:left w:val="none" w:sz="0" w:space="0" w:color="auto"/>
        <w:bottom w:val="none" w:sz="0" w:space="0" w:color="auto"/>
        <w:right w:val="none" w:sz="0" w:space="0" w:color="auto"/>
      </w:divBdr>
    </w:div>
    <w:div w:id="1915120931">
      <w:bodyDiv w:val="1"/>
      <w:marLeft w:val="0"/>
      <w:marRight w:val="0"/>
      <w:marTop w:val="0"/>
      <w:marBottom w:val="0"/>
      <w:divBdr>
        <w:top w:val="none" w:sz="0" w:space="0" w:color="auto"/>
        <w:left w:val="none" w:sz="0" w:space="0" w:color="auto"/>
        <w:bottom w:val="none" w:sz="0" w:space="0" w:color="auto"/>
        <w:right w:val="none" w:sz="0" w:space="0" w:color="auto"/>
      </w:divBdr>
    </w:div>
    <w:div w:id="1921717566">
      <w:bodyDiv w:val="1"/>
      <w:marLeft w:val="0"/>
      <w:marRight w:val="0"/>
      <w:marTop w:val="0"/>
      <w:marBottom w:val="0"/>
      <w:divBdr>
        <w:top w:val="none" w:sz="0" w:space="0" w:color="auto"/>
        <w:left w:val="none" w:sz="0" w:space="0" w:color="auto"/>
        <w:bottom w:val="none" w:sz="0" w:space="0" w:color="auto"/>
        <w:right w:val="none" w:sz="0" w:space="0" w:color="auto"/>
      </w:divBdr>
    </w:div>
    <w:div w:id="1924412373">
      <w:bodyDiv w:val="1"/>
      <w:marLeft w:val="0"/>
      <w:marRight w:val="0"/>
      <w:marTop w:val="0"/>
      <w:marBottom w:val="0"/>
      <w:divBdr>
        <w:top w:val="none" w:sz="0" w:space="0" w:color="auto"/>
        <w:left w:val="none" w:sz="0" w:space="0" w:color="auto"/>
        <w:bottom w:val="none" w:sz="0" w:space="0" w:color="auto"/>
        <w:right w:val="none" w:sz="0" w:space="0" w:color="auto"/>
      </w:divBdr>
    </w:div>
    <w:div w:id="1929775231">
      <w:bodyDiv w:val="1"/>
      <w:marLeft w:val="0"/>
      <w:marRight w:val="0"/>
      <w:marTop w:val="0"/>
      <w:marBottom w:val="0"/>
      <w:divBdr>
        <w:top w:val="none" w:sz="0" w:space="0" w:color="auto"/>
        <w:left w:val="none" w:sz="0" w:space="0" w:color="auto"/>
        <w:bottom w:val="none" w:sz="0" w:space="0" w:color="auto"/>
        <w:right w:val="none" w:sz="0" w:space="0" w:color="auto"/>
      </w:divBdr>
    </w:div>
    <w:div w:id="1951206687">
      <w:bodyDiv w:val="1"/>
      <w:marLeft w:val="0"/>
      <w:marRight w:val="0"/>
      <w:marTop w:val="0"/>
      <w:marBottom w:val="0"/>
      <w:divBdr>
        <w:top w:val="none" w:sz="0" w:space="0" w:color="auto"/>
        <w:left w:val="none" w:sz="0" w:space="0" w:color="auto"/>
        <w:bottom w:val="none" w:sz="0" w:space="0" w:color="auto"/>
        <w:right w:val="none" w:sz="0" w:space="0" w:color="auto"/>
      </w:divBdr>
    </w:div>
    <w:div w:id="1975020038">
      <w:bodyDiv w:val="1"/>
      <w:marLeft w:val="0"/>
      <w:marRight w:val="0"/>
      <w:marTop w:val="0"/>
      <w:marBottom w:val="0"/>
      <w:divBdr>
        <w:top w:val="none" w:sz="0" w:space="0" w:color="auto"/>
        <w:left w:val="none" w:sz="0" w:space="0" w:color="auto"/>
        <w:bottom w:val="none" w:sz="0" w:space="0" w:color="auto"/>
        <w:right w:val="none" w:sz="0" w:space="0" w:color="auto"/>
      </w:divBdr>
    </w:div>
    <w:div w:id="1977491819">
      <w:bodyDiv w:val="1"/>
      <w:marLeft w:val="0"/>
      <w:marRight w:val="0"/>
      <w:marTop w:val="0"/>
      <w:marBottom w:val="0"/>
      <w:divBdr>
        <w:top w:val="none" w:sz="0" w:space="0" w:color="auto"/>
        <w:left w:val="none" w:sz="0" w:space="0" w:color="auto"/>
        <w:bottom w:val="none" w:sz="0" w:space="0" w:color="auto"/>
        <w:right w:val="none" w:sz="0" w:space="0" w:color="auto"/>
      </w:divBdr>
    </w:div>
    <w:div w:id="2008632231">
      <w:bodyDiv w:val="1"/>
      <w:marLeft w:val="0"/>
      <w:marRight w:val="0"/>
      <w:marTop w:val="0"/>
      <w:marBottom w:val="0"/>
      <w:divBdr>
        <w:top w:val="none" w:sz="0" w:space="0" w:color="auto"/>
        <w:left w:val="none" w:sz="0" w:space="0" w:color="auto"/>
        <w:bottom w:val="none" w:sz="0" w:space="0" w:color="auto"/>
        <w:right w:val="none" w:sz="0" w:space="0" w:color="auto"/>
      </w:divBdr>
    </w:div>
    <w:div w:id="2042783013">
      <w:bodyDiv w:val="1"/>
      <w:marLeft w:val="0"/>
      <w:marRight w:val="0"/>
      <w:marTop w:val="0"/>
      <w:marBottom w:val="0"/>
      <w:divBdr>
        <w:top w:val="none" w:sz="0" w:space="0" w:color="auto"/>
        <w:left w:val="none" w:sz="0" w:space="0" w:color="auto"/>
        <w:bottom w:val="none" w:sz="0" w:space="0" w:color="auto"/>
        <w:right w:val="none" w:sz="0" w:space="0" w:color="auto"/>
      </w:divBdr>
    </w:div>
    <w:div w:id="2047607895">
      <w:bodyDiv w:val="1"/>
      <w:marLeft w:val="0"/>
      <w:marRight w:val="0"/>
      <w:marTop w:val="0"/>
      <w:marBottom w:val="0"/>
      <w:divBdr>
        <w:top w:val="none" w:sz="0" w:space="0" w:color="auto"/>
        <w:left w:val="none" w:sz="0" w:space="0" w:color="auto"/>
        <w:bottom w:val="none" w:sz="0" w:space="0" w:color="auto"/>
        <w:right w:val="none" w:sz="0" w:space="0" w:color="auto"/>
      </w:divBdr>
    </w:div>
    <w:div w:id="2138912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ura.shu.ac.uk/27295/4/Merchant_ReadingWithTechnology%28AM%29pdf.pdf" TargetMode="External"/><Relationship Id="rId3" Type="http://schemas.openxmlformats.org/officeDocument/2006/relationships/webSettings" Target="webSettings.xml"/><Relationship Id="rId7" Type="http://schemas.openxmlformats.org/officeDocument/2006/relationships/hyperlink" Target="https://hwb.gov.wales/curriculum-for-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api/storage/1aa780c8-d288-4f23-958d-5511e902f88f/guidance-on-the-teaching-of-writing-skills.pdf" TargetMode="External"/><Relationship Id="rId11" Type="http://schemas.openxmlformats.org/officeDocument/2006/relationships/theme" Target="theme/theme1.xml"/><Relationship Id="rId5" Type="http://schemas.openxmlformats.org/officeDocument/2006/relationships/hyperlink" Target="https://gov.wales/school-development-plans" TargetMode="External"/><Relationship Id="rId10" Type="http://schemas.openxmlformats.org/officeDocument/2006/relationships/fontTable" Target="fontTable.xml"/><Relationship Id="rId4" Type="http://schemas.openxmlformats.org/officeDocument/2006/relationships/hyperlink" Target="https://www.estyn.llyw.cymru/adnoddau-gwella/adroddiad-thematig-datblygu-medrau-darllen-cymraeg-disgyblion-10-14-oed/" TargetMode="External"/><Relationship Id="rId9" Type="http://schemas.openxmlformats.org/officeDocument/2006/relationships/hyperlink" Target="https://www.bell-foundation.org.uk/resources/great-ideas/from-talk-to-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607</TotalTime>
  <Pages>10</Pages>
  <Words>3495</Words>
  <Characters>20692</Characters>
  <Application>Microsoft Office Word</Application>
  <DocSecurity>0</DocSecurity>
  <Lines>339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Lewis (2100490)</dc:creator>
  <cp:keywords/>
  <dc:description/>
  <cp:lastModifiedBy>Tomos Lewis (2100490)</cp:lastModifiedBy>
  <cp:revision>99</cp:revision>
  <dcterms:created xsi:type="dcterms:W3CDTF">2025-03-01T11:34:00Z</dcterms:created>
  <dcterms:modified xsi:type="dcterms:W3CDTF">2025-03-03T14:50:00Z</dcterms:modified>
</cp:coreProperties>
</file>