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F881A" w14:textId="77777777" w:rsidR="00674C6A" w:rsidRPr="005904DC" w:rsidRDefault="00674C6A" w:rsidP="00630DA9">
      <w:pPr>
        <w:jc w:val="right"/>
        <w:rPr>
          <w:rFonts w:asciiTheme="majorBidi" w:hAnsiTheme="majorBidi" w:cstheme="majorBidi"/>
        </w:rPr>
      </w:pPr>
      <w:r w:rsidRPr="005904DC">
        <w:rPr>
          <w:rFonts w:asciiTheme="majorBidi" w:hAnsiTheme="majorBidi" w:cstheme="majorBidi"/>
          <w:noProof/>
        </w:rPr>
        <w:drawing>
          <wp:inline distT="0" distB="0" distL="0" distR="0" wp14:anchorId="76701584" wp14:editId="44F65BE5">
            <wp:extent cx="1924319" cy="828791"/>
            <wp:effectExtent l="0" t="0" r="0" b="9525"/>
            <wp:docPr id="555954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954641" name=""/>
                    <pic:cNvPicPr/>
                  </pic:nvPicPr>
                  <pic:blipFill>
                    <a:blip r:embed="rId8"/>
                    <a:stretch>
                      <a:fillRect/>
                    </a:stretch>
                  </pic:blipFill>
                  <pic:spPr>
                    <a:xfrm>
                      <a:off x="0" y="0"/>
                      <a:ext cx="1924319" cy="828791"/>
                    </a:xfrm>
                    <a:prstGeom prst="rect">
                      <a:avLst/>
                    </a:prstGeom>
                  </pic:spPr>
                </pic:pic>
              </a:graphicData>
            </a:graphic>
          </wp:inline>
        </w:drawing>
      </w:r>
    </w:p>
    <w:p w14:paraId="24434BE4" w14:textId="10F3D536" w:rsidR="00674C6A" w:rsidRPr="005904DC" w:rsidRDefault="00674C6A" w:rsidP="00630DA9">
      <w:pPr>
        <w:jc w:val="center"/>
        <w:rPr>
          <w:rFonts w:asciiTheme="majorBidi" w:hAnsiTheme="majorBidi" w:cstheme="majorBidi"/>
          <w:b/>
          <w:bCs/>
          <w:sz w:val="28"/>
          <w:szCs w:val="24"/>
        </w:rPr>
      </w:pPr>
      <w:r w:rsidRPr="005904DC">
        <w:rPr>
          <w:rFonts w:asciiTheme="majorBidi" w:hAnsiTheme="majorBidi" w:cstheme="majorBidi"/>
          <w:b/>
          <w:bCs/>
          <w:sz w:val="28"/>
          <w:szCs w:val="24"/>
        </w:rPr>
        <w:t>Master of Business Administration Programme</w:t>
      </w:r>
    </w:p>
    <w:p w14:paraId="4773B169" w14:textId="4DF67FF4" w:rsidR="00674C6A" w:rsidRPr="005904DC" w:rsidRDefault="00674C6A" w:rsidP="00630DA9">
      <w:pPr>
        <w:jc w:val="center"/>
        <w:rPr>
          <w:rFonts w:asciiTheme="majorBidi" w:hAnsiTheme="majorBidi" w:cstheme="majorBidi"/>
          <w:b/>
          <w:bCs/>
          <w:sz w:val="28"/>
          <w:szCs w:val="24"/>
        </w:rPr>
      </w:pPr>
      <w:r w:rsidRPr="005904DC">
        <w:rPr>
          <w:rFonts w:asciiTheme="majorBidi" w:hAnsiTheme="majorBidi" w:cstheme="majorBidi"/>
          <w:b/>
          <w:bCs/>
          <w:sz w:val="28"/>
          <w:szCs w:val="24"/>
        </w:rPr>
        <w:t xml:space="preserve">LCMB7035 </w:t>
      </w:r>
      <w:r w:rsidR="00711C85">
        <w:rPr>
          <w:rFonts w:asciiTheme="majorBidi" w:hAnsiTheme="majorBidi" w:cstheme="majorBidi"/>
          <w:b/>
          <w:bCs/>
          <w:sz w:val="28"/>
          <w:szCs w:val="24"/>
        </w:rPr>
        <w:t>-</w:t>
      </w:r>
      <w:r w:rsidRPr="005904DC">
        <w:rPr>
          <w:rFonts w:asciiTheme="majorBidi" w:hAnsiTheme="majorBidi" w:cstheme="majorBidi"/>
          <w:b/>
          <w:bCs/>
          <w:sz w:val="28"/>
          <w:szCs w:val="24"/>
        </w:rPr>
        <w:t xml:space="preserve"> Dissertation</w:t>
      </w:r>
    </w:p>
    <w:p w14:paraId="19D79929" w14:textId="77777777" w:rsidR="00674C6A" w:rsidRPr="005904DC" w:rsidRDefault="00674C6A" w:rsidP="00630DA9">
      <w:pPr>
        <w:jc w:val="both"/>
        <w:rPr>
          <w:rFonts w:asciiTheme="majorBidi" w:hAnsiTheme="majorBidi" w:cstheme="majorBidi"/>
        </w:rPr>
      </w:pPr>
    </w:p>
    <w:p w14:paraId="53108E00" w14:textId="77777777" w:rsidR="00674C6A" w:rsidRPr="005904DC" w:rsidRDefault="00674C6A" w:rsidP="00630DA9">
      <w:pPr>
        <w:jc w:val="center"/>
        <w:rPr>
          <w:rFonts w:asciiTheme="majorBidi" w:hAnsiTheme="majorBidi" w:cstheme="majorBidi"/>
          <w:b/>
          <w:bCs/>
          <w:sz w:val="40"/>
          <w:szCs w:val="36"/>
        </w:rPr>
      </w:pPr>
      <w:r w:rsidRPr="005904DC">
        <w:rPr>
          <w:rFonts w:asciiTheme="majorBidi" w:hAnsiTheme="majorBidi" w:cstheme="majorBidi"/>
          <w:b/>
          <w:bCs/>
          <w:sz w:val="40"/>
          <w:szCs w:val="36"/>
        </w:rPr>
        <w:t>The Impact of Inflation and Interest Rate Changes on Stock Market Performance in the UK</w:t>
      </w:r>
    </w:p>
    <w:p w14:paraId="3CB1FC72" w14:textId="77777777" w:rsidR="00674C6A" w:rsidRPr="005904DC" w:rsidRDefault="00674C6A" w:rsidP="00630DA9">
      <w:pPr>
        <w:jc w:val="center"/>
        <w:rPr>
          <w:rFonts w:asciiTheme="majorBidi" w:hAnsiTheme="majorBidi" w:cstheme="majorBidi"/>
          <w:b/>
          <w:bCs/>
          <w:sz w:val="40"/>
          <w:szCs w:val="36"/>
        </w:rPr>
      </w:pPr>
    </w:p>
    <w:p w14:paraId="79FEB57D" w14:textId="77777777" w:rsidR="00674C6A" w:rsidRPr="005904DC" w:rsidRDefault="00674C6A" w:rsidP="00630DA9">
      <w:pPr>
        <w:jc w:val="center"/>
        <w:rPr>
          <w:rFonts w:asciiTheme="majorBidi" w:hAnsiTheme="majorBidi" w:cstheme="majorBidi"/>
          <w:b/>
          <w:bCs/>
          <w:sz w:val="40"/>
          <w:szCs w:val="36"/>
        </w:rPr>
      </w:pPr>
    </w:p>
    <w:p w14:paraId="0938B9BD" w14:textId="77777777" w:rsidR="00674C6A" w:rsidRPr="005904DC" w:rsidRDefault="00674C6A" w:rsidP="00630DA9">
      <w:pPr>
        <w:jc w:val="center"/>
        <w:rPr>
          <w:rFonts w:asciiTheme="majorBidi" w:hAnsiTheme="majorBidi" w:cstheme="majorBidi"/>
          <w:b/>
          <w:bCs/>
          <w:sz w:val="40"/>
          <w:szCs w:val="36"/>
        </w:rPr>
      </w:pPr>
    </w:p>
    <w:p w14:paraId="7742A9CB" w14:textId="1EF76FC0" w:rsidR="00674C6A" w:rsidRPr="005904DC" w:rsidRDefault="00674C6A" w:rsidP="00630DA9">
      <w:pPr>
        <w:shd w:val="clear" w:color="auto" w:fill="FFFFFF" w:themeFill="background1"/>
        <w:jc w:val="center"/>
        <w:rPr>
          <w:rFonts w:asciiTheme="majorBidi" w:hAnsiTheme="majorBidi" w:cstheme="majorBidi"/>
          <w:b/>
          <w:bCs/>
          <w:sz w:val="40"/>
          <w:szCs w:val="36"/>
        </w:rPr>
      </w:pPr>
      <w:r w:rsidRPr="005904DC">
        <w:rPr>
          <w:rFonts w:asciiTheme="majorBidi" w:hAnsiTheme="majorBidi" w:cstheme="majorBidi"/>
          <w:b/>
          <w:bCs/>
          <w:sz w:val="36"/>
          <w:szCs w:val="32"/>
        </w:rPr>
        <w:t xml:space="preserve">Student </w:t>
      </w:r>
      <w:r w:rsidR="00AD43A2" w:rsidRPr="005904DC">
        <w:rPr>
          <w:rFonts w:asciiTheme="majorBidi" w:hAnsiTheme="majorBidi" w:cstheme="majorBidi"/>
          <w:b/>
          <w:bCs/>
          <w:sz w:val="36"/>
          <w:szCs w:val="32"/>
        </w:rPr>
        <w:t xml:space="preserve">ID: - </w:t>
      </w:r>
      <w:proofErr w:type="spellStart"/>
      <w:r w:rsidR="00AD43A2" w:rsidRPr="005904DC">
        <w:rPr>
          <w:rFonts w:asciiTheme="majorBidi" w:hAnsiTheme="majorBidi" w:cstheme="majorBidi"/>
          <w:b/>
          <w:bCs/>
          <w:sz w:val="36"/>
          <w:szCs w:val="32"/>
        </w:rPr>
        <w:t>Kishanbhai</w:t>
      </w:r>
      <w:proofErr w:type="spellEnd"/>
      <w:r w:rsidR="00AD43A2" w:rsidRPr="005904DC">
        <w:rPr>
          <w:rFonts w:asciiTheme="majorBidi" w:hAnsiTheme="majorBidi" w:cstheme="majorBidi"/>
          <w:b/>
          <w:bCs/>
          <w:sz w:val="36"/>
          <w:szCs w:val="32"/>
        </w:rPr>
        <w:t xml:space="preserve"> </w:t>
      </w:r>
      <w:proofErr w:type="spellStart"/>
      <w:r w:rsidR="00AD43A2" w:rsidRPr="005904DC">
        <w:rPr>
          <w:rFonts w:asciiTheme="majorBidi" w:hAnsiTheme="majorBidi" w:cstheme="majorBidi"/>
          <w:b/>
          <w:bCs/>
          <w:sz w:val="36"/>
          <w:szCs w:val="32"/>
        </w:rPr>
        <w:t>Ashokbhai</w:t>
      </w:r>
      <w:proofErr w:type="spellEnd"/>
      <w:r w:rsidR="00AD43A2" w:rsidRPr="005904DC">
        <w:rPr>
          <w:rFonts w:asciiTheme="majorBidi" w:hAnsiTheme="majorBidi" w:cstheme="majorBidi"/>
          <w:b/>
          <w:bCs/>
          <w:sz w:val="36"/>
          <w:szCs w:val="32"/>
        </w:rPr>
        <w:t xml:space="preserve"> Parmar (2420018)</w:t>
      </w:r>
    </w:p>
    <w:p w14:paraId="7230F05E" w14:textId="18CBF43D" w:rsidR="00B22848" w:rsidRDefault="00AD43A2" w:rsidP="00630DA9">
      <w:pPr>
        <w:shd w:val="clear" w:color="auto" w:fill="FFFFFF" w:themeFill="background1"/>
        <w:jc w:val="center"/>
        <w:rPr>
          <w:rFonts w:asciiTheme="majorBidi" w:hAnsiTheme="majorBidi" w:cstheme="majorBidi"/>
          <w:b/>
          <w:bCs/>
          <w:sz w:val="40"/>
          <w:szCs w:val="36"/>
        </w:rPr>
      </w:pPr>
      <w:r w:rsidRPr="005904DC">
        <w:rPr>
          <w:rFonts w:asciiTheme="majorBidi" w:hAnsiTheme="majorBidi" w:cstheme="majorBidi"/>
          <w:b/>
          <w:bCs/>
          <w:sz w:val="40"/>
          <w:szCs w:val="36"/>
        </w:rPr>
        <w:t>Supervisor: - Isaiah Oino</w:t>
      </w:r>
    </w:p>
    <w:p w14:paraId="636579B0" w14:textId="77777777" w:rsidR="00B22848" w:rsidRDefault="00B22848" w:rsidP="00630DA9">
      <w:pPr>
        <w:rPr>
          <w:rFonts w:asciiTheme="majorBidi" w:hAnsiTheme="majorBidi" w:cstheme="majorBidi"/>
          <w:b/>
          <w:bCs/>
          <w:sz w:val="40"/>
          <w:szCs w:val="36"/>
        </w:rPr>
      </w:pPr>
      <w:r>
        <w:rPr>
          <w:rFonts w:asciiTheme="majorBidi" w:hAnsiTheme="majorBidi" w:cstheme="majorBidi"/>
          <w:b/>
          <w:bCs/>
          <w:sz w:val="40"/>
          <w:szCs w:val="36"/>
        </w:rPr>
        <w:br w:type="page"/>
      </w:r>
    </w:p>
    <w:p w14:paraId="5A528AC1" w14:textId="528A3C30" w:rsidR="00B22848" w:rsidRPr="00B22848" w:rsidRDefault="00B22848" w:rsidP="00630DA9">
      <w:pPr>
        <w:rPr>
          <w:b/>
          <w:bCs/>
        </w:rPr>
      </w:pPr>
      <w:r w:rsidRPr="00B22848">
        <w:rPr>
          <w:b/>
          <w:bCs/>
        </w:rPr>
        <w:lastRenderedPageBreak/>
        <w:t>Declaration</w:t>
      </w:r>
    </w:p>
    <w:p w14:paraId="2BA1E675" w14:textId="644D60A2" w:rsidR="00B22848" w:rsidRDefault="00B22848" w:rsidP="00630DA9">
      <w:pPr>
        <w:jc w:val="both"/>
      </w:pPr>
      <w:r>
        <w:t xml:space="preserve">I </w:t>
      </w:r>
      <w:r w:rsidR="0074517B">
        <w:t xml:space="preserve">declare </w:t>
      </w:r>
      <w:r>
        <w:t>that this dissertation is my original work and has never before been submitted to any academic qualification in this institution or others and is titled The Impact of Inflation and Interest rate changes on the UK Stock market performance. All the information sources that were utilised in this work have been duly mentioned and credited. The study has been done keeping in mind the principles of academic integrity and all the assistance has been mentioned. The opinions used in this dissertation are of the author only.</w:t>
      </w:r>
    </w:p>
    <w:p w14:paraId="0AB811A9" w14:textId="77777777" w:rsidR="00B22848" w:rsidRDefault="00B22848" w:rsidP="00630DA9">
      <w:r>
        <w:br w:type="page"/>
      </w:r>
    </w:p>
    <w:p w14:paraId="55BE89A3" w14:textId="1C33D555" w:rsidR="00B22848" w:rsidRPr="00B22848" w:rsidRDefault="00B22848" w:rsidP="00630DA9">
      <w:pPr>
        <w:rPr>
          <w:b/>
          <w:bCs/>
        </w:rPr>
      </w:pPr>
      <w:r w:rsidRPr="00B22848">
        <w:rPr>
          <w:b/>
          <w:bCs/>
        </w:rPr>
        <w:lastRenderedPageBreak/>
        <w:t>Acknowledgement</w:t>
      </w:r>
    </w:p>
    <w:p w14:paraId="2A0B9125" w14:textId="09B31F64" w:rsidR="002B3E3B" w:rsidRDefault="00B22848" w:rsidP="00630DA9">
      <w:pPr>
        <w:jc w:val="lowKashida"/>
      </w:pPr>
      <w:r>
        <w:t>I would like to acknowledge the fact that I am greatly grateful to my supervisor who gave me valuable guidance, constant support and constructive feedback that helped me to complete this dissertation. I also appreciate the faculty members of the institution who gave me the academic resources and the learning environment that I required in this study. The family and friends are given special regards on their support and understanding of me in doing this research. They have motivated and supported the achievement of this study.</w:t>
      </w:r>
    </w:p>
    <w:p w14:paraId="52563901" w14:textId="77777777" w:rsidR="002B3E3B" w:rsidRDefault="002B3E3B" w:rsidP="00630DA9">
      <w:pPr>
        <w:rPr>
          <w:rFonts w:asciiTheme="majorBidi" w:hAnsiTheme="majorBidi" w:cstheme="majorBidi"/>
          <w:b/>
          <w:bCs/>
          <w:sz w:val="40"/>
          <w:szCs w:val="36"/>
        </w:rPr>
      </w:pPr>
      <w:r>
        <w:rPr>
          <w:rFonts w:asciiTheme="majorBidi" w:hAnsiTheme="majorBidi" w:cstheme="majorBidi"/>
          <w:b/>
          <w:bCs/>
          <w:sz w:val="40"/>
          <w:szCs w:val="36"/>
        </w:rPr>
        <w:br w:type="page"/>
      </w:r>
    </w:p>
    <w:p w14:paraId="320A45C3" w14:textId="77777777" w:rsidR="002B3E3B" w:rsidRPr="002B3E3B" w:rsidRDefault="002B3E3B" w:rsidP="00630DA9">
      <w:pPr>
        <w:jc w:val="both"/>
        <w:rPr>
          <w:b/>
          <w:bCs/>
        </w:rPr>
      </w:pPr>
      <w:r w:rsidRPr="002B3E3B">
        <w:rPr>
          <w:b/>
          <w:bCs/>
        </w:rPr>
        <w:lastRenderedPageBreak/>
        <w:t>Abstract</w:t>
      </w:r>
    </w:p>
    <w:p w14:paraId="4F230F00" w14:textId="77777777" w:rsidR="002B3E3B" w:rsidRPr="00BB002E" w:rsidRDefault="002B3E3B" w:rsidP="00630DA9">
      <w:pPr>
        <w:jc w:val="both"/>
        <w:rPr>
          <w:b/>
          <w:bCs/>
        </w:rPr>
      </w:pPr>
      <w:r w:rsidRPr="00BB002E">
        <w:rPr>
          <w:b/>
          <w:bCs/>
        </w:rPr>
        <w:t>Purpose:</w:t>
      </w:r>
    </w:p>
    <w:p w14:paraId="0AAADCAC" w14:textId="126F3A09" w:rsidR="002B3E3B" w:rsidRDefault="002B3E3B" w:rsidP="00630DA9">
      <w:pPr>
        <w:jc w:val="both"/>
      </w:pPr>
      <w:r>
        <w:t>This research is aimed at analysing the combined effect of the inflation rate and interest rate variations on the performance of the stock market in the UK. The objective of the research is to examine the relevance of the monetary policy and inflation processes, the main economic and market variables that affect equity performance, the beneficial and adverse effects of the market, and the complexity of the problem that investors and policymakers have to grapple with in the times of macroeconomic uncertainty.</w:t>
      </w:r>
    </w:p>
    <w:p w14:paraId="57E06609" w14:textId="77777777" w:rsidR="002B3E3B" w:rsidRPr="00BB002E" w:rsidRDefault="002B3E3B" w:rsidP="00630DA9">
      <w:pPr>
        <w:jc w:val="both"/>
        <w:rPr>
          <w:b/>
          <w:bCs/>
        </w:rPr>
      </w:pPr>
      <w:r w:rsidRPr="00BB002E">
        <w:rPr>
          <w:b/>
          <w:bCs/>
        </w:rPr>
        <w:t>Methodology:</w:t>
      </w:r>
    </w:p>
    <w:p w14:paraId="4F1BA2EA" w14:textId="7B6FFDF9" w:rsidR="002B3E3B" w:rsidRDefault="002B3E3B" w:rsidP="00630DA9">
      <w:pPr>
        <w:jc w:val="both"/>
      </w:pPr>
      <w:r>
        <w:t>The research takes an inductive and qualitative research method where it uses an interpretivist philosophy. The secondary data was gathered through the peer-reviewed scholarly publications published after 2018 and other UK-oriented policy sources. A set of 10 scholarly studies was identified as the result of a strict inclusion and exclusion criteria. The data collected were analysed through the thematic analysis to establish repetitive patterns and relationships which could be related to the objective of the research.</w:t>
      </w:r>
    </w:p>
    <w:p w14:paraId="7245B99B" w14:textId="77777777" w:rsidR="002B3E3B" w:rsidRPr="00BB002E" w:rsidRDefault="002B3E3B" w:rsidP="00630DA9">
      <w:pPr>
        <w:jc w:val="both"/>
        <w:rPr>
          <w:b/>
          <w:bCs/>
        </w:rPr>
      </w:pPr>
      <w:r w:rsidRPr="00BB002E">
        <w:rPr>
          <w:b/>
          <w:bCs/>
        </w:rPr>
        <w:t>Findings:</w:t>
      </w:r>
    </w:p>
    <w:p w14:paraId="77EE5DE6" w14:textId="77777777" w:rsidR="002B3E3B" w:rsidRDefault="002B3E3B" w:rsidP="00630DA9">
      <w:pPr>
        <w:jc w:val="both"/>
      </w:pPr>
      <w:r>
        <w:t>The results show that the effect of changes in interest rates and monetary policy signalling have a more direct and dominant effect on the performance of the stock market in the UK compared to the effect of inflation itself. The impact of inflation on equity markets is largely indirect as it influences expectations, uncertainty and responses to monetary policies. The key moderating variables are the labour market conditions, the exchange rate movements, financial market expectations, and term premia. The analysis also suggests that inflation and interest rate fluctuations enhance the volatility of the market and risk aversion among the investors which mainly generate negative stock market results during tightening periods. There is also the problem of inflation expectation mispricing and unstable inflation hedging that makes it difficult to make the decision on both a policy maker and an investor.</w:t>
      </w:r>
    </w:p>
    <w:p w14:paraId="27B82208" w14:textId="77777777" w:rsidR="00BB002E" w:rsidRDefault="002B3E3B" w:rsidP="00630DA9">
      <w:pPr>
        <w:jc w:val="both"/>
        <w:rPr>
          <w:b/>
          <w:bCs/>
        </w:rPr>
      </w:pPr>
      <w:r w:rsidRPr="00BB002E">
        <w:rPr>
          <w:b/>
          <w:bCs/>
        </w:rPr>
        <w:t>Recommendations:</w:t>
      </w:r>
    </w:p>
    <w:p w14:paraId="1A2DF4EB" w14:textId="75DB2792" w:rsidR="002B3E3B" w:rsidRPr="00BB002E" w:rsidRDefault="002B3E3B" w:rsidP="00630DA9">
      <w:pPr>
        <w:jc w:val="both"/>
        <w:rPr>
          <w:b/>
          <w:bCs/>
        </w:rPr>
      </w:pPr>
      <w:r>
        <w:lastRenderedPageBreak/>
        <w:t xml:space="preserve">The </w:t>
      </w:r>
      <w:r w:rsidR="00BB002E">
        <w:t>study</w:t>
      </w:r>
      <w:r>
        <w:t xml:space="preserve"> suggests that communication on monetary policy should become more explicit, better its management of expectations, diversify its investment, and do more research at the sectoral level to gain better insights on the heterogeneous effects of the market.</w:t>
      </w:r>
    </w:p>
    <w:p w14:paraId="31CA2277" w14:textId="4D2CE89E" w:rsidR="00674C6A" w:rsidRPr="002B3E3B" w:rsidRDefault="002B3E3B" w:rsidP="00630DA9">
      <w:pPr>
        <w:jc w:val="both"/>
        <w:rPr>
          <w:lang w:val="en-US"/>
        </w:rPr>
      </w:pPr>
      <w:r w:rsidRPr="002B3E3B">
        <w:rPr>
          <w:b/>
          <w:bCs/>
          <w:lang w:val="en-US"/>
        </w:rPr>
        <w:t>Keywords:</w:t>
      </w:r>
      <w:r w:rsidRPr="002B3E3B">
        <w:rPr>
          <w:lang w:val="en-US"/>
        </w:rPr>
        <w:br/>
        <w:t>Inflation, Interest Rates, Stock Market Performance, UK Economy, Monetary Policy</w:t>
      </w:r>
      <w:r w:rsidR="00674C6A" w:rsidRPr="005904DC">
        <w:br w:type="page"/>
      </w:r>
    </w:p>
    <w:sdt>
      <w:sdtPr>
        <w:rPr>
          <w:rFonts w:asciiTheme="majorBidi" w:eastAsiaTheme="minorEastAsia" w:hAnsiTheme="majorBidi" w:cstheme="minorBidi"/>
          <w:color w:val="auto"/>
          <w:kern w:val="2"/>
          <w:sz w:val="24"/>
          <w:szCs w:val="22"/>
          <w:lang w:val="en-GB" w:eastAsia="zh-CN"/>
          <w14:ligatures w14:val="standardContextual"/>
        </w:rPr>
        <w:id w:val="1521288857"/>
        <w:docPartObj>
          <w:docPartGallery w:val="Table of Contents"/>
          <w:docPartUnique/>
        </w:docPartObj>
      </w:sdtPr>
      <w:sdtEndPr>
        <w:rPr>
          <w:b/>
          <w:bCs/>
          <w:noProof/>
        </w:rPr>
      </w:sdtEndPr>
      <w:sdtContent>
        <w:p w14:paraId="095120ED" w14:textId="5D646472" w:rsidR="00674C6A" w:rsidRPr="005904DC" w:rsidRDefault="00674C6A" w:rsidP="00630DA9">
          <w:pPr>
            <w:pStyle w:val="TOCHeading"/>
            <w:spacing w:before="120" w:after="120" w:line="360" w:lineRule="auto"/>
            <w:rPr>
              <w:rFonts w:asciiTheme="majorBidi" w:hAnsiTheme="majorBidi"/>
              <w:b/>
              <w:bCs/>
              <w:color w:val="000000" w:themeColor="text1"/>
              <w:sz w:val="24"/>
              <w:szCs w:val="24"/>
            </w:rPr>
          </w:pPr>
          <w:r w:rsidRPr="005904DC">
            <w:rPr>
              <w:rFonts w:asciiTheme="majorBidi" w:hAnsiTheme="majorBidi"/>
              <w:b/>
              <w:bCs/>
              <w:color w:val="000000" w:themeColor="text1"/>
              <w:sz w:val="24"/>
              <w:szCs w:val="24"/>
            </w:rPr>
            <w:t>Table of Contents</w:t>
          </w:r>
        </w:p>
        <w:p w14:paraId="61199D2D" w14:textId="22C3ED55" w:rsidR="00DC3848" w:rsidRDefault="00674C6A">
          <w:pPr>
            <w:pStyle w:val="TOC1"/>
            <w:tabs>
              <w:tab w:val="right" w:leader="dot" w:pos="9350"/>
            </w:tabs>
            <w:rPr>
              <w:rFonts w:asciiTheme="minorHAnsi" w:hAnsiTheme="minorHAnsi"/>
              <w:noProof/>
              <w:szCs w:val="24"/>
              <w:lang w:val="en-US" w:eastAsia="en-US"/>
            </w:rPr>
          </w:pPr>
          <w:r w:rsidRPr="005904DC">
            <w:rPr>
              <w:rFonts w:asciiTheme="majorBidi" w:hAnsiTheme="majorBidi" w:cstheme="majorBidi"/>
            </w:rPr>
            <w:fldChar w:fldCharType="begin"/>
          </w:r>
          <w:r w:rsidRPr="005904DC">
            <w:rPr>
              <w:rFonts w:asciiTheme="majorBidi" w:hAnsiTheme="majorBidi" w:cstheme="majorBidi"/>
            </w:rPr>
            <w:instrText xml:space="preserve"> TOC \o "1-3" \h \z \u </w:instrText>
          </w:r>
          <w:r w:rsidRPr="005904DC">
            <w:rPr>
              <w:rFonts w:asciiTheme="majorBidi" w:hAnsiTheme="majorBidi" w:cstheme="majorBidi"/>
            </w:rPr>
            <w:fldChar w:fldCharType="separate"/>
          </w:r>
          <w:hyperlink w:anchor="_Toc220875005" w:history="1">
            <w:r w:rsidR="00DC3848" w:rsidRPr="00C71E77">
              <w:rPr>
                <w:rStyle w:val="Hyperlink"/>
                <w:rFonts w:asciiTheme="majorBidi" w:hAnsiTheme="majorBidi"/>
                <w:noProof/>
              </w:rPr>
              <w:t>Chapter 1: Introduction</w:t>
            </w:r>
            <w:r w:rsidR="00DC3848">
              <w:rPr>
                <w:noProof/>
                <w:webHidden/>
              </w:rPr>
              <w:tab/>
            </w:r>
            <w:r w:rsidR="00DC3848">
              <w:rPr>
                <w:noProof/>
                <w:webHidden/>
              </w:rPr>
              <w:fldChar w:fldCharType="begin"/>
            </w:r>
            <w:r w:rsidR="00DC3848">
              <w:rPr>
                <w:noProof/>
                <w:webHidden/>
              </w:rPr>
              <w:instrText xml:space="preserve"> PAGEREF _Toc220875005 \h </w:instrText>
            </w:r>
            <w:r w:rsidR="00DC3848">
              <w:rPr>
                <w:noProof/>
                <w:webHidden/>
              </w:rPr>
            </w:r>
            <w:r w:rsidR="00DC3848">
              <w:rPr>
                <w:noProof/>
                <w:webHidden/>
              </w:rPr>
              <w:fldChar w:fldCharType="separate"/>
            </w:r>
            <w:r w:rsidR="00DC3848">
              <w:rPr>
                <w:noProof/>
                <w:webHidden/>
              </w:rPr>
              <w:t>9</w:t>
            </w:r>
            <w:r w:rsidR="00DC3848">
              <w:rPr>
                <w:noProof/>
                <w:webHidden/>
              </w:rPr>
              <w:fldChar w:fldCharType="end"/>
            </w:r>
          </w:hyperlink>
        </w:p>
        <w:p w14:paraId="2EAFB857" w14:textId="01A618A1" w:rsidR="00DC3848" w:rsidRDefault="00DC3848">
          <w:pPr>
            <w:pStyle w:val="TOC2"/>
            <w:tabs>
              <w:tab w:val="right" w:leader="dot" w:pos="9350"/>
            </w:tabs>
            <w:rPr>
              <w:rFonts w:asciiTheme="minorHAnsi" w:hAnsiTheme="minorHAnsi"/>
              <w:noProof/>
              <w:szCs w:val="24"/>
              <w:lang w:val="en-US" w:eastAsia="en-US"/>
            </w:rPr>
          </w:pPr>
          <w:hyperlink w:anchor="_Toc220875006" w:history="1">
            <w:r w:rsidRPr="00C71E77">
              <w:rPr>
                <w:rStyle w:val="Hyperlink"/>
                <w:rFonts w:asciiTheme="majorBidi" w:hAnsiTheme="majorBidi"/>
                <w:noProof/>
              </w:rPr>
              <w:t>1.1 Background</w:t>
            </w:r>
            <w:r>
              <w:rPr>
                <w:noProof/>
                <w:webHidden/>
              </w:rPr>
              <w:tab/>
            </w:r>
            <w:r>
              <w:rPr>
                <w:noProof/>
                <w:webHidden/>
              </w:rPr>
              <w:fldChar w:fldCharType="begin"/>
            </w:r>
            <w:r>
              <w:rPr>
                <w:noProof/>
                <w:webHidden/>
              </w:rPr>
              <w:instrText xml:space="preserve"> PAGEREF _Toc220875006 \h </w:instrText>
            </w:r>
            <w:r>
              <w:rPr>
                <w:noProof/>
                <w:webHidden/>
              </w:rPr>
            </w:r>
            <w:r>
              <w:rPr>
                <w:noProof/>
                <w:webHidden/>
              </w:rPr>
              <w:fldChar w:fldCharType="separate"/>
            </w:r>
            <w:r>
              <w:rPr>
                <w:noProof/>
                <w:webHidden/>
              </w:rPr>
              <w:t>9</w:t>
            </w:r>
            <w:r>
              <w:rPr>
                <w:noProof/>
                <w:webHidden/>
              </w:rPr>
              <w:fldChar w:fldCharType="end"/>
            </w:r>
          </w:hyperlink>
        </w:p>
        <w:p w14:paraId="263FB826" w14:textId="3F14364A" w:rsidR="00DC3848" w:rsidRDefault="00DC3848">
          <w:pPr>
            <w:pStyle w:val="TOC2"/>
            <w:tabs>
              <w:tab w:val="right" w:leader="dot" w:pos="9350"/>
            </w:tabs>
            <w:rPr>
              <w:rFonts w:asciiTheme="minorHAnsi" w:hAnsiTheme="minorHAnsi"/>
              <w:noProof/>
              <w:szCs w:val="24"/>
              <w:lang w:val="en-US" w:eastAsia="en-US"/>
            </w:rPr>
          </w:pPr>
          <w:hyperlink w:anchor="_Toc220875007" w:history="1">
            <w:r w:rsidRPr="00C71E77">
              <w:rPr>
                <w:rStyle w:val="Hyperlink"/>
                <w:rFonts w:asciiTheme="majorBidi" w:hAnsiTheme="majorBidi"/>
                <w:noProof/>
              </w:rPr>
              <w:t>1.2 Problem Statement</w:t>
            </w:r>
            <w:r>
              <w:rPr>
                <w:noProof/>
                <w:webHidden/>
              </w:rPr>
              <w:tab/>
            </w:r>
            <w:r>
              <w:rPr>
                <w:noProof/>
                <w:webHidden/>
              </w:rPr>
              <w:fldChar w:fldCharType="begin"/>
            </w:r>
            <w:r>
              <w:rPr>
                <w:noProof/>
                <w:webHidden/>
              </w:rPr>
              <w:instrText xml:space="preserve"> PAGEREF _Toc220875007 \h </w:instrText>
            </w:r>
            <w:r>
              <w:rPr>
                <w:noProof/>
                <w:webHidden/>
              </w:rPr>
            </w:r>
            <w:r>
              <w:rPr>
                <w:noProof/>
                <w:webHidden/>
              </w:rPr>
              <w:fldChar w:fldCharType="separate"/>
            </w:r>
            <w:r>
              <w:rPr>
                <w:noProof/>
                <w:webHidden/>
              </w:rPr>
              <w:t>11</w:t>
            </w:r>
            <w:r>
              <w:rPr>
                <w:noProof/>
                <w:webHidden/>
              </w:rPr>
              <w:fldChar w:fldCharType="end"/>
            </w:r>
          </w:hyperlink>
        </w:p>
        <w:p w14:paraId="75885BC6" w14:textId="39F2A683" w:rsidR="00DC3848" w:rsidRDefault="00DC3848">
          <w:pPr>
            <w:pStyle w:val="TOC2"/>
            <w:tabs>
              <w:tab w:val="right" w:leader="dot" w:pos="9350"/>
            </w:tabs>
            <w:rPr>
              <w:rFonts w:asciiTheme="minorHAnsi" w:hAnsiTheme="minorHAnsi"/>
              <w:noProof/>
              <w:szCs w:val="24"/>
              <w:lang w:val="en-US" w:eastAsia="en-US"/>
            </w:rPr>
          </w:pPr>
          <w:hyperlink w:anchor="_Toc220875008" w:history="1">
            <w:r w:rsidRPr="00C71E77">
              <w:rPr>
                <w:rStyle w:val="Hyperlink"/>
                <w:rFonts w:asciiTheme="majorBidi" w:hAnsiTheme="majorBidi"/>
                <w:noProof/>
              </w:rPr>
              <w:t>1.3 Aims and Objectives</w:t>
            </w:r>
            <w:r>
              <w:rPr>
                <w:noProof/>
                <w:webHidden/>
              </w:rPr>
              <w:tab/>
            </w:r>
            <w:r>
              <w:rPr>
                <w:noProof/>
                <w:webHidden/>
              </w:rPr>
              <w:fldChar w:fldCharType="begin"/>
            </w:r>
            <w:r>
              <w:rPr>
                <w:noProof/>
                <w:webHidden/>
              </w:rPr>
              <w:instrText xml:space="preserve"> PAGEREF _Toc220875008 \h </w:instrText>
            </w:r>
            <w:r>
              <w:rPr>
                <w:noProof/>
                <w:webHidden/>
              </w:rPr>
            </w:r>
            <w:r>
              <w:rPr>
                <w:noProof/>
                <w:webHidden/>
              </w:rPr>
              <w:fldChar w:fldCharType="separate"/>
            </w:r>
            <w:r>
              <w:rPr>
                <w:noProof/>
                <w:webHidden/>
              </w:rPr>
              <w:t>12</w:t>
            </w:r>
            <w:r>
              <w:rPr>
                <w:noProof/>
                <w:webHidden/>
              </w:rPr>
              <w:fldChar w:fldCharType="end"/>
            </w:r>
          </w:hyperlink>
        </w:p>
        <w:p w14:paraId="0B35B032" w14:textId="47AB6235" w:rsidR="00DC3848" w:rsidRDefault="00DC3848">
          <w:pPr>
            <w:pStyle w:val="TOC2"/>
            <w:tabs>
              <w:tab w:val="right" w:leader="dot" w:pos="9350"/>
            </w:tabs>
            <w:rPr>
              <w:rFonts w:asciiTheme="minorHAnsi" w:hAnsiTheme="minorHAnsi"/>
              <w:noProof/>
              <w:szCs w:val="24"/>
              <w:lang w:val="en-US" w:eastAsia="en-US"/>
            </w:rPr>
          </w:pPr>
          <w:hyperlink w:anchor="_Toc220875009" w:history="1">
            <w:r w:rsidRPr="00C71E77">
              <w:rPr>
                <w:rStyle w:val="Hyperlink"/>
                <w:rFonts w:asciiTheme="majorBidi" w:hAnsiTheme="majorBidi"/>
                <w:noProof/>
              </w:rPr>
              <w:t>1.4 Research Questions</w:t>
            </w:r>
            <w:r>
              <w:rPr>
                <w:noProof/>
                <w:webHidden/>
              </w:rPr>
              <w:tab/>
            </w:r>
            <w:r>
              <w:rPr>
                <w:noProof/>
                <w:webHidden/>
              </w:rPr>
              <w:fldChar w:fldCharType="begin"/>
            </w:r>
            <w:r>
              <w:rPr>
                <w:noProof/>
                <w:webHidden/>
              </w:rPr>
              <w:instrText xml:space="preserve"> PAGEREF _Toc220875009 \h </w:instrText>
            </w:r>
            <w:r>
              <w:rPr>
                <w:noProof/>
                <w:webHidden/>
              </w:rPr>
            </w:r>
            <w:r>
              <w:rPr>
                <w:noProof/>
                <w:webHidden/>
              </w:rPr>
              <w:fldChar w:fldCharType="separate"/>
            </w:r>
            <w:r>
              <w:rPr>
                <w:noProof/>
                <w:webHidden/>
              </w:rPr>
              <w:t>12</w:t>
            </w:r>
            <w:r>
              <w:rPr>
                <w:noProof/>
                <w:webHidden/>
              </w:rPr>
              <w:fldChar w:fldCharType="end"/>
            </w:r>
          </w:hyperlink>
        </w:p>
        <w:p w14:paraId="25B52BFB" w14:textId="74A6E47F" w:rsidR="00DC3848" w:rsidRDefault="00DC3848">
          <w:pPr>
            <w:pStyle w:val="TOC2"/>
            <w:tabs>
              <w:tab w:val="right" w:leader="dot" w:pos="9350"/>
            </w:tabs>
            <w:rPr>
              <w:rFonts w:asciiTheme="minorHAnsi" w:hAnsiTheme="minorHAnsi"/>
              <w:noProof/>
              <w:szCs w:val="24"/>
              <w:lang w:val="en-US" w:eastAsia="en-US"/>
            </w:rPr>
          </w:pPr>
          <w:hyperlink w:anchor="_Toc220875010" w:history="1">
            <w:r w:rsidRPr="00C71E77">
              <w:rPr>
                <w:rStyle w:val="Hyperlink"/>
                <w:rFonts w:asciiTheme="majorBidi" w:hAnsiTheme="majorBidi"/>
                <w:noProof/>
              </w:rPr>
              <w:t>1.5 Study Rationale</w:t>
            </w:r>
            <w:r>
              <w:rPr>
                <w:noProof/>
                <w:webHidden/>
              </w:rPr>
              <w:tab/>
            </w:r>
            <w:r>
              <w:rPr>
                <w:noProof/>
                <w:webHidden/>
              </w:rPr>
              <w:fldChar w:fldCharType="begin"/>
            </w:r>
            <w:r>
              <w:rPr>
                <w:noProof/>
                <w:webHidden/>
              </w:rPr>
              <w:instrText xml:space="preserve"> PAGEREF _Toc220875010 \h </w:instrText>
            </w:r>
            <w:r>
              <w:rPr>
                <w:noProof/>
                <w:webHidden/>
              </w:rPr>
            </w:r>
            <w:r>
              <w:rPr>
                <w:noProof/>
                <w:webHidden/>
              </w:rPr>
              <w:fldChar w:fldCharType="separate"/>
            </w:r>
            <w:r>
              <w:rPr>
                <w:noProof/>
                <w:webHidden/>
              </w:rPr>
              <w:t>12</w:t>
            </w:r>
            <w:r>
              <w:rPr>
                <w:noProof/>
                <w:webHidden/>
              </w:rPr>
              <w:fldChar w:fldCharType="end"/>
            </w:r>
          </w:hyperlink>
        </w:p>
        <w:p w14:paraId="32651067" w14:textId="2024691C" w:rsidR="00DC3848" w:rsidRDefault="00DC3848">
          <w:pPr>
            <w:pStyle w:val="TOC2"/>
            <w:tabs>
              <w:tab w:val="right" w:leader="dot" w:pos="9350"/>
            </w:tabs>
            <w:rPr>
              <w:rFonts w:asciiTheme="minorHAnsi" w:hAnsiTheme="minorHAnsi"/>
              <w:noProof/>
              <w:szCs w:val="24"/>
              <w:lang w:val="en-US" w:eastAsia="en-US"/>
            </w:rPr>
          </w:pPr>
          <w:hyperlink w:anchor="_Toc220875011" w:history="1">
            <w:r w:rsidRPr="00C71E77">
              <w:rPr>
                <w:rStyle w:val="Hyperlink"/>
                <w:rFonts w:asciiTheme="majorBidi" w:hAnsiTheme="majorBidi"/>
                <w:noProof/>
              </w:rPr>
              <w:t>1.6 Study Significance</w:t>
            </w:r>
            <w:r>
              <w:rPr>
                <w:noProof/>
                <w:webHidden/>
              </w:rPr>
              <w:tab/>
            </w:r>
            <w:r>
              <w:rPr>
                <w:noProof/>
                <w:webHidden/>
              </w:rPr>
              <w:fldChar w:fldCharType="begin"/>
            </w:r>
            <w:r>
              <w:rPr>
                <w:noProof/>
                <w:webHidden/>
              </w:rPr>
              <w:instrText xml:space="preserve"> PAGEREF _Toc220875011 \h </w:instrText>
            </w:r>
            <w:r>
              <w:rPr>
                <w:noProof/>
                <w:webHidden/>
              </w:rPr>
            </w:r>
            <w:r>
              <w:rPr>
                <w:noProof/>
                <w:webHidden/>
              </w:rPr>
              <w:fldChar w:fldCharType="separate"/>
            </w:r>
            <w:r>
              <w:rPr>
                <w:noProof/>
                <w:webHidden/>
              </w:rPr>
              <w:t>13</w:t>
            </w:r>
            <w:r>
              <w:rPr>
                <w:noProof/>
                <w:webHidden/>
              </w:rPr>
              <w:fldChar w:fldCharType="end"/>
            </w:r>
          </w:hyperlink>
        </w:p>
        <w:p w14:paraId="6A331F8C" w14:textId="6BAF4271" w:rsidR="00DC3848" w:rsidRDefault="00DC3848">
          <w:pPr>
            <w:pStyle w:val="TOC2"/>
            <w:tabs>
              <w:tab w:val="right" w:leader="dot" w:pos="9350"/>
            </w:tabs>
            <w:rPr>
              <w:rFonts w:asciiTheme="minorHAnsi" w:hAnsiTheme="minorHAnsi"/>
              <w:noProof/>
              <w:szCs w:val="24"/>
              <w:lang w:val="en-US" w:eastAsia="en-US"/>
            </w:rPr>
          </w:pPr>
          <w:hyperlink w:anchor="_Toc220875012" w:history="1">
            <w:r w:rsidRPr="00C71E77">
              <w:rPr>
                <w:rStyle w:val="Hyperlink"/>
                <w:rFonts w:asciiTheme="majorBidi" w:hAnsiTheme="majorBidi"/>
                <w:noProof/>
              </w:rPr>
              <w:t>1.7 Study Structure</w:t>
            </w:r>
            <w:r>
              <w:rPr>
                <w:noProof/>
                <w:webHidden/>
              </w:rPr>
              <w:tab/>
            </w:r>
            <w:r>
              <w:rPr>
                <w:noProof/>
                <w:webHidden/>
              </w:rPr>
              <w:fldChar w:fldCharType="begin"/>
            </w:r>
            <w:r>
              <w:rPr>
                <w:noProof/>
                <w:webHidden/>
              </w:rPr>
              <w:instrText xml:space="preserve"> PAGEREF _Toc220875012 \h </w:instrText>
            </w:r>
            <w:r>
              <w:rPr>
                <w:noProof/>
                <w:webHidden/>
              </w:rPr>
            </w:r>
            <w:r>
              <w:rPr>
                <w:noProof/>
                <w:webHidden/>
              </w:rPr>
              <w:fldChar w:fldCharType="separate"/>
            </w:r>
            <w:r>
              <w:rPr>
                <w:noProof/>
                <w:webHidden/>
              </w:rPr>
              <w:t>13</w:t>
            </w:r>
            <w:r>
              <w:rPr>
                <w:noProof/>
                <w:webHidden/>
              </w:rPr>
              <w:fldChar w:fldCharType="end"/>
            </w:r>
          </w:hyperlink>
        </w:p>
        <w:p w14:paraId="464E3FC9" w14:textId="13E21E81" w:rsidR="00DC3848" w:rsidRDefault="00DC3848">
          <w:pPr>
            <w:pStyle w:val="TOC1"/>
            <w:tabs>
              <w:tab w:val="right" w:leader="dot" w:pos="9350"/>
            </w:tabs>
            <w:rPr>
              <w:rFonts w:asciiTheme="minorHAnsi" w:hAnsiTheme="minorHAnsi"/>
              <w:noProof/>
              <w:szCs w:val="24"/>
              <w:lang w:val="en-US" w:eastAsia="en-US"/>
            </w:rPr>
          </w:pPr>
          <w:hyperlink w:anchor="_Toc220875013" w:history="1">
            <w:r w:rsidRPr="00C71E77">
              <w:rPr>
                <w:rStyle w:val="Hyperlink"/>
                <w:noProof/>
              </w:rPr>
              <w:t>Chapter 2: Literature Review</w:t>
            </w:r>
            <w:r>
              <w:rPr>
                <w:noProof/>
                <w:webHidden/>
              </w:rPr>
              <w:tab/>
            </w:r>
            <w:r>
              <w:rPr>
                <w:noProof/>
                <w:webHidden/>
              </w:rPr>
              <w:fldChar w:fldCharType="begin"/>
            </w:r>
            <w:r>
              <w:rPr>
                <w:noProof/>
                <w:webHidden/>
              </w:rPr>
              <w:instrText xml:space="preserve"> PAGEREF _Toc220875013 \h </w:instrText>
            </w:r>
            <w:r>
              <w:rPr>
                <w:noProof/>
                <w:webHidden/>
              </w:rPr>
            </w:r>
            <w:r>
              <w:rPr>
                <w:noProof/>
                <w:webHidden/>
              </w:rPr>
              <w:fldChar w:fldCharType="separate"/>
            </w:r>
            <w:r>
              <w:rPr>
                <w:noProof/>
                <w:webHidden/>
              </w:rPr>
              <w:t>14</w:t>
            </w:r>
            <w:r>
              <w:rPr>
                <w:noProof/>
                <w:webHidden/>
              </w:rPr>
              <w:fldChar w:fldCharType="end"/>
            </w:r>
          </w:hyperlink>
        </w:p>
        <w:p w14:paraId="42F1DA83" w14:textId="2856D1DA" w:rsidR="00DC3848" w:rsidRDefault="00DC3848">
          <w:pPr>
            <w:pStyle w:val="TOC2"/>
            <w:tabs>
              <w:tab w:val="right" w:leader="dot" w:pos="9350"/>
            </w:tabs>
            <w:rPr>
              <w:rFonts w:asciiTheme="minorHAnsi" w:hAnsiTheme="minorHAnsi"/>
              <w:noProof/>
              <w:szCs w:val="24"/>
              <w:lang w:val="en-US" w:eastAsia="en-US"/>
            </w:rPr>
          </w:pPr>
          <w:hyperlink w:anchor="_Toc220875014" w:history="1">
            <w:r w:rsidRPr="00C71E77">
              <w:rPr>
                <w:rStyle w:val="Hyperlink"/>
                <w:noProof/>
              </w:rPr>
              <w:t>2.1 Introduction</w:t>
            </w:r>
            <w:r>
              <w:rPr>
                <w:noProof/>
                <w:webHidden/>
              </w:rPr>
              <w:tab/>
            </w:r>
            <w:r>
              <w:rPr>
                <w:noProof/>
                <w:webHidden/>
              </w:rPr>
              <w:fldChar w:fldCharType="begin"/>
            </w:r>
            <w:r>
              <w:rPr>
                <w:noProof/>
                <w:webHidden/>
              </w:rPr>
              <w:instrText xml:space="preserve"> PAGEREF _Toc220875014 \h </w:instrText>
            </w:r>
            <w:r>
              <w:rPr>
                <w:noProof/>
                <w:webHidden/>
              </w:rPr>
            </w:r>
            <w:r>
              <w:rPr>
                <w:noProof/>
                <w:webHidden/>
              </w:rPr>
              <w:fldChar w:fldCharType="separate"/>
            </w:r>
            <w:r>
              <w:rPr>
                <w:noProof/>
                <w:webHidden/>
              </w:rPr>
              <w:t>14</w:t>
            </w:r>
            <w:r>
              <w:rPr>
                <w:noProof/>
                <w:webHidden/>
              </w:rPr>
              <w:fldChar w:fldCharType="end"/>
            </w:r>
          </w:hyperlink>
        </w:p>
        <w:p w14:paraId="53589AEC" w14:textId="6F22FC92" w:rsidR="00DC3848" w:rsidRDefault="00DC3848">
          <w:pPr>
            <w:pStyle w:val="TOC2"/>
            <w:tabs>
              <w:tab w:val="right" w:leader="dot" w:pos="9350"/>
            </w:tabs>
            <w:rPr>
              <w:rFonts w:asciiTheme="minorHAnsi" w:hAnsiTheme="minorHAnsi"/>
              <w:noProof/>
              <w:szCs w:val="24"/>
              <w:lang w:val="en-US" w:eastAsia="en-US"/>
            </w:rPr>
          </w:pPr>
          <w:hyperlink w:anchor="_Toc220875015" w:history="1">
            <w:r w:rsidRPr="00C71E77">
              <w:rPr>
                <w:rStyle w:val="Hyperlink"/>
                <w:noProof/>
              </w:rPr>
              <w:t>2.2 How inflation and interest-rate policies affect the behaviour of the stock market in the UK</w:t>
            </w:r>
            <w:r>
              <w:rPr>
                <w:noProof/>
                <w:webHidden/>
              </w:rPr>
              <w:tab/>
            </w:r>
            <w:r>
              <w:rPr>
                <w:noProof/>
                <w:webHidden/>
              </w:rPr>
              <w:fldChar w:fldCharType="begin"/>
            </w:r>
            <w:r>
              <w:rPr>
                <w:noProof/>
                <w:webHidden/>
              </w:rPr>
              <w:instrText xml:space="preserve"> PAGEREF _Toc220875015 \h </w:instrText>
            </w:r>
            <w:r>
              <w:rPr>
                <w:noProof/>
                <w:webHidden/>
              </w:rPr>
            </w:r>
            <w:r>
              <w:rPr>
                <w:noProof/>
                <w:webHidden/>
              </w:rPr>
              <w:fldChar w:fldCharType="separate"/>
            </w:r>
            <w:r>
              <w:rPr>
                <w:noProof/>
                <w:webHidden/>
              </w:rPr>
              <w:t>14</w:t>
            </w:r>
            <w:r>
              <w:rPr>
                <w:noProof/>
                <w:webHidden/>
              </w:rPr>
              <w:fldChar w:fldCharType="end"/>
            </w:r>
          </w:hyperlink>
        </w:p>
        <w:p w14:paraId="093C2694" w14:textId="3ACC01F7" w:rsidR="00DC3848" w:rsidRDefault="00DC3848">
          <w:pPr>
            <w:pStyle w:val="TOC2"/>
            <w:tabs>
              <w:tab w:val="right" w:leader="dot" w:pos="9350"/>
            </w:tabs>
            <w:rPr>
              <w:rFonts w:asciiTheme="minorHAnsi" w:hAnsiTheme="minorHAnsi"/>
              <w:noProof/>
              <w:szCs w:val="24"/>
              <w:lang w:val="en-US" w:eastAsia="en-US"/>
            </w:rPr>
          </w:pPr>
          <w:hyperlink w:anchor="_Toc220875016" w:history="1">
            <w:r w:rsidRPr="00C71E77">
              <w:rPr>
                <w:rStyle w:val="Hyperlink"/>
                <w:noProof/>
              </w:rPr>
              <w:t>2.2.1 The Relationship Between Inflation and Behaviour of UK Stock Market</w:t>
            </w:r>
            <w:r>
              <w:rPr>
                <w:noProof/>
                <w:webHidden/>
              </w:rPr>
              <w:tab/>
            </w:r>
            <w:r>
              <w:rPr>
                <w:noProof/>
                <w:webHidden/>
              </w:rPr>
              <w:fldChar w:fldCharType="begin"/>
            </w:r>
            <w:r>
              <w:rPr>
                <w:noProof/>
                <w:webHidden/>
              </w:rPr>
              <w:instrText xml:space="preserve"> PAGEREF _Toc220875016 \h </w:instrText>
            </w:r>
            <w:r>
              <w:rPr>
                <w:noProof/>
                <w:webHidden/>
              </w:rPr>
            </w:r>
            <w:r>
              <w:rPr>
                <w:noProof/>
                <w:webHidden/>
              </w:rPr>
              <w:fldChar w:fldCharType="separate"/>
            </w:r>
            <w:r>
              <w:rPr>
                <w:noProof/>
                <w:webHidden/>
              </w:rPr>
              <w:t>14</w:t>
            </w:r>
            <w:r>
              <w:rPr>
                <w:noProof/>
                <w:webHidden/>
              </w:rPr>
              <w:fldChar w:fldCharType="end"/>
            </w:r>
          </w:hyperlink>
        </w:p>
        <w:p w14:paraId="63A0C33F" w14:textId="65968BA3" w:rsidR="00DC3848" w:rsidRDefault="00DC3848">
          <w:pPr>
            <w:pStyle w:val="TOC2"/>
            <w:tabs>
              <w:tab w:val="right" w:leader="dot" w:pos="9350"/>
            </w:tabs>
            <w:rPr>
              <w:rFonts w:asciiTheme="minorHAnsi" w:hAnsiTheme="minorHAnsi"/>
              <w:noProof/>
              <w:szCs w:val="24"/>
              <w:lang w:val="en-US" w:eastAsia="en-US"/>
            </w:rPr>
          </w:pPr>
          <w:hyperlink w:anchor="_Toc220875017" w:history="1">
            <w:r w:rsidRPr="00C71E77">
              <w:rPr>
                <w:rStyle w:val="Hyperlink"/>
                <w:noProof/>
              </w:rPr>
              <w:t>2.2.2 Policies of interest rates, transmission of money, and the dynamics of the UK Stock market</w:t>
            </w:r>
            <w:r>
              <w:rPr>
                <w:noProof/>
                <w:webHidden/>
              </w:rPr>
              <w:tab/>
            </w:r>
            <w:r>
              <w:rPr>
                <w:noProof/>
                <w:webHidden/>
              </w:rPr>
              <w:fldChar w:fldCharType="begin"/>
            </w:r>
            <w:r>
              <w:rPr>
                <w:noProof/>
                <w:webHidden/>
              </w:rPr>
              <w:instrText xml:space="preserve"> PAGEREF _Toc220875017 \h </w:instrText>
            </w:r>
            <w:r>
              <w:rPr>
                <w:noProof/>
                <w:webHidden/>
              </w:rPr>
            </w:r>
            <w:r>
              <w:rPr>
                <w:noProof/>
                <w:webHidden/>
              </w:rPr>
              <w:fldChar w:fldCharType="separate"/>
            </w:r>
            <w:r>
              <w:rPr>
                <w:noProof/>
                <w:webHidden/>
              </w:rPr>
              <w:t>16</w:t>
            </w:r>
            <w:r>
              <w:rPr>
                <w:noProof/>
                <w:webHidden/>
              </w:rPr>
              <w:fldChar w:fldCharType="end"/>
            </w:r>
          </w:hyperlink>
        </w:p>
        <w:p w14:paraId="296F2CAB" w14:textId="1ED0236C" w:rsidR="00DC3848" w:rsidRDefault="00DC3848">
          <w:pPr>
            <w:pStyle w:val="TOC2"/>
            <w:tabs>
              <w:tab w:val="right" w:leader="dot" w:pos="9350"/>
            </w:tabs>
            <w:rPr>
              <w:rFonts w:asciiTheme="minorHAnsi" w:hAnsiTheme="minorHAnsi"/>
              <w:noProof/>
              <w:szCs w:val="24"/>
              <w:lang w:val="en-US" w:eastAsia="en-US"/>
            </w:rPr>
          </w:pPr>
          <w:hyperlink w:anchor="_Toc220875018" w:history="1">
            <w:r w:rsidRPr="00C71E77">
              <w:rPr>
                <w:rStyle w:val="Hyperlink"/>
                <w:noProof/>
              </w:rPr>
              <w:t>2.3 Significant economic and market variables determining the relationship between inflation, interest rates and equity performance</w:t>
            </w:r>
            <w:r>
              <w:rPr>
                <w:noProof/>
                <w:webHidden/>
              </w:rPr>
              <w:tab/>
            </w:r>
            <w:r>
              <w:rPr>
                <w:noProof/>
                <w:webHidden/>
              </w:rPr>
              <w:fldChar w:fldCharType="begin"/>
            </w:r>
            <w:r>
              <w:rPr>
                <w:noProof/>
                <w:webHidden/>
              </w:rPr>
              <w:instrText xml:space="preserve"> PAGEREF _Toc220875018 \h </w:instrText>
            </w:r>
            <w:r>
              <w:rPr>
                <w:noProof/>
                <w:webHidden/>
              </w:rPr>
            </w:r>
            <w:r>
              <w:rPr>
                <w:noProof/>
                <w:webHidden/>
              </w:rPr>
              <w:fldChar w:fldCharType="separate"/>
            </w:r>
            <w:r>
              <w:rPr>
                <w:noProof/>
                <w:webHidden/>
              </w:rPr>
              <w:t>17</w:t>
            </w:r>
            <w:r>
              <w:rPr>
                <w:noProof/>
                <w:webHidden/>
              </w:rPr>
              <w:fldChar w:fldCharType="end"/>
            </w:r>
          </w:hyperlink>
        </w:p>
        <w:p w14:paraId="29115B5D" w14:textId="37F8BB55" w:rsidR="00DC3848" w:rsidRDefault="00DC3848">
          <w:pPr>
            <w:pStyle w:val="TOC2"/>
            <w:tabs>
              <w:tab w:val="right" w:leader="dot" w:pos="9350"/>
            </w:tabs>
            <w:rPr>
              <w:rFonts w:asciiTheme="minorHAnsi" w:hAnsiTheme="minorHAnsi"/>
              <w:noProof/>
              <w:szCs w:val="24"/>
              <w:lang w:val="en-US" w:eastAsia="en-US"/>
            </w:rPr>
          </w:pPr>
          <w:hyperlink w:anchor="_Toc220875019" w:history="1">
            <w:r w:rsidRPr="00C71E77">
              <w:rPr>
                <w:rStyle w:val="Hyperlink"/>
                <w:noProof/>
              </w:rPr>
              <w:t>2.3.1 Macroeconomic Variables that Influence the Dynamic of Inflation-Interest rate-Equity Relationship</w:t>
            </w:r>
            <w:r>
              <w:rPr>
                <w:noProof/>
                <w:webHidden/>
              </w:rPr>
              <w:tab/>
            </w:r>
            <w:r>
              <w:rPr>
                <w:noProof/>
                <w:webHidden/>
              </w:rPr>
              <w:fldChar w:fldCharType="begin"/>
            </w:r>
            <w:r>
              <w:rPr>
                <w:noProof/>
                <w:webHidden/>
              </w:rPr>
              <w:instrText xml:space="preserve"> PAGEREF _Toc220875019 \h </w:instrText>
            </w:r>
            <w:r>
              <w:rPr>
                <w:noProof/>
                <w:webHidden/>
              </w:rPr>
            </w:r>
            <w:r>
              <w:rPr>
                <w:noProof/>
                <w:webHidden/>
              </w:rPr>
              <w:fldChar w:fldCharType="separate"/>
            </w:r>
            <w:r>
              <w:rPr>
                <w:noProof/>
                <w:webHidden/>
              </w:rPr>
              <w:t>17</w:t>
            </w:r>
            <w:r>
              <w:rPr>
                <w:noProof/>
                <w:webHidden/>
              </w:rPr>
              <w:fldChar w:fldCharType="end"/>
            </w:r>
          </w:hyperlink>
        </w:p>
        <w:p w14:paraId="19EABDF4" w14:textId="561DB787" w:rsidR="00DC3848" w:rsidRDefault="00DC3848">
          <w:pPr>
            <w:pStyle w:val="TOC2"/>
            <w:tabs>
              <w:tab w:val="right" w:leader="dot" w:pos="9350"/>
            </w:tabs>
            <w:rPr>
              <w:rFonts w:asciiTheme="minorHAnsi" w:hAnsiTheme="minorHAnsi"/>
              <w:noProof/>
              <w:szCs w:val="24"/>
              <w:lang w:val="en-US" w:eastAsia="en-US"/>
            </w:rPr>
          </w:pPr>
          <w:hyperlink w:anchor="_Toc220875020" w:history="1">
            <w:r w:rsidRPr="00C71E77">
              <w:rPr>
                <w:rStyle w:val="Hyperlink"/>
                <w:noProof/>
              </w:rPr>
              <w:t>2.3.2 Market Variables that affect the Passage of Inflation and Interest Rates in the Equity Performance</w:t>
            </w:r>
            <w:r>
              <w:rPr>
                <w:noProof/>
                <w:webHidden/>
              </w:rPr>
              <w:tab/>
            </w:r>
            <w:r>
              <w:rPr>
                <w:noProof/>
                <w:webHidden/>
              </w:rPr>
              <w:fldChar w:fldCharType="begin"/>
            </w:r>
            <w:r>
              <w:rPr>
                <w:noProof/>
                <w:webHidden/>
              </w:rPr>
              <w:instrText xml:space="preserve"> PAGEREF _Toc220875020 \h </w:instrText>
            </w:r>
            <w:r>
              <w:rPr>
                <w:noProof/>
                <w:webHidden/>
              </w:rPr>
            </w:r>
            <w:r>
              <w:rPr>
                <w:noProof/>
                <w:webHidden/>
              </w:rPr>
              <w:fldChar w:fldCharType="separate"/>
            </w:r>
            <w:r>
              <w:rPr>
                <w:noProof/>
                <w:webHidden/>
              </w:rPr>
              <w:t>18</w:t>
            </w:r>
            <w:r>
              <w:rPr>
                <w:noProof/>
                <w:webHidden/>
              </w:rPr>
              <w:fldChar w:fldCharType="end"/>
            </w:r>
          </w:hyperlink>
        </w:p>
        <w:p w14:paraId="5D85F1D6" w14:textId="76FC32DD" w:rsidR="00DC3848" w:rsidRDefault="00DC3848">
          <w:pPr>
            <w:pStyle w:val="TOC2"/>
            <w:tabs>
              <w:tab w:val="right" w:leader="dot" w:pos="9350"/>
            </w:tabs>
            <w:rPr>
              <w:rFonts w:asciiTheme="minorHAnsi" w:hAnsiTheme="minorHAnsi"/>
              <w:noProof/>
              <w:szCs w:val="24"/>
              <w:lang w:val="en-US" w:eastAsia="en-US"/>
            </w:rPr>
          </w:pPr>
          <w:hyperlink w:anchor="_Toc220875021" w:history="1">
            <w:r w:rsidRPr="00C71E77">
              <w:rPr>
                <w:rStyle w:val="Hyperlink"/>
                <w:noProof/>
              </w:rPr>
              <w:t>2.4 Effects, both negative and positive, that inflation and changes in interest rates have on various market segments.</w:t>
            </w:r>
            <w:r>
              <w:rPr>
                <w:noProof/>
                <w:webHidden/>
              </w:rPr>
              <w:tab/>
            </w:r>
            <w:r>
              <w:rPr>
                <w:noProof/>
                <w:webHidden/>
              </w:rPr>
              <w:fldChar w:fldCharType="begin"/>
            </w:r>
            <w:r>
              <w:rPr>
                <w:noProof/>
                <w:webHidden/>
              </w:rPr>
              <w:instrText xml:space="preserve"> PAGEREF _Toc220875021 \h </w:instrText>
            </w:r>
            <w:r>
              <w:rPr>
                <w:noProof/>
                <w:webHidden/>
              </w:rPr>
            </w:r>
            <w:r>
              <w:rPr>
                <w:noProof/>
                <w:webHidden/>
              </w:rPr>
              <w:fldChar w:fldCharType="separate"/>
            </w:r>
            <w:r>
              <w:rPr>
                <w:noProof/>
                <w:webHidden/>
              </w:rPr>
              <w:t>20</w:t>
            </w:r>
            <w:r>
              <w:rPr>
                <w:noProof/>
                <w:webHidden/>
              </w:rPr>
              <w:fldChar w:fldCharType="end"/>
            </w:r>
          </w:hyperlink>
        </w:p>
        <w:p w14:paraId="769B816B" w14:textId="3CF723F4" w:rsidR="00DC3848" w:rsidRDefault="00DC3848">
          <w:pPr>
            <w:pStyle w:val="TOC2"/>
            <w:tabs>
              <w:tab w:val="right" w:leader="dot" w:pos="9350"/>
            </w:tabs>
            <w:rPr>
              <w:rFonts w:asciiTheme="minorHAnsi" w:hAnsiTheme="minorHAnsi"/>
              <w:noProof/>
              <w:szCs w:val="24"/>
              <w:lang w:val="en-US" w:eastAsia="en-US"/>
            </w:rPr>
          </w:pPr>
          <w:hyperlink w:anchor="_Toc220875022" w:history="1">
            <w:r w:rsidRPr="00C71E77">
              <w:rPr>
                <w:rStyle w:val="Hyperlink"/>
                <w:noProof/>
              </w:rPr>
              <w:t>2.4.1 Impactions of Inflation on various segments of the market</w:t>
            </w:r>
            <w:r>
              <w:rPr>
                <w:noProof/>
                <w:webHidden/>
              </w:rPr>
              <w:tab/>
            </w:r>
            <w:r>
              <w:rPr>
                <w:noProof/>
                <w:webHidden/>
              </w:rPr>
              <w:fldChar w:fldCharType="begin"/>
            </w:r>
            <w:r>
              <w:rPr>
                <w:noProof/>
                <w:webHidden/>
              </w:rPr>
              <w:instrText xml:space="preserve"> PAGEREF _Toc220875022 \h </w:instrText>
            </w:r>
            <w:r>
              <w:rPr>
                <w:noProof/>
                <w:webHidden/>
              </w:rPr>
            </w:r>
            <w:r>
              <w:rPr>
                <w:noProof/>
                <w:webHidden/>
              </w:rPr>
              <w:fldChar w:fldCharType="separate"/>
            </w:r>
            <w:r>
              <w:rPr>
                <w:noProof/>
                <w:webHidden/>
              </w:rPr>
              <w:t>20</w:t>
            </w:r>
            <w:r>
              <w:rPr>
                <w:noProof/>
                <w:webHidden/>
              </w:rPr>
              <w:fldChar w:fldCharType="end"/>
            </w:r>
          </w:hyperlink>
        </w:p>
        <w:p w14:paraId="46C0EE8A" w14:textId="43A746B9" w:rsidR="00DC3848" w:rsidRDefault="00DC3848">
          <w:pPr>
            <w:pStyle w:val="TOC2"/>
            <w:tabs>
              <w:tab w:val="right" w:leader="dot" w:pos="9350"/>
            </w:tabs>
            <w:rPr>
              <w:rFonts w:asciiTheme="minorHAnsi" w:hAnsiTheme="minorHAnsi"/>
              <w:noProof/>
              <w:szCs w:val="24"/>
              <w:lang w:val="en-US" w:eastAsia="en-US"/>
            </w:rPr>
          </w:pPr>
          <w:hyperlink w:anchor="_Toc220875023" w:history="1">
            <w:r w:rsidRPr="00C71E77">
              <w:rPr>
                <w:rStyle w:val="Hyperlink"/>
                <w:noProof/>
              </w:rPr>
              <w:t>2.4.2 The Impact of Alterations in Interest Rates among the Market segments</w:t>
            </w:r>
            <w:r>
              <w:rPr>
                <w:noProof/>
                <w:webHidden/>
              </w:rPr>
              <w:tab/>
            </w:r>
            <w:r>
              <w:rPr>
                <w:noProof/>
                <w:webHidden/>
              </w:rPr>
              <w:fldChar w:fldCharType="begin"/>
            </w:r>
            <w:r>
              <w:rPr>
                <w:noProof/>
                <w:webHidden/>
              </w:rPr>
              <w:instrText xml:space="preserve"> PAGEREF _Toc220875023 \h </w:instrText>
            </w:r>
            <w:r>
              <w:rPr>
                <w:noProof/>
                <w:webHidden/>
              </w:rPr>
            </w:r>
            <w:r>
              <w:rPr>
                <w:noProof/>
                <w:webHidden/>
              </w:rPr>
              <w:fldChar w:fldCharType="separate"/>
            </w:r>
            <w:r>
              <w:rPr>
                <w:noProof/>
                <w:webHidden/>
              </w:rPr>
              <w:t>21</w:t>
            </w:r>
            <w:r>
              <w:rPr>
                <w:noProof/>
                <w:webHidden/>
              </w:rPr>
              <w:fldChar w:fldCharType="end"/>
            </w:r>
          </w:hyperlink>
        </w:p>
        <w:p w14:paraId="728C09F5" w14:textId="56BBAE5B" w:rsidR="00DC3848" w:rsidRDefault="00DC3848">
          <w:pPr>
            <w:pStyle w:val="TOC2"/>
            <w:tabs>
              <w:tab w:val="right" w:leader="dot" w:pos="9350"/>
            </w:tabs>
            <w:rPr>
              <w:rFonts w:asciiTheme="minorHAnsi" w:hAnsiTheme="minorHAnsi"/>
              <w:noProof/>
              <w:szCs w:val="24"/>
              <w:lang w:val="en-US" w:eastAsia="en-US"/>
            </w:rPr>
          </w:pPr>
          <w:hyperlink w:anchor="_Toc220875024" w:history="1">
            <w:r w:rsidRPr="00C71E77">
              <w:rPr>
                <w:rStyle w:val="Hyperlink"/>
                <w:noProof/>
              </w:rPr>
              <w:t>2.5 Key issues that investors, firms and policymakers have encountered in their attempt to address these macroeconomic changes</w:t>
            </w:r>
            <w:r>
              <w:rPr>
                <w:noProof/>
                <w:webHidden/>
              </w:rPr>
              <w:tab/>
            </w:r>
            <w:r>
              <w:rPr>
                <w:noProof/>
                <w:webHidden/>
              </w:rPr>
              <w:fldChar w:fldCharType="begin"/>
            </w:r>
            <w:r>
              <w:rPr>
                <w:noProof/>
                <w:webHidden/>
              </w:rPr>
              <w:instrText xml:space="preserve"> PAGEREF _Toc220875024 \h </w:instrText>
            </w:r>
            <w:r>
              <w:rPr>
                <w:noProof/>
                <w:webHidden/>
              </w:rPr>
            </w:r>
            <w:r>
              <w:rPr>
                <w:noProof/>
                <w:webHidden/>
              </w:rPr>
              <w:fldChar w:fldCharType="separate"/>
            </w:r>
            <w:r>
              <w:rPr>
                <w:noProof/>
                <w:webHidden/>
              </w:rPr>
              <w:t>22</w:t>
            </w:r>
            <w:r>
              <w:rPr>
                <w:noProof/>
                <w:webHidden/>
              </w:rPr>
              <w:fldChar w:fldCharType="end"/>
            </w:r>
          </w:hyperlink>
        </w:p>
        <w:p w14:paraId="0166F671" w14:textId="5FAE6BB5" w:rsidR="00DC3848" w:rsidRDefault="00DC3848">
          <w:pPr>
            <w:pStyle w:val="TOC2"/>
            <w:tabs>
              <w:tab w:val="right" w:leader="dot" w:pos="9350"/>
            </w:tabs>
            <w:rPr>
              <w:rFonts w:asciiTheme="minorHAnsi" w:hAnsiTheme="minorHAnsi"/>
              <w:noProof/>
              <w:szCs w:val="24"/>
              <w:lang w:val="en-US" w:eastAsia="en-US"/>
            </w:rPr>
          </w:pPr>
          <w:hyperlink w:anchor="_Toc220875025" w:history="1">
            <w:r w:rsidRPr="00C71E77">
              <w:rPr>
                <w:rStyle w:val="Hyperlink"/>
                <w:noProof/>
              </w:rPr>
              <w:t>2.5.1 The Problems of Investors and Firms in Reacting to Inflation and Interest-Rates Shocks</w:t>
            </w:r>
            <w:r>
              <w:rPr>
                <w:noProof/>
                <w:webHidden/>
              </w:rPr>
              <w:tab/>
            </w:r>
            <w:r>
              <w:rPr>
                <w:noProof/>
                <w:webHidden/>
              </w:rPr>
              <w:fldChar w:fldCharType="begin"/>
            </w:r>
            <w:r>
              <w:rPr>
                <w:noProof/>
                <w:webHidden/>
              </w:rPr>
              <w:instrText xml:space="preserve"> PAGEREF _Toc220875025 \h </w:instrText>
            </w:r>
            <w:r>
              <w:rPr>
                <w:noProof/>
                <w:webHidden/>
              </w:rPr>
            </w:r>
            <w:r>
              <w:rPr>
                <w:noProof/>
                <w:webHidden/>
              </w:rPr>
              <w:fldChar w:fldCharType="separate"/>
            </w:r>
            <w:r>
              <w:rPr>
                <w:noProof/>
                <w:webHidden/>
              </w:rPr>
              <w:t>22</w:t>
            </w:r>
            <w:r>
              <w:rPr>
                <w:noProof/>
                <w:webHidden/>
              </w:rPr>
              <w:fldChar w:fldCharType="end"/>
            </w:r>
          </w:hyperlink>
        </w:p>
        <w:p w14:paraId="6608F908" w14:textId="23E03640" w:rsidR="00DC3848" w:rsidRDefault="00DC3848">
          <w:pPr>
            <w:pStyle w:val="TOC2"/>
            <w:tabs>
              <w:tab w:val="right" w:leader="dot" w:pos="9350"/>
            </w:tabs>
            <w:rPr>
              <w:rFonts w:asciiTheme="minorHAnsi" w:hAnsiTheme="minorHAnsi"/>
              <w:noProof/>
              <w:szCs w:val="24"/>
              <w:lang w:val="en-US" w:eastAsia="en-US"/>
            </w:rPr>
          </w:pPr>
          <w:hyperlink w:anchor="_Toc220875026" w:history="1">
            <w:r w:rsidRPr="00C71E77">
              <w:rPr>
                <w:rStyle w:val="Hyperlink"/>
                <w:noProof/>
              </w:rPr>
              <w:t>2.5.2 Government Action Problems: Planning Problems, Lags in Monetary Policy, and Structural Problems</w:t>
            </w:r>
            <w:r>
              <w:rPr>
                <w:noProof/>
                <w:webHidden/>
              </w:rPr>
              <w:tab/>
            </w:r>
            <w:r>
              <w:rPr>
                <w:noProof/>
                <w:webHidden/>
              </w:rPr>
              <w:fldChar w:fldCharType="begin"/>
            </w:r>
            <w:r>
              <w:rPr>
                <w:noProof/>
                <w:webHidden/>
              </w:rPr>
              <w:instrText xml:space="preserve"> PAGEREF _Toc220875026 \h </w:instrText>
            </w:r>
            <w:r>
              <w:rPr>
                <w:noProof/>
                <w:webHidden/>
              </w:rPr>
            </w:r>
            <w:r>
              <w:rPr>
                <w:noProof/>
                <w:webHidden/>
              </w:rPr>
              <w:fldChar w:fldCharType="separate"/>
            </w:r>
            <w:r>
              <w:rPr>
                <w:noProof/>
                <w:webHidden/>
              </w:rPr>
              <w:t>24</w:t>
            </w:r>
            <w:r>
              <w:rPr>
                <w:noProof/>
                <w:webHidden/>
              </w:rPr>
              <w:fldChar w:fldCharType="end"/>
            </w:r>
          </w:hyperlink>
        </w:p>
        <w:p w14:paraId="014699A7" w14:textId="4316C057" w:rsidR="00DC3848" w:rsidRDefault="00DC3848">
          <w:pPr>
            <w:pStyle w:val="TOC2"/>
            <w:tabs>
              <w:tab w:val="right" w:leader="dot" w:pos="9350"/>
            </w:tabs>
            <w:rPr>
              <w:rFonts w:asciiTheme="minorHAnsi" w:hAnsiTheme="minorHAnsi"/>
              <w:noProof/>
              <w:szCs w:val="24"/>
              <w:lang w:val="en-US" w:eastAsia="en-US"/>
            </w:rPr>
          </w:pPr>
          <w:hyperlink w:anchor="_Toc220875027" w:history="1">
            <w:r w:rsidRPr="00C71E77">
              <w:rPr>
                <w:rStyle w:val="Hyperlink"/>
                <w:noProof/>
              </w:rPr>
              <w:t>2.6 Research Gap</w:t>
            </w:r>
            <w:r>
              <w:rPr>
                <w:noProof/>
                <w:webHidden/>
              </w:rPr>
              <w:tab/>
            </w:r>
            <w:r>
              <w:rPr>
                <w:noProof/>
                <w:webHidden/>
              </w:rPr>
              <w:fldChar w:fldCharType="begin"/>
            </w:r>
            <w:r>
              <w:rPr>
                <w:noProof/>
                <w:webHidden/>
              </w:rPr>
              <w:instrText xml:space="preserve"> PAGEREF _Toc220875027 \h </w:instrText>
            </w:r>
            <w:r>
              <w:rPr>
                <w:noProof/>
                <w:webHidden/>
              </w:rPr>
            </w:r>
            <w:r>
              <w:rPr>
                <w:noProof/>
                <w:webHidden/>
              </w:rPr>
              <w:fldChar w:fldCharType="separate"/>
            </w:r>
            <w:r>
              <w:rPr>
                <w:noProof/>
                <w:webHidden/>
              </w:rPr>
              <w:t>25</w:t>
            </w:r>
            <w:r>
              <w:rPr>
                <w:noProof/>
                <w:webHidden/>
              </w:rPr>
              <w:fldChar w:fldCharType="end"/>
            </w:r>
          </w:hyperlink>
        </w:p>
        <w:p w14:paraId="0C815045" w14:textId="0241B032" w:rsidR="00DC3848" w:rsidRDefault="00DC3848">
          <w:pPr>
            <w:pStyle w:val="TOC2"/>
            <w:tabs>
              <w:tab w:val="right" w:leader="dot" w:pos="9350"/>
            </w:tabs>
            <w:rPr>
              <w:rFonts w:asciiTheme="minorHAnsi" w:hAnsiTheme="minorHAnsi"/>
              <w:noProof/>
              <w:szCs w:val="24"/>
              <w:lang w:val="en-US" w:eastAsia="en-US"/>
            </w:rPr>
          </w:pPr>
          <w:hyperlink w:anchor="_Toc220875028" w:history="1">
            <w:r w:rsidRPr="00C71E77">
              <w:rPr>
                <w:rStyle w:val="Hyperlink"/>
                <w:noProof/>
              </w:rPr>
              <w:t>2.7 Research Summary</w:t>
            </w:r>
            <w:r>
              <w:rPr>
                <w:noProof/>
                <w:webHidden/>
              </w:rPr>
              <w:tab/>
            </w:r>
            <w:r>
              <w:rPr>
                <w:noProof/>
                <w:webHidden/>
              </w:rPr>
              <w:fldChar w:fldCharType="begin"/>
            </w:r>
            <w:r>
              <w:rPr>
                <w:noProof/>
                <w:webHidden/>
              </w:rPr>
              <w:instrText xml:space="preserve"> PAGEREF _Toc220875028 \h </w:instrText>
            </w:r>
            <w:r>
              <w:rPr>
                <w:noProof/>
                <w:webHidden/>
              </w:rPr>
            </w:r>
            <w:r>
              <w:rPr>
                <w:noProof/>
                <w:webHidden/>
              </w:rPr>
              <w:fldChar w:fldCharType="separate"/>
            </w:r>
            <w:r>
              <w:rPr>
                <w:noProof/>
                <w:webHidden/>
              </w:rPr>
              <w:t>26</w:t>
            </w:r>
            <w:r>
              <w:rPr>
                <w:noProof/>
                <w:webHidden/>
              </w:rPr>
              <w:fldChar w:fldCharType="end"/>
            </w:r>
          </w:hyperlink>
        </w:p>
        <w:p w14:paraId="57F12E2C" w14:textId="056CA072" w:rsidR="00DC3848" w:rsidRDefault="00DC3848">
          <w:pPr>
            <w:pStyle w:val="TOC1"/>
            <w:tabs>
              <w:tab w:val="right" w:leader="dot" w:pos="9350"/>
            </w:tabs>
            <w:rPr>
              <w:rFonts w:asciiTheme="minorHAnsi" w:hAnsiTheme="minorHAnsi"/>
              <w:noProof/>
              <w:szCs w:val="24"/>
              <w:lang w:val="en-US" w:eastAsia="en-US"/>
            </w:rPr>
          </w:pPr>
          <w:hyperlink w:anchor="_Toc220875029" w:history="1">
            <w:r w:rsidRPr="00C71E77">
              <w:rPr>
                <w:rStyle w:val="Hyperlink"/>
                <w:noProof/>
              </w:rPr>
              <w:t>Chapter 3: Research Methodology</w:t>
            </w:r>
            <w:r>
              <w:rPr>
                <w:noProof/>
                <w:webHidden/>
              </w:rPr>
              <w:tab/>
            </w:r>
            <w:r>
              <w:rPr>
                <w:noProof/>
                <w:webHidden/>
              </w:rPr>
              <w:fldChar w:fldCharType="begin"/>
            </w:r>
            <w:r>
              <w:rPr>
                <w:noProof/>
                <w:webHidden/>
              </w:rPr>
              <w:instrText xml:space="preserve"> PAGEREF _Toc220875029 \h </w:instrText>
            </w:r>
            <w:r>
              <w:rPr>
                <w:noProof/>
                <w:webHidden/>
              </w:rPr>
            </w:r>
            <w:r>
              <w:rPr>
                <w:noProof/>
                <w:webHidden/>
              </w:rPr>
              <w:fldChar w:fldCharType="separate"/>
            </w:r>
            <w:r>
              <w:rPr>
                <w:noProof/>
                <w:webHidden/>
              </w:rPr>
              <w:t>27</w:t>
            </w:r>
            <w:r>
              <w:rPr>
                <w:noProof/>
                <w:webHidden/>
              </w:rPr>
              <w:fldChar w:fldCharType="end"/>
            </w:r>
          </w:hyperlink>
        </w:p>
        <w:p w14:paraId="5A8541C9" w14:textId="3595DEF1" w:rsidR="00DC3848" w:rsidRDefault="00DC3848">
          <w:pPr>
            <w:pStyle w:val="TOC2"/>
            <w:tabs>
              <w:tab w:val="right" w:leader="dot" w:pos="9350"/>
            </w:tabs>
            <w:rPr>
              <w:rFonts w:asciiTheme="minorHAnsi" w:hAnsiTheme="minorHAnsi"/>
              <w:noProof/>
              <w:szCs w:val="24"/>
              <w:lang w:val="en-US" w:eastAsia="en-US"/>
            </w:rPr>
          </w:pPr>
          <w:hyperlink w:anchor="_Toc220875030" w:history="1">
            <w:r w:rsidRPr="00C71E77">
              <w:rPr>
                <w:rStyle w:val="Hyperlink"/>
                <w:noProof/>
              </w:rPr>
              <w:t>3.1 Introduction to Research Methodology</w:t>
            </w:r>
            <w:r>
              <w:rPr>
                <w:noProof/>
                <w:webHidden/>
              </w:rPr>
              <w:tab/>
            </w:r>
            <w:r>
              <w:rPr>
                <w:noProof/>
                <w:webHidden/>
              </w:rPr>
              <w:fldChar w:fldCharType="begin"/>
            </w:r>
            <w:r>
              <w:rPr>
                <w:noProof/>
                <w:webHidden/>
              </w:rPr>
              <w:instrText xml:space="preserve"> PAGEREF _Toc220875030 \h </w:instrText>
            </w:r>
            <w:r>
              <w:rPr>
                <w:noProof/>
                <w:webHidden/>
              </w:rPr>
            </w:r>
            <w:r>
              <w:rPr>
                <w:noProof/>
                <w:webHidden/>
              </w:rPr>
              <w:fldChar w:fldCharType="separate"/>
            </w:r>
            <w:r>
              <w:rPr>
                <w:noProof/>
                <w:webHidden/>
              </w:rPr>
              <w:t>27</w:t>
            </w:r>
            <w:r>
              <w:rPr>
                <w:noProof/>
                <w:webHidden/>
              </w:rPr>
              <w:fldChar w:fldCharType="end"/>
            </w:r>
          </w:hyperlink>
        </w:p>
        <w:p w14:paraId="45399E7A" w14:textId="168060C6" w:rsidR="00DC3848" w:rsidRDefault="00DC3848">
          <w:pPr>
            <w:pStyle w:val="TOC2"/>
            <w:tabs>
              <w:tab w:val="right" w:leader="dot" w:pos="9350"/>
            </w:tabs>
            <w:rPr>
              <w:rFonts w:asciiTheme="minorHAnsi" w:hAnsiTheme="minorHAnsi"/>
              <w:noProof/>
              <w:szCs w:val="24"/>
              <w:lang w:val="en-US" w:eastAsia="en-US"/>
            </w:rPr>
          </w:pPr>
          <w:hyperlink w:anchor="_Toc220875031" w:history="1">
            <w:r w:rsidRPr="00C71E77">
              <w:rPr>
                <w:rStyle w:val="Hyperlink"/>
                <w:noProof/>
              </w:rPr>
              <w:t>3.2 Research Design: Overview Using Saunders’ Research Onion</w:t>
            </w:r>
            <w:r>
              <w:rPr>
                <w:noProof/>
                <w:webHidden/>
              </w:rPr>
              <w:tab/>
            </w:r>
            <w:r>
              <w:rPr>
                <w:noProof/>
                <w:webHidden/>
              </w:rPr>
              <w:fldChar w:fldCharType="begin"/>
            </w:r>
            <w:r>
              <w:rPr>
                <w:noProof/>
                <w:webHidden/>
              </w:rPr>
              <w:instrText xml:space="preserve"> PAGEREF _Toc220875031 \h </w:instrText>
            </w:r>
            <w:r>
              <w:rPr>
                <w:noProof/>
                <w:webHidden/>
              </w:rPr>
            </w:r>
            <w:r>
              <w:rPr>
                <w:noProof/>
                <w:webHidden/>
              </w:rPr>
              <w:fldChar w:fldCharType="separate"/>
            </w:r>
            <w:r>
              <w:rPr>
                <w:noProof/>
                <w:webHidden/>
              </w:rPr>
              <w:t>27</w:t>
            </w:r>
            <w:r>
              <w:rPr>
                <w:noProof/>
                <w:webHidden/>
              </w:rPr>
              <w:fldChar w:fldCharType="end"/>
            </w:r>
          </w:hyperlink>
        </w:p>
        <w:p w14:paraId="4E817BB8" w14:textId="59373D0F" w:rsidR="00DC3848" w:rsidRDefault="00DC3848">
          <w:pPr>
            <w:pStyle w:val="TOC2"/>
            <w:tabs>
              <w:tab w:val="right" w:leader="dot" w:pos="9350"/>
            </w:tabs>
            <w:rPr>
              <w:rFonts w:asciiTheme="minorHAnsi" w:hAnsiTheme="minorHAnsi"/>
              <w:noProof/>
              <w:szCs w:val="24"/>
              <w:lang w:val="en-US" w:eastAsia="en-US"/>
            </w:rPr>
          </w:pPr>
          <w:hyperlink w:anchor="_Toc220875032" w:history="1">
            <w:r w:rsidRPr="00C71E77">
              <w:rPr>
                <w:rStyle w:val="Hyperlink"/>
                <w:noProof/>
              </w:rPr>
              <w:t>3.3 Research Philosophy: Interpretivism</w:t>
            </w:r>
            <w:r>
              <w:rPr>
                <w:noProof/>
                <w:webHidden/>
              </w:rPr>
              <w:tab/>
            </w:r>
            <w:r>
              <w:rPr>
                <w:noProof/>
                <w:webHidden/>
              </w:rPr>
              <w:fldChar w:fldCharType="begin"/>
            </w:r>
            <w:r>
              <w:rPr>
                <w:noProof/>
                <w:webHidden/>
              </w:rPr>
              <w:instrText xml:space="preserve"> PAGEREF _Toc220875032 \h </w:instrText>
            </w:r>
            <w:r>
              <w:rPr>
                <w:noProof/>
                <w:webHidden/>
              </w:rPr>
            </w:r>
            <w:r>
              <w:rPr>
                <w:noProof/>
                <w:webHidden/>
              </w:rPr>
              <w:fldChar w:fldCharType="separate"/>
            </w:r>
            <w:r>
              <w:rPr>
                <w:noProof/>
                <w:webHidden/>
              </w:rPr>
              <w:t>29</w:t>
            </w:r>
            <w:r>
              <w:rPr>
                <w:noProof/>
                <w:webHidden/>
              </w:rPr>
              <w:fldChar w:fldCharType="end"/>
            </w:r>
          </w:hyperlink>
        </w:p>
        <w:p w14:paraId="58743409" w14:textId="0652AFCE" w:rsidR="00DC3848" w:rsidRDefault="00DC3848">
          <w:pPr>
            <w:pStyle w:val="TOC2"/>
            <w:tabs>
              <w:tab w:val="right" w:leader="dot" w:pos="9350"/>
            </w:tabs>
            <w:rPr>
              <w:rFonts w:asciiTheme="minorHAnsi" w:hAnsiTheme="minorHAnsi"/>
              <w:noProof/>
              <w:szCs w:val="24"/>
              <w:lang w:val="en-US" w:eastAsia="en-US"/>
            </w:rPr>
          </w:pPr>
          <w:hyperlink w:anchor="_Toc220875033" w:history="1">
            <w:r w:rsidRPr="00C71E77">
              <w:rPr>
                <w:rStyle w:val="Hyperlink"/>
                <w:noProof/>
              </w:rPr>
              <w:t>3.4 Research Approach: Inductive Approach</w:t>
            </w:r>
            <w:r>
              <w:rPr>
                <w:noProof/>
                <w:webHidden/>
              </w:rPr>
              <w:tab/>
            </w:r>
            <w:r>
              <w:rPr>
                <w:noProof/>
                <w:webHidden/>
              </w:rPr>
              <w:fldChar w:fldCharType="begin"/>
            </w:r>
            <w:r>
              <w:rPr>
                <w:noProof/>
                <w:webHidden/>
              </w:rPr>
              <w:instrText xml:space="preserve"> PAGEREF _Toc220875033 \h </w:instrText>
            </w:r>
            <w:r>
              <w:rPr>
                <w:noProof/>
                <w:webHidden/>
              </w:rPr>
            </w:r>
            <w:r>
              <w:rPr>
                <w:noProof/>
                <w:webHidden/>
              </w:rPr>
              <w:fldChar w:fldCharType="separate"/>
            </w:r>
            <w:r>
              <w:rPr>
                <w:noProof/>
                <w:webHidden/>
              </w:rPr>
              <w:t>30</w:t>
            </w:r>
            <w:r>
              <w:rPr>
                <w:noProof/>
                <w:webHidden/>
              </w:rPr>
              <w:fldChar w:fldCharType="end"/>
            </w:r>
          </w:hyperlink>
        </w:p>
        <w:p w14:paraId="7CFD1036" w14:textId="0715C473" w:rsidR="00DC3848" w:rsidRDefault="00DC3848">
          <w:pPr>
            <w:pStyle w:val="TOC2"/>
            <w:tabs>
              <w:tab w:val="right" w:leader="dot" w:pos="9350"/>
            </w:tabs>
            <w:rPr>
              <w:rFonts w:asciiTheme="minorHAnsi" w:hAnsiTheme="minorHAnsi"/>
              <w:noProof/>
              <w:szCs w:val="24"/>
              <w:lang w:val="en-US" w:eastAsia="en-US"/>
            </w:rPr>
          </w:pPr>
          <w:hyperlink w:anchor="_Toc220875034" w:history="1">
            <w:r w:rsidRPr="00C71E77">
              <w:rPr>
                <w:rStyle w:val="Hyperlink"/>
                <w:noProof/>
              </w:rPr>
              <w:t>3.5 Research Method: Qualitative Research Method</w:t>
            </w:r>
            <w:r>
              <w:rPr>
                <w:noProof/>
                <w:webHidden/>
              </w:rPr>
              <w:tab/>
            </w:r>
            <w:r>
              <w:rPr>
                <w:noProof/>
                <w:webHidden/>
              </w:rPr>
              <w:fldChar w:fldCharType="begin"/>
            </w:r>
            <w:r>
              <w:rPr>
                <w:noProof/>
                <w:webHidden/>
              </w:rPr>
              <w:instrText xml:space="preserve"> PAGEREF _Toc220875034 \h </w:instrText>
            </w:r>
            <w:r>
              <w:rPr>
                <w:noProof/>
                <w:webHidden/>
              </w:rPr>
            </w:r>
            <w:r>
              <w:rPr>
                <w:noProof/>
                <w:webHidden/>
              </w:rPr>
              <w:fldChar w:fldCharType="separate"/>
            </w:r>
            <w:r>
              <w:rPr>
                <w:noProof/>
                <w:webHidden/>
              </w:rPr>
              <w:t>31</w:t>
            </w:r>
            <w:r>
              <w:rPr>
                <w:noProof/>
                <w:webHidden/>
              </w:rPr>
              <w:fldChar w:fldCharType="end"/>
            </w:r>
          </w:hyperlink>
        </w:p>
        <w:p w14:paraId="1363EABF" w14:textId="461590F2" w:rsidR="00DC3848" w:rsidRDefault="00DC3848">
          <w:pPr>
            <w:pStyle w:val="TOC2"/>
            <w:tabs>
              <w:tab w:val="right" w:leader="dot" w:pos="9350"/>
            </w:tabs>
            <w:rPr>
              <w:rFonts w:asciiTheme="minorHAnsi" w:hAnsiTheme="minorHAnsi"/>
              <w:noProof/>
              <w:szCs w:val="24"/>
              <w:lang w:val="en-US" w:eastAsia="en-US"/>
            </w:rPr>
          </w:pPr>
          <w:hyperlink w:anchor="_Toc220875035" w:history="1">
            <w:r w:rsidRPr="00C71E77">
              <w:rPr>
                <w:rStyle w:val="Hyperlink"/>
                <w:noProof/>
              </w:rPr>
              <w:t>3.6 Data Collection Method: Secondary Data Collection</w:t>
            </w:r>
            <w:r>
              <w:rPr>
                <w:noProof/>
                <w:webHidden/>
              </w:rPr>
              <w:tab/>
            </w:r>
            <w:r>
              <w:rPr>
                <w:noProof/>
                <w:webHidden/>
              </w:rPr>
              <w:fldChar w:fldCharType="begin"/>
            </w:r>
            <w:r>
              <w:rPr>
                <w:noProof/>
                <w:webHidden/>
              </w:rPr>
              <w:instrText xml:space="preserve"> PAGEREF _Toc220875035 \h </w:instrText>
            </w:r>
            <w:r>
              <w:rPr>
                <w:noProof/>
                <w:webHidden/>
              </w:rPr>
            </w:r>
            <w:r>
              <w:rPr>
                <w:noProof/>
                <w:webHidden/>
              </w:rPr>
              <w:fldChar w:fldCharType="separate"/>
            </w:r>
            <w:r>
              <w:rPr>
                <w:noProof/>
                <w:webHidden/>
              </w:rPr>
              <w:t>32</w:t>
            </w:r>
            <w:r>
              <w:rPr>
                <w:noProof/>
                <w:webHidden/>
              </w:rPr>
              <w:fldChar w:fldCharType="end"/>
            </w:r>
          </w:hyperlink>
        </w:p>
        <w:p w14:paraId="7B315010" w14:textId="2A116554" w:rsidR="00DC3848" w:rsidRDefault="00DC3848">
          <w:pPr>
            <w:pStyle w:val="TOC3"/>
            <w:tabs>
              <w:tab w:val="right" w:leader="dot" w:pos="9350"/>
            </w:tabs>
            <w:rPr>
              <w:rFonts w:asciiTheme="minorHAnsi" w:hAnsiTheme="minorHAnsi"/>
              <w:noProof/>
              <w:szCs w:val="24"/>
              <w:lang w:val="en-US" w:eastAsia="en-US"/>
            </w:rPr>
          </w:pPr>
          <w:hyperlink w:anchor="_Toc220875036" w:history="1">
            <w:r w:rsidRPr="00C71E77">
              <w:rPr>
                <w:rStyle w:val="Hyperlink"/>
                <w:noProof/>
              </w:rPr>
              <w:t>3.6.1 Chosen Data Method</w:t>
            </w:r>
            <w:r>
              <w:rPr>
                <w:noProof/>
                <w:webHidden/>
              </w:rPr>
              <w:tab/>
            </w:r>
            <w:r>
              <w:rPr>
                <w:noProof/>
                <w:webHidden/>
              </w:rPr>
              <w:fldChar w:fldCharType="begin"/>
            </w:r>
            <w:r>
              <w:rPr>
                <w:noProof/>
                <w:webHidden/>
              </w:rPr>
              <w:instrText xml:space="preserve"> PAGEREF _Toc220875036 \h </w:instrText>
            </w:r>
            <w:r>
              <w:rPr>
                <w:noProof/>
                <w:webHidden/>
              </w:rPr>
            </w:r>
            <w:r>
              <w:rPr>
                <w:noProof/>
                <w:webHidden/>
              </w:rPr>
              <w:fldChar w:fldCharType="separate"/>
            </w:r>
            <w:r>
              <w:rPr>
                <w:noProof/>
                <w:webHidden/>
              </w:rPr>
              <w:t>32</w:t>
            </w:r>
            <w:r>
              <w:rPr>
                <w:noProof/>
                <w:webHidden/>
              </w:rPr>
              <w:fldChar w:fldCharType="end"/>
            </w:r>
          </w:hyperlink>
        </w:p>
        <w:p w14:paraId="2DD97C3C" w14:textId="713D73BE" w:rsidR="00DC3848" w:rsidRDefault="00DC3848">
          <w:pPr>
            <w:pStyle w:val="TOC3"/>
            <w:tabs>
              <w:tab w:val="right" w:leader="dot" w:pos="9350"/>
            </w:tabs>
            <w:rPr>
              <w:rFonts w:asciiTheme="minorHAnsi" w:hAnsiTheme="minorHAnsi"/>
              <w:noProof/>
              <w:szCs w:val="24"/>
              <w:lang w:val="en-US" w:eastAsia="en-US"/>
            </w:rPr>
          </w:pPr>
          <w:hyperlink w:anchor="_Toc220875037" w:history="1">
            <w:r w:rsidRPr="00C71E77">
              <w:rPr>
                <w:rStyle w:val="Hyperlink"/>
                <w:noProof/>
              </w:rPr>
              <w:t>3.6.2 Sources of Data</w:t>
            </w:r>
            <w:r>
              <w:rPr>
                <w:noProof/>
                <w:webHidden/>
              </w:rPr>
              <w:tab/>
            </w:r>
            <w:r>
              <w:rPr>
                <w:noProof/>
                <w:webHidden/>
              </w:rPr>
              <w:fldChar w:fldCharType="begin"/>
            </w:r>
            <w:r>
              <w:rPr>
                <w:noProof/>
                <w:webHidden/>
              </w:rPr>
              <w:instrText xml:space="preserve"> PAGEREF _Toc220875037 \h </w:instrText>
            </w:r>
            <w:r>
              <w:rPr>
                <w:noProof/>
                <w:webHidden/>
              </w:rPr>
            </w:r>
            <w:r>
              <w:rPr>
                <w:noProof/>
                <w:webHidden/>
              </w:rPr>
              <w:fldChar w:fldCharType="separate"/>
            </w:r>
            <w:r>
              <w:rPr>
                <w:noProof/>
                <w:webHidden/>
              </w:rPr>
              <w:t>32</w:t>
            </w:r>
            <w:r>
              <w:rPr>
                <w:noProof/>
                <w:webHidden/>
              </w:rPr>
              <w:fldChar w:fldCharType="end"/>
            </w:r>
          </w:hyperlink>
        </w:p>
        <w:p w14:paraId="0B7FDE8B" w14:textId="30E774FF" w:rsidR="00DC3848" w:rsidRDefault="00DC3848">
          <w:pPr>
            <w:pStyle w:val="TOC3"/>
            <w:tabs>
              <w:tab w:val="right" w:leader="dot" w:pos="9350"/>
            </w:tabs>
            <w:rPr>
              <w:rFonts w:asciiTheme="minorHAnsi" w:hAnsiTheme="minorHAnsi"/>
              <w:noProof/>
              <w:szCs w:val="24"/>
              <w:lang w:val="en-US" w:eastAsia="en-US"/>
            </w:rPr>
          </w:pPr>
          <w:hyperlink w:anchor="_Toc220875038" w:history="1">
            <w:r w:rsidRPr="00C71E77">
              <w:rPr>
                <w:rStyle w:val="Hyperlink"/>
                <w:noProof/>
              </w:rPr>
              <w:t>3.6.3 Systematic Literature Review Strategy</w:t>
            </w:r>
            <w:r>
              <w:rPr>
                <w:noProof/>
                <w:webHidden/>
              </w:rPr>
              <w:tab/>
            </w:r>
            <w:r>
              <w:rPr>
                <w:noProof/>
                <w:webHidden/>
              </w:rPr>
              <w:fldChar w:fldCharType="begin"/>
            </w:r>
            <w:r>
              <w:rPr>
                <w:noProof/>
                <w:webHidden/>
              </w:rPr>
              <w:instrText xml:space="preserve"> PAGEREF _Toc220875038 \h </w:instrText>
            </w:r>
            <w:r>
              <w:rPr>
                <w:noProof/>
                <w:webHidden/>
              </w:rPr>
            </w:r>
            <w:r>
              <w:rPr>
                <w:noProof/>
                <w:webHidden/>
              </w:rPr>
              <w:fldChar w:fldCharType="separate"/>
            </w:r>
            <w:r>
              <w:rPr>
                <w:noProof/>
                <w:webHidden/>
              </w:rPr>
              <w:t>33</w:t>
            </w:r>
            <w:r>
              <w:rPr>
                <w:noProof/>
                <w:webHidden/>
              </w:rPr>
              <w:fldChar w:fldCharType="end"/>
            </w:r>
          </w:hyperlink>
        </w:p>
        <w:p w14:paraId="43893EAE" w14:textId="628CA7F3" w:rsidR="00DC3848" w:rsidRDefault="00DC3848">
          <w:pPr>
            <w:pStyle w:val="TOC3"/>
            <w:tabs>
              <w:tab w:val="right" w:leader="dot" w:pos="9350"/>
            </w:tabs>
            <w:rPr>
              <w:rFonts w:asciiTheme="minorHAnsi" w:hAnsiTheme="minorHAnsi"/>
              <w:noProof/>
              <w:szCs w:val="24"/>
              <w:lang w:val="en-US" w:eastAsia="en-US"/>
            </w:rPr>
          </w:pPr>
          <w:hyperlink w:anchor="_Toc220875039" w:history="1">
            <w:r w:rsidRPr="00C71E77">
              <w:rPr>
                <w:rStyle w:val="Hyperlink"/>
                <w:noProof/>
              </w:rPr>
              <w:t>3.6.4 Identification, Screening, and Selection of Studies (PRISMA Process)</w:t>
            </w:r>
            <w:r>
              <w:rPr>
                <w:noProof/>
                <w:webHidden/>
              </w:rPr>
              <w:tab/>
            </w:r>
            <w:r>
              <w:rPr>
                <w:noProof/>
                <w:webHidden/>
              </w:rPr>
              <w:fldChar w:fldCharType="begin"/>
            </w:r>
            <w:r>
              <w:rPr>
                <w:noProof/>
                <w:webHidden/>
              </w:rPr>
              <w:instrText xml:space="preserve"> PAGEREF _Toc220875039 \h </w:instrText>
            </w:r>
            <w:r>
              <w:rPr>
                <w:noProof/>
                <w:webHidden/>
              </w:rPr>
            </w:r>
            <w:r>
              <w:rPr>
                <w:noProof/>
                <w:webHidden/>
              </w:rPr>
              <w:fldChar w:fldCharType="separate"/>
            </w:r>
            <w:r>
              <w:rPr>
                <w:noProof/>
                <w:webHidden/>
              </w:rPr>
              <w:t>33</w:t>
            </w:r>
            <w:r>
              <w:rPr>
                <w:noProof/>
                <w:webHidden/>
              </w:rPr>
              <w:fldChar w:fldCharType="end"/>
            </w:r>
          </w:hyperlink>
        </w:p>
        <w:p w14:paraId="03367E4B" w14:textId="1E47725F" w:rsidR="00DC3848" w:rsidRDefault="00DC3848">
          <w:pPr>
            <w:pStyle w:val="TOC3"/>
            <w:tabs>
              <w:tab w:val="right" w:leader="dot" w:pos="9350"/>
            </w:tabs>
            <w:rPr>
              <w:rFonts w:asciiTheme="minorHAnsi" w:hAnsiTheme="minorHAnsi"/>
              <w:noProof/>
              <w:szCs w:val="24"/>
              <w:lang w:val="en-US" w:eastAsia="en-US"/>
            </w:rPr>
          </w:pPr>
          <w:hyperlink w:anchor="_Toc220875040" w:history="1">
            <w:r w:rsidRPr="00C71E77">
              <w:rPr>
                <w:rStyle w:val="Hyperlink"/>
                <w:noProof/>
              </w:rPr>
              <w:t>3.6.5 Inclusion and Exclusion Criteria</w:t>
            </w:r>
            <w:r>
              <w:rPr>
                <w:noProof/>
                <w:webHidden/>
              </w:rPr>
              <w:tab/>
            </w:r>
            <w:r>
              <w:rPr>
                <w:noProof/>
                <w:webHidden/>
              </w:rPr>
              <w:fldChar w:fldCharType="begin"/>
            </w:r>
            <w:r>
              <w:rPr>
                <w:noProof/>
                <w:webHidden/>
              </w:rPr>
              <w:instrText xml:space="preserve"> PAGEREF _Toc220875040 \h </w:instrText>
            </w:r>
            <w:r>
              <w:rPr>
                <w:noProof/>
                <w:webHidden/>
              </w:rPr>
            </w:r>
            <w:r>
              <w:rPr>
                <w:noProof/>
                <w:webHidden/>
              </w:rPr>
              <w:fldChar w:fldCharType="separate"/>
            </w:r>
            <w:r>
              <w:rPr>
                <w:noProof/>
                <w:webHidden/>
              </w:rPr>
              <w:t>34</w:t>
            </w:r>
            <w:r>
              <w:rPr>
                <w:noProof/>
                <w:webHidden/>
              </w:rPr>
              <w:fldChar w:fldCharType="end"/>
            </w:r>
          </w:hyperlink>
        </w:p>
        <w:p w14:paraId="5C97B7FF" w14:textId="0AC00228" w:rsidR="00DC3848" w:rsidRDefault="00DC3848">
          <w:pPr>
            <w:pStyle w:val="TOC2"/>
            <w:tabs>
              <w:tab w:val="right" w:leader="dot" w:pos="9350"/>
            </w:tabs>
            <w:rPr>
              <w:rFonts w:asciiTheme="minorHAnsi" w:hAnsiTheme="minorHAnsi"/>
              <w:noProof/>
              <w:szCs w:val="24"/>
              <w:lang w:val="en-US" w:eastAsia="en-US"/>
            </w:rPr>
          </w:pPr>
          <w:hyperlink w:anchor="_Toc220875041" w:history="1">
            <w:r w:rsidRPr="00C71E77">
              <w:rPr>
                <w:rStyle w:val="Hyperlink"/>
                <w:noProof/>
              </w:rPr>
              <w:t>3.7 Data Analysis Method: Thematic Analysis</w:t>
            </w:r>
            <w:r>
              <w:rPr>
                <w:noProof/>
                <w:webHidden/>
              </w:rPr>
              <w:tab/>
            </w:r>
            <w:r>
              <w:rPr>
                <w:noProof/>
                <w:webHidden/>
              </w:rPr>
              <w:fldChar w:fldCharType="begin"/>
            </w:r>
            <w:r>
              <w:rPr>
                <w:noProof/>
                <w:webHidden/>
              </w:rPr>
              <w:instrText xml:space="preserve"> PAGEREF _Toc220875041 \h </w:instrText>
            </w:r>
            <w:r>
              <w:rPr>
                <w:noProof/>
                <w:webHidden/>
              </w:rPr>
            </w:r>
            <w:r>
              <w:rPr>
                <w:noProof/>
                <w:webHidden/>
              </w:rPr>
              <w:fldChar w:fldCharType="separate"/>
            </w:r>
            <w:r>
              <w:rPr>
                <w:noProof/>
                <w:webHidden/>
              </w:rPr>
              <w:t>35</w:t>
            </w:r>
            <w:r>
              <w:rPr>
                <w:noProof/>
                <w:webHidden/>
              </w:rPr>
              <w:fldChar w:fldCharType="end"/>
            </w:r>
          </w:hyperlink>
        </w:p>
        <w:p w14:paraId="437A86AF" w14:textId="69EF1E55" w:rsidR="00DC3848" w:rsidRDefault="00DC3848">
          <w:pPr>
            <w:pStyle w:val="TOC2"/>
            <w:tabs>
              <w:tab w:val="right" w:leader="dot" w:pos="9350"/>
            </w:tabs>
            <w:rPr>
              <w:rFonts w:asciiTheme="minorHAnsi" w:hAnsiTheme="minorHAnsi"/>
              <w:noProof/>
              <w:szCs w:val="24"/>
              <w:lang w:val="en-US" w:eastAsia="en-US"/>
            </w:rPr>
          </w:pPr>
          <w:hyperlink w:anchor="_Toc220875042" w:history="1">
            <w:r w:rsidRPr="00C71E77">
              <w:rPr>
                <w:rStyle w:val="Hyperlink"/>
                <w:noProof/>
              </w:rPr>
              <w:t>3.8 Ethical Considerations</w:t>
            </w:r>
            <w:r>
              <w:rPr>
                <w:noProof/>
                <w:webHidden/>
              </w:rPr>
              <w:tab/>
            </w:r>
            <w:r>
              <w:rPr>
                <w:noProof/>
                <w:webHidden/>
              </w:rPr>
              <w:fldChar w:fldCharType="begin"/>
            </w:r>
            <w:r>
              <w:rPr>
                <w:noProof/>
                <w:webHidden/>
              </w:rPr>
              <w:instrText xml:space="preserve"> PAGEREF _Toc220875042 \h </w:instrText>
            </w:r>
            <w:r>
              <w:rPr>
                <w:noProof/>
                <w:webHidden/>
              </w:rPr>
            </w:r>
            <w:r>
              <w:rPr>
                <w:noProof/>
                <w:webHidden/>
              </w:rPr>
              <w:fldChar w:fldCharType="separate"/>
            </w:r>
            <w:r>
              <w:rPr>
                <w:noProof/>
                <w:webHidden/>
              </w:rPr>
              <w:t>36</w:t>
            </w:r>
            <w:r>
              <w:rPr>
                <w:noProof/>
                <w:webHidden/>
              </w:rPr>
              <w:fldChar w:fldCharType="end"/>
            </w:r>
          </w:hyperlink>
        </w:p>
        <w:p w14:paraId="4E8DB845" w14:textId="5B81FAA4" w:rsidR="00DC3848" w:rsidRDefault="00DC3848">
          <w:pPr>
            <w:pStyle w:val="TOC2"/>
            <w:tabs>
              <w:tab w:val="right" w:leader="dot" w:pos="9350"/>
            </w:tabs>
            <w:rPr>
              <w:rFonts w:asciiTheme="minorHAnsi" w:hAnsiTheme="minorHAnsi"/>
              <w:noProof/>
              <w:szCs w:val="24"/>
              <w:lang w:val="en-US" w:eastAsia="en-US"/>
            </w:rPr>
          </w:pPr>
          <w:hyperlink w:anchor="_Toc220875043" w:history="1">
            <w:r w:rsidRPr="00C71E77">
              <w:rPr>
                <w:rStyle w:val="Hyperlink"/>
                <w:noProof/>
              </w:rPr>
              <w:t>3.9 Reliability, Validity, and Research Limitations</w:t>
            </w:r>
            <w:r>
              <w:rPr>
                <w:noProof/>
                <w:webHidden/>
              </w:rPr>
              <w:tab/>
            </w:r>
            <w:r>
              <w:rPr>
                <w:noProof/>
                <w:webHidden/>
              </w:rPr>
              <w:fldChar w:fldCharType="begin"/>
            </w:r>
            <w:r>
              <w:rPr>
                <w:noProof/>
                <w:webHidden/>
              </w:rPr>
              <w:instrText xml:space="preserve"> PAGEREF _Toc220875043 \h </w:instrText>
            </w:r>
            <w:r>
              <w:rPr>
                <w:noProof/>
                <w:webHidden/>
              </w:rPr>
            </w:r>
            <w:r>
              <w:rPr>
                <w:noProof/>
                <w:webHidden/>
              </w:rPr>
              <w:fldChar w:fldCharType="separate"/>
            </w:r>
            <w:r>
              <w:rPr>
                <w:noProof/>
                <w:webHidden/>
              </w:rPr>
              <w:t>36</w:t>
            </w:r>
            <w:r>
              <w:rPr>
                <w:noProof/>
                <w:webHidden/>
              </w:rPr>
              <w:fldChar w:fldCharType="end"/>
            </w:r>
          </w:hyperlink>
        </w:p>
        <w:p w14:paraId="2DE320F5" w14:textId="5D401DFC" w:rsidR="00DC3848" w:rsidRDefault="00DC3848">
          <w:pPr>
            <w:pStyle w:val="TOC1"/>
            <w:tabs>
              <w:tab w:val="right" w:leader="dot" w:pos="9350"/>
            </w:tabs>
            <w:rPr>
              <w:rFonts w:asciiTheme="minorHAnsi" w:hAnsiTheme="minorHAnsi"/>
              <w:noProof/>
              <w:szCs w:val="24"/>
              <w:lang w:val="en-US" w:eastAsia="en-US"/>
            </w:rPr>
          </w:pPr>
          <w:hyperlink w:anchor="_Toc220875044" w:history="1">
            <w:r w:rsidRPr="00C71E77">
              <w:rPr>
                <w:rStyle w:val="Hyperlink"/>
                <w:noProof/>
              </w:rPr>
              <w:t>Chapter 4: Data Analysis and Findings</w:t>
            </w:r>
            <w:r>
              <w:rPr>
                <w:noProof/>
                <w:webHidden/>
              </w:rPr>
              <w:tab/>
            </w:r>
            <w:r>
              <w:rPr>
                <w:noProof/>
                <w:webHidden/>
              </w:rPr>
              <w:fldChar w:fldCharType="begin"/>
            </w:r>
            <w:r>
              <w:rPr>
                <w:noProof/>
                <w:webHidden/>
              </w:rPr>
              <w:instrText xml:space="preserve"> PAGEREF _Toc220875044 \h </w:instrText>
            </w:r>
            <w:r>
              <w:rPr>
                <w:noProof/>
                <w:webHidden/>
              </w:rPr>
            </w:r>
            <w:r>
              <w:rPr>
                <w:noProof/>
                <w:webHidden/>
              </w:rPr>
              <w:fldChar w:fldCharType="separate"/>
            </w:r>
            <w:r>
              <w:rPr>
                <w:noProof/>
                <w:webHidden/>
              </w:rPr>
              <w:t>38</w:t>
            </w:r>
            <w:r>
              <w:rPr>
                <w:noProof/>
                <w:webHidden/>
              </w:rPr>
              <w:fldChar w:fldCharType="end"/>
            </w:r>
          </w:hyperlink>
        </w:p>
        <w:p w14:paraId="7D743470" w14:textId="3404822B" w:rsidR="00DC3848" w:rsidRDefault="00DC3848">
          <w:pPr>
            <w:pStyle w:val="TOC2"/>
            <w:tabs>
              <w:tab w:val="right" w:leader="dot" w:pos="9350"/>
            </w:tabs>
            <w:rPr>
              <w:rFonts w:asciiTheme="minorHAnsi" w:hAnsiTheme="minorHAnsi"/>
              <w:noProof/>
              <w:szCs w:val="24"/>
              <w:lang w:val="en-US" w:eastAsia="en-US"/>
            </w:rPr>
          </w:pPr>
          <w:hyperlink w:anchor="_Toc220875045" w:history="1">
            <w:r w:rsidRPr="00C71E77">
              <w:rPr>
                <w:rStyle w:val="Hyperlink"/>
                <w:noProof/>
              </w:rPr>
              <w:t>4.1 Introduction</w:t>
            </w:r>
            <w:r>
              <w:rPr>
                <w:noProof/>
                <w:webHidden/>
              </w:rPr>
              <w:tab/>
            </w:r>
            <w:r>
              <w:rPr>
                <w:noProof/>
                <w:webHidden/>
              </w:rPr>
              <w:fldChar w:fldCharType="begin"/>
            </w:r>
            <w:r>
              <w:rPr>
                <w:noProof/>
                <w:webHidden/>
              </w:rPr>
              <w:instrText xml:space="preserve"> PAGEREF _Toc220875045 \h </w:instrText>
            </w:r>
            <w:r>
              <w:rPr>
                <w:noProof/>
                <w:webHidden/>
              </w:rPr>
            </w:r>
            <w:r>
              <w:rPr>
                <w:noProof/>
                <w:webHidden/>
              </w:rPr>
              <w:fldChar w:fldCharType="separate"/>
            </w:r>
            <w:r>
              <w:rPr>
                <w:noProof/>
                <w:webHidden/>
              </w:rPr>
              <w:t>38</w:t>
            </w:r>
            <w:r>
              <w:rPr>
                <w:noProof/>
                <w:webHidden/>
              </w:rPr>
              <w:fldChar w:fldCharType="end"/>
            </w:r>
          </w:hyperlink>
        </w:p>
        <w:p w14:paraId="6E0C99EE" w14:textId="7360043B" w:rsidR="00DC3848" w:rsidRDefault="00DC3848">
          <w:pPr>
            <w:pStyle w:val="TOC2"/>
            <w:tabs>
              <w:tab w:val="right" w:leader="dot" w:pos="9350"/>
            </w:tabs>
            <w:rPr>
              <w:rFonts w:asciiTheme="minorHAnsi" w:hAnsiTheme="minorHAnsi"/>
              <w:noProof/>
              <w:szCs w:val="24"/>
              <w:lang w:val="en-US" w:eastAsia="en-US"/>
            </w:rPr>
          </w:pPr>
          <w:hyperlink w:anchor="_Toc220875046" w:history="1">
            <w:r w:rsidRPr="00C71E77">
              <w:rPr>
                <w:rStyle w:val="Hyperlink"/>
                <w:noProof/>
              </w:rPr>
              <w:t>4.2 Data Extraction Table</w:t>
            </w:r>
            <w:r>
              <w:rPr>
                <w:noProof/>
                <w:webHidden/>
              </w:rPr>
              <w:tab/>
            </w:r>
            <w:r>
              <w:rPr>
                <w:noProof/>
                <w:webHidden/>
              </w:rPr>
              <w:fldChar w:fldCharType="begin"/>
            </w:r>
            <w:r>
              <w:rPr>
                <w:noProof/>
                <w:webHidden/>
              </w:rPr>
              <w:instrText xml:space="preserve"> PAGEREF _Toc220875046 \h </w:instrText>
            </w:r>
            <w:r>
              <w:rPr>
                <w:noProof/>
                <w:webHidden/>
              </w:rPr>
            </w:r>
            <w:r>
              <w:rPr>
                <w:noProof/>
                <w:webHidden/>
              </w:rPr>
              <w:fldChar w:fldCharType="separate"/>
            </w:r>
            <w:r>
              <w:rPr>
                <w:noProof/>
                <w:webHidden/>
              </w:rPr>
              <w:t>38</w:t>
            </w:r>
            <w:r>
              <w:rPr>
                <w:noProof/>
                <w:webHidden/>
              </w:rPr>
              <w:fldChar w:fldCharType="end"/>
            </w:r>
          </w:hyperlink>
        </w:p>
        <w:p w14:paraId="747A395E" w14:textId="25E5377F" w:rsidR="00DC3848" w:rsidRDefault="00DC3848">
          <w:pPr>
            <w:pStyle w:val="TOC2"/>
            <w:tabs>
              <w:tab w:val="right" w:leader="dot" w:pos="9350"/>
            </w:tabs>
            <w:rPr>
              <w:rFonts w:asciiTheme="minorHAnsi" w:hAnsiTheme="minorHAnsi"/>
              <w:noProof/>
              <w:szCs w:val="24"/>
              <w:lang w:val="en-US" w:eastAsia="en-US"/>
            </w:rPr>
          </w:pPr>
          <w:hyperlink w:anchor="_Toc220875047" w:history="1">
            <w:r w:rsidRPr="00C71E77">
              <w:rPr>
                <w:rStyle w:val="Hyperlink"/>
                <w:noProof/>
              </w:rPr>
              <w:t>4.3 Theme Development Table</w:t>
            </w:r>
            <w:r>
              <w:rPr>
                <w:noProof/>
                <w:webHidden/>
              </w:rPr>
              <w:tab/>
            </w:r>
            <w:r>
              <w:rPr>
                <w:noProof/>
                <w:webHidden/>
              </w:rPr>
              <w:fldChar w:fldCharType="begin"/>
            </w:r>
            <w:r>
              <w:rPr>
                <w:noProof/>
                <w:webHidden/>
              </w:rPr>
              <w:instrText xml:space="preserve"> PAGEREF _Toc220875047 \h </w:instrText>
            </w:r>
            <w:r>
              <w:rPr>
                <w:noProof/>
                <w:webHidden/>
              </w:rPr>
            </w:r>
            <w:r>
              <w:rPr>
                <w:noProof/>
                <w:webHidden/>
              </w:rPr>
              <w:fldChar w:fldCharType="separate"/>
            </w:r>
            <w:r>
              <w:rPr>
                <w:noProof/>
                <w:webHidden/>
              </w:rPr>
              <w:t>40</w:t>
            </w:r>
            <w:r>
              <w:rPr>
                <w:noProof/>
                <w:webHidden/>
              </w:rPr>
              <w:fldChar w:fldCharType="end"/>
            </w:r>
          </w:hyperlink>
        </w:p>
        <w:p w14:paraId="0FF7B95F" w14:textId="339821D0" w:rsidR="00DC3848" w:rsidRDefault="00DC3848">
          <w:pPr>
            <w:pStyle w:val="TOC2"/>
            <w:tabs>
              <w:tab w:val="right" w:leader="dot" w:pos="9350"/>
            </w:tabs>
            <w:rPr>
              <w:rFonts w:asciiTheme="minorHAnsi" w:hAnsiTheme="minorHAnsi"/>
              <w:noProof/>
              <w:szCs w:val="24"/>
              <w:lang w:val="en-US" w:eastAsia="en-US"/>
            </w:rPr>
          </w:pPr>
          <w:hyperlink w:anchor="_Toc220875048" w:history="1">
            <w:r w:rsidRPr="00C71E77">
              <w:rPr>
                <w:rStyle w:val="Hyperlink"/>
                <w:noProof/>
              </w:rPr>
              <w:t>4.4 Thematic Analysis and Findings</w:t>
            </w:r>
            <w:r>
              <w:rPr>
                <w:noProof/>
                <w:webHidden/>
              </w:rPr>
              <w:tab/>
            </w:r>
            <w:r>
              <w:rPr>
                <w:noProof/>
                <w:webHidden/>
              </w:rPr>
              <w:fldChar w:fldCharType="begin"/>
            </w:r>
            <w:r>
              <w:rPr>
                <w:noProof/>
                <w:webHidden/>
              </w:rPr>
              <w:instrText xml:space="preserve"> PAGEREF _Toc220875048 \h </w:instrText>
            </w:r>
            <w:r>
              <w:rPr>
                <w:noProof/>
                <w:webHidden/>
              </w:rPr>
            </w:r>
            <w:r>
              <w:rPr>
                <w:noProof/>
                <w:webHidden/>
              </w:rPr>
              <w:fldChar w:fldCharType="separate"/>
            </w:r>
            <w:r>
              <w:rPr>
                <w:noProof/>
                <w:webHidden/>
              </w:rPr>
              <w:t>41</w:t>
            </w:r>
            <w:r>
              <w:rPr>
                <w:noProof/>
                <w:webHidden/>
              </w:rPr>
              <w:fldChar w:fldCharType="end"/>
            </w:r>
          </w:hyperlink>
        </w:p>
        <w:p w14:paraId="2D8F2C7B" w14:textId="74F49798" w:rsidR="00DC3848" w:rsidRDefault="00DC3848">
          <w:pPr>
            <w:pStyle w:val="TOC1"/>
            <w:tabs>
              <w:tab w:val="right" w:leader="dot" w:pos="9350"/>
            </w:tabs>
            <w:rPr>
              <w:rFonts w:asciiTheme="minorHAnsi" w:hAnsiTheme="minorHAnsi"/>
              <w:noProof/>
              <w:szCs w:val="24"/>
              <w:lang w:val="en-US" w:eastAsia="en-US"/>
            </w:rPr>
          </w:pPr>
          <w:hyperlink w:anchor="_Toc220875049" w:history="1">
            <w:r w:rsidRPr="00C71E77">
              <w:rPr>
                <w:rStyle w:val="Hyperlink"/>
                <w:noProof/>
              </w:rPr>
              <w:t>Chapter 5: Discussion</w:t>
            </w:r>
            <w:r>
              <w:rPr>
                <w:noProof/>
                <w:webHidden/>
              </w:rPr>
              <w:tab/>
            </w:r>
            <w:r>
              <w:rPr>
                <w:noProof/>
                <w:webHidden/>
              </w:rPr>
              <w:fldChar w:fldCharType="begin"/>
            </w:r>
            <w:r>
              <w:rPr>
                <w:noProof/>
                <w:webHidden/>
              </w:rPr>
              <w:instrText xml:space="preserve"> PAGEREF _Toc220875049 \h </w:instrText>
            </w:r>
            <w:r>
              <w:rPr>
                <w:noProof/>
                <w:webHidden/>
              </w:rPr>
            </w:r>
            <w:r>
              <w:rPr>
                <w:noProof/>
                <w:webHidden/>
              </w:rPr>
              <w:fldChar w:fldCharType="separate"/>
            </w:r>
            <w:r>
              <w:rPr>
                <w:noProof/>
                <w:webHidden/>
              </w:rPr>
              <w:t>46</w:t>
            </w:r>
            <w:r>
              <w:rPr>
                <w:noProof/>
                <w:webHidden/>
              </w:rPr>
              <w:fldChar w:fldCharType="end"/>
            </w:r>
          </w:hyperlink>
        </w:p>
        <w:p w14:paraId="68AA42A6" w14:textId="57B01508" w:rsidR="00DC3848" w:rsidRDefault="00DC3848">
          <w:pPr>
            <w:pStyle w:val="TOC1"/>
            <w:tabs>
              <w:tab w:val="right" w:leader="dot" w:pos="9350"/>
            </w:tabs>
            <w:rPr>
              <w:rFonts w:asciiTheme="minorHAnsi" w:hAnsiTheme="minorHAnsi"/>
              <w:noProof/>
              <w:szCs w:val="24"/>
              <w:lang w:val="en-US" w:eastAsia="en-US"/>
            </w:rPr>
          </w:pPr>
          <w:hyperlink w:anchor="_Toc220875050" w:history="1">
            <w:r w:rsidRPr="00C71E77">
              <w:rPr>
                <w:rStyle w:val="Hyperlink"/>
                <w:noProof/>
              </w:rPr>
              <w:t>Chapter 6: Conclusion and Recommendations</w:t>
            </w:r>
            <w:r>
              <w:rPr>
                <w:noProof/>
                <w:webHidden/>
              </w:rPr>
              <w:tab/>
            </w:r>
            <w:r>
              <w:rPr>
                <w:noProof/>
                <w:webHidden/>
              </w:rPr>
              <w:fldChar w:fldCharType="begin"/>
            </w:r>
            <w:r>
              <w:rPr>
                <w:noProof/>
                <w:webHidden/>
              </w:rPr>
              <w:instrText xml:space="preserve"> PAGEREF _Toc220875050 \h </w:instrText>
            </w:r>
            <w:r>
              <w:rPr>
                <w:noProof/>
                <w:webHidden/>
              </w:rPr>
            </w:r>
            <w:r>
              <w:rPr>
                <w:noProof/>
                <w:webHidden/>
              </w:rPr>
              <w:fldChar w:fldCharType="separate"/>
            </w:r>
            <w:r>
              <w:rPr>
                <w:noProof/>
                <w:webHidden/>
              </w:rPr>
              <w:t>51</w:t>
            </w:r>
            <w:r>
              <w:rPr>
                <w:noProof/>
                <w:webHidden/>
              </w:rPr>
              <w:fldChar w:fldCharType="end"/>
            </w:r>
          </w:hyperlink>
        </w:p>
        <w:p w14:paraId="66CBBD95" w14:textId="0A1D9AEE" w:rsidR="00DC3848" w:rsidRDefault="00DC3848">
          <w:pPr>
            <w:pStyle w:val="TOC2"/>
            <w:tabs>
              <w:tab w:val="right" w:leader="dot" w:pos="9350"/>
            </w:tabs>
            <w:rPr>
              <w:rFonts w:asciiTheme="minorHAnsi" w:hAnsiTheme="minorHAnsi"/>
              <w:noProof/>
              <w:szCs w:val="24"/>
              <w:lang w:val="en-US" w:eastAsia="en-US"/>
            </w:rPr>
          </w:pPr>
          <w:hyperlink w:anchor="_Toc220875051" w:history="1">
            <w:r w:rsidRPr="00C71E77">
              <w:rPr>
                <w:rStyle w:val="Hyperlink"/>
                <w:noProof/>
              </w:rPr>
              <w:t>6.1 Introduction</w:t>
            </w:r>
            <w:r>
              <w:rPr>
                <w:noProof/>
                <w:webHidden/>
              </w:rPr>
              <w:tab/>
            </w:r>
            <w:r>
              <w:rPr>
                <w:noProof/>
                <w:webHidden/>
              </w:rPr>
              <w:fldChar w:fldCharType="begin"/>
            </w:r>
            <w:r>
              <w:rPr>
                <w:noProof/>
                <w:webHidden/>
              </w:rPr>
              <w:instrText xml:space="preserve"> PAGEREF _Toc220875051 \h </w:instrText>
            </w:r>
            <w:r>
              <w:rPr>
                <w:noProof/>
                <w:webHidden/>
              </w:rPr>
            </w:r>
            <w:r>
              <w:rPr>
                <w:noProof/>
                <w:webHidden/>
              </w:rPr>
              <w:fldChar w:fldCharType="separate"/>
            </w:r>
            <w:r>
              <w:rPr>
                <w:noProof/>
                <w:webHidden/>
              </w:rPr>
              <w:t>51</w:t>
            </w:r>
            <w:r>
              <w:rPr>
                <w:noProof/>
                <w:webHidden/>
              </w:rPr>
              <w:fldChar w:fldCharType="end"/>
            </w:r>
          </w:hyperlink>
        </w:p>
        <w:p w14:paraId="3134F0D2" w14:textId="5DEA800E" w:rsidR="00DC3848" w:rsidRDefault="00DC3848">
          <w:pPr>
            <w:pStyle w:val="TOC2"/>
            <w:tabs>
              <w:tab w:val="right" w:leader="dot" w:pos="9350"/>
            </w:tabs>
            <w:rPr>
              <w:rFonts w:asciiTheme="minorHAnsi" w:hAnsiTheme="minorHAnsi"/>
              <w:noProof/>
              <w:szCs w:val="24"/>
              <w:lang w:val="en-US" w:eastAsia="en-US"/>
            </w:rPr>
          </w:pPr>
          <w:hyperlink w:anchor="_Toc220875052" w:history="1">
            <w:r w:rsidRPr="00C71E77">
              <w:rPr>
                <w:rStyle w:val="Hyperlink"/>
                <w:noProof/>
              </w:rPr>
              <w:t>6.2 Conclusion</w:t>
            </w:r>
            <w:r>
              <w:rPr>
                <w:noProof/>
                <w:webHidden/>
              </w:rPr>
              <w:tab/>
            </w:r>
            <w:r>
              <w:rPr>
                <w:noProof/>
                <w:webHidden/>
              </w:rPr>
              <w:fldChar w:fldCharType="begin"/>
            </w:r>
            <w:r>
              <w:rPr>
                <w:noProof/>
                <w:webHidden/>
              </w:rPr>
              <w:instrText xml:space="preserve"> PAGEREF _Toc220875052 \h </w:instrText>
            </w:r>
            <w:r>
              <w:rPr>
                <w:noProof/>
                <w:webHidden/>
              </w:rPr>
            </w:r>
            <w:r>
              <w:rPr>
                <w:noProof/>
                <w:webHidden/>
              </w:rPr>
              <w:fldChar w:fldCharType="separate"/>
            </w:r>
            <w:r>
              <w:rPr>
                <w:noProof/>
                <w:webHidden/>
              </w:rPr>
              <w:t>51</w:t>
            </w:r>
            <w:r>
              <w:rPr>
                <w:noProof/>
                <w:webHidden/>
              </w:rPr>
              <w:fldChar w:fldCharType="end"/>
            </w:r>
          </w:hyperlink>
        </w:p>
        <w:p w14:paraId="57076D26" w14:textId="048AA6E3" w:rsidR="00DC3848" w:rsidRDefault="00DC3848">
          <w:pPr>
            <w:pStyle w:val="TOC2"/>
            <w:tabs>
              <w:tab w:val="right" w:leader="dot" w:pos="9350"/>
            </w:tabs>
            <w:rPr>
              <w:rFonts w:asciiTheme="minorHAnsi" w:hAnsiTheme="minorHAnsi"/>
              <w:noProof/>
              <w:szCs w:val="24"/>
              <w:lang w:val="en-US" w:eastAsia="en-US"/>
            </w:rPr>
          </w:pPr>
          <w:hyperlink w:anchor="_Toc220875053" w:history="1">
            <w:r w:rsidRPr="00C71E77">
              <w:rPr>
                <w:rStyle w:val="Hyperlink"/>
                <w:noProof/>
              </w:rPr>
              <w:t>6.3 Recommendations</w:t>
            </w:r>
            <w:r>
              <w:rPr>
                <w:noProof/>
                <w:webHidden/>
              </w:rPr>
              <w:tab/>
            </w:r>
            <w:r>
              <w:rPr>
                <w:noProof/>
                <w:webHidden/>
              </w:rPr>
              <w:fldChar w:fldCharType="begin"/>
            </w:r>
            <w:r>
              <w:rPr>
                <w:noProof/>
                <w:webHidden/>
              </w:rPr>
              <w:instrText xml:space="preserve"> PAGEREF _Toc220875053 \h </w:instrText>
            </w:r>
            <w:r>
              <w:rPr>
                <w:noProof/>
                <w:webHidden/>
              </w:rPr>
            </w:r>
            <w:r>
              <w:rPr>
                <w:noProof/>
                <w:webHidden/>
              </w:rPr>
              <w:fldChar w:fldCharType="separate"/>
            </w:r>
            <w:r>
              <w:rPr>
                <w:noProof/>
                <w:webHidden/>
              </w:rPr>
              <w:t>53</w:t>
            </w:r>
            <w:r>
              <w:rPr>
                <w:noProof/>
                <w:webHidden/>
              </w:rPr>
              <w:fldChar w:fldCharType="end"/>
            </w:r>
          </w:hyperlink>
        </w:p>
        <w:p w14:paraId="52F321DF" w14:textId="31256714" w:rsidR="00DC3848" w:rsidRDefault="00DC3848">
          <w:pPr>
            <w:pStyle w:val="TOC2"/>
            <w:tabs>
              <w:tab w:val="right" w:leader="dot" w:pos="9350"/>
            </w:tabs>
            <w:rPr>
              <w:rFonts w:asciiTheme="minorHAnsi" w:hAnsiTheme="minorHAnsi"/>
              <w:noProof/>
              <w:szCs w:val="24"/>
              <w:lang w:val="en-US" w:eastAsia="en-US"/>
            </w:rPr>
          </w:pPr>
          <w:hyperlink w:anchor="_Toc220875054" w:history="1">
            <w:r w:rsidRPr="00C71E77">
              <w:rPr>
                <w:rStyle w:val="Hyperlink"/>
                <w:noProof/>
              </w:rPr>
              <w:t>6.4 Recommendation for future use</w:t>
            </w:r>
            <w:r>
              <w:rPr>
                <w:noProof/>
                <w:webHidden/>
              </w:rPr>
              <w:tab/>
            </w:r>
            <w:r>
              <w:rPr>
                <w:noProof/>
                <w:webHidden/>
              </w:rPr>
              <w:fldChar w:fldCharType="begin"/>
            </w:r>
            <w:r>
              <w:rPr>
                <w:noProof/>
                <w:webHidden/>
              </w:rPr>
              <w:instrText xml:space="preserve"> PAGEREF _Toc220875054 \h </w:instrText>
            </w:r>
            <w:r>
              <w:rPr>
                <w:noProof/>
                <w:webHidden/>
              </w:rPr>
            </w:r>
            <w:r>
              <w:rPr>
                <w:noProof/>
                <w:webHidden/>
              </w:rPr>
              <w:fldChar w:fldCharType="separate"/>
            </w:r>
            <w:r>
              <w:rPr>
                <w:noProof/>
                <w:webHidden/>
              </w:rPr>
              <w:t>54</w:t>
            </w:r>
            <w:r>
              <w:rPr>
                <w:noProof/>
                <w:webHidden/>
              </w:rPr>
              <w:fldChar w:fldCharType="end"/>
            </w:r>
          </w:hyperlink>
        </w:p>
        <w:p w14:paraId="54674466" w14:textId="549D068F" w:rsidR="00DC3848" w:rsidRDefault="00DC3848">
          <w:pPr>
            <w:pStyle w:val="TOC1"/>
            <w:tabs>
              <w:tab w:val="right" w:leader="dot" w:pos="9350"/>
            </w:tabs>
            <w:rPr>
              <w:rFonts w:asciiTheme="minorHAnsi" w:hAnsiTheme="minorHAnsi"/>
              <w:noProof/>
              <w:szCs w:val="24"/>
              <w:lang w:val="en-US" w:eastAsia="en-US"/>
            </w:rPr>
          </w:pPr>
          <w:hyperlink w:anchor="_Toc220875055" w:history="1">
            <w:r w:rsidRPr="00C71E77">
              <w:rPr>
                <w:rStyle w:val="Hyperlink"/>
                <w:rFonts w:asciiTheme="majorBidi" w:hAnsiTheme="majorBidi"/>
                <w:noProof/>
              </w:rPr>
              <w:t>References</w:t>
            </w:r>
            <w:r>
              <w:rPr>
                <w:noProof/>
                <w:webHidden/>
              </w:rPr>
              <w:tab/>
            </w:r>
            <w:r>
              <w:rPr>
                <w:noProof/>
                <w:webHidden/>
              </w:rPr>
              <w:fldChar w:fldCharType="begin"/>
            </w:r>
            <w:r>
              <w:rPr>
                <w:noProof/>
                <w:webHidden/>
              </w:rPr>
              <w:instrText xml:space="preserve"> PAGEREF _Toc220875055 \h </w:instrText>
            </w:r>
            <w:r>
              <w:rPr>
                <w:noProof/>
                <w:webHidden/>
              </w:rPr>
            </w:r>
            <w:r>
              <w:rPr>
                <w:noProof/>
                <w:webHidden/>
              </w:rPr>
              <w:fldChar w:fldCharType="separate"/>
            </w:r>
            <w:r>
              <w:rPr>
                <w:noProof/>
                <w:webHidden/>
              </w:rPr>
              <w:t>55</w:t>
            </w:r>
            <w:r>
              <w:rPr>
                <w:noProof/>
                <w:webHidden/>
              </w:rPr>
              <w:fldChar w:fldCharType="end"/>
            </w:r>
          </w:hyperlink>
        </w:p>
        <w:p w14:paraId="18B7D579" w14:textId="66BDAE14" w:rsidR="00DC3848" w:rsidRDefault="00DC3848">
          <w:pPr>
            <w:pStyle w:val="TOC1"/>
            <w:tabs>
              <w:tab w:val="right" w:leader="dot" w:pos="9350"/>
            </w:tabs>
            <w:rPr>
              <w:rFonts w:asciiTheme="minorHAnsi" w:hAnsiTheme="minorHAnsi"/>
              <w:noProof/>
              <w:szCs w:val="24"/>
              <w:lang w:val="en-US" w:eastAsia="en-US"/>
            </w:rPr>
          </w:pPr>
          <w:hyperlink w:anchor="_Toc220875056" w:history="1">
            <w:r w:rsidRPr="00C71E77">
              <w:rPr>
                <w:rStyle w:val="Hyperlink"/>
                <w:noProof/>
                <w:lang w:val="en-US"/>
              </w:rPr>
              <w:t>Appendix 1: Ethic Form</w:t>
            </w:r>
            <w:r>
              <w:rPr>
                <w:noProof/>
                <w:webHidden/>
              </w:rPr>
              <w:tab/>
            </w:r>
            <w:r>
              <w:rPr>
                <w:noProof/>
                <w:webHidden/>
              </w:rPr>
              <w:fldChar w:fldCharType="begin"/>
            </w:r>
            <w:r>
              <w:rPr>
                <w:noProof/>
                <w:webHidden/>
              </w:rPr>
              <w:instrText xml:space="preserve"> PAGEREF _Toc220875056 \h </w:instrText>
            </w:r>
            <w:r>
              <w:rPr>
                <w:noProof/>
                <w:webHidden/>
              </w:rPr>
            </w:r>
            <w:r>
              <w:rPr>
                <w:noProof/>
                <w:webHidden/>
              </w:rPr>
              <w:fldChar w:fldCharType="separate"/>
            </w:r>
            <w:r>
              <w:rPr>
                <w:noProof/>
                <w:webHidden/>
              </w:rPr>
              <w:t>63</w:t>
            </w:r>
            <w:r>
              <w:rPr>
                <w:noProof/>
                <w:webHidden/>
              </w:rPr>
              <w:fldChar w:fldCharType="end"/>
            </w:r>
          </w:hyperlink>
        </w:p>
        <w:p w14:paraId="0868D33B" w14:textId="5F854352" w:rsidR="00674C6A" w:rsidRPr="005904DC" w:rsidRDefault="00674C6A" w:rsidP="00630DA9">
          <w:pPr>
            <w:rPr>
              <w:rFonts w:asciiTheme="majorBidi" w:hAnsiTheme="majorBidi" w:cstheme="majorBidi"/>
            </w:rPr>
          </w:pPr>
          <w:r w:rsidRPr="005904DC">
            <w:rPr>
              <w:rFonts w:asciiTheme="majorBidi" w:hAnsiTheme="majorBidi" w:cstheme="majorBidi"/>
              <w:b/>
              <w:bCs/>
              <w:noProof/>
            </w:rPr>
            <w:fldChar w:fldCharType="end"/>
          </w:r>
        </w:p>
      </w:sdtContent>
    </w:sdt>
    <w:p w14:paraId="3348B15C" w14:textId="77777777" w:rsidR="00674C6A" w:rsidRPr="005904DC" w:rsidRDefault="00674C6A" w:rsidP="00630DA9">
      <w:pPr>
        <w:rPr>
          <w:rFonts w:asciiTheme="majorBidi" w:eastAsiaTheme="majorEastAsia" w:hAnsiTheme="majorBidi" w:cstheme="majorBidi"/>
          <w:b/>
          <w:szCs w:val="32"/>
        </w:rPr>
      </w:pPr>
      <w:r w:rsidRPr="005904DC">
        <w:rPr>
          <w:rFonts w:asciiTheme="majorBidi" w:hAnsiTheme="majorBidi" w:cstheme="majorBidi"/>
        </w:rPr>
        <w:br w:type="page"/>
      </w:r>
    </w:p>
    <w:p w14:paraId="07B29F47" w14:textId="3299045A" w:rsidR="00591C54" w:rsidRPr="005904DC" w:rsidRDefault="00220304" w:rsidP="00630DA9">
      <w:pPr>
        <w:pStyle w:val="Heading1"/>
        <w:spacing w:before="120" w:after="120" w:line="360" w:lineRule="auto"/>
        <w:jc w:val="both"/>
        <w:rPr>
          <w:rFonts w:asciiTheme="majorBidi" w:hAnsiTheme="majorBidi"/>
        </w:rPr>
      </w:pPr>
      <w:bookmarkStart w:id="0" w:name="_Toc220875005"/>
      <w:r w:rsidRPr="005904DC">
        <w:rPr>
          <w:rFonts w:asciiTheme="majorBidi" w:hAnsiTheme="majorBidi"/>
        </w:rPr>
        <w:lastRenderedPageBreak/>
        <w:t>Chapter 1</w:t>
      </w:r>
      <w:r w:rsidR="00FD396D" w:rsidRPr="005904DC">
        <w:rPr>
          <w:rFonts w:asciiTheme="majorBidi" w:hAnsiTheme="majorBidi"/>
        </w:rPr>
        <w:t>: Introduction</w:t>
      </w:r>
      <w:bookmarkEnd w:id="0"/>
    </w:p>
    <w:p w14:paraId="68414B11" w14:textId="6301F2C3" w:rsidR="00220304" w:rsidRPr="005904DC" w:rsidRDefault="00220304" w:rsidP="00630DA9">
      <w:pPr>
        <w:pStyle w:val="Heading2"/>
        <w:spacing w:before="120" w:after="120"/>
        <w:jc w:val="both"/>
        <w:rPr>
          <w:rFonts w:asciiTheme="majorBidi" w:hAnsiTheme="majorBidi"/>
        </w:rPr>
      </w:pPr>
      <w:bookmarkStart w:id="1" w:name="_Toc220875006"/>
      <w:r w:rsidRPr="005904DC">
        <w:rPr>
          <w:rFonts w:asciiTheme="majorBidi" w:hAnsiTheme="majorBidi"/>
        </w:rPr>
        <w:t xml:space="preserve">1.1 </w:t>
      </w:r>
      <w:r w:rsidR="00FD396D" w:rsidRPr="005904DC">
        <w:rPr>
          <w:rFonts w:asciiTheme="majorBidi" w:hAnsiTheme="majorBidi"/>
        </w:rPr>
        <w:t>Background</w:t>
      </w:r>
      <w:bookmarkEnd w:id="1"/>
    </w:p>
    <w:p w14:paraId="6A4A9D7C" w14:textId="63955B9E" w:rsidR="00F77172" w:rsidRDefault="00F77172" w:rsidP="00630DA9">
      <w:pPr>
        <w:jc w:val="both"/>
        <w:rPr>
          <w:rFonts w:asciiTheme="majorBidi" w:hAnsiTheme="majorBidi" w:cstheme="majorBidi"/>
        </w:rPr>
      </w:pPr>
      <w:r w:rsidRPr="005904DC">
        <w:rPr>
          <w:rFonts w:asciiTheme="majorBidi" w:hAnsiTheme="majorBidi" w:cstheme="majorBidi"/>
        </w:rPr>
        <w:t>Inflation refers to the persistent</w:t>
      </w:r>
      <w:r w:rsidR="00761C70" w:rsidRPr="005904DC">
        <w:rPr>
          <w:rFonts w:asciiTheme="majorBidi" w:hAnsiTheme="majorBidi" w:cstheme="majorBidi"/>
        </w:rPr>
        <w:t>, high level of overall prices of goods and services, thereby reducing</w:t>
      </w:r>
      <w:r w:rsidRPr="005904DC">
        <w:rPr>
          <w:rFonts w:asciiTheme="majorBidi" w:hAnsiTheme="majorBidi" w:cstheme="majorBidi"/>
        </w:rPr>
        <w:t xml:space="preserve"> purchasing power</w:t>
      </w:r>
      <w:r w:rsidR="005635CD" w:rsidRPr="005904DC">
        <w:rPr>
          <w:rFonts w:asciiTheme="majorBidi" w:hAnsiTheme="majorBidi" w:cstheme="majorBidi"/>
        </w:rPr>
        <w:t xml:space="preserve"> (</w:t>
      </w:r>
      <w:proofErr w:type="spellStart"/>
      <w:r w:rsidR="005635CD" w:rsidRPr="005904DC">
        <w:rPr>
          <w:rFonts w:asciiTheme="majorBidi" w:hAnsiTheme="majorBidi" w:cstheme="majorBidi"/>
        </w:rPr>
        <w:t>Girdzijauskas</w:t>
      </w:r>
      <w:proofErr w:type="spellEnd"/>
      <w:r w:rsidR="005635CD" w:rsidRPr="005904DC">
        <w:rPr>
          <w:rFonts w:asciiTheme="majorBidi" w:hAnsiTheme="majorBidi" w:cstheme="majorBidi"/>
        </w:rPr>
        <w:t>, et al., 2022)</w:t>
      </w:r>
      <w:r w:rsidRPr="005904DC">
        <w:rPr>
          <w:rFonts w:asciiTheme="majorBidi" w:hAnsiTheme="majorBidi" w:cstheme="majorBidi"/>
        </w:rPr>
        <w:t xml:space="preserve">. </w:t>
      </w:r>
      <w:r w:rsidR="00761C70" w:rsidRPr="005904DC">
        <w:rPr>
          <w:rFonts w:asciiTheme="majorBidi" w:hAnsiTheme="majorBidi" w:cstheme="majorBidi"/>
        </w:rPr>
        <w:t xml:space="preserve">The primary measure used </w:t>
      </w:r>
      <w:r w:rsidRPr="005904DC">
        <w:rPr>
          <w:rFonts w:asciiTheme="majorBidi" w:hAnsiTheme="majorBidi" w:cstheme="majorBidi"/>
        </w:rPr>
        <w:t xml:space="preserve">in the UK is the Consumer Price Index (CPI). Interest rates, however, are indicators of </w:t>
      </w:r>
      <w:r w:rsidR="00761C70" w:rsidRPr="005904DC">
        <w:rPr>
          <w:rFonts w:asciiTheme="majorBidi" w:hAnsiTheme="majorBidi" w:cstheme="majorBidi"/>
        </w:rPr>
        <w:t>borrowing costs and are primarily set</w:t>
      </w:r>
      <w:r w:rsidRPr="005904DC">
        <w:rPr>
          <w:rFonts w:asciiTheme="majorBidi" w:hAnsiTheme="majorBidi" w:cstheme="majorBidi"/>
        </w:rPr>
        <w:t xml:space="preserve"> by the Bank of England (BoE). The interaction </w:t>
      </w:r>
      <w:r w:rsidR="00761C70" w:rsidRPr="005904DC">
        <w:rPr>
          <w:rFonts w:asciiTheme="majorBidi" w:hAnsiTheme="majorBidi" w:cstheme="majorBidi"/>
        </w:rPr>
        <w:t>between these indicators has a deep-seated impact on corporate profitability, investor expectations, and capital market valuations</w:t>
      </w:r>
      <w:r w:rsidRPr="005904DC">
        <w:rPr>
          <w:rFonts w:asciiTheme="majorBidi" w:hAnsiTheme="majorBidi" w:cstheme="majorBidi"/>
        </w:rPr>
        <w:t xml:space="preserve">. In cases </w:t>
      </w:r>
      <w:r w:rsidR="00761C70" w:rsidRPr="005904DC">
        <w:rPr>
          <w:rFonts w:asciiTheme="majorBidi" w:hAnsiTheme="majorBidi" w:cstheme="majorBidi"/>
        </w:rPr>
        <w:t>of high inflation, central banks typically address it by raising interest rates to curb price increases</w:t>
      </w:r>
      <w:r w:rsidR="003401BD" w:rsidRPr="005904DC">
        <w:rPr>
          <w:rFonts w:asciiTheme="majorBidi" w:hAnsiTheme="majorBidi" w:cstheme="majorBidi"/>
        </w:rPr>
        <w:t xml:space="preserve"> (Aguila and </w:t>
      </w:r>
      <w:proofErr w:type="spellStart"/>
      <w:r w:rsidR="003401BD" w:rsidRPr="005904DC">
        <w:rPr>
          <w:rFonts w:asciiTheme="majorBidi" w:hAnsiTheme="majorBidi" w:cstheme="majorBidi"/>
        </w:rPr>
        <w:t>Wullweber</w:t>
      </w:r>
      <w:proofErr w:type="spellEnd"/>
      <w:r w:rsidR="003401BD" w:rsidRPr="005904DC">
        <w:rPr>
          <w:rFonts w:asciiTheme="majorBidi" w:hAnsiTheme="majorBidi" w:cstheme="majorBidi"/>
        </w:rPr>
        <w:t>, 2024)</w:t>
      </w:r>
      <w:r w:rsidR="00761C70" w:rsidRPr="005904DC">
        <w:rPr>
          <w:rFonts w:asciiTheme="majorBidi" w:hAnsiTheme="majorBidi" w:cstheme="majorBidi"/>
        </w:rPr>
        <w:t>. Still, monetary intervention also has both direct and indirect effects on financial markets,</w:t>
      </w:r>
      <w:r w:rsidRPr="005904DC">
        <w:rPr>
          <w:rFonts w:asciiTheme="majorBidi" w:hAnsiTheme="majorBidi" w:cstheme="majorBidi"/>
        </w:rPr>
        <w:t xml:space="preserve"> especially equities. The subtle interpretation of such interactions is thus a necessity </w:t>
      </w:r>
      <w:r w:rsidR="00761C70" w:rsidRPr="005904DC">
        <w:rPr>
          <w:rFonts w:asciiTheme="majorBidi" w:hAnsiTheme="majorBidi" w:cstheme="majorBidi"/>
        </w:rPr>
        <w:t xml:space="preserve">for investors, decision-makers, and companies that want to survive </w:t>
      </w:r>
      <w:r w:rsidRPr="005904DC">
        <w:rPr>
          <w:rFonts w:asciiTheme="majorBidi" w:hAnsiTheme="majorBidi" w:cstheme="majorBidi"/>
        </w:rPr>
        <w:t>economic cycles.</w:t>
      </w:r>
    </w:p>
    <w:p w14:paraId="1EE18636" w14:textId="77777777" w:rsidR="00C17FDB" w:rsidRPr="00C17FDB" w:rsidRDefault="00C17FDB" w:rsidP="00C17FDB">
      <w:pPr>
        <w:keepNext/>
        <w:jc w:val="center"/>
        <w:rPr>
          <w:b/>
          <w:bCs/>
          <w:color w:val="000000" w:themeColor="text1"/>
          <w:szCs w:val="24"/>
        </w:rPr>
      </w:pPr>
      <w:r w:rsidRPr="00C17FDB">
        <w:rPr>
          <w:rFonts w:asciiTheme="majorBidi" w:hAnsiTheme="majorBidi" w:cstheme="majorBidi"/>
          <w:b/>
          <w:bCs/>
          <w:noProof/>
          <w:color w:val="000000" w:themeColor="text1"/>
          <w:szCs w:val="24"/>
        </w:rPr>
        <w:drawing>
          <wp:inline distT="0" distB="0" distL="0" distR="0" wp14:anchorId="075ECBD2" wp14:editId="0EDB5FED">
            <wp:extent cx="4122420" cy="4057677"/>
            <wp:effectExtent l="0" t="0" r="0" b="0"/>
            <wp:docPr id="812289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289075" name=""/>
                    <pic:cNvPicPr/>
                  </pic:nvPicPr>
                  <pic:blipFill>
                    <a:blip r:embed="rId9"/>
                    <a:stretch>
                      <a:fillRect/>
                    </a:stretch>
                  </pic:blipFill>
                  <pic:spPr>
                    <a:xfrm>
                      <a:off x="0" y="0"/>
                      <a:ext cx="4124802" cy="4060022"/>
                    </a:xfrm>
                    <a:prstGeom prst="rect">
                      <a:avLst/>
                    </a:prstGeom>
                  </pic:spPr>
                </pic:pic>
              </a:graphicData>
            </a:graphic>
          </wp:inline>
        </w:drawing>
      </w:r>
    </w:p>
    <w:p w14:paraId="2E5CC543" w14:textId="2FB4CF7F" w:rsidR="00C17FDB" w:rsidRPr="00C17FDB" w:rsidRDefault="00C17FDB" w:rsidP="00C17FDB">
      <w:pPr>
        <w:pStyle w:val="Caption"/>
        <w:jc w:val="center"/>
        <w:rPr>
          <w:b/>
          <w:bCs/>
          <w:i w:val="0"/>
          <w:iCs w:val="0"/>
          <w:color w:val="000000" w:themeColor="text1"/>
          <w:sz w:val="24"/>
          <w:szCs w:val="24"/>
        </w:rPr>
      </w:pPr>
      <w:r w:rsidRPr="00C17FDB">
        <w:rPr>
          <w:b/>
          <w:bCs/>
          <w:i w:val="0"/>
          <w:iCs w:val="0"/>
          <w:color w:val="000000" w:themeColor="text1"/>
          <w:sz w:val="24"/>
          <w:szCs w:val="24"/>
        </w:rPr>
        <w:t xml:space="preserve">Figure </w:t>
      </w:r>
      <w:r w:rsidRPr="00C17FDB">
        <w:rPr>
          <w:b/>
          <w:bCs/>
          <w:i w:val="0"/>
          <w:iCs w:val="0"/>
          <w:color w:val="000000" w:themeColor="text1"/>
          <w:sz w:val="24"/>
          <w:szCs w:val="24"/>
        </w:rPr>
        <w:fldChar w:fldCharType="begin"/>
      </w:r>
      <w:r w:rsidRPr="00C17FDB">
        <w:rPr>
          <w:b/>
          <w:bCs/>
          <w:i w:val="0"/>
          <w:iCs w:val="0"/>
          <w:color w:val="000000" w:themeColor="text1"/>
          <w:sz w:val="24"/>
          <w:szCs w:val="24"/>
        </w:rPr>
        <w:instrText xml:space="preserve"> SEQ Figure \* ARABIC </w:instrText>
      </w:r>
      <w:r w:rsidRPr="00C17FDB">
        <w:rPr>
          <w:b/>
          <w:bCs/>
          <w:i w:val="0"/>
          <w:iCs w:val="0"/>
          <w:color w:val="000000" w:themeColor="text1"/>
          <w:sz w:val="24"/>
          <w:szCs w:val="24"/>
        </w:rPr>
        <w:fldChar w:fldCharType="separate"/>
      </w:r>
      <w:r w:rsidR="00C406CB">
        <w:rPr>
          <w:b/>
          <w:bCs/>
          <w:i w:val="0"/>
          <w:iCs w:val="0"/>
          <w:noProof/>
          <w:color w:val="000000" w:themeColor="text1"/>
          <w:sz w:val="24"/>
          <w:szCs w:val="24"/>
        </w:rPr>
        <w:t>1</w:t>
      </w:r>
      <w:r w:rsidRPr="00C17FDB">
        <w:rPr>
          <w:b/>
          <w:bCs/>
          <w:i w:val="0"/>
          <w:iCs w:val="0"/>
          <w:color w:val="000000" w:themeColor="text1"/>
          <w:sz w:val="24"/>
          <w:szCs w:val="24"/>
        </w:rPr>
        <w:fldChar w:fldCharType="end"/>
      </w:r>
      <w:r w:rsidRPr="00C17FDB">
        <w:rPr>
          <w:b/>
          <w:bCs/>
          <w:i w:val="0"/>
          <w:iCs w:val="0"/>
          <w:color w:val="000000" w:themeColor="text1"/>
          <w:sz w:val="24"/>
          <w:szCs w:val="24"/>
        </w:rPr>
        <w:t>: Causes of Cost-Inflation</w:t>
      </w:r>
    </w:p>
    <w:p w14:paraId="6193C934" w14:textId="2B13B6E9" w:rsidR="00C17FDB" w:rsidRPr="00C17FDB" w:rsidRDefault="00C17FDB" w:rsidP="00C17FDB">
      <w:pPr>
        <w:pStyle w:val="Caption"/>
        <w:jc w:val="center"/>
        <w:rPr>
          <w:rFonts w:asciiTheme="majorBidi" w:hAnsiTheme="majorBidi" w:cstheme="majorBidi"/>
          <w:b/>
          <w:bCs/>
          <w:i w:val="0"/>
          <w:iCs w:val="0"/>
          <w:color w:val="000000" w:themeColor="text1"/>
          <w:sz w:val="24"/>
          <w:szCs w:val="24"/>
        </w:rPr>
      </w:pPr>
      <w:r w:rsidRPr="00C17FDB">
        <w:rPr>
          <w:b/>
          <w:bCs/>
          <w:i w:val="0"/>
          <w:iCs w:val="0"/>
          <w:color w:val="000000" w:themeColor="text1"/>
          <w:sz w:val="24"/>
          <w:szCs w:val="24"/>
        </w:rPr>
        <w:t>Source: (</w:t>
      </w:r>
      <w:r w:rsidRPr="00C17FDB">
        <w:rPr>
          <w:b/>
          <w:bCs/>
          <w:i w:val="0"/>
          <w:iCs w:val="0"/>
          <w:color w:val="000000" w:themeColor="text1"/>
          <w:sz w:val="24"/>
          <w:szCs w:val="24"/>
          <w:lang w:val="en-GB"/>
        </w:rPr>
        <w:t>Ansari, 2023)</w:t>
      </w:r>
    </w:p>
    <w:p w14:paraId="50AACBC3" w14:textId="6D6D697B" w:rsidR="00F77172" w:rsidRPr="005904DC" w:rsidRDefault="00F77172" w:rsidP="00630DA9">
      <w:pPr>
        <w:jc w:val="both"/>
        <w:rPr>
          <w:rFonts w:asciiTheme="majorBidi" w:hAnsiTheme="majorBidi" w:cstheme="majorBidi"/>
        </w:rPr>
      </w:pPr>
      <w:r w:rsidRPr="005904DC">
        <w:rPr>
          <w:rFonts w:asciiTheme="majorBidi" w:hAnsiTheme="majorBidi" w:cstheme="majorBidi"/>
        </w:rPr>
        <w:lastRenderedPageBreak/>
        <w:t xml:space="preserve">Causes of inflation in </w:t>
      </w:r>
      <w:r w:rsidR="00761C70" w:rsidRPr="005904DC">
        <w:rPr>
          <w:rFonts w:asciiTheme="majorBidi" w:hAnsiTheme="majorBidi" w:cstheme="majorBidi"/>
        </w:rPr>
        <w:t xml:space="preserve">the United Kingdom are diverse, comprising </w:t>
      </w:r>
      <w:r w:rsidRPr="005904DC">
        <w:rPr>
          <w:rFonts w:asciiTheme="majorBidi" w:hAnsiTheme="majorBidi" w:cstheme="majorBidi"/>
        </w:rPr>
        <w:t xml:space="preserve">demand-pull, cost-push and structural factors. Demand-pull inflation occurs when </w:t>
      </w:r>
      <w:r w:rsidR="00761C70" w:rsidRPr="005904DC">
        <w:rPr>
          <w:rFonts w:asciiTheme="majorBidi" w:hAnsiTheme="majorBidi" w:cstheme="majorBidi"/>
        </w:rPr>
        <w:t>aggregate demand exceeds the economy's productive capacity, and cost-push inflation occurs due to a rise in the cost of inputs</w:t>
      </w:r>
      <w:r w:rsidR="005635CD" w:rsidRPr="005904DC">
        <w:rPr>
          <w:rFonts w:asciiTheme="majorBidi" w:hAnsiTheme="majorBidi" w:cstheme="majorBidi"/>
        </w:rPr>
        <w:t xml:space="preserve">, </w:t>
      </w:r>
      <w:r w:rsidR="00761C70" w:rsidRPr="005904DC">
        <w:rPr>
          <w:rFonts w:asciiTheme="majorBidi" w:hAnsiTheme="majorBidi" w:cstheme="majorBidi"/>
        </w:rPr>
        <w:t xml:space="preserve">wages, energy, or the </w:t>
      </w:r>
      <w:r w:rsidRPr="005904DC">
        <w:rPr>
          <w:rFonts w:asciiTheme="majorBidi" w:hAnsiTheme="majorBidi" w:cstheme="majorBidi"/>
        </w:rPr>
        <w:t>prices of imported goods</w:t>
      </w:r>
      <w:r w:rsidR="005635CD" w:rsidRPr="005904DC">
        <w:rPr>
          <w:rFonts w:asciiTheme="majorBidi" w:hAnsiTheme="majorBidi" w:cstheme="majorBidi"/>
        </w:rPr>
        <w:t xml:space="preserve"> (Sharma and Sinha, 2025)</w:t>
      </w:r>
      <w:r w:rsidRPr="005904DC">
        <w:rPr>
          <w:rFonts w:asciiTheme="majorBidi" w:hAnsiTheme="majorBidi" w:cstheme="majorBidi"/>
        </w:rPr>
        <w:t xml:space="preserve">. The new events, such as </w:t>
      </w:r>
      <w:r w:rsidR="00761C70" w:rsidRPr="005904DC">
        <w:rPr>
          <w:rFonts w:asciiTheme="majorBidi" w:hAnsiTheme="majorBidi" w:cstheme="majorBidi"/>
        </w:rPr>
        <w:t>supply chain disruptions and the energy price shock provoked by geopolitical tensions, have intensified inflationary pressures</w:t>
      </w:r>
      <w:r w:rsidR="003401BD" w:rsidRPr="005904DC">
        <w:rPr>
          <w:rFonts w:asciiTheme="majorBidi" w:hAnsiTheme="majorBidi" w:cstheme="majorBidi"/>
        </w:rPr>
        <w:t xml:space="preserve"> (</w:t>
      </w:r>
      <w:proofErr w:type="spellStart"/>
      <w:r w:rsidR="003401BD" w:rsidRPr="005904DC">
        <w:rPr>
          <w:rFonts w:asciiTheme="majorBidi" w:hAnsiTheme="majorBidi" w:cstheme="majorBidi"/>
        </w:rPr>
        <w:t>Asadollah</w:t>
      </w:r>
      <w:proofErr w:type="spellEnd"/>
      <w:r w:rsidR="003401BD" w:rsidRPr="005904DC">
        <w:rPr>
          <w:rFonts w:asciiTheme="majorBidi" w:hAnsiTheme="majorBidi" w:cstheme="majorBidi"/>
        </w:rPr>
        <w:t>, et al., 2024)</w:t>
      </w:r>
      <w:r w:rsidRPr="005904DC">
        <w:rPr>
          <w:rFonts w:asciiTheme="majorBidi" w:hAnsiTheme="majorBidi" w:cstheme="majorBidi"/>
        </w:rPr>
        <w:t xml:space="preserve">. Additionally, we can </w:t>
      </w:r>
      <w:r w:rsidR="00761C70" w:rsidRPr="005904DC">
        <w:rPr>
          <w:rFonts w:asciiTheme="majorBidi" w:hAnsiTheme="majorBidi" w:cstheme="majorBidi"/>
        </w:rPr>
        <w:t xml:space="preserve">see currency devaluation, as seen with sterling volatility after </w:t>
      </w:r>
      <w:r w:rsidRPr="005904DC">
        <w:rPr>
          <w:rFonts w:asciiTheme="majorBidi" w:hAnsiTheme="majorBidi" w:cstheme="majorBidi"/>
        </w:rPr>
        <w:t xml:space="preserve">Brexit, which increases the cost of imports and consequently contributes to domestic price levels. The </w:t>
      </w:r>
      <w:r w:rsidR="00761C70" w:rsidRPr="005904DC">
        <w:rPr>
          <w:rFonts w:asciiTheme="majorBidi" w:hAnsiTheme="majorBidi" w:cstheme="majorBidi"/>
        </w:rPr>
        <w:t>BoE's interest-rate changes are the primary weapon in the fight against inflation: an increase in interest rates will restrain borrowing, slow consumption and investment, and eventually slow the rise in</w:t>
      </w:r>
      <w:r w:rsidRPr="005904DC">
        <w:rPr>
          <w:rFonts w:asciiTheme="majorBidi" w:hAnsiTheme="majorBidi" w:cstheme="majorBidi"/>
        </w:rPr>
        <w:t xml:space="preserve"> prices. On the other hand, low rates encourage borrowing and consumption</w:t>
      </w:r>
      <w:r w:rsidR="00761C70" w:rsidRPr="005904DC">
        <w:rPr>
          <w:rFonts w:asciiTheme="majorBidi" w:hAnsiTheme="majorBidi" w:cstheme="majorBidi"/>
        </w:rPr>
        <w:t>,</w:t>
      </w:r>
      <w:r w:rsidRPr="005904DC">
        <w:rPr>
          <w:rFonts w:asciiTheme="majorBidi" w:hAnsiTheme="majorBidi" w:cstheme="majorBidi"/>
        </w:rPr>
        <w:t xml:space="preserve"> though this is at the expense of stoking inflation. </w:t>
      </w:r>
    </w:p>
    <w:p w14:paraId="1AC075A3" w14:textId="56AD1824" w:rsidR="00F77172" w:rsidRPr="005904DC" w:rsidRDefault="00761C70" w:rsidP="00630DA9">
      <w:pPr>
        <w:jc w:val="both"/>
        <w:rPr>
          <w:rFonts w:asciiTheme="majorBidi" w:hAnsiTheme="majorBidi" w:cstheme="majorBidi"/>
        </w:rPr>
      </w:pPr>
      <w:r w:rsidRPr="005904DC">
        <w:rPr>
          <w:rFonts w:asciiTheme="majorBidi" w:hAnsiTheme="majorBidi" w:cstheme="majorBidi"/>
        </w:rPr>
        <w:t>Several moderating variables</w:t>
      </w:r>
      <w:r w:rsidR="003401BD" w:rsidRPr="005904DC">
        <w:rPr>
          <w:rFonts w:asciiTheme="majorBidi" w:hAnsiTheme="majorBidi" w:cstheme="majorBidi"/>
        </w:rPr>
        <w:t xml:space="preserve"> such as investor sentiment, exchange rate movements, fiscal policy, corporate earnings, sectoral differences, or global economic conditions</w:t>
      </w:r>
      <w:r w:rsidRPr="005904DC">
        <w:rPr>
          <w:rFonts w:asciiTheme="majorBidi" w:hAnsiTheme="majorBidi" w:cstheme="majorBidi"/>
        </w:rPr>
        <w:t xml:space="preserve"> </w:t>
      </w:r>
      <w:r w:rsidR="00F77172" w:rsidRPr="005904DC">
        <w:rPr>
          <w:rFonts w:asciiTheme="majorBidi" w:hAnsiTheme="majorBidi" w:cstheme="majorBidi"/>
        </w:rPr>
        <w:t xml:space="preserve">determine the relationship between changes in inflation and interest rates and stock-market performance. Corporate earnings projections are </w:t>
      </w:r>
      <w:r w:rsidRPr="005904DC">
        <w:rPr>
          <w:rFonts w:asciiTheme="majorBidi" w:hAnsiTheme="majorBidi" w:cstheme="majorBidi"/>
        </w:rPr>
        <w:t xml:space="preserve">among the major factors: an increase in inflation may reduce consumer buying power, weakening demand and </w:t>
      </w:r>
      <w:r w:rsidR="00F77172" w:rsidRPr="005904DC">
        <w:rPr>
          <w:rFonts w:asciiTheme="majorBidi" w:hAnsiTheme="majorBidi" w:cstheme="majorBidi"/>
        </w:rPr>
        <w:t>firm revenues. Areas that are highly dependent on discretionary spending</w:t>
      </w:r>
      <w:r w:rsidRPr="005904DC">
        <w:rPr>
          <w:rFonts w:asciiTheme="majorBidi" w:hAnsiTheme="majorBidi" w:cstheme="majorBidi"/>
        </w:rPr>
        <w:t>, like retail,</w:t>
      </w:r>
      <w:r w:rsidR="00F77172" w:rsidRPr="005904DC">
        <w:rPr>
          <w:rFonts w:asciiTheme="majorBidi" w:hAnsiTheme="majorBidi" w:cstheme="majorBidi"/>
        </w:rPr>
        <w:t xml:space="preserve"> are sensitive. On the other hand, commodity-intensive industries can </w:t>
      </w:r>
      <w:r w:rsidRPr="005904DC">
        <w:rPr>
          <w:rFonts w:asciiTheme="majorBidi" w:hAnsiTheme="majorBidi" w:cstheme="majorBidi"/>
        </w:rPr>
        <w:t>benefit from higher</w:t>
      </w:r>
      <w:r w:rsidR="00F77172" w:rsidRPr="005904DC">
        <w:rPr>
          <w:rFonts w:asciiTheme="majorBidi" w:hAnsiTheme="majorBidi" w:cstheme="majorBidi"/>
        </w:rPr>
        <w:t xml:space="preserve"> prices. Rises in interest rates have </w:t>
      </w:r>
      <w:r w:rsidRPr="005904DC">
        <w:rPr>
          <w:rFonts w:asciiTheme="majorBidi" w:hAnsiTheme="majorBidi" w:cstheme="majorBidi"/>
        </w:rPr>
        <w:t>adverse effects, including higher borrowing costs for firms, reduced capital spending, and lower valuations due to higher discount rates applied to</w:t>
      </w:r>
      <w:r w:rsidR="00F77172" w:rsidRPr="005904DC">
        <w:rPr>
          <w:rFonts w:asciiTheme="majorBidi" w:hAnsiTheme="majorBidi" w:cstheme="majorBidi"/>
        </w:rPr>
        <w:t xml:space="preserve"> future cash flows</w:t>
      </w:r>
      <w:r w:rsidR="005635CD" w:rsidRPr="005904DC">
        <w:rPr>
          <w:rFonts w:asciiTheme="majorBidi" w:hAnsiTheme="majorBidi" w:cstheme="majorBidi"/>
        </w:rPr>
        <w:t xml:space="preserve"> (Ahmed, et al., 2023)</w:t>
      </w:r>
      <w:r w:rsidR="00F77172" w:rsidRPr="005904DC">
        <w:rPr>
          <w:rFonts w:asciiTheme="majorBidi" w:hAnsiTheme="majorBidi" w:cstheme="majorBidi"/>
        </w:rPr>
        <w:t>. Economic trends, exchange rate fluctuations</w:t>
      </w:r>
      <w:r w:rsidRPr="005904DC">
        <w:rPr>
          <w:rFonts w:asciiTheme="majorBidi" w:hAnsiTheme="majorBidi" w:cstheme="majorBidi"/>
        </w:rPr>
        <w:t>, and market expectations are other factors that affect valuations, particularly for</w:t>
      </w:r>
      <w:r w:rsidR="00F77172" w:rsidRPr="005904DC">
        <w:rPr>
          <w:rFonts w:asciiTheme="majorBidi" w:hAnsiTheme="majorBidi" w:cstheme="majorBidi"/>
        </w:rPr>
        <w:t xml:space="preserve"> multinational UK companies whose profits are affected by demand and changes in overseas markets and currencies.</w:t>
      </w:r>
    </w:p>
    <w:p w14:paraId="7F75200D" w14:textId="6EB105A0" w:rsidR="00403F63" w:rsidRPr="005904DC" w:rsidRDefault="00F77172" w:rsidP="00630DA9">
      <w:pPr>
        <w:jc w:val="both"/>
        <w:rPr>
          <w:rFonts w:asciiTheme="majorBidi" w:hAnsiTheme="majorBidi" w:cstheme="majorBidi"/>
        </w:rPr>
      </w:pPr>
      <w:r w:rsidRPr="005904DC">
        <w:rPr>
          <w:rFonts w:asciiTheme="majorBidi" w:hAnsiTheme="majorBidi" w:cstheme="majorBidi"/>
        </w:rPr>
        <w:t xml:space="preserve">The combined effect of inflation and interest rates on </w:t>
      </w:r>
      <w:r w:rsidR="00761C70" w:rsidRPr="005904DC">
        <w:rPr>
          <w:rFonts w:asciiTheme="majorBidi" w:hAnsiTheme="majorBidi" w:cstheme="majorBidi"/>
        </w:rPr>
        <w:t>the equity market can be identified in both the positive and negative aspects</w:t>
      </w:r>
      <w:r w:rsidRPr="005904DC">
        <w:rPr>
          <w:rFonts w:asciiTheme="majorBidi" w:hAnsiTheme="majorBidi" w:cstheme="majorBidi"/>
        </w:rPr>
        <w:t xml:space="preserve">. On the positive </w:t>
      </w:r>
      <w:r w:rsidR="00761C70" w:rsidRPr="005904DC">
        <w:rPr>
          <w:rFonts w:asciiTheme="majorBidi" w:hAnsiTheme="majorBidi" w:cstheme="majorBidi"/>
        </w:rPr>
        <w:t>side, moderate inflation can also signal strong economic performance and rising corporate revenues, thereby</w:t>
      </w:r>
      <w:r w:rsidRPr="005904DC">
        <w:rPr>
          <w:rFonts w:asciiTheme="majorBidi" w:hAnsiTheme="majorBidi" w:cstheme="majorBidi"/>
        </w:rPr>
        <w:t xml:space="preserve"> supporting equity prices</w:t>
      </w:r>
      <w:r w:rsidR="005635CD" w:rsidRPr="005904DC">
        <w:rPr>
          <w:rFonts w:asciiTheme="majorBidi" w:hAnsiTheme="majorBidi" w:cstheme="majorBidi"/>
        </w:rPr>
        <w:t xml:space="preserve"> (Akarsu and </w:t>
      </w:r>
      <w:proofErr w:type="spellStart"/>
      <w:r w:rsidR="005635CD" w:rsidRPr="005904DC">
        <w:rPr>
          <w:rFonts w:asciiTheme="majorBidi" w:hAnsiTheme="majorBidi" w:cstheme="majorBidi"/>
        </w:rPr>
        <w:t>Aktung</w:t>
      </w:r>
      <w:proofErr w:type="spellEnd"/>
      <w:r w:rsidR="005635CD" w:rsidRPr="005904DC">
        <w:rPr>
          <w:rFonts w:asciiTheme="majorBidi" w:hAnsiTheme="majorBidi" w:cstheme="majorBidi"/>
        </w:rPr>
        <w:t>, 2025)</w:t>
      </w:r>
      <w:r w:rsidRPr="005904DC">
        <w:rPr>
          <w:rFonts w:asciiTheme="majorBidi" w:hAnsiTheme="majorBidi" w:cstheme="majorBidi"/>
        </w:rPr>
        <w:t>. Some sectors, especially energy, consumer goods</w:t>
      </w:r>
      <w:r w:rsidR="00761C70" w:rsidRPr="005904DC">
        <w:rPr>
          <w:rFonts w:asciiTheme="majorBidi" w:hAnsiTheme="majorBidi" w:cstheme="majorBidi"/>
        </w:rPr>
        <w:t>, and materials, tend to pass a larger share of expenses to end users while</w:t>
      </w:r>
      <w:r w:rsidRPr="005904DC">
        <w:rPr>
          <w:rFonts w:asciiTheme="majorBidi" w:hAnsiTheme="majorBidi" w:cstheme="majorBidi"/>
        </w:rPr>
        <w:t xml:space="preserve"> maintaining profit margins. Moreover, the improved rates also help financial institutions</w:t>
      </w:r>
      <w:r w:rsidR="00761C70" w:rsidRPr="005904DC">
        <w:rPr>
          <w:rFonts w:asciiTheme="majorBidi" w:hAnsiTheme="majorBidi" w:cstheme="majorBidi"/>
        </w:rPr>
        <w:t>, such as banks, increase their</w:t>
      </w:r>
      <w:r w:rsidRPr="005904DC">
        <w:rPr>
          <w:rFonts w:asciiTheme="majorBidi" w:hAnsiTheme="majorBidi" w:cstheme="majorBidi"/>
        </w:rPr>
        <w:t xml:space="preserve"> net interest margins</w:t>
      </w:r>
      <w:r w:rsidR="003401BD" w:rsidRPr="005904DC">
        <w:rPr>
          <w:rFonts w:asciiTheme="majorBidi" w:hAnsiTheme="majorBidi" w:cstheme="majorBidi"/>
        </w:rPr>
        <w:t xml:space="preserve"> as it allows banks to charge on loans more even though deposits costs are rising that widens the gap to for their net interest</w:t>
      </w:r>
      <w:r w:rsidRPr="005904DC">
        <w:rPr>
          <w:rFonts w:asciiTheme="majorBidi" w:hAnsiTheme="majorBidi" w:cstheme="majorBidi"/>
        </w:rPr>
        <w:t xml:space="preserve">. The </w:t>
      </w:r>
      <w:r w:rsidR="00761C70" w:rsidRPr="005904DC">
        <w:rPr>
          <w:rFonts w:asciiTheme="majorBidi" w:hAnsiTheme="majorBidi" w:cstheme="majorBidi"/>
        </w:rPr>
        <w:t xml:space="preserve">opposite is true: during </w:t>
      </w:r>
      <w:r w:rsidRPr="005904DC">
        <w:rPr>
          <w:rFonts w:asciiTheme="majorBidi" w:hAnsiTheme="majorBidi" w:cstheme="majorBidi"/>
        </w:rPr>
        <w:t xml:space="preserve">steep inflation or aggressive rate tightening, the negative </w:t>
      </w:r>
      <w:r w:rsidRPr="005904DC">
        <w:rPr>
          <w:rFonts w:asciiTheme="majorBidi" w:hAnsiTheme="majorBidi" w:cstheme="majorBidi"/>
        </w:rPr>
        <w:lastRenderedPageBreak/>
        <w:t xml:space="preserve">ramifications dominate. High inflation reduces real returns, decreases disposable income, increases </w:t>
      </w:r>
      <w:r w:rsidR="00761C70" w:rsidRPr="005904DC">
        <w:rPr>
          <w:rFonts w:asciiTheme="majorBidi" w:hAnsiTheme="majorBidi" w:cstheme="majorBidi"/>
        </w:rPr>
        <w:t>operational costs, and reduces consumer confidence, all of which lower market performance</w:t>
      </w:r>
      <w:r w:rsidRPr="005904DC">
        <w:rPr>
          <w:rFonts w:asciiTheme="majorBidi" w:hAnsiTheme="majorBidi" w:cstheme="majorBidi"/>
        </w:rPr>
        <w:t xml:space="preserve">. </w:t>
      </w:r>
    </w:p>
    <w:p w14:paraId="325346CE" w14:textId="43E55F6D" w:rsidR="00F77172" w:rsidRPr="005904DC" w:rsidRDefault="00F77172" w:rsidP="00630DA9">
      <w:pPr>
        <w:jc w:val="both"/>
        <w:rPr>
          <w:rFonts w:asciiTheme="majorBidi" w:hAnsiTheme="majorBidi" w:cstheme="majorBidi"/>
        </w:rPr>
      </w:pPr>
      <w:r w:rsidRPr="005904DC">
        <w:rPr>
          <w:rFonts w:asciiTheme="majorBidi" w:hAnsiTheme="majorBidi" w:cstheme="majorBidi"/>
        </w:rPr>
        <w:t>The involvement of different stakeholders</w:t>
      </w:r>
      <w:r w:rsidR="005635CD" w:rsidRPr="005904DC">
        <w:rPr>
          <w:rFonts w:asciiTheme="majorBidi" w:hAnsiTheme="majorBidi" w:cstheme="majorBidi"/>
        </w:rPr>
        <w:t xml:space="preserve">, </w:t>
      </w:r>
      <w:r w:rsidR="00761C70" w:rsidRPr="005904DC">
        <w:rPr>
          <w:rFonts w:asciiTheme="majorBidi" w:hAnsiTheme="majorBidi" w:cstheme="majorBidi"/>
        </w:rPr>
        <w:t>mostly the BoE, government policymakers, and corporate managers</w:t>
      </w:r>
      <w:r w:rsidR="005635CD" w:rsidRPr="005904DC">
        <w:rPr>
          <w:rFonts w:asciiTheme="majorBidi" w:hAnsiTheme="majorBidi" w:cstheme="majorBidi"/>
        </w:rPr>
        <w:t xml:space="preserve">, </w:t>
      </w:r>
      <w:r w:rsidR="00761C70" w:rsidRPr="005904DC">
        <w:rPr>
          <w:rFonts w:asciiTheme="majorBidi" w:hAnsiTheme="majorBidi" w:cstheme="majorBidi"/>
        </w:rPr>
        <w:t>should play a central role in shaping</w:t>
      </w:r>
      <w:r w:rsidRPr="005904DC">
        <w:rPr>
          <w:rFonts w:asciiTheme="majorBidi" w:hAnsiTheme="majorBidi" w:cstheme="majorBidi"/>
        </w:rPr>
        <w:t xml:space="preserve"> the results. Whether </w:t>
      </w:r>
      <w:r w:rsidR="00761C70" w:rsidRPr="005904DC">
        <w:rPr>
          <w:rFonts w:asciiTheme="majorBidi" w:hAnsiTheme="majorBidi" w:cstheme="majorBidi"/>
        </w:rPr>
        <w:t>the BoE increases or reduces interest rates or engages in quantitative tightening has a direct impact on the inflationary process and market liquidity</w:t>
      </w:r>
      <w:r w:rsidR="005635CD" w:rsidRPr="005904DC">
        <w:rPr>
          <w:rFonts w:asciiTheme="majorBidi" w:hAnsiTheme="majorBidi" w:cstheme="majorBidi"/>
        </w:rPr>
        <w:t xml:space="preserve"> (Shchapov, 2024)</w:t>
      </w:r>
      <w:r w:rsidRPr="005904DC">
        <w:rPr>
          <w:rFonts w:asciiTheme="majorBidi" w:hAnsiTheme="majorBidi" w:cstheme="majorBidi"/>
        </w:rPr>
        <w:t xml:space="preserve">. Fiscal policy can play up or down with monetary </w:t>
      </w:r>
      <w:r w:rsidR="00761C70" w:rsidRPr="005904DC">
        <w:rPr>
          <w:rFonts w:asciiTheme="majorBidi" w:hAnsiTheme="majorBidi" w:cstheme="majorBidi"/>
        </w:rPr>
        <w:t>policy; for example, using</w:t>
      </w:r>
      <w:r w:rsidRPr="005904DC">
        <w:rPr>
          <w:rFonts w:asciiTheme="majorBidi" w:hAnsiTheme="majorBidi" w:cstheme="majorBidi"/>
        </w:rPr>
        <w:t xml:space="preserve"> borrowed funds to finance spending programmes can boost demand and increase inflation, making rate policy more difficult. Companies adjust their strategies </w:t>
      </w:r>
      <w:r w:rsidR="00761C70" w:rsidRPr="005904DC">
        <w:rPr>
          <w:rFonts w:asciiTheme="majorBidi" w:hAnsiTheme="majorBidi" w:cstheme="majorBidi"/>
        </w:rPr>
        <w:t>by reshaping costs, updating projections, and</w:t>
      </w:r>
      <w:r w:rsidRPr="005904DC">
        <w:rPr>
          <w:rFonts w:asciiTheme="majorBidi" w:hAnsiTheme="majorBidi" w:cstheme="majorBidi"/>
        </w:rPr>
        <w:t xml:space="preserve"> hedging against interest-rate or price risks. Investors even react to </w:t>
      </w:r>
      <w:r w:rsidR="00761C70" w:rsidRPr="005904DC">
        <w:rPr>
          <w:rFonts w:asciiTheme="majorBidi" w:hAnsiTheme="majorBidi" w:cstheme="majorBidi"/>
        </w:rPr>
        <w:t>changing market signals, thereby affecting equity demand and prices through</w:t>
      </w:r>
      <w:r w:rsidRPr="005904DC">
        <w:rPr>
          <w:rFonts w:asciiTheme="majorBidi" w:hAnsiTheme="majorBidi" w:cstheme="majorBidi"/>
        </w:rPr>
        <w:t xml:space="preserve"> their investment choices.</w:t>
      </w:r>
    </w:p>
    <w:p w14:paraId="482F6007" w14:textId="4EC614B1" w:rsidR="00F77172" w:rsidRPr="005904DC" w:rsidRDefault="00F77172" w:rsidP="00630DA9">
      <w:pPr>
        <w:jc w:val="both"/>
        <w:rPr>
          <w:rFonts w:asciiTheme="majorBidi" w:hAnsiTheme="majorBidi" w:cstheme="majorBidi"/>
        </w:rPr>
      </w:pPr>
      <w:r w:rsidRPr="005904DC">
        <w:rPr>
          <w:rFonts w:asciiTheme="majorBidi" w:hAnsiTheme="majorBidi" w:cstheme="majorBidi"/>
        </w:rPr>
        <w:t xml:space="preserve">Nevertheless, </w:t>
      </w:r>
      <w:r w:rsidR="00761C70" w:rsidRPr="005904DC">
        <w:rPr>
          <w:rFonts w:asciiTheme="majorBidi" w:hAnsiTheme="majorBidi" w:cstheme="majorBidi"/>
        </w:rPr>
        <w:t>despite all the theoretically foreseeable interrelationships, many challenges obscure the empirical relationships among inflation, interest rates, and the performance of the stock market</w:t>
      </w:r>
      <w:r w:rsidRPr="005904DC">
        <w:rPr>
          <w:rFonts w:asciiTheme="majorBidi" w:hAnsiTheme="majorBidi" w:cstheme="majorBidi"/>
        </w:rPr>
        <w:t xml:space="preserve">. Reactions in the market are usually </w:t>
      </w:r>
      <w:r w:rsidR="00761C70" w:rsidRPr="005904DC">
        <w:rPr>
          <w:rFonts w:asciiTheme="majorBidi" w:hAnsiTheme="majorBidi" w:cstheme="majorBidi"/>
        </w:rPr>
        <w:t>driven by expectations rather than actual policy changes, which</w:t>
      </w:r>
      <w:r w:rsidRPr="005904DC">
        <w:rPr>
          <w:rFonts w:asciiTheme="majorBidi" w:hAnsiTheme="majorBidi" w:cstheme="majorBidi"/>
        </w:rPr>
        <w:t xml:space="preserve"> creates volatility. The global shocks, </w:t>
      </w:r>
      <w:r w:rsidR="009F2B7D" w:rsidRPr="005904DC">
        <w:rPr>
          <w:rFonts w:asciiTheme="majorBidi" w:hAnsiTheme="majorBidi" w:cstheme="majorBidi"/>
        </w:rPr>
        <w:t>such as</w:t>
      </w:r>
      <w:r w:rsidRPr="005904DC">
        <w:rPr>
          <w:rFonts w:asciiTheme="majorBidi" w:hAnsiTheme="majorBidi" w:cstheme="majorBidi"/>
        </w:rPr>
        <w:t xml:space="preserve"> pandemics or geopolitical conflicts, increase the inflationary pressure that cannot be regulated internally and the ineffectiveness of policies</w:t>
      </w:r>
      <w:r w:rsidR="005635CD" w:rsidRPr="005904DC">
        <w:rPr>
          <w:rFonts w:asciiTheme="majorBidi" w:hAnsiTheme="majorBidi" w:cstheme="majorBidi"/>
        </w:rPr>
        <w:t xml:space="preserve"> (Desalegn, et al., 2022)</w:t>
      </w:r>
      <w:r w:rsidRPr="005904DC">
        <w:rPr>
          <w:rFonts w:asciiTheme="majorBidi" w:hAnsiTheme="majorBidi" w:cstheme="majorBidi"/>
        </w:rPr>
        <w:t xml:space="preserve">. Unequal sectoral reactions also </w:t>
      </w:r>
      <w:r w:rsidR="00761C70" w:rsidRPr="005904DC">
        <w:rPr>
          <w:rFonts w:asciiTheme="majorBidi" w:hAnsiTheme="majorBidi" w:cstheme="majorBidi"/>
        </w:rPr>
        <w:t>create unequal index performance,</w:t>
      </w:r>
      <w:r w:rsidRPr="005904DC">
        <w:rPr>
          <w:rFonts w:asciiTheme="majorBidi" w:hAnsiTheme="majorBidi" w:cstheme="majorBidi"/>
        </w:rPr>
        <w:t xml:space="preserve"> with some industries benefiting and others experiencing losses. In addition, the delay in relaying </w:t>
      </w:r>
      <w:r w:rsidR="00761C70" w:rsidRPr="005904DC">
        <w:rPr>
          <w:rFonts w:asciiTheme="majorBidi" w:hAnsiTheme="majorBidi" w:cstheme="majorBidi"/>
        </w:rPr>
        <w:t>interest-rate changes makes it difficult to plan policy and investment decisions</w:t>
      </w:r>
      <w:r w:rsidRPr="005904DC">
        <w:rPr>
          <w:rFonts w:asciiTheme="majorBidi" w:hAnsiTheme="majorBidi" w:cstheme="majorBidi"/>
        </w:rPr>
        <w:t xml:space="preserve">. </w:t>
      </w:r>
    </w:p>
    <w:p w14:paraId="5F492615" w14:textId="4A950A4F" w:rsidR="00220304" w:rsidRPr="005904DC" w:rsidRDefault="00220304" w:rsidP="00630DA9">
      <w:pPr>
        <w:pStyle w:val="Heading2"/>
        <w:spacing w:before="120" w:after="120"/>
        <w:jc w:val="both"/>
        <w:rPr>
          <w:rFonts w:asciiTheme="majorBidi" w:hAnsiTheme="majorBidi"/>
        </w:rPr>
      </w:pPr>
      <w:bookmarkStart w:id="2" w:name="_Toc220875007"/>
      <w:r w:rsidRPr="005904DC">
        <w:rPr>
          <w:rFonts w:asciiTheme="majorBidi" w:hAnsiTheme="majorBidi"/>
        </w:rPr>
        <w:t>1.2 Problem Statement</w:t>
      </w:r>
      <w:bookmarkEnd w:id="2"/>
    </w:p>
    <w:p w14:paraId="29A914EE" w14:textId="003BCDD5" w:rsidR="00F77172" w:rsidRPr="005904DC" w:rsidRDefault="00F77172" w:rsidP="00630DA9">
      <w:pPr>
        <w:jc w:val="both"/>
        <w:rPr>
          <w:rFonts w:asciiTheme="majorBidi" w:hAnsiTheme="majorBidi" w:cstheme="majorBidi"/>
        </w:rPr>
      </w:pPr>
      <w:r w:rsidRPr="005904DC">
        <w:rPr>
          <w:rFonts w:asciiTheme="majorBidi" w:hAnsiTheme="majorBidi" w:cstheme="majorBidi"/>
        </w:rPr>
        <w:t xml:space="preserve">Constant changes </w:t>
      </w:r>
      <w:r w:rsidR="00761C70" w:rsidRPr="005904DC">
        <w:rPr>
          <w:rFonts w:asciiTheme="majorBidi" w:hAnsiTheme="majorBidi" w:cstheme="majorBidi"/>
        </w:rPr>
        <w:t xml:space="preserve">in inflation and interest rates in the United Kingdom raise uncertainty about the performance of the stock market, hence </w:t>
      </w:r>
      <w:r w:rsidRPr="005904DC">
        <w:rPr>
          <w:rFonts w:asciiTheme="majorBidi" w:hAnsiTheme="majorBidi" w:cstheme="majorBidi"/>
        </w:rPr>
        <w:t>investment decisions, corporate planning, and economic stability</w:t>
      </w:r>
      <w:r w:rsidR="005635CD" w:rsidRPr="005904DC">
        <w:rPr>
          <w:rFonts w:asciiTheme="majorBidi" w:hAnsiTheme="majorBidi" w:cstheme="majorBidi"/>
        </w:rPr>
        <w:t xml:space="preserve"> (Koroma and Bein, 2024)</w:t>
      </w:r>
      <w:r w:rsidRPr="005904DC">
        <w:rPr>
          <w:rFonts w:asciiTheme="majorBidi" w:hAnsiTheme="majorBidi" w:cstheme="majorBidi"/>
        </w:rPr>
        <w:t xml:space="preserve">. Although past research has </w:t>
      </w:r>
      <w:r w:rsidR="00761C70" w:rsidRPr="005904DC">
        <w:rPr>
          <w:rFonts w:asciiTheme="majorBidi" w:hAnsiTheme="majorBidi" w:cstheme="majorBidi"/>
        </w:rPr>
        <w:t xml:space="preserve">recognised the role of inflation and monetary policy in equity markets, most of the evidence is global or US-centric, with little analysis of the UK and no consideration of current shocks such as Brexit, the COVID-19 pandemic, and the </w:t>
      </w:r>
      <w:r w:rsidRPr="005904DC">
        <w:rPr>
          <w:rFonts w:asciiTheme="majorBidi" w:hAnsiTheme="majorBidi" w:cstheme="majorBidi"/>
        </w:rPr>
        <w:t xml:space="preserve">ensuing monetary tightening. Moreover, the literature currently tends to separate </w:t>
      </w:r>
      <w:r w:rsidR="00761C70" w:rsidRPr="005904DC">
        <w:rPr>
          <w:rFonts w:asciiTheme="majorBidi" w:hAnsiTheme="majorBidi" w:cstheme="majorBidi"/>
        </w:rPr>
        <w:t xml:space="preserve">inflation and interest rates rather than examine their joint impact </w:t>
      </w:r>
      <w:r w:rsidRPr="005904DC">
        <w:rPr>
          <w:rFonts w:asciiTheme="majorBidi" w:hAnsiTheme="majorBidi" w:cstheme="majorBidi"/>
        </w:rPr>
        <w:t xml:space="preserve">on sectoral performance and investor behaviour. This paper fills these gaps by examining the combined </w:t>
      </w:r>
      <w:r w:rsidR="00761C70" w:rsidRPr="005904DC">
        <w:rPr>
          <w:rFonts w:asciiTheme="majorBidi" w:hAnsiTheme="majorBidi" w:cstheme="majorBidi"/>
        </w:rPr>
        <w:t xml:space="preserve">effects of inflation and interest-rate fluctuations on the performance of the UK stock market, providing new context-specific </w:t>
      </w:r>
      <w:r w:rsidR="00761C70" w:rsidRPr="005904DC">
        <w:rPr>
          <w:rFonts w:asciiTheme="majorBidi" w:hAnsiTheme="majorBidi" w:cstheme="majorBidi"/>
        </w:rPr>
        <w:lastRenderedPageBreak/>
        <w:t>insights that help</w:t>
      </w:r>
      <w:r w:rsidRPr="005904DC">
        <w:rPr>
          <w:rFonts w:asciiTheme="majorBidi" w:hAnsiTheme="majorBidi" w:cstheme="majorBidi"/>
        </w:rPr>
        <w:t xml:space="preserve"> investors, policymakers, and companies make more informed decisions in a less stable macroeconomic environment.</w:t>
      </w:r>
    </w:p>
    <w:p w14:paraId="2D2D2E24" w14:textId="7307C929" w:rsidR="00220304" w:rsidRPr="005904DC" w:rsidRDefault="00220304" w:rsidP="00630DA9">
      <w:pPr>
        <w:pStyle w:val="Heading2"/>
        <w:spacing w:before="120" w:after="120"/>
        <w:jc w:val="both"/>
        <w:rPr>
          <w:rFonts w:asciiTheme="majorBidi" w:hAnsiTheme="majorBidi"/>
        </w:rPr>
      </w:pPr>
      <w:bookmarkStart w:id="3" w:name="_Toc220875008"/>
      <w:r w:rsidRPr="005904DC">
        <w:rPr>
          <w:rFonts w:asciiTheme="majorBidi" w:hAnsiTheme="majorBidi"/>
        </w:rPr>
        <w:t>1.3 Aims and Objectives</w:t>
      </w:r>
      <w:bookmarkEnd w:id="3"/>
    </w:p>
    <w:p w14:paraId="6E724F91" w14:textId="25C58ED2" w:rsidR="00F77172" w:rsidRPr="005904DC" w:rsidRDefault="00F77172" w:rsidP="00630DA9">
      <w:pPr>
        <w:jc w:val="both"/>
        <w:rPr>
          <w:rFonts w:asciiTheme="majorBidi" w:hAnsiTheme="majorBidi" w:cstheme="majorBidi"/>
          <w:b/>
          <w:bCs/>
        </w:rPr>
      </w:pPr>
      <w:r w:rsidRPr="005904DC">
        <w:rPr>
          <w:rFonts w:asciiTheme="majorBidi" w:hAnsiTheme="majorBidi" w:cstheme="majorBidi"/>
          <w:b/>
          <w:bCs/>
        </w:rPr>
        <w:t xml:space="preserve">Aim </w:t>
      </w:r>
    </w:p>
    <w:p w14:paraId="2B8C61B6" w14:textId="549E4C10" w:rsidR="00F77172" w:rsidRPr="005904DC" w:rsidRDefault="00F77172" w:rsidP="00630DA9">
      <w:pPr>
        <w:jc w:val="both"/>
        <w:rPr>
          <w:rFonts w:asciiTheme="majorBidi" w:hAnsiTheme="majorBidi" w:cstheme="majorBidi"/>
        </w:rPr>
      </w:pPr>
      <w:r w:rsidRPr="005904DC">
        <w:rPr>
          <w:rFonts w:asciiTheme="majorBidi" w:hAnsiTheme="majorBidi" w:cstheme="majorBidi"/>
        </w:rPr>
        <w:t xml:space="preserve">To examine the </w:t>
      </w:r>
      <w:r w:rsidR="00761C70" w:rsidRPr="005904DC">
        <w:rPr>
          <w:rFonts w:asciiTheme="majorBidi" w:hAnsiTheme="majorBidi" w:cstheme="majorBidi"/>
        </w:rPr>
        <w:t>effects of inflation and interest-rate variations on the performance of UK stock markets, in a way that aids informed decision-making in investment, policy-making, and</w:t>
      </w:r>
      <w:r w:rsidRPr="005904DC">
        <w:rPr>
          <w:rFonts w:asciiTheme="majorBidi" w:hAnsiTheme="majorBidi" w:cstheme="majorBidi"/>
        </w:rPr>
        <w:t xml:space="preserve"> financial risk management.</w:t>
      </w:r>
    </w:p>
    <w:p w14:paraId="438D4AC0" w14:textId="77777777" w:rsidR="00F77172" w:rsidRPr="005904DC" w:rsidRDefault="00F77172" w:rsidP="00630DA9">
      <w:pPr>
        <w:jc w:val="both"/>
        <w:rPr>
          <w:rFonts w:asciiTheme="majorBidi" w:hAnsiTheme="majorBidi" w:cstheme="majorBidi"/>
          <w:b/>
          <w:bCs/>
        </w:rPr>
      </w:pPr>
      <w:r w:rsidRPr="005904DC">
        <w:rPr>
          <w:rFonts w:asciiTheme="majorBidi" w:hAnsiTheme="majorBidi" w:cstheme="majorBidi"/>
          <w:b/>
          <w:bCs/>
        </w:rPr>
        <w:t>Objectives</w:t>
      </w:r>
    </w:p>
    <w:p w14:paraId="1E79741B" w14:textId="43FC9AAD" w:rsidR="00F77172" w:rsidRPr="005904DC" w:rsidRDefault="00F77172" w:rsidP="00630DA9">
      <w:pPr>
        <w:jc w:val="both"/>
        <w:rPr>
          <w:rFonts w:asciiTheme="majorBidi" w:hAnsiTheme="majorBidi" w:cstheme="majorBidi"/>
        </w:rPr>
      </w:pPr>
      <w:r w:rsidRPr="005904DC">
        <w:rPr>
          <w:rFonts w:asciiTheme="majorBidi" w:hAnsiTheme="majorBidi" w:cstheme="majorBidi"/>
        </w:rPr>
        <w:t xml:space="preserve">1. To analyse how inflation and interest-rate policies affect the behaviour of the </w:t>
      </w:r>
      <w:r w:rsidR="00761C70" w:rsidRPr="005904DC">
        <w:rPr>
          <w:rFonts w:asciiTheme="majorBidi" w:hAnsiTheme="majorBidi" w:cstheme="majorBidi"/>
        </w:rPr>
        <w:t>stock market</w:t>
      </w:r>
      <w:r w:rsidRPr="005904DC">
        <w:rPr>
          <w:rFonts w:asciiTheme="majorBidi" w:hAnsiTheme="majorBidi" w:cstheme="majorBidi"/>
        </w:rPr>
        <w:t xml:space="preserve"> in the UK.</w:t>
      </w:r>
    </w:p>
    <w:p w14:paraId="3467E6CF" w14:textId="30C0E9A0" w:rsidR="00F77172" w:rsidRPr="005904DC" w:rsidRDefault="00F77172" w:rsidP="00630DA9">
      <w:pPr>
        <w:jc w:val="both"/>
        <w:rPr>
          <w:rFonts w:asciiTheme="majorBidi" w:hAnsiTheme="majorBidi" w:cstheme="majorBidi"/>
        </w:rPr>
      </w:pPr>
      <w:r w:rsidRPr="005904DC">
        <w:rPr>
          <w:rFonts w:asciiTheme="majorBidi" w:hAnsiTheme="majorBidi" w:cstheme="majorBidi"/>
        </w:rPr>
        <w:t xml:space="preserve">2. To establish the </w:t>
      </w:r>
      <w:r w:rsidR="00761C70" w:rsidRPr="005904DC">
        <w:rPr>
          <w:rFonts w:asciiTheme="majorBidi" w:hAnsiTheme="majorBidi" w:cstheme="majorBidi"/>
        </w:rPr>
        <w:t>significant</w:t>
      </w:r>
      <w:r w:rsidRPr="005904DC">
        <w:rPr>
          <w:rFonts w:asciiTheme="majorBidi" w:hAnsiTheme="majorBidi" w:cstheme="majorBidi"/>
        </w:rPr>
        <w:t xml:space="preserve"> economic and market variables determining the relationship between inflation, interest rates and equity performance.</w:t>
      </w:r>
    </w:p>
    <w:p w14:paraId="110E531E" w14:textId="77777777" w:rsidR="00F77172" w:rsidRPr="005904DC" w:rsidRDefault="00F77172" w:rsidP="00630DA9">
      <w:pPr>
        <w:jc w:val="both"/>
        <w:rPr>
          <w:rFonts w:asciiTheme="majorBidi" w:hAnsiTheme="majorBidi" w:cstheme="majorBidi"/>
        </w:rPr>
      </w:pPr>
      <w:r w:rsidRPr="005904DC">
        <w:rPr>
          <w:rFonts w:asciiTheme="majorBidi" w:hAnsiTheme="majorBidi" w:cstheme="majorBidi"/>
        </w:rPr>
        <w:t>3. To determine the effects, both negative and positive, that inflation and changes in interest rates have on various market segments.</w:t>
      </w:r>
    </w:p>
    <w:p w14:paraId="4CEE5651" w14:textId="5A3581CA" w:rsidR="00F77172" w:rsidRPr="005904DC" w:rsidRDefault="00F77172" w:rsidP="00630DA9">
      <w:pPr>
        <w:jc w:val="both"/>
        <w:rPr>
          <w:rFonts w:asciiTheme="majorBidi" w:hAnsiTheme="majorBidi" w:cstheme="majorBidi"/>
        </w:rPr>
      </w:pPr>
      <w:r w:rsidRPr="005904DC">
        <w:rPr>
          <w:rFonts w:asciiTheme="majorBidi" w:hAnsiTheme="majorBidi" w:cstheme="majorBidi"/>
        </w:rPr>
        <w:t xml:space="preserve">4. To </w:t>
      </w:r>
      <w:r w:rsidR="00761C70" w:rsidRPr="005904DC">
        <w:rPr>
          <w:rFonts w:asciiTheme="majorBidi" w:hAnsiTheme="majorBidi" w:cstheme="majorBidi"/>
        </w:rPr>
        <w:t>analyse</w:t>
      </w:r>
      <w:r w:rsidRPr="005904DC">
        <w:rPr>
          <w:rFonts w:asciiTheme="majorBidi" w:hAnsiTheme="majorBidi" w:cstheme="majorBidi"/>
        </w:rPr>
        <w:t xml:space="preserve"> the key issues that investors, firms and policymakers have encountered in their attempt to address these macroeconomic changes.</w:t>
      </w:r>
    </w:p>
    <w:p w14:paraId="2E6B89C1" w14:textId="7D384CA6" w:rsidR="00F77172" w:rsidRPr="005904DC" w:rsidRDefault="00220304" w:rsidP="00630DA9">
      <w:pPr>
        <w:pStyle w:val="Heading2"/>
        <w:spacing w:before="120" w:after="120"/>
        <w:jc w:val="both"/>
        <w:rPr>
          <w:rFonts w:asciiTheme="majorBidi" w:hAnsiTheme="majorBidi"/>
        </w:rPr>
      </w:pPr>
      <w:bookmarkStart w:id="4" w:name="_Toc220875009"/>
      <w:r w:rsidRPr="005904DC">
        <w:rPr>
          <w:rFonts w:asciiTheme="majorBidi" w:hAnsiTheme="majorBidi"/>
        </w:rPr>
        <w:t>1.4 Research Questions</w:t>
      </w:r>
      <w:bookmarkEnd w:id="4"/>
    </w:p>
    <w:p w14:paraId="6E907D03" w14:textId="77777777" w:rsidR="00F77172" w:rsidRPr="005904DC" w:rsidRDefault="00F77172" w:rsidP="00630DA9">
      <w:pPr>
        <w:jc w:val="both"/>
        <w:rPr>
          <w:rFonts w:asciiTheme="majorBidi" w:hAnsiTheme="majorBidi" w:cstheme="majorBidi"/>
        </w:rPr>
      </w:pPr>
      <w:r w:rsidRPr="005904DC">
        <w:rPr>
          <w:rFonts w:asciiTheme="majorBidi" w:hAnsiTheme="majorBidi" w:cstheme="majorBidi"/>
        </w:rPr>
        <w:t xml:space="preserve">1. What is the joint impact of inflation and changes in interest rates on the performance of the stock market in the UK?  </w:t>
      </w:r>
    </w:p>
    <w:p w14:paraId="357DB300" w14:textId="3568050F" w:rsidR="00F77172" w:rsidRPr="005904DC" w:rsidRDefault="00F77172" w:rsidP="00630DA9">
      <w:pPr>
        <w:jc w:val="both"/>
        <w:rPr>
          <w:rFonts w:asciiTheme="majorBidi" w:hAnsiTheme="majorBidi" w:cstheme="majorBidi"/>
        </w:rPr>
      </w:pPr>
      <w:r w:rsidRPr="005904DC">
        <w:rPr>
          <w:rFonts w:asciiTheme="majorBidi" w:hAnsiTheme="majorBidi" w:cstheme="majorBidi"/>
        </w:rPr>
        <w:t xml:space="preserve">2. </w:t>
      </w:r>
      <w:r w:rsidR="00761C70" w:rsidRPr="005904DC">
        <w:rPr>
          <w:rFonts w:asciiTheme="majorBidi" w:hAnsiTheme="majorBidi" w:cstheme="majorBidi"/>
        </w:rPr>
        <w:t>What</w:t>
      </w:r>
      <w:r w:rsidRPr="005904DC">
        <w:rPr>
          <w:rFonts w:asciiTheme="majorBidi" w:hAnsiTheme="majorBidi" w:cstheme="majorBidi"/>
        </w:rPr>
        <w:t xml:space="preserve"> are the issues and industry variations posed in the UK stock exchange due to inflation and interest rate changes?</w:t>
      </w:r>
    </w:p>
    <w:p w14:paraId="40CC3C66" w14:textId="7B587156" w:rsidR="00220304" w:rsidRPr="005904DC" w:rsidRDefault="00220304" w:rsidP="00630DA9">
      <w:pPr>
        <w:pStyle w:val="Heading2"/>
        <w:spacing w:before="120" w:after="120"/>
        <w:jc w:val="both"/>
        <w:rPr>
          <w:rFonts w:asciiTheme="majorBidi" w:hAnsiTheme="majorBidi"/>
        </w:rPr>
      </w:pPr>
      <w:bookmarkStart w:id="5" w:name="_Toc220875010"/>
      <w:r w:rsidRPr="005904DC">
        <w:rPr>
          <w:rFonts w:asciiTheme="majorBidi" w:hAnsiTheme="majorBidi"/>
        </w:rPr>
        <w:t>1.5 Study Rationale</w:t>
      </w:r>
      <w:bookmarkEnd w:id="5"/>
    </w:p>
    <w:p w14:paraId="0252B327" w14:textId="18EE164C" w:rsidR="00F77172" w:rsidRPr="005904DC" w:rsidRDefault="00F77172" w:rsidP="00630DA9">
      <w:pPr>
        <w:jc w:val="both"/>
        <w:rPr>
          <w:rFonts w:asciiTheme="majorBidi" w:hAnsiTheme="majorBidi" w:cstheme="majorBidi"/>
        </w:rPr>
      </w:pPr>
      <w:r w:rsidRPr="005904DC">
        <w:rPr>
          <w:rFonts w:asciiTheme="majorBidi" w:hAnsiTheme="majorBidi" w:cstheme="majorBidi"/>
        </w:rPr>
        <w:t xml:space="preserve">Understanding the effects of inflationary forces and </w:t>
      </w:r>
      <w:r w:rsidR="00761C70" w:rsidRPr="005904DC">
        <w:rPr>
          <w:rFonts w:asciiTheme="majorBidi" w:hAnsiTheme="majorBidi" w:cstheme="majorBidi"/>
        </w:rPr>
        <w:t xml:space="preserve">interest rate movements on the performance of the </w:t>
      </w:r>
      <w:r w:rsidRPr="005904DC">
        <w:rPr>
          <w:rFonts w:asciiTheme="majorBidi" w:hAnsiTheme="majorBidi" w:cstheme="majorBidi"/>
        </w:rPr>
        <w:t xml:space="preserve">UK equity market is of utmost importance in the current highly volatile macroeconomic environment. Over the past few years, </w:t>
      </w:r>
      <w:r w:rsidR="00761C70" w:rsidRPr="005904DC">
        <w:rPr>
          <w:rFonts w:asciiTheme="majorBidi" w:hAnsiTheme="majorBidi" w:cstheme="majorBidi"/>
        </w:rPr>
        <w:t xml:space="preserve">sharp macroeconomic turbulence has been observed in the United Kingdom, characterised by uncertainties arising from Brexit, inflationary pressures from the COVID-19 pandemic, and a series of aggressive monetary tightening responses </w:t>
      </w:r>
      <w:r w:rsidRPr="005904DC">
        <w:rPr>
          <w:rFonts w:asciiTheme="majorBidi" w:hAnsiTheme="majorBidi" w:cstheme="majorBidi"/>
        </w:rPr>
        <w:t xml:space="preserve">by the Bank </w:t>
      </w:r>
      <w:r w:rsidRPr="005904DC">
        <w:rPr>
          <w:rFonts w:asciiTheme="majorBidi" w:hAnsiTheme="majorBidi" w:cstheme="majorBidi"/>
        </w:rPr>
        <w:lastRenderedPageBreak/>
        <w:t>of England</w:t>
      </w:r>
      <w:r w:rsidR="005635CD" w:rsidRPr="005904DC">
        <w:rPr>
          <w:rFonts w:asciiTheme="majorBidi" w:hAnsiTheme="majorBidi" w:cstheme="majorBidi"/>
        </w:rPr>
        <w:t xml:space="preserve"> (Hariprasad and Mare, 2024)</w:t>
      </w:r>
      <w:r w:rsidRPr="005904DC">
        <w:rPr>
          <w:rFonts w:asciiTheme="majorBidi" w:hAnsiTheme="majorBidi" w:cstheme="majorBidi"/>
        </w:rPr>
        <w:t xml:space="preserve">. These have significantly changed </w:t>
      </w:r>
      <w:r w:rsidR="00761C70" w:rsidRPr="005904DC">
        <w:rPr>
          <w:rFonts w:asciiTheme="majorBidi" w:hAnsiTheme="majorBidi" w:cstheme="majorBidi"/>
        </w:rPr>
        <w:t>investor sentiment, altered the nature of capital distribution, and had disproportionate impacts across</w:t>
      </w:r>
      <w:r w:rsidRPr="005904DC">
        <w:rPr>
          <w:rFonts w:asciiTheme="majorBidi" w:hAnsiTheme="majorBidi" w:cstheme="majorBidi"/>
        </w:rPr>
        <w:t xml:space="preserve"> industries. However, </w:t>
      </w:r>
      <w:r w:rsidR="00761C70" w:rsidRPr="005904DC">
        <w:rPr>
          <w:rFonts w:asciiTheme="majorBidi" w:hAnsiTheme="majorBidi" w:cstheme="majorBidi"/>
        </w:rPr>
        <w:t xml:space="preserve">research on the issue remains limited, with few integrated studies that can critically examine the concomitant effects of inflation and interest-rate changes in </w:t>
      </w:r>
      <w:r w:rsidRPr="005904DC">
        <w:rPr>
          <w:rFonts w:asciiTheme="majorBidi" w:hAnsiTheme="majorBidi" w:cstheme="majorBidi"/>
        </w:rPr>
        <w:t xml:space="preserve">the UK. The findings provide </w:t>
      </w:r>
      <w:r w:rsidR="00761C70" w:rsidRPr="005904DC">
        <w:rPr>
          <w:rFonts w:asciiTheme="majorBidi" w:hAnsiTheme="majorBidi" w:cstheme="majorBidi"/>
        </w:rPr>
        <w:t>policymakers</w:t>
      </w:r>
      <w:r w:rsidRPr="005904DC">
        <w:rPr>
          <w:rFonts w:asciiTheme="majorBidi" w:hAnsiTheme="majorBidi" w:cstheme="majorBidi"/>
        </w:rPr>
        <w:t xml:space="preserve"> with a sound body of evidence to develop </w:t>
      </w:r>
      <w:r w:rsidR="00761C70" w:rsidRPr="005904DC">
        <w:rPr>
          <w:rFonts w:asciiTheme="majorBidi" w:hAnsiTheme="majorBidi" w:cstheme="majorBidi"/>
        </w:rPr>
        <w:t xml:space="preserve">effective monetary policies, and investors and corporate bodies with sound advice </w:t>
      </w:r>
      <w:r w:rsidRPr="005904DC">
        <w:rPr>
          <w:rFonts w:asciiTheme="majorBidi" w:hAnsiTheme="majorBidi" w:cstheme="majorBidi"/>
        </w:rPr>
        <w:t xml:space="preserve">to mitigate risk and maximise returns.  </w:t>
      </w:r>
    </w:p>
    <w:p w14:paraId="262D03F2" w14:textId="3C06F7E7" w:rsidR="00220304" w:rsidRPr="005904DC" w:rsidRDefault="00220304" w:rsidP="00630DA9">
      <w:pPr>
        <w:pStyle w:val="Heading2"/>
        <w:spacing w:before="120" w:after="120"/>
        <w:jc w:val="both"/>
        <w:rPr>
          <w:rFonts w:asciiTheme="majorBidi" w:hAnsiTheme="majorBidi"/>
        </w:rPr>
      </w:pPr>
      <w:bookmarkStart w:id="6" w:name="_Toc220875011"/>
      <w:r w:rsidRPr="005904DC">
        <w:rPr>
          <w:rFonts w:asciiTheme="majorBidi" w:hAnsiTheme="majorBidi"/>
        </w:rPr>
        <w:t>1.6 Study Significance</w:t>
      </w:r>
      <w:bookmarkEnd w:id="6"/>
    </w:p>
    <w:p w14:paraId="6C9AABC4" w14:textId="05E34E70" w:rsidR="00F77172" w:rsidRPr="005904DC" w:rsidRDefault="00F77172" w:rsidP="00630DA9">
      <w:pPr>
        <w:jc w:val="both"/>
        <w:rPr>
          <w:rFonts w:asciiTheme="majorBidi" w:hAnsiTheme="majorBidi" w:cstheme="majorBidi"/>
        </w:rPr>
      </w:pPr>
      <w:r w:rsidRPr="005904DC">
        <w:rPr>
          <w:rFonts w:asciiTheme="majorBidi" w:hAnsiTheme="majorBidi" w:cstheme="majorBidi"/>
        </w:rPr>
        <w:t xml:space="preserve">The </w:t>
      </w:r>
      <w:r w:rsidR="005635CD" w:rsidRPr="005904DC">
        <w:rPr>
          <w:rFonts w:asciiTheme="majorBidi" w:hAnsiTheme="majorBidi" w:cstheme="majorBidi"/>
        </w:rPr>
        <w:t>study</w:t>
      </w:r>
      <w:r w:rsidRPr="005904DC">
        <w:rPr>
          <w:rFonts w:asciiTheme="majorBidi" w:hAnsiTheme="majorBidi" w:cstheme="majorBidi"/>
        </w:rPr>
        <w:t xml:space="preserve"> is of considerable academic and practical importance because it </w:t>
      </w:r>
      <w:r w:rsidR="00761C70" w:rsidRPr="005904DC">
        <w:rPr>
          <w:rFonts w:asciiTheme="majorBidi" w:hAnsiTheme="majorBidi" w:cstheme="majorBidi"/>
        </w:rPr>
        <w:t>provides modern, UK-specific evidence on the combined impact of inflationary trends and interest-rate fluctuations on equity market performance. In this field,</w:t>
      </w:r>
      <w:r w:rsidRPr="005904DC">
        <w:rPr>
          <w:rFonts w:asciiTheme="majorBidi" w:hAnsiTheme="majorBidi" w:cstheme="majorBidi"/>
        </w:rPr>
        <w:t xml:space="preserve"> the literature is currently very thin. A subtle </w:t>
      </w:r>
      <w:r w:rsidR="00761C70" w:rsidRPr="005904DC">
        <w:rPr>
          <w:rFonts w:asciiTheme="majorBidi" w:hAnsiTheme="majorBidi" w:cstheme="majorBidi"/>
        </w:rPr>
        <w:t>understanding of these interrelations is essential to making informed financial decisions in an age marked by the ambiguity of post-Brexit developments</w:t>
      </w:r>
      <w:r w:rsidRPr="005904DC">
        <w:rPr>
          <w:rFonts w:asciiTheme="majorBidi" w:hAnsiTheme="majorBidi" w:cstheme="majorBidi"/>
        </w:rPr>
        <w:t xml:space="preserve">, the build-up of inflation expectations, and the tendency of monetary policy to oscillate. The study provides </w:t>
      </w:r>
      <w:r w:rsidR="00761C70" w:rsidRPr="005904DC">
        <w:rPr>
          <w:rFonts w:asciiTheme="majorBidi" w:hAnsiTheme="majorBidi" w:cstheme="majorBidi"/>
        </w:rPr>
        <w:t>investors with a framework for risk assessment, strategic asset allocation, and proactive action in response to</w:t>
      </w:r>
      <w:r w:rsidRPr="005904DC">
        <w:rPr>
          <w:rFonts w:asciiTheme="majorBidi" w:hAnsiTheme="majorBidi" w:cstheme="majorBidi"/>
        </w:rPr>
        <w:t xml:space="preserve"> market volatility. </w:t>
      </w:r>
      <w:r w:rsidR="00761C70" w:rsidRPr="005904DC">
        <w:rPr>
          <w:rFonts w:asciiTheme="majorBidi" w:hAnsiTheme="majorBidi" w:cstheme="majorBidi"/>
        </w:rPr>
        <w:t>For corporate players, the results facilitate more prudent financial planning, cost-control policies, and optimal</w:t>
      </w:r>
      <w:r w:rsidRPr="005904DC">
        <w:rPr>
          <w:rFonts w:asciiTheme="majorBidi" w:hAnsiTheme="majorBidi" w:cstheme="majorBidi"/>
        </w:rPr>
        <w:t xml:space="preserve"> capital-structure decisions. </w:t>
      </w:r>
      <w:r w:rsidR="00761C70" w:rsidRPr="005904DC">
        <w:rPr>
          <w:rFonts w:asciiTheme="majorBidi" w:hAnsiTheme="majorBidi" w:cstheme="majorBidi"/>
        </w:rPr>
        <w:t xml:space="preserve">Regulatory agencies and policymakers benefit from understanding concepts that explain how monetary interventions shape market behaviour and </w:t>
      </w:r>
      <w:r w:rsidRPr="005904DC">
        <w:rPr>
          <w:rFonts w:asciiTheme="majorBidi" w:hAnsiTheme="majorBidi" w:cstheme="majorBidi"/>
        </w:rPr>
        <w:t>enhance macroeconomic stability. Taken together, the research provides</w:t>
      </w:r>
      <w:r w:rsidR="00761C70" w:rsidRPr="005904DC">
        <w:rPr>
          <w:rFonts w:asciiTheme="majorBidi" w:hAnsiTheme="majorBidi" w:cstheme="majorBidi"/>
        </w:rPr>
        <w:t xml:space="preserve"> empirical evidence to improve economic forecasting, strengthen market resilience, and guide stakeholders, especially in navigating</w:t>
      </w:r>
      <w:r w:rsidRPr="005904DC">
        <w:rPr>
          <w:rFonts w:asciiTheme="majorBidi" w:hAnsiTheme="majorBidi" w:cstheme="majorBidi"/>
        </w:rPr>
        <w:t xml:space="preserve"> changing macro-financial environments.  </w:t>
      </w:r>
    </w:p>
    <w:p w14:paraId="4636AD35" w14:textId="228804C8" w:rsidR="00220304" w:rsidRPr="005904DC" w:rsidRDefault="00220304" w:rsidP="00630DA9">
      <w:pPr>
        <w:pStyle w:val="Heading2"/>
        <w:spacing w:before="120" w:after="120"/>
        <w:jc w:val="both"/>
        <w:rPr>
          <w:rFonts w:asciiTheme="majorBidi" w:hAnsiTheme="majorBidi"/>
        </w:rPr>
      </w:pPr>
      <w:bookmarkStart w:id="7" w:name="_Toc220875012"/>
      <w:r w:rsidRPr="005904DC">
        <w:rPr>
          <w:rFonts w:asciiTheme="majorBidi" w:hAnsiTheme="majorBidi"/>
        </w:rPr>
        <w:t>1.7 Study Structure</w:t>
      </w:r>
      <w:bookmarkEnd w:id="7"/>
    </w:p>
    <w:p w14:paraId="278CF0FA" w14:textId="77777777" w:rsidR="00F77172" w:rsidRPr="005904DC" w:rsidRDefault="00F77172" w:rsidP="00630DA9">
      <w:pPr>
        <w:pStyle w:val="ListParagraph"/>
        <w:numPr>
          <w:ilvl w:val="0"/>
          <w:numId w:val="1"/>
        </w:numPr>
        <w:jc w:val="both"/>
        <w:rPr>
          <w:rFonts w:asciiTheme="majorBidi" w:hAnsiTheme="majorBidi" w:cstheme="majorBidi"/>
        </w:rPr>
      </w:pPr>
      <w:r w:rsidRPr="005904DC">
        <w:rPr>
          <w:rFonts w:asciiTheme="majorBidi" w:hAnsiTheme="majorBidi" w:cstheme="majorBidi"/>
        </w:rPr>
        <w:t xml:space="preserve">Introduction- provides background, problem statement, rationale, aims and objectives.  </w:t>
      </w:r>
    </w:p>
    <w:p w14:paraId="122C18AF" w14:textId="3E7A10C9" w:rsidR="00F77172" w:rsidRPr="005904DC" w:rsidRDefault="00F77172" w:rsidP="00630DA9">
      <w:pPr>
        <w:pStyle w:val="ListParagraph"/>
        <w:numPr>
          <w:ilvl w:val="0"/>
          <w:numId w:val="1"/>
        </w:numPr>
        <w:jc w:val="both"/>
        <w:rPr>
          <w:rFonts w:asciiTheme="majorBidi" w:hAnsiTheme="majorBidi" w:cstheme="majorBidi"/>
        </w:rPr>
      </w:pPr>
      <w:r w:rsidRPr="005904DC">
        <w:rPr>
          <w:rFonts w:asciiTheme="majorBidi" w:hAnsiTheme="majorBidi" w:cstheme="majorBidi"/>
        </w:rPr>
        <w:t xml:space="preserve">Literature Review- Reviews the academic theory and empirical research on inflation, interest rates, and </w:t>
      </w:r>
      <w:r w:rsidR="00761C70" w:rsidRPr="005904DC">
        <w:rPr>
          <w:rFonts w:asciiTheme="majorBidi" w:hAnsiTheme="majorBidi" w:cstheme="majorBidi"/>
        </w:rPr>
        <w:t xml:space="preserve">the performance of the </w:t>
      </w:r>
      <w:r w:rsidRPr="005904DC">
        <w:rPr>
          <w:rFonts w:asciiTheme="majorBidi" w:hAnsiTheme="majorBidi" w:cstheme="majorBidi"/>
        </w:rPr>
        <w:t xml:space="preserve">stock market.  </w:t>
      </w:r>
    </w:p>
    <w:p w14:paraId="7C86550F" w14:textId="4F83A452" w:rsidR="00F77172" w:rsidRPr="005904DC" w:rsidRDefault="00F77172" w:rsidP="00630DA9">
      <w:pPr>
        <w:pStyle w:val="ListParagraph"/>
        <w:numPr>
          <w:ilvl w:val="0"/>
          <w:numId w:val="1"/>
        </w:numPr>
        <w:jc w:val="both"/>
        <w:rPr>
          <w:rFonts w:asciiTheme="majorBidi" w:hAnsiTheme="majorBidi" w:cstheme="majorBidi"/>
        </w:rPr>
      </w:pPr>
      <w:r w:rsidRPr="005904DC">
        <w:rPr>
          <w:rFonts w:asciiTheme="majorBidi" w:hAnsiTheme="majorBidi" w:cstheme="majorBidi"/>
        </w:rPr>
        <w:t>Methodology</w:t>
      </w:r>
      <w:r w:rsidR="00123828">
        <w:rPr>
          <w:rFonts w:asciiTheme="majorBidi" w:hAnsiTheme="majorBidi" w:cstheme="majorBidi"/>
        </w:rPr>
        <w:t>-</w:t>
      </w:r>
      <w:r w:rsidR="00761C70" w:rsidRPr="005904DC">
        <w:rPr>
          <w:rFonts w:asciiTheme="majorBidi" w:hAnsiTheme="majorBidi" w:cstheme="majorBidi"/>
        </w:rPr>
        <w:t xml:space="preserve"> describes the research design, data sources, variables,</w:t>
      </w:r>
      <w:r w:rsidRPr="005904DC">
        <w:rPr>
          <w:rFonts w:asciiTheme="majorBidi" w:hAnsiTheme="majorBidi" w:cstheme="majorBidi"/>
        </w:rPr>
        <w:t xml:space="preserve"> and analysis.  </w:t>
      </w:r>
    </w:p>
    <w:p w14:paraId="1106EFA0" w14:textId="27811D54" w:rsidR="00F77172" w:rsidRPr="005904DC" w:rsidRDefault="00F77172" w:rsidP="00630DA9">
      <w:pPr>
        <w:pStyle w:val="ListParagraph"/>
        <w:numPr>
          <w:ilvl w:val="0"/>
          <w:numId w:val="1"/>
        </w:numPr>
        <w:jc w:val="both"/>
        <w:rPr>
          <w:rFonts w:asciiTheme="majorBidi" w:hAnsiTheme="majorBidi" w:cstheme="majorBidi"/>
        </w:rPr>
      </w:pPr>
      <w:r w:rsidRPr="005904DC">
        <w:rPr>
          <w:rFonts w:asciiTheme="majorBidi" w:hAnsiTheme="majorBidi" w:cstheme="majorBidi"/>
        </w:rPr>
        <w:t>Data Analysis-</w:t>
      </w:r>
      <w:r w:rsidR="00123828">
        <w:rPr>
          <w:rFonts w:asciiTheme="majorBidi" w:hAnsiTheme="majorBidi" w:cstheme="majorBidi"/>
        </w:rPr>
        <w:t xml:space="preserve"> </w:t>
      </w:r>
      <w:r w:rsidRPr="005904DC">
        <w:rPr>
          <w:rFonts w:asciiTheme="majorBidi" w:hAnsiTheme="majorBidi" w:cstheme="majorBidi"/>
        </w:rPr>
        <w:t xml:space="preserve">A review of empirical findings and interpretation of the impact of inflation and interest rates on UK stock markets.  </w:t>
      </w:r>
    </w:p>
    <w:p w14:paraId="36430E8B" w14:textId="2F14B544" w:rsidR="00F77172" w:rsidRPr="005904DC" w:rsidRDefault="00F77172" w:rsidP="00630DA9">
      <w:pPr>
        <w:pStyle w:val="ListParagraph"/>
        <w:numPr>
          <w:ilvl w:val="0"/>
          <w:numId w:val="1"/>
        </w:numPr>
        <w:jc w:val="both"/>
        <w:rPr>
          <w:rFonts w:asciiTheme="majorBidi" w:hAnsiTheme="majorBidi" w:cstheme="majorBidi"/>
        </w:rPr>
      </w:pPr>
      <w:r w:rsidRPr="005904DC">
        <w:rPr>
          <w:rFonts w:asciiTheme="majorBidi" w:hAnsiTheme="majorBidi" w:cstheme="majorBidi"/>
        </w:rPr>
        <w:t>Discussion</w:t>
      </w:r>
      <w:r w:rsidR="00761C70" w:rsidRPr="005904DC">
        <w:rPr>
          <w:rFonts w:asciiTheme="majorBidi" w:hAnsiTheme="majorBidi" w:cstheme="majorBidi"/>
        </w:rPr>
        <w:t>- Relates the findings to prior work and highlights</w:t>
      </w:r>
      <w:r w:rsidRPr="005904DC">
        <w:rPr>
          <w:rFonts w:asciiTheme="majorBidi" w:hAnsiTheme="majorBidi" w:cstheme="majorBidi"/>
        </w:rPr>
        <w:t xml:space="preserve"> implications.  </w:t>
      </w:r>
    </w:p>
    <w:p w14:paraId="6436B462" w14:textId="5E394346" w:rsidR="005553B3" w:rsidRPr="00BD76F9" w:rsidRDefault="00F77172" w:rsidP="00BD76F9">
      <w:pPr>
        <w:pStyle w:val="ListParagraph"/>
        <w:numPr>
          <w:ilvl w:val="0"/>
          <w:numId w:val="1"/>
        </w:numPr>
        <w:jc w:val="both"/>
        <w:rPr>
          <w:rFonts w:asciiTheme="majorBidi" w:hAnsiTheme="majorBidi" w:cstheme="majorBidi"/>
        </w:rPr>
      </w:pPr>
      <w:r w:rsidRPr="005904DC">
        <w:rPr>
          <w:rFonts w:asciiTheme="majorBidi" w:hAnsiTheme="majorBidi" w:cstheme="majorBidi"/>
        </w:rPr>
        <w:t xml:space="preserve">Conclusion </w:t>
      </w:r>
      <w:r w:rsidR="009F2B7D" w:rsidRPr="005904DC">
        <w:rPr>
          <w:rFonts w:asciiTheme="majorBidi" w:hAnsiTheme="majorBidi" w:cstheme="majorBidi"/>
        </w:rPr>
        <w:t>and</w:t>
      </w:r>
      <w:r w:rsidRPr="005904DC">
        <w:rPr>
          <w:rFonts w:asciiTheme="majorBidi" w:hAnsiTheme="majorBidi" w:cstheme="majorBidi"/>
        </w:rPr>
        <w:t xml:space="preserve"> Recommendations - Summarises the </w:t>
      </w:r>
      <w:r w:rsidR="00761C70" w:rsidRPr="005904DC">
        <w:rPr>
          <w:rFonts w:asciiTheme="majorBidi" w:hAnsiTheme="majorBidi" w:cstheme="majorBidi"/>
        </w:rPr>
        <w:t>significant</w:t>
      </w:r>
      <w:r w:rsidRPr="005904DC">
        <w:rPr>
          <w:rFonts w:asciiTheme="majorBidi" w:hAnsiTheme="majorBidi" w:cstheme="majorBidi"/>
        </w:rPr>
        <w:t xml:space="preserve"> findings and provides </w:t>
      </w:r>
      <w:r w:rsidR="00761C70" w:rsidRPr="005904DC">
        <w:rPr>
          <w:rFonts w:asciiTheme="majorBidi" w:hAnsiTheme="majorBidi" w:cstheme="majorBidi"/>
        </w:rPr>
        <w:t>practical</w:t>
      </w:r>
      <w:r w:rsidRPr="005904DC">
        <w:rPr>
          <w:rFonts w:asciiTheme="majorBidi" w:hAnsiTheme="majorBidi" w:cstheme="majorBidi"/>
        </w:rPr>
        <w:t xml:space="preserve"> recommendations.  </w:t>
      </w:r>
    </w:p>
    <w:p w14:paraId="3FE67078" w14:textId="64EA00AF" w:rsidR="006971DB" w:rsidRDefault="005553B3" w:rsidP="00630DA9">
      <w:pPr>
        <w:pStyle w:val="Heading1"/>
        <w:spacing w:before="120" w:after="120" w:line="360" w:lineRule="auto"/>
        <w:jc w:val="both"/>
      </w:pPr>
      <w:bookmarkStart w:id="8" w:name="_Toc220875013"/>
      <w:r>
        <w:lastRenderedPageBreak/>
        <w:t>Chapter 2: Literature Review</w:t>
      </w:r>
      <w:bookmarkEnd w:id="8"/>
    </w:p>
    <w:p w14:paraId="43C66794" w14:textId="53CD3D05" w:rsidR="005553B3" w:rsidRDefault="005553B3" w:rsidP="00630DA9">
      <w:pPr>
        <w:pStyle w:val="Heading2"/>
        <w:spacing w:before="120" w:after="120"/>
        <w:jc w:val="both"/>
      </w:pPr>
      <w:bookmarkStart w:id="9" w:name="_Toc220875014"/>
      <w:r>
        <w:t>2.1 Introduction</w:t>
      </w:r>
      <w:bookmarkEnd w:id="9"/>
    </w:p>
    <w:p w14:paraId="4C10F523" w14:textId="63DAF605" w:rsidR="005C5F17" w:rsidRPr="005C5F17" w:rsidRDefault="005C5F17" w:rsidP="00630DA9">
      <w:pPr>
        <w:jc w:val="both"/>
        <w:rPr>
          <w:lang w:val="en-US"/>
        </w:rPr>
      </w:pPr>
      <w:r w:rsidRPr="005C5F17">
        <w:rPr>
          <w:lang w:val="en-US"/>
        </w:rPr>
        <w:t xml:space="preserve">The review of literature </w:t>
      </w:r>
      <w:r>
        <w:rPr>
          <w:lang w:val="en-US"/>
        </w:rPr>
        <w:t xml:space="preserve">has </w:t>
      </w:r>
      <w:r w:rsidRPr="005C5F17">
        <w:rPr>
          <w:lang w:val="en-US"/>
        </w:rPr>
        <w:t>consider</w:t>
      </w:r>
      <w:r>
        <w:rPr>
          <w:lang w:val="en-US"/>
        </w:rPr>
        <w:t>ed</w:t>
      </w:r>
      <w:r w:rsidRPr="005C5F17">
        <w:rPr>
          <w:lang w:val="en-US"/>
        </w:rPr>
        <w:t xml:space="preserve"> the relationship that exists between inflation and variations in interest rates on the financial markets, </w:t>
      </w:r>
      <w:proofErr w:type="spellStart"/>
      <w:r w:rsidRPr="005C5F17">
        <w:rPr>
          <w:lang w:val="en-US"/>
        </w:rPr>
        <w:t>behaviour</w:t>
      </w:r>
      <w:proofErr w:type="spellEnd"/>
      <w:r w:rsidRPr="005C5F17">
        <w:rPr>
          <w:lang w:val="en-US"/>
        </w:rPr>
        <w:t xml:space="preserve"> of investors, performance of firms, and the reaction of policymakers. It combines both the theoretical viewpoint and the empirical viewpoint to </w:t>
      </w:r>
      <w:proofErr w:type="spellStart"/>
      <w:r w:rsidRPr="005C5F17">
        <w:rPr>
          <w:lang w:val="en-US"/>
        </w:rPr>
        <w:t>emphasise</w:t>
      </w:r>
      <w:proofErr w:type="spellEnd"/>
      <w:r w:rsidRPr="005C5F17">
        <w:rPr>
          <w:lang w:val="en-US"/>
        </w:rPr>
        <w:t xml:space="preserve"> the complex and interrelated impacts of these macroeconomic variables in different sections of the market. The review is a critical evaluation of the existing literature, identification of major issues affecting the players in the market, as well as gaps in the current knowledge. This base justifies an overall study of the macroeconomic volatility and its impacts on the UK financial climate. </w:t>
      </w:r>
    </w:p>
    <w:p w14:paraId="5B1FFB5D" w14:textId="3799BE45" w:rsidR="005553B3" w:rsidRDefault="005553B3" w:rsidP="00630DA9">
      <w:pPr>
        <w:pStyle w:val="Heading2"/>
        <w:spacing w:before="120" w:after="120"/>
        <w:jc w:val="both"/>
      </w:pPr>
      <w:bookmarkStart w:id="10" w:name="_Toc220875015"/>
      <w:r>
        <w:t>2.2 H</w:t>
      </w:r>
      <w:r w:rsidRPr="005904DC">
        <w:t>ow inflation and interest-rate policies affect the behaviour of the stock market in the UK</w:t>
      </w:r>
      <w:bookmarkEnd w:id="10"/>
    </w:p>
    <w:p w14:paraId="5A364305" w14:textId="3B51D49B" w:rsidR="000F3DB5" w:rsidRDefault="005C5F17" w:rsidP="00630DA9">
      <w:pPr>
        <w:pStyle w:val="Heading2"/>
        <w:spacing w:before="120" w:after="120"/>
        <w:jc w:val="both"/>
      </w:pPr>
      <w:bookmarkStart w:id="11" w:name="_Toc220875016"/>
      <w:r>
        <w:t xml:space="preserve">2.2.1 </w:t>
      </w:r>
      <w:r w:rsidR="000F3DB5">
        <w:t>The Relationship Between Inflation and Behaviour of UK Stock Market</w:t>
      </w:r>
      <w:bookmarkEnd w:id="11"/>
    </w:p>
    <w:p w14:paraId="6A9E7F97" w14:textId="77777777" w:rsidR="008451C5" w:rsidRDefault="000F3DB5" w:rsidP="00630DA9">
      <w:pPr>
        <w:jc w:val="both"/>
      </w:pPr>
      <w:r>
        <w:t xml:space="preserve">The </w:t>
      </w:r>
      <w:r w:rsidR="008451C5">
        <w:t xml:space="preserve">connection </w:t>
      </w:r>
      <w:r>
        <w:t>that exists between the two variables of inflation and the stock market in the UK has received extensive research; majority of the researchers posit that the inflation element has a destabilising effect on the equity markets. Earlier theory like Fisher Effect has postulated that nominal stock returns ought to respond positively to anticipated inflation (</w:t>
      </w:r>
      <w:r w:rsidR="008451C5">
        <w:t>Marsella, 2025</w:t>
      </w:r>
      <w:r>
        <w:t xml:space="preserve">). However, empirical evidence of the UK tends to go against this forecast. A number of researchers suggest that inflation has the effects of diminishing future cash flows, lowering real returns, and raising uncertainty, which ultimately strains equity prices downwards. In their efforts, </w:t>
      </w:r>
      <w:r w:rsidR="008451C5">
        <w:t>Zhang, (2021),</w:t>
      </w:r>
      <w:r>
        <w:t xml:space="preserve"> came up with the proxy hypothesis where inflation was proposed to have negative relationship with the stock returns on the basis that inflation and real economic activity are largely correlated; as inflation is high economic activity decreases, corporate profitability declines. This is endorsed by UK based empirical research studies which reported a negative relationship between inflation and the returns of the FTSE-listed companies during the high and unforeseen inflationary periods</w:t>
      </w:r>
      <w:r w:rsidR="008451C5">
        <w:t xml:space="preserve">. </w:t>
      </w:r>
    </w:p>
    <w:p w14:paraId="465DCED1" w14:textId="77777777" w:rsidR="00BD76F9" w:rsidRPr="00BD76F9" w:rsidRDefault="00BD76F9" w:rsidP="00BD76F9">
      <w:pPr>
        <w:keepNext/>
        <w:jc w:val="center"/>
        <w:rPr>
          <w:b/>
          <w:bCs/>
          <w:color w:val="000000" w:themeColor="text1"/>
          <w:szCs w:val="24"/>
        </w:rPr>
      </w:pPr>
      <w:r w:rsidRPr="00BD76F9">
        <w:rPr>
          <w:b/>
          <w:bCs/>
          <w:noProof/>
          <w:color w:val="000000" w:themeColor="text1"/>
          <w:szCs w:val="24"/>
        </w:rPr>
        <w:lastRenderedPageBreak/>
        <w:drawing>
          <wp:inline distT="0" distB="0" distL="0" distR="0" wp14:anchorId="4273BB30" wp14:editId="3C8D26E9">
            <wp:extent cx="5943600" cy="3136265"/>
            <wp:effectExtent l="0" t="0" r="0" b="6985"/>
            <wp:docPr id="1935941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941929" name=""/>
                    <pic:cNvPicPr/>
                  </pic:nvPicPr>
                  <pic:blipFill>
                    <a:blip r:embed="rId10"/>
                    <a:stretch>
                      <a:fillRect/>
                    </a:stretch>
                  </pic:blipFill>
                  <pic:spPr>
                    <a:xfrm>
                      <a:off x="0" y="0"/>
                      <a:ext cx="5943600" cy="3136265"/>
                    </a:xfrm>
                    <a:prstGeom prst="rect">
                      <a:avLst/>
                    </a:prstGeom>
                  </pic:spPr>
                </pic:pic>
              </a:graphicData>
            </a:graphic>
          </wp:inline>
        </w:drawing>
      </w:r>
    </w:p>
    <w:p w14:paraId="62FF3929" w14:textId="48327472" w:rsidR="00BD76F9" w:rsidRPr="00BD76F9" w:rsidRDefault="00BD76F9" w:rsidP="00BD76F9">
      <w:pPr>
        <w:pStyle w:val="Caption"/>
        <w:jc w:val="center"/>
        <w:rPr>
          <w:b/>
          <w:bCs/>
          <w:i w:val="0"/>
          <w:iCs w:val="0"/>
          <w:color w:val="000000" w:themeColor="text1"/>
          <w:sz w:val="24"/>
          <w:szCs w:val="24"/>
          <w:lang w:val="en-GB"/>
        </w:rPr>
      </w:pPr>
      <w:r w:rsidRPr="00BD76F9">
        <w:rPr>
          <w:b/>
          <w:bCs/>
          <w:i w:val="0"/>
          <w:iCs w:val="0"/>
          <w:color w:val="000000" w:themeColor="text1"/>
          <w:sz w:val="24"/>
          <w:szCs w:val="24"/>
        </w:rPr>
        <w:t xml:space="preserve">Figure </w:t>
      </w:r>
      <w:r w:rsidRPr="00BD76F9">
        <w:rPr>
          <w:b/>
          <w:bCs/>
          <w:i w:val="0"/>
          <w:iCs w:val="0"/>
          <w:color w:val="000000" w:themeColor="text1"/>
          <w:sz w:val="24"/>
          <w:szCs w:val="24"/>
        </w:rPr>
        <w:fldChar w:fldCharType="begin"/>
      </w:r>
      <w:r w:rsidRPr="00BD76F9">
        <w:rPr>
          <w:b/>
          <w:bCs/>
          <w:i w:val="0"/>
          <w:iCs w:val="0"/>
          <w:color w:val="000000" w:themeColor="text1"/>
          <w:sz w:val="24"/>
          <w:szCs w:val="24"/>
        </w:rPr>
        <w:instrText xml:space="preserve"> SEQ Figure \* ARABIC </w:instrText>
      </w:r>
      <w:r w:rsidRPr="00BD76F9">
        <w:rPr>
          <w:b/>
          <w:bCs/>
          <w:i w:val="0"/>
          <w:iCs w:val="0"/>
          <w:color w:val="000000" w:themeColor="text1"/>
          <w:sz w:val="24"/>
          <w:szCs w:val="24"/>
        </w:rPr>
        <w:fldChar w:fldCharType="separate"/>
      </w:r>
      <w:r w:rsidR="00C406CB">
        <w:rPr>
          <w:b/>
          <w:bCs/>
          <w:i w:val="0"/>
          <w:iCs w:val="0"/>
          <w:noProof/>
          <w:color w:val="000000" w:themeColor="text1"/>
          <w:sz w:val="24"/>
          <w:szCs w:val="24"/>
        </w:rPr>
        <w:t>2</w:t>
      </w:r>
      <w:r w:rsidRPr="00BD76F9">
        <w:rPr>
          <w:b/>
          <w:bCs/>
          <w:i w:val="0"/>
          <w:iCs w:val="0"/>
          <w:color w:val="000000" w:themeColor="text1"/>
          <w:sz w:val="24"/>
          <w:szCs w:val="24"/>
        </w:rPr>
        <w:fldChar w:fldCharType="end"/>
      </w:r>
      <w:r w:rsidRPr="00BD76F9">
        <w:rPr>
          <w:b/>
          <w:bCs/>
          <w:i w:val="0"/>
          <w:iCs w:val="0"/>
          <w:color w:val="000000" w:themeColor="text1"/>
          <w:sz w:val="24"/>
          <w:szCs w:val="24"/>
        </w:rPr>
        <w:t xml:space="preserve">: </w:t>
      </w:r>
      <w:r w:rsidRPr="00BD76F9">
        <w:rPr>
          <w:b/>
          <w:bCs/>
          <w:i w:val="0"/>
          <w:iCs w:val="0"/>
          <w:color w:val="000000" w:themeColor="text1"/>
          <w:sz w:val="24"/>
          <w:szCs w:val="24"/>
          <w:lang w:val="en-GB"/>
        </w:rPr>
        <w:t>United Kingdom Stock Market Index (GB 100)</w:t>
      </w:r>
    </w:p>
    <w:p w14:paraId="7DA09975" w14:textId="04F26AFE" w:rsidR="00BD76F9" w:rsidRPr="00BD76F9" w:rsidRDefault="00BD76F9" w:rsidP="00BD76F9">
      <w:pPr>
        <w:pStyle w:val="Caption"/>
        <w:jc w:val="center"/>
        <w:rPr>
          <w:b/>
          <w:bCs/>
          <w:i w:val="0"/>
          <w:iCs w:val="0"/>
          <w:color w:val="000000" w:themeColor="text1"/>
          <w:sz w:val="24"/>
          <w:szCs w:val="24"/>
        </w:rPr>
      </w:pPr>
      <w:r w:rsidRPr="00BD76F9">
        <w:rPr>
          <w:b/>
          <w:bCs/>
          <w:i w:val="0"/>
          <w:iCs w:val="0"/>
          <w:color w:val="000000" w:themeColor="text1"/>
          <w:sz w:val="24"/>
          <w:szCs w:val="24"/>
          <w:lang w:val="en-GB"/>
        </w:rPr>
        <w:t>Source: (Trading Economics, 2026)</w:t>
      </w:r>
    </w:p>
    <w:p w14:paraId="5A1E6E1B" w14:textId="2F664E3F" w:rsidR="000F3DB5" w:rsidRDefault="000F3DB5" w:rsidP="00630DA9">
      <w:pPr>
        <w:jc w:val="both"/>
      </w:pPr>
      <w:r>
        <w:t xml:space="preserve">Literature that is more current makes the distinction between anticipated and unanticipated inflation. Inflation is normally integrated in the prices of the market and unexpected inflation will have increased volatility and risk. </w:t>
      </w:r>
      <w:r w:rsidR="008451C5">
        <w:t>Nabarro, (2022),</w:t>
      </w:r>
      <w:r>
        <w:t xml:space="preserve"> proved that in the UK (with surprising inflation shocks) major market corrections happen and with high</w:t>
      </w:r>
      <w:r w:rsidR="00003E14">
        <w:t>-</w:t>
      </w:r>
      <w:r>
        <w:t xml:space="preserve">risk premiums and immediate sell-offs as investors recalibrate their valuations. Similarly, </w:t>
      </w:r>
      <w:r w:rsidR="008451C5">
        <w:t>Forbes, et al., (2022),</w:t>
      </w:r>
      <w:r>
        <w:t xml:space="preserve"> state that inflation surprises do not auger well with the investor confidence and this will cause flight of capital to the inflation-proof investments like bonds and commodities.</w:t>
      </w:r>
    </w:p>
    <w:p w14:paraId="5C72EEAE" w14:textId="55317246" w:rsidR="000F3DB5" w:rsidRDefault="000F3DB5" w:rsidP="00630DA9">
      <w:pPr>
        <w:jc w:val="both"/>
      </w:pPr>
      <w:r>
        <w:t xml:space="preserve">The critical literature however cautions that the effect of inflation is not all negative. Sectoral based studies have found that firms that have stronger purchasing power gains like consumer goods, energy or utilities can be profitable even when the inflation strains take place. As an illustration, </w:t>
      </w:r>
      <w:r w:rsidR="008451C5">
        <w:t>Taheri Hosseinkhani, (2025),</w:t>
      </w:r>
      <w:r>
        <w:t xml:space="preserve"> observe that UK businesses with the ability of implementing cost-pass-through are also capable of achieving success in inflationary market-based economies. This implies inflation is a heterogeneous effect on firms that is contingent on their characteristics, economic organisation, and market expectations.</w:t>
      </w:r>
    </w:p>
    <w:p w14:paraId="40E3A070" w14:textId="72EFD6A7" w:rsidR="000F3DB5" w:rsidRDefault="000F3DB5" w:rsidP="00630DA9">
      <w:pPr>
        <w:jc w:val="both"/>
      </w:pPr>
      <w:r>
        <w:t xml:space="preserve">The other important point of view is in the case of inflation-hedging behaviour. Although the case presented by traditional finance is that equities can be used as a long-term hedge against inflation, </w:t>
      </w:r>
      <w:r>
        <w:lastRenderedPageBreak/>
        <w:t xml:space="preserve">evidence in the UK has been split. </w:t>
      </w:r>
      <w:r w:rsidR="00E32D3E">
        <w:t xml:space="preserve">Fehrle, (2023), </w:t>
      </w:r>
      <w:r>
        <w:t>contend that equities do not hedge inflation in short-run because of the inflexibility in prices and wage changes. On the other hand, there is a slight inflation hedging in FTSE 100 in long term research, however, only when inflation is steady, and predictable. Therefore, the literature would propose that, UK stock market is not only sensitive to inflation levels, but also sensitive to the volatility as well as the uncertainty on inflation expectations.</w:t>
      </w:r>
    </w:p>
    <w:p w14:paraId="31F86862" w14:textId="4B2DAD72" w:rsidR="000F3DB5" w:rsidRDefault="005C5F17" w:rsidP="00630DA9">
      <w:pPr>
        <w:pStyle w:val="Heading2"/>
        <w:spacing w:before="120" w:after="120"/>
        <w:jc w:val="both"/>
      </w:pPr>
      <w:bookmarkStart w:id="12" w:name="_Toc220875017"/>
      <w:r>
        <w:t xml:space="preserve">2.2.2 </w:t>
      </w:r>
      <w:r w:rsidR="000F3DB5">
        <w:t>Policies of interest rates, transmission of money, and the dynamics of the UK Stock market</w:t>
      </w:r>
      <w:bookmarkEnd w:id="12"/>
    </w:p>
    <w:p w14:paraId="41F5DCDB" w14:textId="5BACDC9B" w:rsidR="000F3DB5" w:rsidRDefault="000F3DB5" w:rsidP="00630DA9">
      <w:pPr>
        <w:jc w:val="both"/>
      </w:pPr>
      <w:r>
        <w:t>The interest-rate policy that is mainly prescribed by the Bank of England (BoE) is a core element of the monetary policy and contributes a great deal to the UK stock market. According to the traditional theory asset pricing, there should be the inverse relationship between the increase in interest rate and decrease in the cost of capital and increment in discount rates and lowering of the value of future cash flow which lowers the price of stocks</w:t>
      </w:r>
      <w:r w:rsidR="00E32D3E">
        <w:t xml:space="preserve"> (Goncalves, et al., 2022)</w:t>
      </w:r>
      <w:r>
        <w:t>. Empirical literature justifies this perspective, indicating that the UK rate hikes normally cause temporary falls in FTSE indices, especially in any of these rate sensitive sectors of the economy as real estate, banking, and consumer discretionary (</w:t>
      </w:r>
      <w:r w:rsidR="00E32D3E">
        <w:t>Allen &amp; McAleer, 2021</w:t>
      </w:r>
      <w:r>
        <w:t>).</w:t>
      </w:r>
    </w:p>
    <w:p w14:paraId="30FE7316" w14:textId="50D93578" w:rsidR="000F3DB5" w:rsidRDefault="000F3DB5" w:rsidP="00630DA9">
      <w:pPr>
        <w:jc w:val="both"/>
      </w:pPr>
      <w:r>
        <w:t xml:space="preserve">Particularly, but crucially, the effects of interest rates are complex and they can easily be based on the monetary policy transmission mechanism. The policy rate by the BoE influences the stock market because it influences the wrong costs of borrowing, credit facilities, investment anticipations, and the foreign exchange rates. Unexpected monetary tightening in the UK, as </w:t>
      </w:r>
      <w:r w:rsidR="00E32D3E">
        <w:t>White, (2021),</w:t>
      </w:r>
      <w:r>
        <w:t xml:space="preserve"> had discovered, creates very bad returns on the equity because the discount rates and the activity in the economy are also extremely high. However, the existence of predictable changes in the rates are likely to cause a subdued impact, which means that the market modulates its expectations ahead of the inflation projections and GDP statistics as well as BoE communication.</w:t>
      </w:r>
    </w:p>
    <w:p w14:paraId="719CC290" w14:textId="16E2DD71" w:rsidR="000F3DB5" w:rsidRDefault="000F3DB5" w:rsidP="00630DA9">
      <w:pPr>
        <w:jc w:val="both"/>
      </w:pPr>
      <w:r>
        <w:t xml:space="preserve">Some of these researchers claim that interest-rate policy affects investor sentiments, especially in the times of uncertainty in the economy. Sentiment decreases when the rates increase since investors fear a slower economic growth. In comparison, reduction of the rates would increase optimism in the market by reducing the cost of financing and bolstering investment in corporate levels. The review however points out that sentiment effects may enhance market volatility. </w:t>
      </w:r>
      <w:r w:rsidR="00E32D3E">
        <w:t>Rashad, et al., (2022),</w:t>
      </w:r>
      <w:r>
        <w:t xml:space="preserve"> reveal that in the period of the quantitative easing (QE) of the UK, non-</w:t>
      </w:r>
      <w:r>
        <w:lastRenderedPageBreak/>
        <w:t>conventional monetary policy created atypically elevated response of assets prices because the investors responded to the signal effects in contrast to inherent modifications.</w:t>
      </w:r>
    </w:p>
    <w:p w14:paraId="0FECBD3B" w14:textId="1271056C" w:rsidR="000F3DB5" w:rsidRDefault="000F3DB5" w:rsidP="00630DA9">
      <w:pPr>
        <w:jc w:val="both"/>
      </w:pPr>
      <w:r>
        <w:t xml:space="preserve">One important challenge with traditional interest-rate literature is that they assume that the effects of changes in rates will be constant. As a matter of fact, there is no uniform response of the various industries because there exist variations in leverage, capital intensity, and dependency on consumer credit. Indicatively, according to </w:t>
      </w:r>
      <w:r w:rsidR="00E32D3E">
        <w:t>Naidoo, et al., (2025),</w:t>
      </w:r>
      <w:r>
        <w:t xml:space="preserve"> interest-rate shocks, when compared to large-cap stocks, negatively affect the small-cap and growth stocks more, since they are more sensitive to borrowing.</w:t>
      </w:r>
      <w:r w:rsidR="000B1DDF">
        <w:t xml:space="preserve"> </w:t>
      </w:r>
      <w:r>
        <w:t xml:space="preserve">The other theme that is emerging is the relationship between inflation and interest-rate policy. There are studies developing the argument that rate change effects are determined by the more encompassing inflation environment. Interest-rate increases in conditions of high inflation can stabilise the market, by sending a signal of discipline on the part of monetary authorities or, conversely, raise the cost of borrowing, hence favouring the poor who save above the interest rate. Conversely, </w:t>
      </w:r>
      <w:r w:rsidR="00E32D3E">
        <w:t xml:space="preserve">as per Nabarro, (2022), </w:t>
      </w:r>
      <w:r>
        <w:t>when the inflation is low such increases could initiate sell-offs owing to concerns of decline in the economy. This implies that the effects of interest-rates can never be studied separately of inflation effects.</w:t>
      </w:r>
    </w:p>
    <w:p w14:paraId="74FB0330" w14:textId="30BAB3A7" w:rsidR="005553B3" w:rsidRDefault="005553B3" w:rsidP="00630DA9">
      <w:pPr>
        <w:pStyle w:val="Heading2"/>
        <w:spacing w:before="120" w:after="120"/>
        <w:jc w:val="both"/>
      </w:pPr>
      <w:bookmarkStart w:id="13" w:name="_Toc220875018"/>
      <w:r>
        <w:t>2.3</w:t>
      </w:r>
      <w:r w:rsidRPr="005904DC">
        <w:t xml:space="preserve"> </w:t>
      </w:r>
      <w:r>
        <w:t>S</w:t>
      </w:r>
      <w:r w:rsidRPr="005904DC">
        <w:t>ignificant economic and market variables determining the relationship between inflation, interest rates and equity performance</w:t>
      </w:r>
      <w:bookmarkEnd w:id="13"/>
    </w:p>
    <w:p w14:paraId="77905B35" w14:textId="3D398BDD" w:rsidR="002215C8" w:rsidRDefault="000B1DDF" w:rsidP="00630DA9">
      <w:pPr>
        <w:pStyle w:val="Heading2"/>
        <w:spacing w:before="120" w:after="120"/>
        <w:jc w:val="both"/>
      </w:pPr>
      <w:bookmarkStart w:id="14" w:name="_Toc220875019"/>
      <w:r>
        <w:t xml:space="preserve">2.3.1 </w:t>
      </w:r>
      <w:r w:rsidR="002215C8">
        <w:t>Macroeconomic Variables that Influence the Dynamic of Inflation-Interest rate-Equity Relationship</w:t>
      </w:r>
      <w:bookmarkEnd w:id="14"/>
    </w:p>
    <w:p w14:paraId="67622A86" w14:textId="31F31392" w:rsidR="002215C8" w:rsidRDefault="002215C8" w:rsidP="00BD76F9">
      <w:pPr>
        <w:jc w:val="both"/>
      </w:pPr>
      <w:r>
        <w:t xml:space="preserve">The correlation between inflation, interest rates to the performance of equities is not linear; in fact, it is mediated by a number of macro </w:t>
      </w:r>
      <w:proofErr w:type="spellStart"/>
      <w:r>
        <w:t>economical</w:t>
      </w:r>
      <w:proofErr w:type="spellEnd"/>
      <w:r>
        <w:t xml:space="preserve"> variables, which influence market responses and investor expectations. Economic growth is considered to be one of the most urgent variables, as it is usually measured with the help of GDP. </w:t>
      </w:r>
      <w:proofErr w:type="spellStart"/>
      <w:r w:rsidR="00070A8C">
        <w:t>Girdzijauskas</w:t>
      </w:r>
      <w:proofErr w:type="spellEnd"/>
      <w:r w:rsidR="00070A8C">
        <w:t>, et al., (2022),</w:t>
      </w:r>
      <w:r>
        <w:t xml:space="preserve"> states that inflation does not have any positive relationship with the real economic activity and the reduction in the output has an impact on corporate profits and consequently on stock returns. The increasing inflation in UK often indicates worsening of real disposable income thus decreasing the consumer demand and lowering the earnings, especially in consumption</w:t>
      </w:r>
      <w:r w:rsidR="00003E14">
        <w:t>-</w:t>
      </w:r>
      <w:r>
        <w:t>based sectors of economy like retail and financial services. Surveys indicate that in times of low GDP growth and high inflation, the negative influence on equity will be stronger in case of simultaneous demand decreasing and growing costs of production.</w:t>
      </w:r>
    </w:p>
    <w:p w14:paraId="11FF298B" w14:textId="7AABA4D3" w:rsidR="00BD76F9" w:rsidRDefault="002215C8" w:rsidP="00BD76F9">
      <w:pPr>
        <w:jc w:val="both"/>
      </w:pPr>
      <w:r>
        <w:lastRenderedPageBreak/>
        <w:t xml:space="preserve">The exchange rate movement is another important variable as far as the internationally integrated UK economy is concerned. Inflation differentials also affect the exchange rates which also affect the competitiveness of the UK firms. The high domestic inflation may also cause depreciation of the pound and increase the prices of imports and also decrease the profit margins among companies dealing with foreign inputs. </w:t>
      </w:r>
      <w:proofErr w:type="spellStart"/>
      <w:r w:rsidR="00070A8C">
        <w:t>Xiuzhen</w:t>
      </w:r>
      <w:proofErr w:type="spellEnd"/>
      <w:r w:rsidR="00070A8C">
        <w:t>, et al., (2022),</w:t>
      </w:r>
      <w:r>
        <w:t xml:space="preserve"> believe that exchange rate volatility impacts the uncertainty in equity market in that both the earnings and valuation model is influenced. Accordingly, the mediating importance of inflation and stock returns is based on the exchange rates.</w:t>
      </w:r>
    </w:p>
    <w:p w14:paraId="2877F6C2" w14:textId="54BA74F8" w:rsidR="002215C8" w:rsidRDefault="002215C8" w:rsidP="00630DA9">
      <w:pPr>
        <w:jc w:val="both"/>
      </w:pPr>
      <w:r>
        <w:t xml:space="preserve">The inflation-equity relationship is also affected by labour market conditions especially the wage inflation. When the rise of wages is higher than the productivity, margin compression of firms occurs. Bank of England (BoE), in most cases reacts to inflation caused by wages by increasing interest rates, which has increased the cost of borrowing funds at the expense of increasing profitability. </w:t>
      </w:r>
      <w:r w:rsidR="00070A8C">
        <w:t>Basdekis, et al., (2023)</w:t>
      </w:r>
      <w:r>
        <w:t xml:space="preserve"> emphasise that monetary tightening has a higher impact on the equity performance of high labour intensity firms in the UK because it affects their performance more than firms that are less labour intensive.</w:t>
      </w:r>
    </w:p>
    <w:p w14:paraId="1132CDBC" w14:textId="18107CE5" w:rsidR="002215C8" w:rsidRDefault="002215C8" w:rsidP="00630DA9">
      <w:pPr>
        <w:jc w:val="both"/>
      </w:pPr>
      <w:r>
        <w:t xml:space="preserve">Another variable which influences inflationary effects on equity markets is the fiscal environment like the government expenditure and taxation. Negative inflationary demands on stock returns are countered using expansionary policy and boost demand. On the other hand, </w:t>
      </w:r>
      <w:r w:rsidR="00070A8C">
        <w:t xml:space="preserve">Karahan &amp; Bayir, (2022), </w:t>
      </w:r>
      <w:r>
        <w:t>contractionary policies can enhance negative impacts of inflation through decreasing liquidity and investments. Empirical UK findings indicate that the sale of market adds to the reduction in stocks during the inflationary years and especially when based on economic bailout, small-cap companies are regarded as more vulnerable</w:t>
      </w:r>
      <w:r w:rsidR="00070A8C">
        <w:t>.</w:t>
      </w:r>
    </w:p>
    <w:p w14:paraId="4117C2BF" w14:textId="03828655" w:rsidR="002215C8" w:rsidRDefault="000B1DDF" w:rsidP="00630DA9">
      <w:pPr>
        <w:pStyle w:val="Heading2"/>
        <w:spacing w:before="120" w:after="120"/>
        <w:jc w:val="both"/>
      </w:pPr>
      <w:bookmarkStart w:id="15" w:name="_Toc220875020"/>
      <w:r>
        <w:t xml:space="preserve">2.3.2 </w:t>
      </w:r>
      <w:r w:rsidR="002215C8">
        <w:t>Market Variables that affect the Passage of Inflation and Interest Rates in the Equity Performance</w:t>
      </w:r>
      <w:bookmarkEnd w:id="15"/>
    </w:p>
    <w:p w14:paraId="045CD0FD" w14:textId="23D1258C" w:rsidR="002215C8" w:rsidRDefault="002215C8" w:rsidP="00630DA9">
      <w:pPr>
        <w:jc w:val="both"/>
      </w:pPr>
      <w:r>
        <w:t xml:space="preserve">In addition to macroeconomic fundamentals, a number of market-specific variables would dictate the way in which inflation and interest-rate repercussions would be converted to equity performance in the UK. One of the key variables is the sensitivity to the sector because the industries will not react in the same way to macroeconomic shocks. Banks and financial institutions usually wield the gain of moderate raise of interest rates since the net interest margins raises and the interest-sensitive markets e.g., real estate, utilities and consumer discretionary are </w:t>
      </w:r>
      <w:r>
        <w:lastRenderedPageBreak/>
        <w:t>the losers (</w:t>
      </w:r>
      <w:r w:rsidR="00070A8C">
        <w:t>Casta &amp; Sveda, 2024</w:t>
      </w:r>
      <w:r>
        <w:t>). On the other hand, business areas that possess high pricing power like consumer goods and energy can either endure or even advantageous inflationary conditions. This heterogeneity highlights that aggregate responses in stock markets may often conceal a lot of heterogeneity in the sector.</w:t>
      </w:r>
    </w:p>
    <w:p w14:paraId="33C716F1" w14:textId="55CE54CA" w:rsidR="002215C8" w:rsidRDefault="002215C8" w:rsidP="00630DA9">
      <w:pPr>
        <w:jc w:val="both"/>
      </w:pPr>
      <w:r>
        <w:t xml:space="preserve">Market liquidity is another variable that is of significance and influences the rate and the extent to which equity prices change. When inflation or tightening of the money supply sets in, the liquidity generally seems to be reduced as it becomes costlier to borrow and risk aversions also get affected. </w:t>
      </w:r>
      <w:r w:rsidR="00070A8C">
        <w:t>Li, et al., (2025)</w:t>
      </w:r>
      <w:r>
        <w:t xml:space="preserve"> established that low liquidity increased the sensitivities of the UK equity prices to the announcements of interest rates, which increased the volatility. As liquidity evaporates, equity markets are now more responsive to macroeconomic information, which exaggerates upsurge and decline.</w:t>
      </w:r>
      <w:r w:rsidR="000B1DDF">
        <w:t xml:space="preserve"> </w:t>
      </w:r>
      <w:r>
        <w:t>Another variable that has a great impact on the effects the macroeconomic developments have on stock performance is the investor sentiment. The informational and psychological effects of the inflation and the interest-rate announcements are both known. Pessimism can be triggered by high inflation, even in cases when fundamentals are still relatively strong. In the same, even the increase in interest rates (however, in some circumstances validated by good economics) can lead to sell-offs because of perceived risk (</w:t>
      </w:r>
      <w:r w:rsidR="00070A8C">
        <w:t>Kuramoto, et al., 2024</w:t>
      </w:r>
      <w:r>
        <w:t>). This behavioural aspect suggests that market responses are not constant rational but fear, uncertainty, and herd behaviour affect them.</w:t>
      </w:r>
    </w:p>
    <w:p w14:paraId="77C7E042" w14:textId="09976CD9" w:rsidR="002215C8" w:rsidRDefault="002215C8" w:rsidP="00630DA9">
      <w:pPr>
        <w:jc w:val="both"/>
      </w:pPr>
      <w:r>
        <w:t xml:space="preserve">Risk premium also plays a central role when determining equity market responses. Inflation will cause an increase in the returns demanded by investors to offset lower purchasing power and more uncertainty. Increase in risk premiums results in falling equity valuations due to increase in discount rates. According to </w:t>
      </w:r>
      <w:r w:rsidR="00070A8C">
        <w:t>Yeter, et al., (2023),</w:t>
      </w:r>
      <w:r>
        <w:t xml:space="preserve"> the mutual impact of inflation and rising risk premiums may lead to excessive differences in stock prices with a growth company with cash flows of long durability.</w:t>
      </w:r>
    </w:p>
    <w:p w14:paraId="120A673A" w14:textId="6F242891" w:rsidR="002215C8" w:rsidRDefault="002215C8" w:rsidP="00630DA9">
      <w:pPr>
        <w:jc w:val="both"/>
      </w:pPr>
      <w:r>
        <w:t xml:space="preserve">Besides this, the monetary policy communication is also one of the variables that determine the market behaviour. </w:t>
      </w:r>
      <w:r w:rsidR="00070A8C">
        <w:t>End &amp; Hong, (2022),</w:t>
      </w:r>
      <w:r>
        <w:t xml:space="preserve"> demonstrate that honest forward guidance makes the volatility lower due to association of investor expectation and the policy intentions. On the other hand, uncertainty augments when containing ambiguous communication, hence making equity markets that are more susceptible to inflation announcements as well as interests rate decisions. In the UK, there is a substantial impact of the development of the markets based on the </w:t>
      </w:r>
      <w:r>
        <w:lastRenderedPageBreak/>
        <w:t>macroeconomic signals by the BoE in the sphere of inflation reports of the central bank and monetary policy statements.</w:t>
      </w:r>
    </w:p>
    <w:p w14:paraId="5CB6318F" w14:textId="36EC4203" w:rsidR="005553B3" w:rsidRDefault="005553B3" w:rsidP="00630DA9">
      <w:pPr>
        <w:pStyle w:val="Heading2"/>
        <w:spacing w:before="120" w:after="120"/>
        <w:jc w:val="both"/>
      </w:pPr>
      <w:bookmarkStart w:id="16" w:name="_Toc220875021"/>
      <w:r>
        <w:t>2.4</w:t>
      </w:r>
      <w:r w:rsidRPr="005904DC">
        <w:t xml:space="preserve"> </w:t>
      </w:r>
      <w:r>
        <w:t>E</w:t>
      </w:r>
      <w:r w:rsidRPr="005904DC">
        <w:t>ffects, both negative and positive, that inflation and changes in interest rates have on various market segments.</w:t>
      </w:r>
      <w:bookmarkEnd w:id="16"/>
    </w:p>
    <w:p w14:paraId="304B82A7" w14:textId="50131265" w:rsidR="007202F1" w:rsidRDefault="000B1DDF" w:rsidP="00630DA9">
      <w:pPr>
        <w:pStyle w:val="Heading2"/>
        <w:spacing w:before="120" w:after="120"/>
        <w:jc w:val="both"/>
      </w:pPr>
      <w:bookmarkStart w:id="17" w:name="_Toc220875022"/>
      <w:r>
        <w:t xml:space="preserve">2.4.1 </w:t>
      </w:r>
      <w:r w:rsidR="007202F1">
        <w:t>Impactions of Inflation on various segments of the market</w:t>
      </w:r>
      <w:bookmarkEnd w:id="17"/>
    </w:p>
    <w:p w14:paraId="3D82D4A0" w14:textId="0AE89AC6" w:rsidR="007202F1" w:rsidRDefault="007202F1" w:rsidP="00630DA9">
      <w:pPr>
        <w:jc w:val="both"/>
      </w:pPr>
      <w:r>
        <w:t xml:space="preserve">The impact of inflation in different market segments varies differently and the result is determined by the nature of the sector, the cost structure, pricing power and expectations of the investor. There is extensive empirical literature stating that the impact of inflation on equity markets is predominantly negative since purchasing power is negatively impacted, cost of inputs increases and the level of uncertainty increases. </w:t>
      </w:r>
      <w:r w:rsidR="003E46C0">
        <w:t>Liu, et al., (2023),</w:t>
      </w:r>
      <w:r>
        <w:t xml:space="preserve"> states that inflation undermines real economic activity, corporate profitability and stock value suppression. In consumer discretionary industries, such as retail, travel, and hospitality, there is UK evidence that an increase in inflation cuts real incomes, constrained consumer intentions to purchase, and shrinking profit margins. Companies that are highly responsive to consumer demand have increased volatility of their share-price in the occurrence of inflationary periods.</w:t>
      </w:r>
    </w:p>
    <w:p w14:paraId="34A6EAD7" w14:textId="60263964" w:rsidR="007202F1" w:rsidRDefault="007202F1" w:rsidP="00630DA9">
      <w:pPr>
        <w:jc w:val="both"/>
      </w:pPr>
      <w:r>
        <w:t xml:space="preserve">Other industries that are adversely impacted by inflation are those that are reliant on imported products (manufacturing, electronics, and automotive industries). The high inflation leads to a depreciating domestic currency which raises the cost of imports and tightens margins causing an intense competition pressure. </w:t>
      </w:r>
      <w:r w:rsidR="00411937">
        <w:t>Elliott, et al., (2024),</w:t>
      </w:r>
      <w:r>
        <w:t xml:space="preserve"> note that UK companies that depend on imported raw materials were affected more in inflation booms in the 2000s since they had limited costs-pass through capacity.</w:t>
      </w:r>
      <w:r w:rsidR="000B1DDF">
        <w:t xml:space="preserve"> </w:t>
      </w:r>
      <w:r>
        <w:t>But, according to the critical literature, there are market segments which may have positive effects as a result of inflation. The energy and utilities as well as commodities firms are often well rewarded since the sectors are highly capable of cost-pass-through and long-term contracts, which are inflation-indexed contracts. In these situations, inflation is able to help raise revenue and does not raise costs by a large margin. Correspondingly, firms that enjoy dominant market positions or strong brand loyalties, e.g., large supermarkets, can maintain, or even increase, margins in times of inflation through price increase but without a decrease in demand</w:t>
      </w:r>
      <w:r w:rsidR="00411937">
        <w:t xml:space="preserve"> (</w:t>
      </w:r>
      <w:proofErr w:type="spellStart"/>
      <w:r w:rsidR="00411937">
        <w:t>Bruckberger</w:t>
      </w:r>
      <w:proofErr w:type="spellEnd"/>
      <w:r w:rsidR="00411937">
        <w:t>, et al., 2023)</w:t>
      </w:r>
      <w:r>
        <w:t xml:space="preserve">. This is in accordance to the thesis of pricing power whereby monopolistic/oligopolistic firms have a better </w:t>
      </w:r>
      <w:proofErr w:type="spellStart"/>
      <w:r>
        <w:t>excusation</w:t>
      </w:r>
      <w:proofErr w:type="spellEnd"/>
      <w:r>
        <w:t xml:space="preserve"> against the inflationary effect, compared to the competitive sectors</w:t>
      </w:r>
      <w:r w:rsidR="00411937">
        <w:t xml:space="preserve">. </w:t>
      </w:r>
    </w:p>
    <w:p w14:paraId="39B769AF" w14:textId="42A488C5" w:rsidR="0094395F" w:rsidRPr="0094395F" w:rsidRDefault="000B1DDF" w:rsidP="00630DA9">
      <w:pPr>
        <w:pStyle w:val="Heading2"/>
        <w:spacing w:before="120" w:after="120"/>
        <w:jc w:val="both"/>
      </w:pPr>
      <w:bookmarkStart w:id="18" w:name="_Toc220875023"/>
      <w:r>
        <w:lastRenderedPageBreak/>
        <w:t xml:space="preserve">2.4.2 </w:t>
      </w:r>
      <w:r w:rsidR="007202F1">
        <w:t>The Impact of Alterations in Interest Rates among the Market segments</w:t>
      </w:r>
      <w:bookmarkEnd w:id="18"/>
    </w:p>
    <w:p w14:paraId="5342E38F" w14:textId="136DEA32" w:rsidR="007202F1" w:rsidRDefault="007202F1" w:rsidP="00630DA9">
      <w:pPr>
        <w:jc w:val="both"/>
      </w:pPr>
      <w:r>
        <w:t xml:space="preserve">Movements in interest-rates, particularly changes in a policies rate by the central banks, have strong and asymmetric impacts on market segments. Traditional asset-pricing theory states that when the interest rates go </w:t>
      </w:r>
      <w:r w:rsidR="0094395F">
        <w:t>up,</w:t>
      </w:r>
      <w:r>
        <w:t xml:space="preserve"> they raise the discount rate, which diminished the future cash flows and decreased stock prices (</w:t>
      </w:r>
      <w:r w:rsidR="0094395F">
        <w:t>Nukala &amp; Prasada, 2021</w:t>
      </w:r>
      <w:r>
        <w:t>). Nevertheless, these impacts differ significantly among industries by the extent of debt, capital intensity and consumer spending sensitiveness.</w:t>
      </w:r>
      <w:r w:rsidR="000B1DDF">
        <w:t xml:space="preserve"> </w:t>
      </w:r>
      <w:r>
        <w:t xml:space="preserve">Increased rates would have the least positive impact on interest-sensitive sectors including real estate, utilities, construction and tele communications. They are sectors that need long-term capital investments which are heavily borrowed. As demonstrated by </w:t>
      </w:r>
      <w:r w:rsidR="0094395F">
        <w:t>Miles &amp; Monro, (2021)</w:t>
      </w:r>
      <w:r>
        <w:t>, the equities in real estate are characterised by sharp drops during the time when the interest rates are on the rise because of the cost of mortgage is higher and such housing is less demanded. In a similar move, utilities are also becoming compressed in profits and are forced to cover increasing debt servicing costs; utility companies are usually very leveraged.</w:t>
      </w:r>
    </w:p>
    <w:p w14:paraId="6B6CD074" w14:textId="7CBDC838" w:rsidR="007202F1" w:rsidRDefault="007202F1" w:rsidP="00630DA9">
      <w:pPr>
        <w:jc w:val="both"/>
      </w:pPr>
      <w:r>
        <w:t>There is also the negative input of consumer discretionary sectors. An increase in the interest rates decreases purchasing ability by raising the amount of loan and credit card payments. Studies carried out in UK reveal that those sectors that rely on household credit like automotive, retail and leisure sectors immediately shrink their demand when there is an increment in the rates (</w:t>
      </w:r>
      <w:r w:rsidR="0094395F">
        <w:t>Vik, et al., 2023</w:t>
      </w:r>
      <w:r>
        <w:t>).</w:t>
      </w:r>
      <w:r w:rsidR="000B1DDF">
        <w:t xml:space="preserve"> </w:t>
      </w:r>
      <w:r>
        <w:t xml:space="preserve">On the other hand, there are other market segments whose profits are affected positively by increased interest rates in terms of profits. Banks and the insurance companies are also winners of the spreading interest markets because they can impose a higher interest rate on such loans compared to the depositing rates. When the rates are raised it is also a way of attracting investment in interest-bearing financial products which enhances the financial sector balance sheets. According to </w:t>
      </w:r>
      <w:r w:rsidR="0094395F">
        <w:t xml:space="preserve">Heinlein &amp; Lepori, (2022), </w:t>
      </w:r>
      <w:r>
        <w:t>the increase in stock returns, observed at major banks, in the process of the UK monetary tightening cycles was short-term in nature, as there were enhanced yield spreads.</w:t>
      </w:r>
    </w:p>
    <w:p w14:paraId="79275EB3" w14:textId="60E6198C" w:rsidR="007202F1" w:rsidRDefault="007202F1" w:rsidP="00630DA9">
      <w:pPr>
        <w:jc w:val="both"/>
      </w:pPr>
      <w:r>
        <w:t>What is more, raising interest rates would help in strengthening the domestic currency, benefiting the import-heavy sectors because of a decrease in the cost of foreign inputs. The increased pound will reduce the cost of foreign currencies commodities, which burden the manufacturing and wholesale sectors</w:t>
      </w:r>
      <w:r w:rsidR="0094395F">
        <w:t xml:space="preserve"> (Khan, 2023)</w:t>
      </w:r>
      <w:r>
        <w:t xml:space="preserve">. This advantage could however be compensated by less competitiveness in the exportation and so, the balance between appreciation of currency and </w:t>
      </w:r>
      <w:r>
        <w:lastRenderedPageBreak/>
        <w:t>international demand is seen to be complicated.</w:t>
      </w:r>
      <w:r w:rsidR="000B1DDF">
        <w:t xml:space="preserve"> </w:t>
      </w:r>
      <w:r>
        <w:t>Alternatively, lower rates will boost the economy because it will be cheaper to borrow. Their positive effects are felt on the industries which rely on credit like house, construction and automobiles due to high consumer spending as well as corporate investment. When rates are reduced it almost always causes a boom in the stock market, especially in the growth and technology sectors as the investors chose to put capital in risky assets where they can get better returns.</w:t>
      </w:r>
    </w:p>
    <w:p w14:paraId="35B847DF" w14:textId="0CCE9B4A" w:rsidR="007202F1" w:rsidRDefault="007202F1" w:rsidP="00630DA9">
      <w:pPr>
        <w:jc w:val="both"/>
      </w:pPr>
      <w:r>
        <w:t>The few critical literature however signals the weakness and distortions of the long low-interest environments. Low interest rates can lead to the creation of an asset</w:t>
      </w:r>
      <w:r w:rsidR="0094395F">
        <w:t>,</w:t>
      </w:r>
      <w:r>
        <w:t xml:space="preserve"> especially in residential property, and the investment into hyped up tech stocks, since investors seek a return and underestimation risk. </w:t>
      </w:r>
      <w:r w:rsidR="0094395F">
        <w:t>Rajan, (2023)</w:t>
      </w:r>
      <w:r>
        <w:t xml:space="preserve"> discuss that stimulative rate policy has the potential to generate excessive leverage, putting the markets in a precarious position in case of the rates returning to normal once more.</w:t>
      </w:r>
      <w:r w:rsidR="000B1DDF">
        <w:t xml:space="preserve"> </w:t>
      </w:r>
      <w:r>
        <w:t>Bond market is also influenced by interest-rate changes in which increase in interest rates weaken the price of bonds and decrease in interest rates strengthens the price of bonds. The segments that feature a significant number of fixed-income are the ones that are highly reliant on the fixed-income, which are the pensions, insurance, and income funds, which are highly affected with valuation difficulties during tightening cycles and were also greatly advantageous during easing cycles.</w:t>
      </w:r>
    </w:p>
    <w:p w14:paraId="54983528" w14:textId="3F1DEEA3" w:rsidR="005553B3" w:rsidRDefault="005553B3" w:rsidP="00630DA9">
      <w:pPr>
        <w:pStyle w:val="Heading2"/>
        <w:spacing w:before="120" w:after="120"/>
        <w:jc w:val="both"/>
      </w:pPr>
      <w:bookmarkStart w:id="19" w:name="_Toc220875024"/>
      <w:r>
        <w:t xml:space="preserve">2.5 Key </w:t>
      </w:r>
      <w:r w:rsidRPr="005904DC">
        <w:t>issues that investors, firms and policymakers have encountered in their attempt to address these macroeconomic changes</w:t>
      </w:r>
      <w:bookmarkEnd w:id="19"/>
    </w:p>
    <w:p w14:paraId="14ACC8A5" w14:textId="77777777" w:rsidR="000B1DDF" w:rsidRDefault="000B1DDF" w:rsidP="00630DA9">
      <w:pPr>
        <w:pStyle w:val="Heading2"/>
        <w:spacing w:before="120" w:after="120"/>
        <w:jc w:val="both"/>
      </w:pPr>
      <w:bookmarkStart w:id="20" w:name="_Toc220875025"/>
      <w:r>
        <w:t xml:space="preserve">2.5.1 </w:t>
      </w:r>
      <w:r w:rsidR="00714235">
        <w:t>The Problems of Investors and Firms in Reacting to Inflation and Interest-Rates Shocks</w:t>
      </w:r>
      <w:bookmarkEnd w:id="20"/>
    </w:p>
    <w:p w14:paraId="61816D18" w14:textId="65BE7215" w:rsidR="00714235" w:rsidRDefault="00714235" w:rsidP="00630DA9">
      <w:pPr>
        <w:jc w:val="both"/>
      </w:pPr>
      <w:r>
        <w:t xml:space="preserve">Both inflation and the volatility in interest rates pose serious problems to investors and firms, because of the first one adding uncertainty, and making the decision-making process more complicated. The challenge of proper forecasting of inflation is one of the most common problems facing investors. It has always been emphasised in the literature that the expectations of inflation including floated and anchored affect the methods of portfolio, risk evaluation, and allocations of assets. Inflation surprises can affect investors where the unexpected change in prices levels may hurt investors, according to </w:t>
      </w:r>
      <w:r w:rsidR="00B705AA">
        <w:t>Akarsu &amp; Aktug, (2025)</w:t>
      </w:r>
      <w:r>
        <w:t xml:space="preserve"> they fail because of the deviation in the valuation models and the elevation of equity risk premium. These kinds of shocks cause rapid changes in portfolios which in many cases bring about short</w:t>
      </w:r>
      <w:r w:rsidR="00B705AA">
        <w:t>-</w:t>
      </w:r>
      <w:r>
        <w:t>term volatility and losses.</w:t>
      </w:r>
    </w:p>
    <w:p w14:paraId="51B1AC84" w14:textId="15A353D6" w:rsidR="00714235" w:rsidRDefault="00714235" w:rsidP="00630DA9">
      <w:pPr>
        <w:jc w:val="both"/>
      </w:pPr>
      <w:r>
        <w:lastRenderedPageBreak/>
        <w:t xml:space="preserve">To companies, inflation is bringing about some volatility in the costs of inputs especially to companies that are reliant on imported goods or commodities. </w:t>
      </w:r>
      <w:proofErr w:type="spellStart"/>
      <w:r w:rsidR="00B705AA">
        <w:t>Horobet</w:t>
      </w:r>
      <w:proofErr w:type="spellEnd"/>
      <w:r w:rsidR="00B705AA">
        <w:t>, et al., (2021),</w:t>
      </w:r>
      <w:r>
        <w:t xml:space="preserve"> observe that possibility of manufacturers and retail companies in the UK to continuously encounter a lowering margin, owing to increased raw material prices, and exchange-rate swings is present. Most companies do not have effective hedging systems or price control to counter these factors and hence become exposed to profit losses. Moreover, there is a lot of inflation that complicates long term planning, capital budgeting and investment decisions. Once inflation becomes volatile, companies are not willing to make investments, a phenomenon that suppresses the productivity of any economy and lowers economic growth.</w:t>
      </w:r>
    </w:p>
    <w:p w14:paraId="28341BD9" w14:textId="730C2763" w:rsidR="00714235" w:rsidRDefault="00714235" w:rsidP="00630DA9">
      <w:pPr>
        <w:jc w:val="both"/>
      </w:pPr>
      <w:r>
        <w:t xml:space="preserve">Another source of complexity is the changes in interest rates. To investors, an increase in the rate makes stocks less appealing to investments compared to bonds, and significant rebalancing is necessary. The imminent reallocations are however extremely unpredictable because of the uncertain communication of central banks. According to Ioannidis and </w:t>
      </w:r>
      <w:r w:rsidR="00B705AA">
        <w:t>Kroner, (2023),</w:t>
      </w:r>
      <w:r>
        <w:t xml:space="preserve"> monetary tightening attracts market overreactions most of the time since investors cannot predict the direction of the policies. Such imbalance creates a greater volatility especially on growth and technology stocks, which are valuation sensitive to changes in the discount rates.</w:t>
      </w:r>
    </w:p>
    <w:p w14:paraId="171433BC" w14:textId="77777777" w:rsidR="00C406CB" w:rsidRPr="00C406CB" w:rsidRDefault="00C406CB" w:rsidP="00C406CB">
      <w:pPr>
        <w:keepNext/>
        <w:jc w:val="center"/>
        <w:rPr>
          <w:b/>
          <w:bCs/>
          <w:color w:val="000000" w:themeColor="text1"/>
          <w:szCs w:val="24"/>
        </w:rPr>
      </w:pPr>
      <w:r w:rsidRPr="00C406CB">
        <w:rPr>
          <w:b/>
          <w:bCs/>
          <w:noProof/>
          <w:color w:val="000000" w:themeColor="text1"/>
          <w:szCs w:val="24"/>
        </w:rPr>
        <w:drawing>
          <wp:inline distT="0" distB="0" distL="0" distR="0" wp14:anchorId="4887CD40" wp14:editId="6F1F8F98">
            <wp:extent cx="5943600" cy="3208655"/>
            <wp:effectExtent l="0" t="0" r="0" b="0"/>
            <wp:docPr id="2068353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353229" name=""/>
                    <pic:cNvPicPr/>
                  </pic:nvPicPr>
                  <pic:blipFill>
                    <a:blip r:embed="rId11"/>
                    <a:stretch>
                      <a:fillRect/>
                    </a:stretch>
                  </pic:blipFill>
                  <pic:spPr>
                    <a:xfrm>
                      <a:off x="0" y="0"/>
                      <a:ext cx="5943600" cy="3208655"/>
                    </a:xfrm>
                    <a:prstGeom prst="rect">
                      <a:avLst/>
                    </a:prstGeom>
                  </pic:spPr>
                </pic:pic>
              </a:graphicData>
            </a:graphic>
          </wp:inline>
        </w:drawing>
      </w:r>
    </w:p>
    <w:p w14:paraId="74B5DD9C" w14:textId="00039FFD" w:rsidR="00C406CB" w:rsidRPr="00C406CB" w:rsidRDefault="00C406CB" w:rsidP="00C406CB">
      <w:pPr>
        <w:pStyle w:val="Caption"/>
        <w:jc w:val="center"/>
        <w:rPr>
          <w:b/>
          <w:bCs/>
          <w:i w:val="0"/>
          <w:iCs w:val="0"/>
          <w:color w:val="000000" w:themeColor="text1"/>
          <w:sz w:val="24"/>
          <w:szCs w:val="24"/>
          <w:lang w:val="en-GB"/>
        </w:rPr>
      </w:pPr>
      <w:r w:rsidRPr="00C406CB">
        <w:rPr>
          <w:b/>
          <w:bCs/>
          <w:i w:val="0"/>
          <w:iCs w:val="0"/>
          <w:color w:val="000000" w:themeColor="text1"/>
          <w:sz w:val="24"/>
          <w:szCs w:val="24"/>
        </w:rPr>
        <w:t xml:space="preserve">Figure </w:t>
      </w:r>
      <w:r w:rsidRPr="00C406CB">
        <w:rPr>
          <w:b/>
          <w:bCs/>
          <w:i w:val="0"/>
          <w:iCs w:val="0"/>
          <w:color w:val="000000" w:themeColor="text1"/>
          <w:sz w:val="24"/>
          <w:szCs w:val="24"/>
        </w:rPr>
        <w:fldChar w:fldCharType="begin"/>
      </w:r>
      <w:r w:rsidRPr="00C406CB">
        <w:rPr>
          <w:b/>
          <w:bCs/>
          <w:i w:val="0"/>
          <w:iCs w:val="0"/>
          <w:color w:val="000000" w:themeColor="text1"/>
          <w:sz w:val="24"/>
          <w:szCs w:val="24"/>
        </w:rPr>
        <w:instrText xml:space="preserve"> SEQ Figure \* ARABIC </w:instrText>
      </w:r>
      <w:r w:rsidRPr="00C406CB">
        <w:rPr>
          <w:b/>
          <w:bCs/>
          <w:i w:val="0"/>
          <w:iCs w:val="0"/>
          <w:color w:val="000000" w:themeColor="text1"/>
          <w:sz w:val="24"/>
          <w:szCs w:val="24"/>
        </w:rPr>
        <w:fldChar w:fldCharType="separate"/>
      </w:r>
      <w:r w:rsidRPr="00C406CB">
        <w:rPr>
          <w:b/>
          <w:bCs/>
          <w:i w:val="0"/>
          <w:iCs w:val="0"/>
          <w:noProof/>
          <w:color w:val="000000" w:themeColor="text1"/>
          <w:sz w:val="24"/>
          <w:szCs w:val="24"/>
        </w:rPr>
        <w:t>3</w:t>
      </w:r>
      <w:r w:rsidRPr="00C406CB">
        <w:rPr>
          <w:b/>
          <w:bCs/>
          <w:i w:val="0"/>
          <w:iCs w:val="0"/>
          <w:color w:val="000000" w:themeColor="text1"/>
          <w:sz w:val="24"/>
          <w:szCs w:val="24"/>
        </w:rPr>
        <w:fldChar w:fldCharType="end"/>
      </w:r>
      <w:r w:rsidRPr="00C406CB">
        <w:rPr>
          <w:b/>
          <w:bCs/>
          <w:i w:val="0"/>
          <w:iCs w:val="0"/>
          <w:color w:val="000000" w:themeColor="text1"/>
          <w:sz w:val="24"/>
          <w:szCs w:val="24"/>
        </w:rPr>
        <w:t xml:space="preserve">: </w:t>
      </w:r>
      <w:r w:rsidRPr="00C406CB">
        <w:rPr>
          <w:b/>
          <w:bCs/>
          <w:i w:val="0"/>
          <w:iCs w:val="0"/>
          <w:color w:val="000000" w:themeColor="text1"/>
          <w:sz w:val="24"/>
          <w:szCs w:val="24"/>
          <w:lang w:val="en-GB"/>
        </w:rPr>
        <w:t>UK Equity Value</w:t>
      </w:r>
    </w:p>
    <w:p w14:paraId="6EB56368" w14:textId="42CA434C" w:rsidR="00C406CB" w:rsidRPr="00C406CB" w:rsidRDefault="00C406CB" w:rsidP="00C406CB">
      <w:pPr>
        <w:pStyle w:val="Caption"/>
        <w:jc w:val="center"/>
        <w:rPr>
          <w:b/>
          <w:bCs/>
          <w:i w:val="0"/>
          <w:iCs w:val="0"/>
          <w:color w:val="000000" w:themeColor="text1"/>
          <w:sz w:val="24"/>
          <w:szCs w:val="24"/>
        </w:rPr>
      </w:pPr>
      <w:r w:rsidRPr="00C406CB">
        <w:rPr>
          <w:b/>
          <w:bCs/>
          <w:i w:val="0"/>
          <w:iCs w:val="0"/>
          <w:color w:val="000000" w:themeColor="text1"/>
          <w:sz w:val="24"/>
          <w:szCs w:val="24"/>
          <w:lang w:val="en-GB"/>
        </w:rPr>
        <w:t>Source: (</w:t>
      </w:r>
      <w:r w:rsidR="002B1E9A">
        <w:rPr>
          <w:b/>
          <w:bCs/>
          <w:i w:val="0"/>
          <w:iCs w:val="0"/>
          <w:color w:val="000000" w:themeColor="text1"/>
          <w:sz w:val="24"/>
          <w:szCs w:val="24"/>
          <w:lang w:val="en-GB"/>
        </w:rPr>
        <w:t>Jaisinghani and Msika</w:t>
      </w:r>
      <w:r w:rsidRPr="00C406CB">
        <w:rPr>
          <w:b/>
          <w:bCs/>
          <w:i w:val="0"/>
          <w:iCs w:val="0"/>
          <w:color w:val="000000" w:themeColor="text1"/>
          <w:sz w:val="24"/>
          <w:szCs w:val="24"/>
          <w:lang w:val="en-GB"/>
        </w:rPr>
        <w:t>, 202</w:t>
      </w:r>
      <w:r w:rsidR="002B1E9A">
        <w:rPr>
          <w:b/>
          <w:bCs/>
          <w:i w:val="0"/>
          <w:iCs w:val="0"/>
          <w:color w:val="000000" w:themeColor="text1"/>
          <w:sz w:val="24"/>
          <w:szCs w:val="24"/>
          <w:lang w:val="en-GB"/>
        </w:rPr>
        <w:t>3</w:t>
      </w:r>
      <w:r w:rsidRPr="00C406CB">
        <w:rPr>
          <w:b/>
          <w:bCs/>
          <w:i w:val="0"/>
          <w:iCs w:val="0"/>
          <w:color w:val="000000" w:themeColor="text1"/>
          <w:sz w:val="24"/>
          <w:szCs w:val="24"/>
          <w:lang w:val="en-GB"/>
        </w:rPr>
        <w:t>)</w:t>
      </w:r>
    </w:p>
    <w:p w14:paraId="5F0D0F1A" w14:textId="7166215B" w:rsidR="00714235" w:rsidRDefault="00714235" w:rsidP="00630DA9">
      <w:pPr>
        <w:jc w:val="both"/>
      </w:pPr>
      <w:r>
        <w:lastRenderedPageBreak/>
        <w:t xml:space="preserve">Companies are struggling with the same issues. When interest rates are raised, borrowing costs are high and the cost of capital is high, which decreases the profitability of the debt-based firms. SMEs which form a significant portion of the UK economy are especially impacted on a disproportionate basis since they are bank-financed and have less access to capital markets. </w:t>
      </w:r>
      <w:r w:rsidR="00B705AA">
        <w:t>Xie, et al., (2023),</w:t>
      </w:r>
      <w:r>
        <w:t xml:space="preserve"> underline that SMEs have the most difficulties in tightening cycles because there are few financial buffers that cause the decline in investment, freezing of staffs, or even shutdown of businesses.</w:t>
      </w:r>
    </w:p>
    <w:p w14:paraId="656A4EB4" w14:textId="2B98FE1A" w:rsidR="00714235" w:rsidRDefault="00714235" w:rsidP="00630DA9">
      <w:pPr>
        <w:jc w:val="both"/>
      </w:pPr>
      <w:r>
        <w:t>The other problem is that firms have trouble with pricing in times of inflation. The instability in the wages, energy expenses, and material price surges compel companies to change the prices on a regular basis, and this may prove disastrous in terms of consumer loyalty</w:t>
      </w:r>
      <w:r w:rsidR="00B705AA">
        <w:t xml:space="preserve"> (Bewley, 2025)</w:t>
      </w:r>
      <w:r>
        <w:t xml:space="preserve">. Depending on the competitive nature of their market, firms in highly competitive markets: fashion, food retail, and consumer goods offer the price-setting dilemma. Increasing prices assures margin security, whereas price decreases </w:t>
      </w:r>
      <w:proofErr w:type="gramStart"/>
      <w:r>
        <w:t>assures</w:t>
      </w:r>
      <w:proofErr w:type="gramEnd"/>
      <w:r>
        <w:t xml:space="preserve"> demand security. The result of such a trade-off is a strategic tension in the long-term.</w:t>
      </w:r>
    </w:p>
    <w:p w14:paraId="6AFC6497" w14:textId="0AFED4BE" w:rsidR="00714235" w:rsidRDefault="000B1DDF" w:rsidP="00630DA9">
      <w:pPr>
        <w:pStyle w:val="Heading2"/>
        <w:spacing w:before="120" w:after="120"/>
        <w:jc w:val="both"/>
      </w:pPr>
      <w:bookmarkStart w:id="21" w:name="_Toc220875026"/>
      <w:r>
        <w:t xml:space="preserve">2.5.2 </w:t>
      </w:r>
      <w:r w:rsidR="00714235">
        <w:t>Government Action Problems: Planning Problems, Lags in Monetary Policy, and Structural Problems</w:t>
      </w:r>
      <w:bookmarkEnd w:id="21"/>
    </w:p>
    <w:p w14:paraId="6FABD6EF" w14:textId="3986424A" w:rsidR="00714235" w:rsidRDefault="00714235" w:rsidP="00630DA9">
      <w:pPr>
        <w:jc w:val="both"/>
      </w:pPr>
      <w:r>
        <w:t xml:space="preserve">The policymakers especially the central banks and the fiscal bodies have great problems in the formulation of strategies of tackling inflation and fluctuations of interest rates and to ensure the stability of the economy. One of these externalities is the time delay in the transmission mechanisms of money. There is a lag in the transmission effect of changes in policy rates which only materialise after months through credit markets, labour markets and consumer spending pattern. According to </w:t>
      </w:r>
      <w:r w:rsidR="00B705AA">
        <w:t>Grigoli &amp; Sandri, (2022),</w:t>
      </w:r>
      <w:r>
        <w:t xml:space="preserve"> such lags are frequently the reason why central banks have difficulties in ratcheting the policy. Consequently, choices can be seen as being either overly assertive or style-less.</w:t>
      </w:r>
    </w:p>
    <w:p w14:paraId="3CFDAC46" w14:textId="77777777" w:rsidR="00B705AA" w:rsidRDefault="00714235" w:rsidP="00630DA9">
      <w:pPr>
        <w:jc w:val="both"/>
      </w:pPr>
      <w:r>
        <w:t xml:space="preserve">Another issue that policy makers experience is conflicting macroeconomic goals. As an illustration, inflation can be decreased by increasing interest rates, but this will also slow down GDP growth, cause more people to lose their jobs, and stifle consumer spending. This trade-off is especially bad in stagflation- inflations of large growth. As shown by </w:t>
      </w:r>
      <w:r w:rsidR="00B705AA">
        <w:t>Shirakawa, (2021),</w:t>
      </w:r>
      <w:r>
        <w:t xml:space="preserve"> the Bank of England experienced an unprecedented strain in the crisis of 2008 and the recovery that followed as it had to balance between curbing the inflation rates and ensuring the economy starts going again with the use of unusual methods like quantitative easing (QE).</w:t>
      </w:r>
      <w:r w:rsidR="000B1DDF">
        <w:t xml:space="preserve"> </w:t>
      </w:r>
      <w:r>
        <w:t xml:space="preserve">Global interconnectedness is </w:t>
      </w:r>
      <w:r>
        <w:lastRenderedPageBreak/>
        <w:t xml:space="preserve">another challenge of concern. In a very systematised financial system, domestic inflation and interest-rate policies cannot be studied separately. </w:t>
      </w:r>
    </w:p>
    <w:p w14:paraId="15B0F0B4" w14:textId="697B13DC" w:rsidR="00714235" w:rsidRDefault="00714235" w:rsidP="00630DA9">
      <w:pPr>
        <w:jc w:val="both"/>
      </w:pPr>
      <w:r>
        <w:t xml:space="preserve">The external shocks (US Federal Reserve changes in policy or global commodity price, or tensions in the geopolitics) are put under the direct influence on the domestic inflation and financial stability. The UK policymakers need to constantly alter their policies in accordance to the global circumstances and thus they have no capability to control the inflation purely on localised measures. </w:t>
      </w:r>
      <w:r w:rsidR="00084F7F">
        <w:t xml:space="preserve">Miranda-Agrippino &amp; </w:t>
      </w:r>
      <w:proofErr w:type="spellStart"/>
      <w:r w:rsidR="00084F7F">
        <w:t>Nenova</w:t>
      </w:r>
      <w:proofErr w:type="spellEnd"/>
      <w:r w:rsidR="00084F7F">
        <w:t>, (2022),</w:t>
      </w:r>
      <w:r>
        <w:t xml:space="preserve"> believe that such a global effect as spillover of monetary policy undermines the effectiveness of monetary policy in the domestic environment and makes one more susceptible to the external effect.</w:t>
      </w:r>
    </w:p>
    <w:p w14:paraId="476F1D35" w14:textId="0A5DB989" w:rsidR="00714235" w:rsidRDefault="00714235" w:rsidP="00630DA9">
      <w:pPr>
        <w:jc w:val="both"/>
      </w:pPr>
      <w:r>
        <w:t xml:space="preserve">There are also communication issues that have a considerable influence on the success of policies. The use of forward guidance by central banks to anchor expectations may be misinterpreted and have undue volatility in the market, especially when there is a miscommunication or unclear communication. </w:t>
      </w:r>
      <w:r w:rsidR="00084F7F">
        <w:t>Odlyzko, (2025)</w:t>
      </w:r>
      <w:r>
        <w:t xml:space="preserve"> show how poor communication in the Bank of England throughout the rate forming sessions, predominantly resulted in overblown market responses and destroyed the effectiveness of the policy.</w:t>
      </w:r>
      <w:r w:rsidR="000B1DDF">
        <w:t xml:space="preserve"> </w:t>
      </w:r>
      <w:r>
        <w:t>Structural rigidities of the economy also pose their own problems to policymakers. The constraints of the labour market, lack of productivity and disruptions of the supply chain can inhibit the impact of changes in the rate in controlling inflation. To illustrate, an increase in rates will not limit an inflation prompted by supply imbalances like energy crises or logistical crisis around the world. These misfits will lead to the use of blunt policy tools in relation to delicate economic issues.</w:t>
      </w:r>
    </w:p>
    <w:p w14:paraId="36AB4B8F" w14:textId="620B600A" w:rsidR="003174A7" w:rsidRDefault="003174A7" w:rsidP="00630DA9">
      <w:pPr>
        <w:pStyle w:val="Heading2"/>
        <w:spacing w:before="120" w:after="120"/>
        <w:jc w:val="both"/>
      </w:pPr>
      <w:bookmarkStart w:id="22" w:name="_Toc220875027"/>
      <w:r>
        <w:t>2.6 Research Gap</w:t>
      </w:r>
      <w:bookmarkEnd w:id="22"/>
    </w:p>
    <w:p w14:paraId="1264FC9B" w14:textId="13FA81FF" w:rsidR="005C5F17" w:rsidRPr="005C5F17" w:rsidRDefault="005C5F17" w:rsidP="00630DA9">
      <w:pPr>
        <w:jc w:val="both"/>
      </w:pPr>
      <w:r w:rsidRPr="005C5F17">
        <w:t xml:space="preserve">The current literature is rich in details on the personal implications of inflation, interest rate developments, and macroeconomic volatility on financial markets, but there is still a major gap in comprehending how investors, firms and policy makers when faced with such problems can collectively experience and react to such challenges. The majority of literature concentrates on individual aspects, i.e. investor behaviour, firm performance or policy effectiveness, without considering how all three parties were affected by macroeconomic buffets at a time. Also, study tends to collect market impacts in general and does not examine industry-specific weaknesses or reactionary mechanisms in varied industries. Little analysis is also done as to how global spillovers, failures in communication, and structural rigidities influences the core capabilities in </w:t>
      </w:r>
      <w:r w:rsidRPr="005C5F17">
        <w:lastRenderedPageBreak/>
        <w:t>dealing with inflation and interest-rate shocks. These gaps are addressed in this study, which offers a multi-actor analysis.</w:t>
      </w:r>
    </w:p>
    <w:p w14:paraId="53CA2CB6" w14:textId="4CFFC91D" w:rsidR="003174A7" w:rsidRDefault="003174A7" w:rsidP="00630DA9">
      <w:pPr>
        <w:pStyle w:val="Heading2"/>
        <w:spacing w:before="120" w:after="120"/>
        <w:jc w:val="both"/>
      </w:pPr>
      <w:bookmarkStart w:id="23" w:name="_Toc220875028"/>
      <w:r>
        <w:t>2.7 Research Summa</w:t>
      </w:r>
      <w:r w:rsidR="004416E9">
        <w:t>r</w:t>
      </w:r>
      <w:r>
        <w:t>y</w:t>
      </w:r>
      <w:bookmarkEnd w:id="23"/>
    </w:p>
    <w:p w14:paraId="3F202525" w14:textId="47C636BE" w:rsidR="008316C2" w:rsidRDefault="005C5F17" w:rsidP="00630DA9">
      <w:pPr>
        <w:jc w:val="both"/>
      </w:pPr>
      <w:r w:rsidRPr="005C5F17">
        <w:t>The general literature study evidences that the effects of inflation and changes in interest rates are multidimensional and have complicated consequences on financial markets, investor decision making, firm performance and effectiveness of policies. Although the directional effect of these macroeconomic variables can be explained through traditional theories, the results of the empirical research indicate a considerable variation in the directional effect of these variables within sectors, time, and economic conditions. Investors are more uncertain and valuations are more difficult, firms are more likely to have issues with cost pressures and financial pressure, and policymakers are between inflation control and stability of growth at transmission lags and global spillovers. Existing limitations also include the fragmented analysis and lack of integration among market actors, as it is mentioned in the reviewed literature. After all, the evidence supports the idea that a more holistic and coordinated method towards the perception and response towards macroeconomic volatility is necessary. This research makes its contribution to bridging the research gap by synthesising these mutually related dynamics.</w:t>
      </w:r>
    </w:p>
    <w:p w14:paraId="1A2EE660" w14:textId="77777777" w:rsidR="008316C2" w:rsidRDefault="008316C2" w:rsidP="00630DA9">
      <w:r>
        <w:br w:type="page"/>
      </w:r>
    </w:p>
    <w:p w14:paraId="1448B211" w14:textId="77777777" w:rsidR="008316C2" w:rsidRDefault="008316C2" w:rsidP="00630DA9">
      <w:pPr>
        <w:pStyle w:val="Heading1"/>
        <w:spacing w:before="120" w:after="120" w:line="360" w:lineRule="auto"/>
        <w:jc w:val="both"/>
      </w:pPr>
      <w:bookmarkStart w:id="24" w:name="_Toc220875029"/>
      <w:r>
        <w:lastRenderedPageBreak/>
        <w:t>Chapter 3: Research Methodology</w:t>
      </w:r>
      <w:bookmarkEnd w:id="24"/>
    </w:p>
    <w:p w14:paraId="43E3EAB3" w14:textId="77777777" w:rsidR="008316C2" w:rsidRPr="00135B8F" w:rsidRDefault="008316C2" w:rsidP="00630DA9">
      <w:pPr>
        <w:pStyle w:val="Heading2"/>
        <w:spacing w:before="120" w:after="120"/>
        <w:jc w:val="both"/>
      </w:pPr>
      <w:bookmarkStart w:id="25" w:name="_Toc220875030"/>
      <w:r w:rsidRPr="00135B8F">
        <w:t>3.1 Introduction to Research Methodology</w:t>
      </w:r>
      <w:bookmarkEnd w:id="25"/>
    </w:p>
    <w:p w14:paraId="19AFBB88" w14:textId="77777777" w:rsidR="008316C2" w:rsidRDefault="008316C2" w:rsidP="00630DA9">
      <w:pPr>
        <w:jc w:val="both"/>
      </w:pPr>
      <w:r>
        <w:t xml:space="preserve">Research methodology offers a methodical outline that informs the manner in which a study will be designed, performed and analysed in a </w:t>
      </w:r>
      <w:proofErr w:type="gramStart"/>
      <w:r>
        <w:t>reactions</w:t>
      </w:r>
      <w:proofErr w:type="gramEnd"/>
      <w:r>
        <w:t xml:space="preserve"> to its research aims in a believable and academically sound way. In this research, where the researcher will </w:t>
      </w:r>
      <w:proofErr w:type="spellStart"/>
      <w:r>
        <w:t>analyze</w:t>
      </w:r>
      <w:proofErr w:type="spellEnd"/>
      <w:r>
        <w:t xml:space="preserve"> how inflation and changes of interest rates affect the performance of the UK stock market, one will require a structured approach owing to the dynamic, complex, and policy-driven character of relationships among macroeconomic and financial variables. Stock markets are not affected by inflation and interest rates in a vacuum, but the effects are mediated by investor expectations, signals of the monetary policy, sensitivity in the sector, and the overall state of the economy. Hence, it is essential to pick out a suitable methodological approach in order to measure these multidimensional interactions.</w:t>
      </w:r>
    </w:p>
    <w:p w14:paraId="05BA1678" w14:textId="77777777" w:rsidR="008316C2" w:rsidRPr="00135B8F" w:rsidRDefault="008316C2" w:rsidP="00630DA9">
      <w:pPr>
        <w:pStyle w:val="Heading2"/>
        <w:spacing w:before="120" w:after="120"/>
        <w:jc w:val="both"/>
      </w:pPr>
      <w:bookmarkStart w:id="26" w:name="_Toc220875031"/>
      <w:r w:rsidRPr="00135B8F">
        <w:t>3.2 Research Design: Overview Using Saunders’ Research Onion</w:t>
      </w:r>
      <w:bookmarkEnd w:id="26"/>
      <w:r w:rsidRPr="00135B8F">
        <w:t xml:space="preserve"> </w:t>
      </w:r>
    </w:p>
    <w:p w14:paraId="4EFCA6B3" w14:textId="77777777" w:rsidR="008316C2" w:rsidRPr="007813AD" w:rsidRDefault="008316C2" w:rsidP="00630DA9">
      <w:pPr>
        <w:jc w:val="both"/>
        <w:rPr>
          <w:highlight w:val="yellow"/>
        </w:rPr>
      </w:pPr>
      <w:r w:rsidRPr="007813AD">
        <w:t>The research design is a general approach that incorporates various methodological elements to make sure that the research questions are answered in a logical and consistent way (</w:t>
      </w:r>
      <w:proofErr w:type="spellStart"/>
      <w:r w:rsidRPr="007813AD">
        <w:t>Ghazinoory</w:t>
      </w:r>
      <w:proofErr w:type="spellEnd"/>
      <w:r w:rsidRPr="007813AD">
        <w:t>, et al., 2025). In order to organize this research in a systematic way, the Research Onion by Saunders is taken as the outline. The research onion is a popular methodological framework that defines the concept of research design as a complex of interconnected layers that have each other starting with philosophical assumptions and then approach, strategy, time horizon, and data collection methods (Melnikovas, 2018). Such a stratification allows for transparency and consistency in methods to be applied in the research.</w:t>
      </w:r>
    </w:p>
    <w:p w14:paraId="4D940834" w14:textId="77777777" w:rsidR="008316C2" w:rsidRPr="00F941DF" w:rsidRDefault="008316C2" w:rsidP="00630DA9">
      <w:pPr>
        <w:keepNext/>
        <w:jc w:val="center"/>
        <w:rPr>
          <w:b/>
          <w:bCs/>
        </w:rPr>
      </w:pPr>
      <w:r w:rsidRPr="00F941DF">
        <w:rPr>
          <w:b/>
          <w:bCs/>
          <w:noProof/>
        </w:rPr>
        <w:lastRenderedPageBreak/>
        <w:drawing>
          <wp:inline distT="0" distB="0" distL="0" distR="0" wp14:anchorId="377F572C" wp14:editId="2B4004BC">
            <wp:extent cx="5707380" cy="4404360"/>
            <wp:effectExtent l="0" t="57150" r="0" b="53340"/>
            <wp:docPr id="596288685"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30B914D" w14:textId="2D9E195B" w:rsidR="008316C2" w:rsidRPr="00F941DF" w:rsidRDefault="008316C2" w:rsidP="00630DA9">
      <w:pPr>
        <w:pStyle w:val="Caption"/>
        <w:spacing w:before="120" w:after="120" w:line="360" w:lineRule="auto"/>
        <w:jc w:val="center"/>
        <w:rPr>
          <w:b/>
          <w:bCs/>
          <w:color w:val="auto"/>
          <w:sz w:val="24"/>
          <w:szCs w:val="24"/>
        </w:rPr>
      </w:pPr>
      <w:r w:rsidRPr="00F941DF">
        <w:rPr>
          <w:b/>
          <w:bCs/>
          <w:color w:val="auto"/>
          <w:sz w:val="24"/>
          <w:szCs w:val="24"/>
        </w:rPr>
        <w:t xml:space="preserve">Figure </w:t>
      </w:r>
      <w:r w:rsidRPr="00F941DF">
        <w:rPr>
          <w:b/>
          <w:bCs/>
          <w:color w:val="auto"/>
          <w:sz w:val="24"/>
          <w:szCs w:val="24"/>
        </w:rPr>
        <w:fldChar w:fldCharType="begin"/>
      </w:r>
      <w:r w:rsidRPr="00F941DF">
        <w:rPr>
          <w:b/>
          <w:bCs/>
          <w:color w:val="auto"/>
          <w:sz w:val="24"/>
          <w:szCs w:val="24"/>
        </w:rPr>
        <w:instrText xml:space="preserve"> SEQ Figure \* ARABIC </w:instrText>
      </w:r>
      <w:r w:rsidRPr="00F941DF">
        <w:rPr>
          <w:b/>
          <w:bCs/>
          <w:color w:val="auto"/>
          <w:sz w:val="24"/>
          <w:szCs w:val="24"/>
        </w:rPr>
        <w:fldChar w:fldCharType="separate"/>
      </w:r>
      <w:r w:rsidR="00C406CB">
        <w:rPr>
          <w:b/>
          <w:bCs/>
          <w:noProof/>
          <w:color w:val="auto"/>
          <w:sz w:val="24"/>
          <w:szCs w:val="24"/>
        </w:rPr>
        <w:t>4</w:t>
      </w:r>
      <w:r w:rsidRPr="00F941DF">
        <w:rPr>
          <w:b/>
          <w:bCs/>
          <w:color w:val="auto"/>
          <w:sz w:val="24"/>
          <w:szCs w:val="24"/>
        </w:rPr>
        <w:fldChar w:fldCharType="end"/>
      </w:r>
      <w:r w:rsidRPr="00F941DF">
        <w:rPr>
          <w:b/>
          <w:bCs/>
          <w:color w:val="auto"/>
          <w:sz w:val="24"/>
          <w:szCs w:val="24"/>
        </w:rPr>
        <w:t>: Saunders' Research Onion</w:t>
      </w:r>
    </w:p>
    <w:p w14:paraId="2DD20BB8" w14:textId="77777777" w:rsidR="008316C2" w:rsidRPr="00135B8F" w:rsidRDefault="008316C2" w:rsidP="00630DA9">
      <w:pPr>
        <w:pStyle w:val="Caption"/>
        <w:spacing w:before="120" w:after="120" w:line="360" w:lineRule="auto"/>
        <w:jc w:val="center"/>
        <w:rPr>
          <w:b/>
          <w:bCs/>
          <w:color w:val="auto"/>
          <w:sz w:val="24"/>
          <w:szCs w:val="24"/>
        </w:rPr>
      </w:pPr>
      <w:r w:rsidRPr="00F941DF">
        <w:rPr>
          <w:b/>
          <w:bCs/>
          <w:color w:val="auto"/>
          <w:sz w:val="24"/>
          <w:szCs w:val="24"/>
        </w:rPr>
        <w:t>Source: (Self-Created)</w:t>
      </w:r>
    </w:p>
    <w:p w14:paraId="6E185607" w14:textId="77777777" w:rsidR="008316C2" w:rsidRDefault="008316C2" w:rsidP="00630DA9">
      <w:pPr>
        <w:jc w:val="both"/>
      </w:pPr>
      <w:r>
        <w:t>The research philosophy is the most distant segment of the research onion, and it establishes the assumptions regarding the knowledge and reality, on which the study is based. Such studies are based on the interpretivism approach, which assumes that economic and financial phenomena, including stock markets responses to changes in inflation and interest rates, are influenced by human interpretation, expectations, and contextual influences as opposed to objective laws. The second layer is the research method, in which inductive approach is followed (Melnikovas, 2018). As opposed to testing the established hypotheses, the research develops understanding and insights based on patterns found in literature and existing policy data, which is correct in the current macroeconomic environment in the UK that is changing.</w:t>
      </w:r>
    </w:p>
    <w:p w14:paraId="36A92F9F" w14:textId="77777777" w:rsidR="008316C2" w:rsidRDefault="008316C2" w:rsidP="00630DA9">
      <w:pPr>
        <w:jc w:val="both"/>
      </w:pPr>
      <w:r>
        <w:lastRenderedPageBreak/>
        <w:t xml:space="preserve">The study design is a qualitative mono-method study design. The decision is in line with the focus of the study on interpretation, synthesis, and critical analysis of secondary sources and not numerical modelling (Vivek and Nanthagopan, 2021). The study methodology used is a systematized literature review and documentary analysis of scholarly works, central bank publications and publications of financial markets. Through these strategies, it is possible to </w:t>
      </w:r>
      <w:proofErr w:type="spellStart"/>
      <w:r>
        <w:t>analyze</w:t>
      </w:r>
      <w:proofErr w:type="spellEnd"/>
      <w:r>
        <w:t xml:space="preserve"> the previous trends, policy choices and sectoral reaction in the UK stock market.</w:t>
      </w:r>
    </w:p>
    <w:p w14:paraId="1394C1F4" w14:textId="77777777" w:rsidR="008316C2" w:rsidRDefault="008316C2" w:rsidP="00630DA9">
      <w:pPr>
        <w:jc w:val="both"/>
      </w:pPr>
      <w:r>
        <w:t>The study has a cross-sectional view with historical contextualisation in the time horizon in that it employs evidence in more than one time period to capture changes before and after significant economic events like Brexit and the COVID-19 pandemic. Lastly, the techniques and procedures level entails the process of secondary data collection and thematic analysis that allows identifying the recurring themes which refer to inflation, interest rate transmission, investor behaviour, and market performance (Ansari, et al., 2026).</w:t>
      </w:r>
    </w:p>
    <w:p w14:paraId="4CE1634A" w14:textId="77777777" w:rsidR="008316C2" w:rsidRPr="00135B8F" w:rsidRDefault="008316C2" w:rsidP="00630DA9">
      <w:pPr>
        <w:pStyle w:val="Heading2"/>
        <w:spacing w:before="120" w:after="120"/>
      </w:pPr>
      <w:bookmarkStart w:id="27" w:name="_Toc220875032"/>
      <w:r w:rsidRPr="00135B8F">
        <w:t>3.3 Research Philosophy: Interpretivism</w:t>
      </w:r>
      <w:bookmarkEnd w:id="27"/>
      <w:r w:rsidRPr="00135B8F">
        <w:t xml:space="preserve"> </w:t>
      </w:r>
    </w:p>
    <w:p w14:paraId="7DAAE9D1" w14:textId="77777777" w:rsidR="008316C2" w:rsidRDefault="008316C2" w:rsidP="00630DA9">
      <w:pPr>
        <w:jc w:val="both"/>
      </w:pPr>
      <w:r>
        <w:t>Research philosophy can be defined as the beliefs and assumptions regarding the knowledge creation process and the understanding of reality of a study. The philosophy followed in this research is interpretivist, that is, the approach that focuses on interpreting the meanings, perceptions, and contextual influences through making sense of social and economic phenomena instead of objectively measuring them. Interpretivism presupposes that reality is a socially constructed one and that human behaviour, expectations, and interpretations take a centre-stage in determining the outcomes observable (Pervin and Mokhtar, 2022).</w:t>
      </w:r>
    </w:p>
    <w:p w14:paraId="20D8F243" w14:textId="23AD8C3E" w:rsidR="008316C2" w:rsidRDefault="008316C2" w:rsidP="00630DA9">
      <w:pPr>
        <w:jc w:val="both"/>
      </w:pPr>
      <w:r>
        <w:t xml:space="preserve">Interpretivism is specifically suitable in </w:t>
      </w:r>
      <w:r w:rsidR="00AD35B8">
        <w:t xml:space="preserve">the </w:t>
      </w:r>
      <w:r>
        <w:t>research on the inflation, interest rates and the performance of the stock market in the UK. Stock markets are not programmed in such a way that they respond to changes in macroeconomic variables, but rather to the interpretation of inflation by investors, future expectations of actions of the monetary policy, and expectations of the future economic situation (Khan, et al., 2024). On one hand, a rise in interest rate can be interpreted as an economic indicator of economic health or as an indicator of economic health as a threat to borrowing, and national growth depending on the mood in the market. Such subtle interpretations cannot be assumed and predictable and can only be investigated by an interpretivist philosophy in which the researcher does not necessarily know how to respond.</w:t>
      </w:r>
    </w:p>
    <w:p w14:paraId="3DD2A737" w14:textId="77777777" w:rsidR="008316C2" w:rsidRDefault="008316C2" w:rsidP="00630DA9">
      <w:pPr>
        <w:jc w:val="both"/>
      </w:pPr>
      <w:r>
        <w:lastRenderedPageBreak/>
        <w:t>Conversely, a positivist philosophy which is often the synonym of quantitative financial modelling is concerned with objective reality and statistical regularities (Su, 2018). Though these methods are useful in the measurement of correlations, they can fail to capture the behavioural, institutional and contextual aspects, which are important in the study of market dynamics. Since this research is based on secondary qualitative data, such as scholarly exegeses, policy reports, and market surveys, interpretation is a better philosophical premise to adopt.</w:t>
      </w:r>
    </w:p>
    <w:p w14:paraId="5565CFA2" w14:textId="77777777" w:rsidR="008316C2" w:rsidRPr="00135B8F" w:rsidRDefault="008316C2" w:rsidP="00630DA9">
      <w:pPr>
        <w:jc w:val="both"/>
        <w:rPr>
          <w:highlight w:val="yellow"/>
        </w:rPr>
      </w:pPr>
      <w:r>
        <w:t>In addition, interpretivism conforms to the purpose of the study, which is synthesising the existing literature to be able to comprehend the impact of inflationary pressures and interest rates changes on the behaviour of the stock market within the sector and time span in the UK. It allows critically comparing divergent opinions in the literature, identifying conflicting empirical results, and decoding policy stories released by institutions, including the Bank of England (Pervin and Mokhtar, 2022). Taking an interpretivist position, the research recognizes the fact that financial markets are influenced by economic fundamentals as well as human judgement and therefore the philosophy is very pertinent to the research.</w:t>
      </w:r>
    </w:p>
    <w:p w14:paraId="3DDB4DD9" w14:textId="77777777" w:rsidR="008316C2" w:rsidRPr="00135B8F" w:rsidRDefault="008316C2" w:rsidP="00630DA9">
      <w:pPr>
        <w:pStyle w:val="Heading2"/>
        <w:spacing w:before="120" w:after="120"/>
      </w:pPr>
      <w:bookmarkStart w:id="28" w:name="_Toc220875033"/>
      <w:r w:rsidRPr="00135B8F">
        <w:t>3.4 Research Approach: Inductive Approach</w:t>
      </w:r>
      <w:bookmarkEnd w:id="28"/>
      <w:r w:rsidRPr="00135B8F">
        <w:t xml:space="preserve"> </w:t>
      </w:r>
    </w:p>
    <w:p w14:paraId="21464910" w14:textId="77777777" w:rsidR="008316C2" w:rsidRDefault="008316C2" w:rsidP="00630DA9">
      <w:pPr>
        <w:jc w:val="both"/>
      </w:pPr>
      <w:r>
        <w:t xml:space="preserve">The research method defines the way how theory is created or checked in </w:t>
      </w:r>
      <w:proofErr w:type="gramStart"/>
      <w:r>
        <w:t>a research</w:t>
      </w:r>
      <w:proofErr w:type="gramEnd"/>
      <w:r>
        <w:t xml:space="preserve"> and defines the logical course of the research process. This paper takes an inductive research methodology, which consists of constructing an understanding and making conclusions based on the patterns of the available information instead of testing the previously developed hypotheses. </w:t>
      </w:r>
      <w:proofErr w:type="gramStart"/>
      <w:r>
        <w:t>An inductive research</w:t>
      </w:r>
      <w:proofErr w:type="gramEnd"/>
      <w:r>
        <w:t xml:space="preserve"> usually starts with observations and moves towards more generalisations or conceptual understandings (Okoli, 2023).</w:t>
      </w:r>
    </w:p>
    <w:p w14:paraId="206DAC61" w14:textId="77777777" w:rsidR="008316C2" w:rsidRDefault="008316C2" w:rsidP="00630DA9">
      <w:pPr>
        <w:jc w:val="both"/>
      </w:pPr>
      <w:r>
        <w:t>Inductive approach is especially appropriate in this research since the phenomena of inflation, interest rates, and stock market performance in the UK are complicated, dynamic, and situational (</w:t>
      </w:r>
      <w:proofErr w:type="spellStart"/>
      <w:r>
        <w:t>Famubode</w:t>
      </w:r>
      <w:proofErr w:type="spellEnd"/>
      <w:r>
        <w:t xml:space="preserve"> and Ali, 2024). The available literature shows to be contradictory and at times mixed in terms of the impact of inflation and changes in interest rates on equity markets depending on the time period, economic climate, as well as industry. Instead of applying strict theoretical framework, this study aims at synthesising and interpreting patterns that emerge as a result of previous empirical researches, policy reports and market studies to build a refined picture of these connections.</w:t>
      </w:r>
    </w:p>
    <w:p w14:paraId="2A7AB63E" w14:textId="77777777" w:rsidR="008316C2" w:rsidRDefault="008316C2" w:rsidP="00630DA9">
      <w:pPr>
        <w:jc w:val="both"/>
      </w:pPr>
      <w:r>
        <w:lastRenderedPageBreak/>
        <w:t>In addition, the macroeconomic environment in the UK has experienced many structural shifts during the recent years with the uncertainty in the context of Brexit, the COVID-19 pandemic, and severe monetary tightening by the Bank of England (Gupta, et al., 2023). These changes have changed the conventional transmission methods of inflation and interest rates and theory-building has become more befitting than hypothesis testing. This is because an inductive approach will enable the research to be flexible and responsive to these changing conditions to come across insights that will occur naturally as part of the reviewed evidence.</w:t>
      </w:r>
    </w:p>
    <w:p w14:paraId="40AE3A6C" w14:textId="77777777" w:rsidR="008316C2" w:rsidRDefault="008316C2" w:rsidP="00630DA9">
      <w:pPr>
        <w:jc w:val="both"/>
      </w:pPr>
      <w:r>
        <w:t>The qualitative nature of the study fits in the inductive approach, as well (</w:t>
      </w:r>
      <w:proofErr w:type="spellStart"/>
      <w:r>
        <w:t>Yuwono</w:t>
      </w:r>
      <w:proofErr w:type="spellEnd"/>
      <w:r>
        <w:t xml:space="preserve"> and </w:t>
      </w:r>
      <w:proofErr w:type="spellStart"/>
      <w:r>
        <w:t>Rachmawati</w:t>
      </w:r>
      <w:proofErr w:type="spellEnd"/>
      <w:r>
        <w:t>, 2023). Through secondary sources like scholarly publications, central bank publications, and financial market publications, the researcher is able to determine the recurring themes of the investor sentiment, policy credibility, and costs of lending and sensitivity of the sector. It is based on these themes that a consistent explanation of the manner in which inflation and interest rate fluctuations determine the behaviour of the UK stock market is built.</w:t>
      </w:r>
    </w:p>
    <w:p w14:paraId="7704092A" w14:textId="77777777" w:rsidR="008316C2" w:rsidRPr="00135B8F" w:rsidRDefault="008316C2" w:rsidP="00630DA9">
      <w:pPr>
        <w:pStyle w:val="Heading2"/>
        <w:spacing w:before="120" w:after="120"/>
      </w:pPr>
      <w:bookmarkStart w:id="29" w:name="_Toc220875034"/>
      <w:r w:rsidRPr="00135B8F">
        <w:t>3.5 Research Method: Qualitative Research Method</w:t>
      </w:r>
      <w:bookmarkEnd w:id="29"/>
      <w:r w:rsidRPr="00135B8F">
        <w:t xml:space="preserve"> </w:t>
      </w:r>
    </w:p>
    <w:p w14:paraId="70E0787B" w14:textId="77777777" w:rsidR="008316C2" w:rsidRDefault="008316C2" w:rsidP="00630DA9">
      <w:pPr>
        <w:jc w:val="both"/>
      </w:pPr>
      <w:r>
        <w:t>The research method is defined as the particular methods employed to gather and analyse data to answer the research questions. The research design of this project is the qualitative research approach providing a focus on non-numerical data meaning interpretation, patterns, and relationships. Qualitative studies are especially useful when the task is to have a deep insight into the complex phenomena and not to quantify the relationships based on statistical methods (Ahmad, et al., 2019). A qualitative approach would be applicable in this study since inflation and interest rate changes affect the performance of the stock market in various ways, such as investor expectation, policy signalling, behavioural reaction and industry specific features (Wankhade, 2025). These processes cannot be exhaustively described by means of numerical indicators. Qualitative analysis, instead, can be used to study the manner in which market participants and institutions perceive the macroeconomic signals as well as the way in which this perception is incorporated into the behaviour of the stock markets over time.</w:t>
      </w:r>
    </w:p>
    <w:p w14:paraId="6E7AF9FF" w14:textId="77777777" w:rsidR="008316C2" w:rsidRDefault="008316C2" w:rsidP="00630DA9">
      <w:pPr>
        <w:jc w:val="both"/>
      </w:pPr>
      <w:r>
        <w:t xml:space="preserve">This research does not seek to predict the returns on stocks or estimate the causal coefficients as is the case with quantitative studies, which strongly depend on econometric models. Instead, it attempts to explain and generalise available knowledge on the academic literature, central bank communications and financial market analysis to know more about wider implication of inflation </w:t>
      </w:r>
      <w:r>
        <w:lastRenderedPageBreak/>
        <w:t>and monetary policy modifications in the context of the UK. The qualitative approach allows the assimilation of various opinions, such as theoretical assumptions, empirical data, and policy opinions (</w:t>
      </w:r>
      <w:proofErr w:type="spellStart"/>
      <w:r>
        <w:t>Yuwono</w:t>
      </w:r>
      <w:proofErr w:type="spellEnd"/>
      <w:r>
        <w:t xml:space="preserve"> and </w:t>
      </w:r>
      <w:proofErr w:type="spellStart"/>
      <w:r>
        <w:t>Rachmawati</w:t>
      </w:r>
      <w:proofErr w:type="spellEnd"/>
      <w:r>
        <w:t>, 2023). Also, qualitative research will enable me to explore differences in stock market responses depending on the sector, and this is one of the main aims of this research. The various industries respond to the changes in inflation and interest rates in different ways based on their cost base, buyer power and external financing needs. Qualitative approach enables such differences to be addressed in further detail which is more informative than statistical analysis in which numbers are aggregated (</w:t>
      </w:r>
      <w:proofErr w:type="spellStart"/>
      <w:r>
        <w:t>Yuwono</w:t>
      </w:r>
      <w:proofErr w:type="spellEnd"/>
      <w:r>
        <w:t xml:space="preserve"> and </w:t>
      </w:r>
      <w:proofErr w:type="spellStart"/>
      <w:r>
        <w:t>Rachmawati</w:t>
      </w:r>
      <w:proofErr w:type="spellEnd"/>
      <w:r>
        <w:t>, 2023).</w:t>
      </w:r>
    </w:p>
    <w:p w14:paraId="7ED59A74" w14:textId="77777777" w:rsidR="008316C2" w:rsidRPr="00D924D8" w:rsidRDefault="008316C2" w:rsidP="00630DA9">
      <w:pPr>
        <w:pStyle w:val="Heading2"/>
        <w:spacing w:before="120" w:after="120"/>
      </w:pPr>
      <w:bookmarkStart w:id="30" w:name="_Toc220875035"/>
      <w:r w:rsidRPr="00D924D8">
        <w:t>3.6 Data Collection Method: Secondary Data Collection</w:t>
      </w:r>
      <w:bookmarkEnd w:id="30"/>
    </w:p>
    <w:p w14:paraId="639346DB" w14:textId="77777777" w:rsidR="008316C2" w:rsidRPr="00D924D8" w:rsidRDefault="008316C2" w:rsidP="00630DA9">
      <w:pPr>
        <w:pStyle w:val="Heading3"/>
        <w:spacing w:before="120" w:after="120"/>
      </w:pPr>
      <w:bookmarkStart w:id="31" w:name="_Toc220875036"/>
      <w:r w:rsidRPr="00D924D8">
        <w:t xml:space="preserve">3.6.1 </w:t>
      </w:r>
      <w:r>
        <w:t>Chosen Data Method</w:t>
      </w:r>
      <w:bookmarkEnd w:id="31"/>
    </w:p>
    <w:p w14:paraId="24121CFF" w14:textId="77777777" w:rsidR="008316C2" w:rsidRDefault="008316C2" w:rsidP="00630DA9">
      <w:pPr>
        <w:jc w:val="both"/>
      </w:pPr>
      <w:r w:rsidRPr="007813AD">
        <w:t xml:space="preserve">Secondary data is information that is already gathered, examined, and published by other scholars or organisations to use in </w:t>
      </w:r>
      <w:proofErr w:type="gramStart"/>
      <w:r w:rsidRPr="007813AD">
        <w:t>a different research</w:t>
      </w:r>
      <w:proofErr w:type="gramEnd"/>
      <w:r w:rsidRPr="007813AD">
        <w:t xml:space="preserve"> than the one being conducted (Olabode, et al., 2019). In scholarly studies, the secondary data often refers to peer-reviewed journal articles or policy reports and official publications by established institutions. The case study is based on secondary data only because the topic of the research is macroeconomic and was conducted to </w:t>
      </w:r>
      <w:proofErr w:type="spellStart"/>
      <w:r w:rsidRPr="007813AD">
        <w:t>analyze</w:t>
      </w:r>
      <w:proofErr w:type="spellEnd"/>
      <w:r w:rsidRPr="007813AD">
        <w:t xml:space="preserve"> the issue of inflation and movements in interest rates in the UK and the performance of the stock market in the country. This type of macro-financial relationships </w:t>
      </w:r>
      <w:proofErr w:type="gramStart"/>
      <w:r w:rsidRPr="007813AD">
        <w:t>need</w:t>
      </w:r>
      <w:proofErr w:type="gramEnd"/>
      <w:r w:rsidRPr="007813AD">
        <w:t xml:space="preserve"> historical data, </w:t>
      </w:r>
      <w:proofErr w:type="gramStart"/>
      <w:r w:rsidRPr="007813AD">
        <w:t>policy based</w:t>
      </w:r>
      <w:proofErr w:type="gramEnd"/>
      <w:r w:rsidRPr="007813AD">
        <w:t xml:space="preserve"> data as well as the </w:t>
      </w:r>
      <w:proofErr w:type="gramStart"/>
      <w:r w:rsidRPr="007813AD">
        <w:t>large scale</w:t>
      </w:r>
      <w:proofErr w:type="gramEnd"/>
      <w:r w:rsidRPr="007813AD">
        <w:t xml:space="preserve"> evidence that cannot be effectively produced using primary data collection techniques like surveys or interviews.</w:t>
      </w:r>
    </w:p>
    <w:p w14:paraId="65EF2984" w14:textId="77777777" w:rsidR="008316C2" w:rsidRPr="00D924D8" w:rsidRDefault="008316C2" w:rsidP="00630DA9">
      <w:pPr>
        <w:pStyle w:val="Heading3"/>
        <w:spacing w:before="120" w:after="120"/>
      </w:pPr>
      <w:bookmarkStart w:id="32" w:name="_Toc220875037"/>
      <w:r w:rsidRPr="00D924D8">
        <w:t>3.6.2 Sources of Data</w:t>
      </w:r>
      <w:bookmarkEnd w:id="32"/>
    </w:p>
    <w:p w14:paraId="2318A6B7" w14:textId="77777777" w:rsidR="008316C2" w:rsidRDefault="008316C2" w:rsidP="00630DA9">
      <w:pPr>
        <w:jc w:val="both"/>
      </w:pPr>
      <w:r>
        <w:t>Peer-reviewed academic papers were located in reliable scholarly databases, such as Google Scholar, Scopus, ScienceDirect, JSTOR, and SSRN (Levine-Clark and Gil, 2021). These databases were chosen because they cover extensive research work of a high standard in the field of economics, finance and monetary policy. Official and publicly available publications of the Bank of England, the Office for National Statistics (ONS), the International monetary fund (IMF), and the Organisation for Economic Co-operation and Development (OECD) were searched to find policy-oriented and macroeconomic evidence. The choice of these institutions was due to their authority and credibility, general relevance of these institutions to the UK inflation, interest rate policy, and financial markets.</w:t>
      </w:r>
    </w:p>
    <w:p w14:paraId="03C07454" w14:textId="77777777" w:rsidR="008316C2" w:rsidRPr="00D924D8" w:rsidRDefault="008316C2" w:rsidP="00630DA9">
      <w:pPr>
        <w:pStyle w:val="Heading3"/>
        <w:spacing w:before="120" w:after="120"/>
      </w:pPr>
      <w:bookmarkStart w:id="33" w:name="_Toc220875038"/>
      <w:r w:rsidRPr="00D924D8">
        <w:lastRenderedPageBreak/>
        <w:t>3.6.3 Systematic Literature Review Strategy</w:t>
      </w:r>
      <w:bookmarkEnd w:id="33"/>
    </w:p>
    <w:p w14:paraId="093B76B0" w14:textId="77777777" w:rsidR="008316C2" w:rsidRDefault="008316C2" w:rsidP="00630DA9">
      <w:pPr>
        <w:jc w:val="both"/>
      </w:pPr>
      <w:r w:rsidRPr="007813AD">
        <w:t>Systematic Literature Review (SLR) methodology was used to guarantee transparency, rigour, and replicability of the data collection procedure (Rogge, et al., 2024). The review was presented in line with PRISMA (Preferred Reporting Items to Systematic Reviews and Meta-Analyses) framework, according to which the selection process is organized into four stages: identification, screening, eligibility, and inclusion.</w:t>
      </w:r>
    </w:p>
    <w:p w14:paraId="4944EBF1" w14:textId="77777777" w:rsidR="008316C2" w:rsidRDefault="008316C2" w:rsidP="00630DA9">
      <w:pPr>
        <w:jc w:val="both"/>
      </w:pPr>
      <w:r w:rsidRPr="007813AD">
        <w:t>Predefined keywords including the following were used in the search strategy; UK inflation, changes in interest rates, monetary policy, stock market performance, and FTSE index, and effects of monetary policy transmission. The search results were refined using the Boolean operators (AND/OR). The review was restricted to studies that were published after 2018, to make sure that they were relevant to the current macroeconomic developments, such as the uncertainty about Brexit, the COVID-19 pandemic, and the recent cycles of monetary tightening in the UK.</w:t>
      </w:r>
    </w:p>
    <w:p w14:paraId="741C6A9E" w14:textId="77777777" w:rsidR="008316C2" w:rsidRDefault="008316C2" w:rsidP="00630DA9">
      <w:pPr>
        <w:pStyle w:val="Heading3"/>
        <w:spacing w:before="120" w:after="120"/>
      </w:pPr>
      <w:bookmarkStart w:id="34" w:name="_Toc220875039"/>
      <w:r w:rsidRPr="00D924D8">
        <w:t>3.6.4 Identification, Screening, and Selection of Studies (PRISMA Process)</w:t>
      </w:r>
      <w:bookmarkEnd w:id="34"/>
    </w:p>
    <w:p w14:paraId="01332916" w14:textId="77777777" w:rsidR="008316C2" w:rsidRPr="00F941DF" w:rsidRDefault="008316C2" w:rsidP="00630DA9">
      <w:pPr>
        <w:keepNext/>
        <w:jc w:val="center"/>
        <w:rPr>
          <w:b/>
          <w:bCs/>
        </w:rPr>
      </w:pPr>
      <w:r w:rsidRPr="00F941DF">
        <w:rPr>
          <w:b/>
          <w:bCs/>
          <w:noProof/>
        </w:rPr>
        <w:drawing>
          <wp:inline distT="0" distB="0" distL="0" distR="0" wp14:anchorId="52025A4A" wp14:editId="3F4EB95A">
            <wp:extent cx="4359018" cy="3360711"/>
            <wp:effectExtent l="0" t="0" r="3810" b="0"/>
            <wp:docPr id="27761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61928" name=""/>
                    <pic:cNvPicPr/>
                  </pic:nvPicPr>
                  <pic:blipFill>
                    <a:blip r:embed="rId17"/>
                    <a:stretch>
                      <a:fillRect/>
                    </a:stretch>
                  </pic:blipFill>
                  <pic:spPr>
                    <a:xfrm>
                      <a:off x="0" y="0"/>
                      <a:ext cx="4359018" cy="3360711"/>
                    </a:xfrm>
                    <a:prstGeom prst="rect">
                      <a:avLst/>
                    </a:prstGeom>
                  </pic:spPr>
                </pic:pic>
              </a:graphicData>
            </a:graphic>
          </wp:inline>
        </w:drawing>
      </w:r>
    </w:p>
    <w:p w14:paraId="22BBE3DF" w14:textId="1E111AF5" w:rsidR="008316C2" w:rsidRPr="00F941DF" w:rsidRDefault="008316C2" w:rsidP="00630DA9">
      <w:pPr>
        <w:pStyle w:val="Caption"/>
        <w:spacing w:before="120" w:after="120" w:line="360" w:lineRule="auto"/>
        <w:jc w:val="center"/>
        <w:rPr>
          <w:b/>
          <w:bCs/>
          <w:color w:val="auto"/>
          <w:sz w:val="24"/>
          <w:szCs w:val="24"/>
        </w:rPr>
      </w:pPr>
      <w:r w:rsidRPr="00F941DF">
        <w:rPr>
          <w:b/>
          <w:bCs/>
          <w:color w:val="auto"/>
          <w:sz w:val="24"/>
          <w:szCs w:val="24"/>
        </w:rPr>
        <w:t xml:space="preserve">Figure </w:t>
      </w:r>
      <w:r w:rsidRPr="00F941DF">
        <w:rPr>
          <w:b/>
          <w:bCs/>
          <w:color w:val="auto"/>
          <w:sz w:val="24"/>
          <w:szCs w:val="24"/>
        </w:rPr>
        <w:fldChar w:fldCharType="begin"/>
      </w:r>
      <w:r w:rsidRPr="00F941DF">
        <w:rPr>
          <w:b/>
          <w:bCs/>
          <w:color w:val="auto"/>
          <w:sz w:val="24"/>
          <w:szCs w:val="24"/>
        </w:rPr>
        <w:instrText xml:space="preserve"> SEQ Figure \* ARABIC </w:instrText>
      </w:r>
      <w:r w:rsidRPr="00F941DF">
        <w:rPr>
          <w:b/>
          <w:bCs/>
          <w:color w:val="auto"/>
          <w:sz w:val="24"/>
          <w:szCs w:val="24"/>
        </w:rPr>
        <w:fldChar w:fldCharType="separate"/>
      </w:r>
      <w:r w:rsidR="00C406CB">
        <w:rPr>
          <w:b/>
          <w:bCs/>
          <w:noProof/>
          <w:color w:val="auto"/>
          <w:sz w:val="24"/>
          <w:szCs w:val="24"/>
        </w:rPr>
        <w:t>5</w:t>
      </w:r>
      <w:r w:rsidRPr="00F941DF">
        <w:rPr>
          <w:b/>
          <w:bCs/>
          <w:color w:val="auto"/>
          <w:sz w:val="24"/>
          <w:szCs w:val="24"/>
        </w:rPr>
        <w:fldChar w:fldCharType="end"/>
      </w:r>
      <w:r w:rsidRPr="00F941DF">
        <w:rPr>
          <w:b/>
          <w:bCs/>
          <w:color w:val="auto"/>
          <w:sz w:val="24"/>
          <w:szCs w:val="24"/>
        </w:rPr>
        <w:t xml:space="preserve">: PRISMA Process </w:t>
      </w:r>
    </w:p>
    <w:p w14:paraId="1D21A24E" w14:textId="77777777" w:rsidR="008316C2" w:rsidRPr="00D924D8" w:rsidRDefault="008316C2" w:rsidP="00630DA9">
      <w:pPr>
        <w:pStyle w:val="Caption"/>
        <w:spacing w:before="120" w:after="120" w:line="360" w:lineRule="auto"/>
        <w:jc w:val="center"/>
        <w:rPr>
          <w:b/>
          <w:bCs/>
          <w:color w:val="auto"/>
          <w:sz w:val="24"/>
          <w:szCs w:val="24"/>
        </w:rPr>
      </w:pPr>
      <w:r w:rsidRPr="00F941DF">
        <w:rPr>
          <w:b/>
          <w:bCs/>
          <w:color w:val="auto"/>
          <w:sz w:val="24"/>
          <w:szCs w:val="24"/>
        </w:rPr>
        <w:t>Source: (Self-Created)</w:t>
      </w:r>
    </w:p>
    <w:p w14:paraId="2E5C4378" w14:textId="77777777" w:rsidR="008316C2" w:rsidRDefault="008316C2" w:rsidP="00630DA9">
      <w:pPr>
        <w:jc w:val="both"/>
      </w:pPr>
      <w:r w:rsidRPr="007813AD">
        <w:lastRenderedPageBreak/>
        <w:t>At the identification phase, the preliminary search in the database retrieved 146 academic records. Once 31 duplicate articles were eliminated, 115 unique studies were left. During the screening phase, titles and abstracts were checked to determine their relevance to the topic of research. Only research literature that included the UK, inflation, interest rates, and the stock market performance was included (Alzoubi, 2022). At this point, 85 articles were eliminated because of their irrelevance or improper area of focus, and 30 articles were taken to full-text analysis.</w:t>
      </w:r>
    </w:p>
    <w:p w14:paraId="24952C79" w14:textId="77777777" w:rsidR="008316C2" w:rsidRDefault="008316C2" w:rsidP="00630DA9">
      <w:pPr>
        <w:jc w:val="both"/>
      </w:pPr>
      <w:r w:rsidRPr="007813AD">
        <w:t xml:space="preserve">The full contents of these 30 articles were </w:t>
      </w:r>
      <w:proofErr w:type="spellStart"/>
      <w:r w:rsidRPr="007813AD">
        <w:t>analyzed</w:t>
      </w:r>
      <w:proofErr w:type="spellEnd"/>
      <w:r w:rsidRPr="007813AD">
        <w:t xml:space="preserve"> during the eligibility procedure and 20 articles were rejected because of the lack of methodological rigour or excessive coverage of non-equity markets, obsolete data or the absence of explicit connection with the UK stock market. Therefore, 10 academic articles peer-reviewed were included in the final systematic review.</w:t>
      </w:r>
    </w:p>
    <w:p w14:paraId="09D7DFEF" w14:textId="77777777" w:rsidR="008316C2" w:rsidRPr="00D924D8" w:rsidRDefault="008316C2" w:rsidP="00630DA9">
      <w:pPr>
        <w:pStyle w:val="Heading3"/>
        <w:spacing w:before="120" w:after="120"/>
      </w:pPr>
      <w:bookmarkStart w:id="35" w:name="_Toc220875040"/>
      <w:r w:rsidRPr="00D924D8">
        <w:t>3.6.5 Inclusion and Exclusion Criteria</w:t>
      </w:r>
      <w:bookmarkEnd w:id="35"/>
    </w:p>
    <w:p w14:paraId="39B697F9" w14:textId="77777777" w:rsidR="008316C2" w:rsidRPr="00D924D8" w:rsidRDefault="008316C2" w:rsidP="00630DA9">
      <w:pPr>
        <w:jc w:val="both"/>
      </w:pPr>
      <w:r w:rsidRPr="00D924D8">
        <w:t>Clear inclusion and exclusion criteria were applied to ensure consistency and quality.</w:t>
      </w:r>
    </w:p>
    <w:p w14:paraId="2CF0F9DF" w14:textId="77777777" w:rsidR="008316C2" w:rsidRPr="00D924D8" w:rsidRDefault="008316C2" w:rsidP="00630DA9">
      <w:pPr>
        <w:jc w:val="both"/>
      </w:pPr>
      <w:r w:rsidRPr="00D924D8">
        <w:t xml:space="preserve">Studies were </w:t>
      </w:r>
      <w:r w:rsidRPr="00D924D8">
        <w:rPr>
          <w:b/>
          <w:bCs/>
        </w:rPr>
        <w:t>included</w:t>
      </w:r>
      <w:r w:rsidRPr="00D924D8">
        <w:t xml:space="preserve"> if they:</w:t>
      </w:r>
    </w:p>
    <w:p w14:paraId="33AEAA0B" w14:textId="77777777" w:rsidR="008316C2" w:rsidRPr="00D924D8" w:rsidRDefault="008316C2" w:rsidP="00630DA9">
      <w:pPr>
        <w:numPr>
          <w:ilvl w:val="0"/>
          <w:numId w:val="2"/>
        </w:numPr>
        <w:jc w:val="both"/>
      </w:pPr>
      <w:r w:rsidRPr="00D924D8">
        <w:t>Focused on the UK economy or UK stock market</w:t>
      </w:r>
    </w:p>
    <w:p w14:paraId="4EBE2D28" w14:textId="77777777" w:rsidR="008316C2" w:rsidRPr="00D924D8" w:rsidRDefault="008316C2" w:rsidP="00630DA9">
      <w:pPr>
        <w:numPr>
          <w:ilvl w:val="0"/>
          <w:numId w:val="2"/>
        </w:numPr>
        <w:jc w:val="both"/>
      </w:pPr>
      <w:r w:rsidRPr="00D924D8">
        <w:t>Examined inflation, interest rates, or monetary policy effects</w:t>
      </w:r>
    </w:p>
    <w:p w14:paraId="70D7241B" w14:textId="77777777" w:rsidR="008316C2" w:rsidRPr="00D924D8" w:rsidRDefault="008316C2" w:rsidP="00630DA9">
      <w:pPr>
        <w:numPr>
          <w:ilvl w:val="0"/>
          <w:numId w:val="2"/>
        </w:numPr>
        <w:jc w:val="both"/>
      </w:pPr>
      <w:r w:rsidRPr="00D924D8">
        <w:t>Were peer-reviewed academic articles or official institutional reports</w:t>
      </w:r>
    </w:p>
    <w:p w14:paraId="08911214" w14:textId="77777777" w:rsidR="008316C2" w:rsidRPr="00D924D8" w:rsidRDefault="008316C2" w:rsidP="00630DA9">
      <w:pPr>
        <w:numPr>
          <w:ilvl w:val="0"/>
          <w:numId w:val="2"/>
        </w:numPr>
        <w:jc w:val="both"/>
      </w:pPr>
      <w:r w:rsidRPr="00D924D8">
        <w:t>Provided empirical, analytical, or policy-relevant insights</w:t>
      </w:r>
    </w:p>
    <w:p w14:paraId="406F3CE4" w14:textId="77777777" w:rsidR="008316C2" w:rsidRPr="00D924D8" w:rsidRDefault="008316C2" w:rsidP="00630DA9">
      <w:pPr>
        <w:jc w:val="both"/>
      </w:pPr>
      <w:r w:rsidRPr="00D924D8">
        <w:t xml:space="preserve">Studies were </w:t>
      </w:r>
      <w:r w:rsidRPr="00D924D8">
        <w:rPr>
          <w:b/>
          <w:bCs/>
        </w:rPr>
        <w:t>excluded</w:t>
      </w:r>
      <w:r w:rsidRPr="00D924D8">
        <w:t xml:space="preserve"> if they:</w:t>
      </w:r>
    </w:p>
    <w:p w14:paraId="067FD671" w14:textId="77777777" w:rsidR="008316C2" w:rsidRPr="00D924D8" w:rsidRDefault="008316C2" w:rsidP="00630DA9">
      <w:pPr>
        <w:numPr>
          <w:ilvl w:val="0"/>
          <w:numId w:val="3"/>
        </w:numPr>
        <w:jc w:val="both"/>
      </w:pPr>
      <w:r w:rsidRPr="00D924D8">
        <w:t>Focused solely on non-UK markets without comparative relevance</w:t>
      </w:r>
    </w:p>
    <w:p w14:paraId="715257D5" w14:textId="77777777" w:rsidR="008316C2" w:rsidRPr="00D924D8" w:rsidRDefault="008316C2" w:rsidP="00630DA9">
      <w:pPr>
        <w:numPr>
          <w:ilvl w:val="0"/>
          <w:numId w:val="3"/>
        </w:numPr>
        <w:jc w:val="both"/>
      </w:pPr>
      <w:r w:rsidRPr="00D924D8">
        <w:t>Were opinion-based, non-academic, or non-peer-reviewed</w:t>
      </w:r>
    </w:p>
    <w:p w14:paraId="7F007BB7" w14:textId="77777777" w:rsidR="008316C2" w:rsidRPr="00D924D8" w:rsidRDefault="008316C2" w:rsidP="00630DA9">
      <w:pPr>
        <w:numPr>
          <w:ilvl w:val="0"/>
          <w:numId w:val="3"/>
        </w:numPr>
        <w:jc w:val="both"/>
      </w:pPr>
      <w:r w:rsidRPr="00D924D8">
        <w:t>Lacked methodological transparency</w:t>
      </w:r>
    </w:p>
    <w:p w14:paraId="509706B4" w14:textId="77777777" w:rsidR="008316C2" w:rsidRPr="00D924D8" w:rsidRDefault="008316C2" w:rsidP="00630DA9">
      <w:pPr>
        <w:numPr>
          <w:ilvl w:val="0"/>
          <w:numId w:val="3"/>
        </w:numPr>
        <w:jc w:val="both"/>
      </w:pPr>
      <w:r w:rsidRPr="00D924D8">
        <w:t>Used outdated data with limited relevance to current UK conditions</w:t>
      </w:r>
    </w:p>
    <w:p w14:paraId="4CE8FE88" w14:textId="72CDFCC9" w:rsidR="008316C2" w:rsidRDefault="008316C2" w:rsidP="00630DA9">
      <w:pPr>
        <w:jc w:val="both"/>
      </w:pPr>
      <w:r w:rsidRPr="007813AD">
        <w:t xml:space="preserve">Secondary data is suitable in this study because it has macroeconomic levels of inflation investigation and interest rates analysis that demand long term and system-wide evidence. A primary data collection would not result in significant information about the way monetary policy changes would be received by the national stock markets (Bernanke, 2020). The 10 academic articles chosen provide a balance between analytical and methodological viability, which is </w:t>
      </w:r>
      <w:r w:rsidRPr="007813AD">
        <w:lastRenderedPageBreak/>
        <w:t>appropriate in accordance with the qualitative and interpretivist research design of the study. Moreover, secondary data usage reduces the level of ethical issues, transparency, and promotes a sound thematic analysis of the way inflation and interest rate changes affect the performance of the stock market in the UK</w:t>
      </w:r>
      <w:r w:rsidR="00E62505">
        <w:t>.</w:t>
      </w:r>
    </w:p>
    <w:p w14:paraId="21798AC3" w14:textId="749F6A73" w:rsidR="008316C2" w:rsidRPr="00135B8F" w:rsidRDefault="00E62505" w:rsidP="00630DA9">
      <w:pPr>
        <w:pStyle w:val="Heading2"/>
        <w:spacing w:before="120" w:after="120"/>
      </w:pPr>
      <w:bookmarkStart w:id="36" w:name="_Toc220875041"/>
      <w:r>
        <w:t>3</w:t>
      </w:r>
      <w:r w:rsidR="008316C2" w:rsidRPr="007813AD">
        <w:t>.</w:t>
      </w:r>
      <w:r>
        <w:t>7</w:t>
      </w:r>
      <w:r w:rsidR="008316C2" w:rsidRPr="00135B8F">
        <w:t xml:space="preserve"> Data Analysis Method: Thematic Analysis</w:t>
      </w:r>
      <w:bookmarkEnd w:id="36"/>
      <w:r w:rsidR="008316C2" w:rsidRPr="00135B8F">
        <w:t xml:space="preserve"> </w:t>
      </w:r>
    </w:p>
    <w:p w14:paraId="4ECD2F22" w14:textId="77777777" w:rsidR="008316C2" w:rsidRDefault="008316C2" w:rsidP="00630DA9">
      <w:pPr>
        <w:jc w:val="both"/>
      </w:pPr>
      <w:r>
        <w:t>The process of analysis of the collected data in order to distinguish patterns, meanings, and relationships, which can be used in accordance with the research goals, is called data analysis (Mezmir, 2020). Due to the qualitative and secondary characteristics of the current research, thematic analysis is chosen as the data analysis tool. Thematic analysis is a qualitative analysis tool that has been applied to identify, analyse, and interpret common themes or patterns in textual data (Naeem, et al., 2023). It comes in handy especially in the synthesis of results of varied sources and the formulation of consistent interpretations of different studies.</w:t>
      </w:r>
    </w:p>
    <w:p w14:paraId="30961274" w14:textId="77777777" w:rsidR="008316C2" w:rsidRDefault="008316C2" w:rsidP="00630DA9">
      <w:pPr>
        <w:jc w:val="both"/>
      </w:pPr>
      <w:r>
        <w:t>The thematic analysis is also appropriate to this study because it will enable the combination of academic literature, policy reports, and financial market analysis on the UK inflation, changes in the interest rate, and stock market performance. Instead of numerical estimation, thematic analysis helps to gain a detailed insight into the effects of such macroeconomic variables on market behaviour due to policy transmission mechanisms, investor sentiment and sectoral developments (Gupta and Sharma, 2022).</w:t>
      </w:r>
    </w:p>
    <w:p w14:paraId="084EC396" w14:textId="77777777" w:rsidR="008316C2" w:rsidRDefault="008316C2" w:rsidP="00630DA9">
      <w:pPr>
        <w:jc w:val="both"/>
      </w:pPr>
      <w:r>
        <w:t xml:space="preserve">The analysis of the themes used in this study is systematic. The initial phase is familiarisation with the data during which it is proposed to read the selected articles, reports, and documents repeatedly to understand the content in general (Gupta and Sharma, 2022). The second phase is initial coding where major ideas and concepts, including the inflation shocks, interest rate transmission, cost of borrowing, investor expectation, and sensitivity in the sector are marked and </w:t>
      </w:r>
      <w:proofErr w:type="spellStart"/>
      <w:r>
        <w:t>labeled</w:t>
      </w:r>
      <w:proofErr w:type="spellEnd"/>
      <w:r>
        <w:t>. These codes are then clustered into wider themes in the third step, including the effect of inflation on corporate profits, the importance of monetary policy signalling, dissimilar responses of sectors and the difficulties of the investors and policymakers.</w:t>
      </w:r>
    </w:p>
    <w:p w14:paraId="50B203FE" w14:textId="77777777" w:rsidR="008316C2" w:rsidRDefault="008316C2" w:rsidP="00630DA9">
      <w:pPr>
        <w:jc w:val="both"/>
      </w:pPr>
      <w:r>
        <w:t xml:space="preserve">The fourth step entails discussion and rehearsal of themes in order to enable continuity, clarity, and progression to the research questions. Lastly, the themes are then interpreted and synthesised in discussing the effects of inflation and interest rate variation on the performance of the stock market in UK. Such thematic methodology enables the research to make useful conclusions based on the </w:t>
      </w:r>
      <w:r>
        <w:lastRenderedPageBreak/>
        <w:t>available evidence and to signify common trends and points of difference in the literature (Gupta and Sharma, 2022).</w:t>
      </w:r>
    </w:p>
    <w:p w14:paraId="58501172" w14:textId="77777777" w:rsidR="008316C2" w:rsidRPr="00135B8F" w:rsidRDefault="008316C2" w:rsidP="00630DA9">
      <w:pPr>
        <w:pStyle w:val="Heading2"/>
        <w:spacing w:before="120" w:after="120"/>
      </w:pPr>
      <w:bookmarkStart w:id="37" w:name="_Toc220875042"/>
      <w:r w:rsidRPr="00135B8F">
        <w:t>3.8 Ethical Considerations</w:t>
      </w:r>
      <w:bookmarkEnd w:id="37"/>
    </w:p>
    <w:p w14:paraId="12BA2B04" w14:textId="77777777" w:rsidR="008316C2" w:rsidRDefault="008316C2" w:rsidP="00630DA9">
      <w:pPr>
        <w:jc w:val="both"/>
      </w:pPr>
      <w:r>
        <w:t>Academic research involves ethical considerations as a necessary part of the research, that is, it is important that the studies are carried out in a responsible, transparent, and ethical manner (Kishan and Gupta, 2024). The study belongs to the category of ethically low-risk since it will use the sole secondary data sources, which will be publicly accessible and dependable. No primary data is involved, and there are no human subjects of the research.</w:t>
      </w:r>
    </w:p>
    <w:p w14:paraId="0B1101D0" w14:textId="77777777" w:rsidR="008316C2" w:rsidRDefault="008316C2" w:rsidP="00630DA9">
      <w:pPr>
        <w:jc w:val="both"/>
      </w:pPr>
      <w:r>
        <w:t>Avoidance of plagiarism is one of the major ethical considerations of this study. The sources that were utilized in the study are credited as well and cited in accordance with the proper academic referencing criteria. Caution is observed to make sure that ideas, findings and interpretations generated using available literature are recorded and not misappropriated. This ensures the integrity of the academics and preserves intellectual property rights.</w:t>
      </w:r>
    </w:p>
    <w:p w14:paraId="267F355F" w14:textId="77777777" w:rsidR="008316C2" w:rsidRDefault="008316C2" w:rsidP="00630DA9">
      <w:pPr>
        <w:jc w:val="both"/>
      </w:pPr>
      <w:r>
        <w:t>The other relevant ethical issue is associated with the credibility and transparency of data (</w:t>
      </w:r>
      <w:proofErr w:type="spellStart"/>
      <w:r>
        <w:t>Thiruma</w:t>
      </w:r>
      <w:proofErr w:type="spellEnd"/>
      <w:r>
        <w:t xml:space="preserve"> Valavan, 2023). The academic articles, the official publications, and reports of the recognised institutions like the Bank of England and the Office of National Statistics are used as only peer-reviewed academic articles. This minimizes chances of misinformation and makes the conclusions to be made on valid and verifiable facts. Furthermore, the researcher does not engage in selectivity when reporting as she critically evaluates research studies that contradict the results.</w:t>
      </w:r>
    </w:p>
    <w:p w14:paraId="792F48D0" w14:textId="77777777" w:rsidR="008316C2" w:rsidRDefault="008316C2" w:rsidP="00630DA9">
      <w:pPr>
        <w:jc w:val="both"/>
      </w:pPr>
      <w:r>
        <w:t>The use of no personal, confidential, and sensitive data means that the problem of informed consent, anonymity, and data protection are irrelevant (Kishan and Gupta, 2024). The study, however, follows the ethical principles of institutions in conducting secondary research, such as data responsible management, and the honesty in reporting the results. These ethical principles will make the research credible, trustworthy, and in line with acceptable standards of academic practice.</w:t>
      </w:r>
    </w:p>
    <w:p w14:paraId="26094275" w14:textId="77777777" w:rsidR="008316C2" w:rsidRPr="00135B8F" w:rsidRDefault="008316C2" w:rsidP="00630DA9">
      <w:pPr>
        <w:pStyle w:val="Heading2"/>
        <w:spacing w:before="120" w:after="120"/>
      </w:pPr>
      <w:bookmarkStart w:id="38" w:name="_Toc220875043"/>
      <w:r w:rsidRPr="00135B8F">
        <w:t>3.9 Reliability, Validity, and Research Limitations</w:t>
      </w:r>
      <w:bookmarkEnd w:id="38"/>
      <w:r w:rsidRPr="00135B8F">
        <w:t xml:space="preserve"> </w:t>
      </w:r>
    </w:p>
    <w:p w14:paraId="4C4755C0" w14:textId="77777777" w:rsidR="008316C2" w:rsidRDefault="008316C2" w:rsidP="00630DA9">
      <w:pPr>
        <w:jc w:val="both"/>
      </w:pPr>
      <w:r>
        <w:t xml:space="preserve">The key elements of evaluating the quality and reliability of research results are reliability and validity (Haq, et al., 2023). Reliability is used to indicate the consistency and repeatability of the research process and validity is used to discuss how well the study answers its research questions </w:t>
      </w:r>
      <w:r>
        <w:lastRenderedPageBreak/>
        <w:t>and objectives. The reliability that is applied in this study is the systematic and transparent method of collecting data. The sample of secondary sources is selected according to well-explained inclusion and exclusion criteria, and the information is accessed in the well-known academic databases and authoritative institutions (Olabode, et al., 2019). This helps in uniformity in kind and quality of data utilized and enables other researchers to reproduce the study with the aid of related sources and processes.</w:t>
      </w:r>
    </w:p>
    <w:p w14:paraId="67B17905" w14:textId="77777777" w:rsidR="008316C2" w:rsidRDefault="008316C2" w:rsidP="00630DA9">
      <w:pPr>
        <w:jc w:val="both"/>
      </w:pPr>
      <w:r>
        <w:t>The high correspondence between the research goals, methodology decisions, and analysis approaches allows validity. The purpose of the study that is supposed to determine the effect of inflation, and changes in interest rates on the performance of the stock market in the UK is very much related to the interpretivist philosophy, inductive approach, qualitative approach and thematic analysis. The critical comparison of findings through various sources ensures that the interpretations do not have any basis and represent the larger literature (Gupta and Sharma, 2022). Although these strengths are present, the study has some weaknesses. To start with is the fact that by using secondary data, the study is limited to the scope, quality and availability of the available studies. Second, there is no primary data or economic modelling that could be used to test the causal relations statistically. Third, there exists the possibility of having publication bias since studies that contain substantial or new findings would be more likely to be published.</w:t>
      </w:r>
    </w:p>
    <w:p w14:paraId="1E7C9F97" w14:textId="77777777" w:rsidR="008316C2" w:rsidRDefault="008316C2" w:rsidP="00630DA9">
      <w:pPr>
        <w:jc w:val="both"/>
      </w:pPr>
      <w:r>
        <w:br w:type="page"/>
      </w:r>
    </w:p>
    <w:p w14:paraId="2E03377A" w14:textId="3A8AEE25" w:rsidR="008316C2" w:rsidRDefault="008316C2" w:rsidP="00630DA9">
      <w:pPr>
        <w:pStyle w:val="Heading1"/>
        <w:spacing w:before="120" w:after="120" w:line="360" w:lineRule="auto"/>
      </w:pPr>
      <w:bookmarkStart w:id="39" w:name="_Toc220875044"/>
      <w:r>
        <w:lastRenderedPageBreak/>
        <w:t xml:space="preserve">Chapter 4: Data Analysis </w:t>
      </w:r>
      <w:r w:rsidR="009D5133">
        <w:t xml:space="preserve">and </w:t>
      </w:r>
      <w:r>
        <w:t>Findings</w:t>
      </w:r>
      <w:bookmarkEnd w:id="39"/>
    </w:p>
    <w:p w14:paraId="4C741212" w14:textId="77777777" w:rsidR="008316C2" w:rsidRPr="00F137B1" w:rsidRDefault="008316C2" w:rsidP="00630DA9">
      <w:pPr>
        <w:pStyle w:val="Heading2"/>
        <w:spacing w:before="120" w:after="120"/>
      </w:pPr>
      <w:bookmarkStart w:id="40" w:name="_Toc220875045"/>
      <w:r w:rsidRPr="00F137B1">
        <w:t>4.1 Introduction</w:t>
      </w:r>
      <w:bookmarkEnd w:id="40"/>
      <w:r w:rsidRPr="00F137B1">
        <w:t xml:space="preserve"> </w:t>
      </w:r>
    </w:p>
    <w:p w14:paraId="1BE612B6" w14:textId="77777777" w:rsidR="008316C2" w:rsidRDefault="008316C2" w:rsidP="00630DA9">
      <w:pPr>
        <w:jc w:val="both"/>
      </w:pPr>
      <w:r w:rsidRPr="007813AD">
        <w:t>This chapter reveals the data analysis and study results that were obtained after the systematic review of ten peer-reviewed scholarly works that explored the correlation between inflation, changes in interest rates, and the performance in the stock market with the specific UK context in mind. Since this study has qualitative and interpretivist orientation, the analysis is based on thematic synthesis approach, and not statistical aggregation. Each study derives key findings which are used to establish recurring patterns, mechanisms and difficulties with respect to monetary policy transmission and inflation dynamics in equity markets. The chapter starts with a methodological, core findings, and analytically relevant keywords data extraction table. These keywords will be used to create further themes, and the findings will be directly related to the goals of the study in terms of roles, influencing factors, impacts, and challenges in the UK stock market.</w:t>
      </w:r>
    </w:p>
    <w:p w14:paraId="64687F3F" w14:textId="77777777" w:rsidR="008316C2" w:rsidRPr="00F137B1" w:rsidRDefault="008316C2" w:rsidP="00630DA9">
      <w:pPr>
        <w:pStyle w:val="Heading2"/>
        <w:spacing w:before="120" w:after="120"/>
      </w:pPr>
      <w:bookmarkStart w:id="41" w:name="_Toc220875046"/>
      <w:r w:rsidRPr="00F137B1">
        <w:t>4.2 Data Extraction Table</w:t>
      </w:r>
      <w:bookmarkEnd w:id="41"/>
      <w:r w:rsidRPr="00F137B1">
        <w:t xml:space="preserve"> </w:t>
      </w:r>
    </w:p>
    <w:tbl>
      <w:tblPr>
        <w:tblStyle w:val="TableGrid"/>
        <w:tblW w:w="0" w:type="auto"/>
        <w:tblLook w:val="04A0" w:firstRow="1" w:lastRow="0" w:firstColumn="1" w:lastColumn="0" w:noHBand="0" w:noVBand="1"/>
      </w:tblPr>
      <w:tblGrid>
        <w:gridCol w:w="1575"/>
        <w:gridCol w:w="2210"/>
        <w:gridCol w:w="2979"/>
        <w:gridCol w:w="2586"/>
      </w:tblGrid>
      <w:tr w:rsidR="008316C2" w:rsidRPr="00F137B1" w14:paraId="34EBFFE4" w14:textId="77777777" w:rsidTr="00E22A2E">
        <w:tc>
          <w:tcPr>
            <w:tcW w:w="0" w:type="auto"/>
            <w:hideMark/>
          </w:tcPr>
          <w:p w14:paraId="17E67765" w14:textId="77777777" w:rsidR="008316C2" w:rsidRPr="00F137B1" w:rsidRDefault="008316C2" w:rsidP="00630DA9">
            <w:pPr>
              <w:spacing w:before="120" w:after="120" w:line="360" w:lineRule="auto"/>
              <w:rPr>
                <w:b/>
                <w:bCs/>
              </w:rPr>
            </w:pPr>
            <w:r w:rsidRPr="00F137B1">
              <w:rPr>
                <w:b/>
                <w:bCs/>
              </w:rPr>
              <w:t>Citation</w:t>
            </w:r>
          </w:p>
        </w:tc>
        <w:tc>
          <w:tcPr>
            <w:tcW w:w="0" w:type="auto"/>
            <w:hideMark/>
          </w:tcPr>
          <w:p w14:paraId="7F7F198E" w14:textId="77777777" w:rsidR="008316C2" w:rsidRPr="00F137B1" w:rsidRDefault="008316C2" w:rsidP="00630DA9">
            <w:pPr>
              <w:spacing w:before="120" w:after="120" w:line="360" w:lineRule="auto"/>
              <w:rPr>
                <w:b/>
                <w:bCs/>
              </w:rPr>
            </w:pPr>
            <w:r w:rsidRPr="00F137B1">
              <w:rPr>
                <w:b/>
                <w:bCs/>
              </w:rPr>
              <w:t xml:space="preserve">Methodology </w:t>
            </w:r>
          </w:p>
        </w:tc>
        <w:tc>
          <w:tcPr>
            <w:tcW w:w="0" w:type="auto"/>
            <w:hideMark/>
          </w:tcPr>
          <w:p w14:paraId="4A0461CF" w14:textId="77777777" w:rsidR="008316C2" w:rsidRPr="00F137B1" w:rsidRDefault="008316C2" w:rsidP="00630DA9">
            <w:pPr>
              <w:spacing w:before="120" w:after="120" w:line="360" w:lineRule="auto"/>
              <w:rPr>
                <w:b/>
                <w:bCs/>
              </w:rPr>
            </w:pPr>
            <w:r w:rsidRPr="00F137B1">
              <w:rPr>
                <w:b/>
                <w:bCs/>
              </w:rPr>
              <w:t xml:space="preserve">Key Findings &amp; Relevance </w:t>
            </w:r>
          </w:p>
        </w:tc>
        <w:tc>
          <w:tcPr>
            <w:tcW w:w="0" w:type="auto"/>
            <w:hideMark/>
          </w:tcPr>
          <w:p w14:paraId="25291A8B" w14:textId="77777777" w:rsidR="008316C2" w:rsidRPr="00F137B1" w:rsidRDefault="008316C2" w:rsidP="00630DA9">
            <w:pPr>
              <w:spacing w:before="120" w:after="120" w:line="360" w:lineRule="auto"/>
              <w:rPr>
                <w:b/>
                <w:bCs/>
              </w:rPr>
            </w:pPr>
            <w:r w:rsidRPr="00F137B1">
              <w:rPr>
                <w:b/>
                <w:bCs/>
              </w:rPr>
              <w:t xml:space="preserve">Extracted Keywords </w:t>
            </w:r>
          </w:p>
        </w:tc>
      </w:tr>
      <w:tr w:rsidR="008316C2" w:rsidRPr="00F137B1" w14:paraId="1F31F086" w14:textId="77777777" w:rsidTr="00E22A2E">
        <w:tc>
          <w:tcPr>
            <w:tcW w:w="0" w:type="auto"/>
            <w:hideMark/>
          </w:tcPr>
          <w:p w14:paraId="5CC4ACE9" w14:textId="77777777" w:rsidR="008316C2" w:rsidRPr="00F137B1" w:rsidRDefault="008316C2" w:rsidP="00630DA9">
            <w:pPr>
              <w:spacing w:before="120" w:after="120" w:line="360" w:lineRule="auto"/>
            </w:pPr>
            <w:r w:rsidRPr="00F137B1">
              <w:t>Ma (2024)</w:t>
            </w:r>
          </w:p>
        </w:tc>
        <w:tc>
          <w:tcPr>
            <w:tcW w:w="0" w:type="auto"/>
            <w:hideMark/>
          </w:tcPr>
          <w:p w14:paraId="002A53BF" w14:textId="77777777" w:rsidR="008316C2" w:rsidRPr="00F137B1" w:rsidRDefault="008316C2" w:rsidP="00630DA9">
            <w:pPr>
              <w:spacing w:before="120" w:after="120" w:line="360" w:lineRule="auto"/>
            </w:pPr>
            <w:r w:rsidRPr="00F137B1">
              <w:t>OLS with Newey–West errors (FTSE 100, 2018–2023).</w:t>
            </w:r>
          </w:p>
        </w:tc>
        <w:tc>
          <w:tcPr>
            <w:tcW w:w="0" w:type="auto"/>
            <w:hideMark/>
          </w:tcPr>
          <w:p w14:paraId="72DB657B" w14:textId="77777777" w:rsidR="008316C2" w:rsidRPr="00F137B1" w:rsidRDefault="008316C2" w:rsidP="00630DA9">
            <w:pPr>
              <w:spacing w:before="120" w:after="120" w:line="360" w:lineRule="auto"/>
            </w:pPr>
            <w:r w:rsidRPr="00F137B1">
              <w:t>CPI inflation has limited direct effect on stocks; labour market conditions and exchange rates drive equity response.</w:t>
            </w:r>
          </w:p>
        </w:tc>
        <w:tc>
          <w:tcPr>
            <w:tcW w:w="0" w:type="auto"/>
            <w:hideMark/>
          </w:tcPr>
          <w:p w14:paraId="65D10822" w14:textId="77777777" w:rsidR="008316C2" w:rsidRPr="00F137B1" w:rsidRDefault="008316C2" w:rsidP="00630DA9">
            <w:pPr>
              <w:spacing w:before="120" w:after="120" w:line="360" w:lineRule="auto"/>
            </w:pPr>
            <w:r w:rsidRPr="00F137B1">
              <w:t>Labour market conditions; exchange rate effects; indirect inflation transmission</w:t>
            </w:r>
          </w:p>
        </w:tc>
      </w:tr>
      <w:tr w:rsidR="008316C2" w:rsidRPr="00F137B1" w14:paraId="6016D27C" w14:textId="77777777" w:rsidTr="00E22A2E">
        <w:tc>
          <w:tcPr>
            <w:tcW w:w="0" w:type="auto"/>
            <w:hideMark/>
          </w:tcPr>
          <w:p w14:paraId="59E4F4EF" w14:textId="77777777" w:rsidR="008316C2" w:rsidRPr="00F137B1" w:rsidRDefault="008316C2" w:rsidP="00630DA9">
            <w:pPr>
              <w:spacing w:before="120" w:after="120" w:line="360" w:lineRule="auto"/>
            </w:pPr>
            <w:r w:rsidRPr="00F137B1">
              <w:t>Zhang (2025)</w:t>
            </w:r>
          </w:p>
        </w:tc>
        <w:tc>
          <w:tcPr>
            <w:tcW w:w="0" w:type="auto"/>
            <w:hideMark/>
          </w:tcPr>
          <w:p w14:paraId="3F954DC4" w14:textId="77777777" w:rsidR="008316C2" w:rsidRPr="00F137B1" w:rsidRDefault="008316C2" w:rsidP="00630DA9">
            <w:pPr>
              <w:spacing w:before="120" w:after="120" w:line="360" w:lineRule="auto"/>
            </w:pPr>
            <w:r w:rsidRPr="00F137B1">
              <w:t>VAR, Granger causality, impulse response (1990–2025).</w:t>
            </w:r>
          </w:p>
        </w:tc>
        <w:tc>
          <w:tcPr>
            <w:tcW w:w="0" w:type="auto"/>
            <w:hideMark/>
          </w:tcPr>
          <w:p w14:paraId="5DD522FB" w14:textId="77777777" w:rsidR="008316C2" w:rsidRPr="00F137B1" w:rsidRDefault="008316C2" w:rsidP="00630DA9">
            <w:pPr>
              <w:spacing w:before="120" w:after="120" w:line="360" w:lineRule="auto"/>
            </w:pPr>
            <w:r w:rsidRPr="00F137B1">
              <w:t>Interest rate shocks reduce stock returns through higher discount rates; inflation persistence affects valuation.</w:t>
            </w:r>
          </w:p>
        </w:tc>
        <w:tc>
          <w:tcPr>
            <w:tcW w:w="0" w:type="auto"/>
            <w:hideMark/>
          </w:tcPr>
          <w:p w14:paraId="54ABDBA9" w14:textId="77777777" w:rsidR="008316C2" w:rsidRPr="00F137B1" w:rsidRDefault="008316C2" w:rsidP="00630DA9">
            <w:pPr>
              <w:spacing w:before="120" w:after="120" w:line="360" w:lineRule="auto"/>
            </w:pPr>
            <w:r w:rsidRPr="00F137B1">
              <w:t>Discount rate channel; interest rate shocks; inflation persistence</w:t>
            </w:r>
          </w:p>
        </w:tc>
      </w:tr>
      <w:tr w:rsidR="008316C2" w:rsidRPr="00F137B1" w14:paraId="300FE7C4" w14:textId="77777777" w:rsidTr="00E22A2E">
        <w:tc>
          <w:tcPr>
            <w:tcW w:w="0" w:type="auto"/>
            <w:hideMark/>
          </w:tcPr>
          <w:p w14:paraId="6695D50F" w14:textId="77777777" w:rsidR="008316C2" w:rsidRPr="00F137B1" w:rsidRDefault="008316C2" w:rsidP="00630DA9">
            <w:pPr>
              <w:spacing w:before="120" w:after="120" w:line="360" w:lineRule="auto"/>
            </w:pPr>
            <w:proofErr w:type="spellStart"/>
            <w:r w:rsidRPr="00F137B1">
              <w:t>Christober</w:t>
            </w:r>
            <w:proofErr w:type="spellEnd"/>
            <w:r w:rsidRPr="00F137B1">
              <w:t xml:space="preserve"> (2025)</w:t>
            </w:r>
          </w:p>
        </w:tc>
        <w:tc>
          <w:tcPr>
            <w:tcW w:w="0" w:type="auto"/>
            <w:hideMark/>
          </w:tcPr>
          <w:p w14:paraId="1D1B7D83" w14:textId="77777777" w:rsidR="008316C2" w:rsidRPr="00F137B1" w:rsidRDefault="008316C2" w:rsidP="00630DA9">
            <w:pPr>
              <w:spacing w:before="120" w:after="120" w:line="360" w:lineRule="auto"/>
            </w:pPr>
            <w:r w:rsidRPr="00F137B1">
              <w:t>Structural VAR (UK results).</w:t>
            </w:r>
          </w:p>
        </w:tc>
        <w:tc>
          <w:tcPr>
            <w:tcW w:w="0" w:type="auto"/>
            <w:hideMark/>
          </w:tcPr>
          <w:p w14:paraId="42AAD4FE" w14:textId="77777777" w:rsidR="008316C2" w:rsidRPr="00F137B1" w:rsidRDefault="008316C2" w:rsidP="00630DA9">
            <w:pPr>
              <w:spacing w:before="120" w:after="120" w:line="360" w:lineRule="auto"/>
            </w:pPr>
            <w:r w:rsidRPr="00F137B1">
              <w:t xml:space="preserve">UK equities respond strongly to policy tightening due to forward-looking </w:t>
            </w:r>
            <w:r w:rsidRPr="00F137B1">
              <w:lastRenderedPageBreak/>
              <w:t>expectations and institutional credibility.</w:t>
            </w:r>
          </w:p>
        </w:tc>
        <w:tc>
          <w:tcPr>
            <w:tcW w:w="0" w:type="auto"/>
            <w:hideMark/>
          </w:tcPr>
          <w:p w14:paraId="2EB9FC46" w14:textId="77777777" w:rsidR="008316C2" w:rsidRPr="00F137B1" w:rsidRDefault="008316C2" w:rsidP="00630DA9">
            <w:pPr>
              <w:spacing w:before="120" w:after="120" w:line="360" w:lineRule="auto"/>
            </w:pPr>
            <w:r w:rsidRPr="00F137B1">
              <w:lastRenderedPageBreak/>
              <w:t>Policy credibility; forward-looking expectations; monetary tightening</w:t>
            </w:r>
          </w:p>
        </w:tc>
      </w:tr>
      <w:tr w:rsidR="008316C2" w:rsidRPr="00F137B1" w14:paraId="6B1C2029" w14:textId="77777777" w:rsidTr="00E22A2E">
        <w:tc>
          <w:tcPr>
            <w:tcW w:w="0" w:type="auto"/>
            <w:hideMark/>
          </w:tcPr>
          <w:p w14:paraId="6D3B17FA" w14:textId="77777777" w:rsidR="008316C2" w:rsidRPr="00F137B1" w:rsidRDefault="008316C2" w:rsidP="00630DA9">
            <w:pPr>
              <w:spacing w:before="120" w:after="120" w:line="360" w:lineRule="auto"/>
            </w:pPr>
            <w:r w:rsidRPr="00F137B1">
              <w:t>Li et al. (2025)</w:t>
            </w:r>
          </w:p>
        </w:tc>
        <w:tc>
          <w:tcPr>
            <w:tcW w:w="0" w:type="auto"/>
            <w:hideMark/>
          </w:tcPr>
          <w:p w14:paraId="0F13C07E" w14:textId="77777777" w:rsidR="008316C2" w:rsidRPr="00F137B1" w:rsidRDefault="008316C2" w:rsidP="00630DA9">
            <w:pPr>
              <w:spacing w:before="120" w:after="120" w:line="360" w:lineRule="auto"/>
            </w:pPr>
            <w:r w:rsidRPr="00F137B1">
              <w:t>Wavelet time–frequency analysis.</w:t>
            </w:r>
          </w:p>
        </w:tc>
        <w:tc>
          <w:tcPr>
            <w:tcW w:w="0" w:type="auto"/>
            <w:hideMark/>
          </w:tcPr>
          <w:p w14:paraId="03CC6031" w14:textId="77777777" w:rsidR="008316C2" w:rsidRPr="00F137B1" w:rsidRDefault="008316C2" w:rsidP="00630DA9">
            <w:pPr>
              <w:spacing w:before="120" w:after="120" w:line="360" w:lineRule="auto"/>
            </w:pPr>
            <w:r w:rsidRPr="00F137B1">
              <w:t>Inflation becomes the dominant driver of stock volatility during crisis periods, especially post-COVID.</w:t>
            </w:r>
          </w:p>
        </w:tc>
        <w:tc>
          <w:tcPr>
            <w:tcW w:w="0" w:type="auto"/>
            <w:hideMark/>
          </w:tcPr>
          <w:p w14:paraId="5292F70A" w14:textId="77777777" w:rsidR="008316C2" w:rsidRPr="00F137B1" w:rsidRDefault="008316C2" w:rsidP="00630DA9">
            <w:pPr>
              <w:spacing w:before="120" w:after="120" w:line="360" w:lineRule="auto"/>
            </w:pPr>
            <w:r w:rsidRPr="00F137B1">
              <w:t>Inflation-driven volatility; crisis periods; structural regime shifts</w:t>
            </w:r>
          </w:p>
        </w:tc>
      </w:tr>
      <w:tr w:rsidR="008316C2" w:rsidRPr="00F137B1" w14:paraId="6D8B394B" w14:textId="77777777" w:rsidTr="00E22A2E">
        <w:tc>
          <w:tcPr>
            <w:tcW w:w="0" w:type="auto"/>
            <w:hideMark/>
          </w:tcPr>
          <w:p w14:paraId="310AA375" w14:textId="77777777" w:rsidR="008316C2" w:rsidRPr="00F137B1" w:rsidRDefault="008316C2" w:rsidP="00630DA9">
            <w:pPr>
              <w:spacing w:before="120" w:after="120" w:line="360" w:lineRule="auto"/>
            </w:pPr>
            <w:r w:rsidRPr="00F137B1">
              <w:t>Braun et al. (2024)</w:t>
            </w:r>
          </w:p>
        </w:tc>
        <w:tc>
          <w:tcPr>
            <w:tcW w:w="0" w:type="auto"/>
            <w:hideMark/>
          </w:tcPr>
          <w:p w14:paraId="002D7BFA" w14:textId="77777777" w:rsidR="008316C2" w:rsidRPr="00F137B1" w:rsidRDefault="008316C2" w:rsidP="00630DA9">
            <w:pPr>
              <w:spacing w:before="120" w:after="120" w:line="360" w:lineRule="auto"/>
            </w:pPr>
            <w:r w:rsidRPr="00F137B1">
              <w:t>High-frequency event study (UKMPD).</w:t>
            </w:r>
          </w:p>
        </w:tc>
        <w:tc>
          <w:tcPr>
            <w:tcW w:w="0" w:type="auto"/>
            <w:hideMark/>
          </w:tcPr>
          <w:p w14:paraId="6BF9C955" w14:textId="77777777" w:rsidR="008316C2" w:rsidRPr="00F137B1" w:rsidRDefault="008316C2" w:rsidP="00630DA9">
            <w:pPr>
              <w:spacing w:before="120" w:after="120" w:line="360" w:lineRule="auto"/>
            </w:pPr>
            <w:r w:rsidRPr="00F137B1">
              <w:t>Bank Rate and QE announcements cause immediate equity price adjustments.</w:t>
            </w:r>
          </w:p>
        </w:tc>
        <w:tc>
          <w:tcPr>
            <w:tcW w:w="0" w:type="auto"/>
            <w:hideMark/>
          </w:tcPr>
          <w:p w14:paraId="68ADC5D4" w14:textId="77777777" w:rsidR="008316C2" w:rsidRPr="00F137B1" w:rsidRDefault="008316C2" w:rsidP="00630DA9">
            <w:pPr>
              <w:spacing w:before="120" w:after="120" w:line="360" w:lineRule="auto"/>
            </w:pPr>
            <w:r w:rsidRPr="00F137B1">
              <w:t>Monetary policy announcements; signalling effects; immediate market reaction</w:t>
            </w:r>
          </w:p>
        </w:tc>
      </w:tr>
      <w:tr w:rsidR="008316C2" w:rsidRPr="00F137B1" w14:paraId="428B04F6" w14:textId="77777777" w:rsidTr="00E22A2E">
        <w:tc>
          <w:tcPr>
            <w:tcW w:w="0" w:type="auto"/>
            <w:hideMark/>
          </w:tcPr>
          <w:p w14:paraId="1121E5F0" w14:textId="77777777" w:rsidR="008316C2" w:rsidRPr="00F137B1" w:rsidRDefault="008316C2" w:rsidP="00630DA9">
            <w:pPr>
              <w:spacing w:before="120" w:after="120" w:line="360" w:lineRule="auto"/>
            </w:pPr>
            <w:r w:rsidRPr="00F137B1">
              <w:t>Kaminska et al. (2020)</w:t>
            </w:r>
          </w:p>
        </w:tc>
        <w:tc>
          <w:tcPr>
            <w:tcW w:w="0" w:type="auto"/>
            <w:hideMark/>
          </w:tcPr>
          <w:p w14:paraId="5C7EED0C" w14:textId="77777777" w:rsidR="008316C2" w:rsidRPr="00F137B1" w:rsidRDefault="008316C2" w:rsidP="00630DA9">
            <w:pPr>
              <w:spacing w:before="120" w:after="120" w:line="360" w:lineRule="auto"/>
            </w:pPr>
            <w:r w:rsidRPr="00F137B1">
              <w:t>High-frequency yield decomposition.</w:t>
            </w:r>
          </w:p>
        </w:tc>
        <w:tc>
          <w:tcPr>
            <w:tcW w:w="0" w:type="auto"/>
            <w:hideMark/>
          </w:tcPr>
          <w:p w14:paraId="0C58BC6E" w14:textId="77777777" w:rsidR="008316C2" w:rsidRPr="00F137B1" w:rsidRDefault="008316C2" w:rsidP="00630DA9">
            <w:pPr>
              <w:spacing w:before="120" w:after="120" w:line="360" w:lineRule="auto"/>
            </w:pPr>
            <w:r w:rsidRPr="00F137B1">
              <w:t>Stock market response depends on expected interest rates and term premia, not only actual rate changes.</w:t>
            </w:r>
          </w:p>
        </w:tc>
        <w:tc>
          <w:tcPr>
            <w:tcW w:w="0" w:type="auto"/>
            <w:hideMark/>
          </w:tcPr>
          <w:p w14:paraId="43417DFC" w14:textId="77777777" w:rsidR="008316C2" w:rsidRPr="00F137B1" w:rsidRDefault="008316C2" w:rsidP="00630DA9">
            <w:pPr>
              <w:spacing w:before="120" w:after="120" w:line="360" w:lineRule="auto"/>
            </w:pPr>
            <w:r w:rsidRPr="00F137B1">
              <w:t>Expectations channel; term premia effects; financial market pricing</w:t>
            </w:r>
          </w:p>
        </w:tc>
      </w:tr>
      <w:tr w:rsidR="008316C2" w:rsidRPr="00F137B1" w14:paraId="2B749B70" w14:textId="77777777" w:rsidTr="00E22A2E">
        <w:tc>
          <w:tcPr>
            <w:tcW w:w="0" w:type="auto"/>
            <w:hideMark/>
          </w:tcPr>
          <w:p w14:paraId="6A4A3817" w14:textId="77777777" w:rsidR="008316C2" w:rsidRPr="00F137B1" w:rsidRDefault="008316C2" w:rsidP="00630DA9">
            <w:pPr>
              <w:spacing w:before="120" w:after="120" w:line="360" w:lineRule="auto"/>
            </w:pPr>
            <w:r w:rsidRPr="00F137B1">
              <w:t xml:space="preserve">Miranda-Agrippino &amp; </w:t>
            </w:r>
            <w:proofErr w:type="spellStart"/>
            <w:r w:rsidRPr="00F137B1">
              <w:t>Nenova</w:t>
            </w:r>
            <w:proofErr w:type="spellEnd"/>
            <w:r w:rsidRPr="00F137B1">
              <w:t xml:space="preserve"> (2022)</w:t>
            </w:r>
          </w:p>
        </w:tc>
        <w:tc>
          <w:tcPr>
            <w:tcW w:w="0" w:type="auto"/>
            <w:hideMark/>
          </w:tcPr>
          <w:p w14:paraId="3C56CBAF" w14:textId="77777777" w:rsidR="008316C2" w:rsidRPr="00F137B1" w:rsidRDefault="008316C2" w:rsidP="00630DA9">
            <w:pPr>
              <w:spacing w:before="120" w:after="120" w:line="360" w:lineRule="auto"/>
            </w:pPr>
            <w:r w:rsidRPr="00F137B1">
              <w:t>High-frequency identification of policy shocks.</w:t>
            </w:r>
          </w:p>
        </w:tc>
        <w:tc>
          <w:tcPr>
            <w:tcW w:w="0" w:type="auto"/>
            <w:hideMark/>
          </w:tcPr>
          <w:p w14:paraId="68D0BFAE" w14:textId="77777777" w:rsidR="008316C2" w:rsidRPr="00F137B1" w:rsidRDefault="008316C2" w:rsidP="00630DA9">
            <w:pPr>
              <w:spacing w:before="120" w:after="120" w:line="360" w:lineRule="auto"/>
            </w:pPr>
            <w:r w:rsidRPr="00F137B1">
              <w:t>Monetary tightening increases risk aversion and leads to equity market declines.</w:t>
            </w:r>
          </w:p>
        </w:tc>
        <w:tc>
          <w:tcPr>
            <w:tcW w:w="0" w:type="auto"/>
            <w:hideMark/>
          </w:tcPr>
          <w:p w14:paraId="2B565E83" w14:textId="77777777" w:rsidR="008316C2" w:rsidRPr="00F137B1" w:rsidRDefault="008316C2" w:rsidP="00630DA9">
            <w:pPr>
              <w:spacing w:before="120" w:after="120" w:line="360" w:lineRule="auto"/>
            </w:pPr>
            <w:r w:rsidRPr="00F137B1">
              <w:t>Risk-taking channel; investor risk aversion; tightening shocks</w:t>
            </w:r>
          </w:p>
        </w:tc>
      </w:tr>
      <w:tr w:rsidR="008316C2" w:rsidRPr="00F137B1" w14:paraId="45B14766" w14:textId="77777777" w:rsidTr="00E22A2E">
        <w:tc>
          <w:tcPr>
            <w:tcW w:w="0" w:type="auto"/>
            <w:hideMark/>
          </w:tcPr>
          <w:p w14:paraId="337BD4FB" w14:textId="77777777" w:rsidR="008316C2" w:rsidRPr="00F137B1" w:rsidRDefault="008316C2" w:rsidP="00630DA9">
            <w:pPr>
              <w:spacing w:before="120" w:after="120" w:line="360" w:lineRule="auto"/>
            </w:pPr>
            <w:r w:rsidRPr="00F137B1">
              <w:t>Barria &amp; Pinter (2023)</w:t>
            </w:r>
          </w:p>
        </w:tc>
        <w:tc>
          <w:tcPr>
            <w:tcW w:w="0" w:type="auto"/>
            <w:hideMark/>
          </w:tcPr>
          <w:p w14:paraId="30A66AFD" w14:textId="77777777" w:rsidR="008316C2" w:rsidRPr="00F137B1" w:rsidRDefault="008316C2" w:rsidP="00630DA9">
            <w:pPr>
              <w:spacing w:before="120" w:after="120" w:line="360" w:lineRule="auto"/>
            </w:pPr>
            <w:r w:rsidRPr="00F137B1">
              <w:t>Transaction-level inflation pricing analysis.</w:t>
            </w:r>
          </w:p>
        </w:tc>
        <w:tc>
          <w:tcPr>
            <w:tcW w:w="0" w:type="auto"/>
            <w:hideMark/>
          </w:tcPr>
          <w:p w14:paraId="7B634286" w14:textId="77777777" w:rsidR="008316C2" w:rsidRPr="00F137B1" w:rsidRDefault="008316C2" w:rsidP="00630DA9">
            <w:pPr>
              <w:spacing w:before="120" w:after="120" w:line="360" w:lineRule="auto"/>
            </w:pPr>
            <w:r w:rsidRPr="00F137B1">
              <w:t>Inflation mispricing distorts expectations and increases valuation uncertainty in equity markets.</w:t>
            </w:r>
          </w:p>
        </w:tc>
        <w:tc>
          <w:tcPr>
            <w:tcW w:w="0" w:type="auto"/>
            <w:hideMark/>
          </w:tcPr>
          <w:p w14:paraId="29FC0DFC" w14:textId="77777777" w:rsidR="008316C2" w:rsidRPr="00F137B1" w:rsidRDefault="008316C2" w:rsidP="00630DA9">
            <w:pPr>
              <w:spacing w:before="120" w:after="120" w:line="360" w:lineRule="auto"/>
            </w:pPr>
            <w:r w:rsidRPr="00F137B1">
              <w:t>Inflation expectation mispricing; valuation uncertainty; information inefficiency</w:t>
            </w:r>
          </w:p>
        </w:tc>
      </w:tr>
      <w:tr w:rsidR="008316C2" w:rsidRPr="00F137B1" w14:paraId="685F5D5E" w14:textId="77777777" w:rsidTr="00E22A2E">
        <w:tc>
          <w:tcPr>
            <w:tcW w:w="0" w:type="auto"/>
            <w:hideMark/>
          </w:tcPr>
          <w:p w14:paraId="3D0CFF81" w14:textId="77777777" w:rsidR="008316C2" w:rsidRPr="00F137B1" w:rsidRDefault="008316C2" w:rsidP="00630DA9">
            <w:pPr>
              <w:spacing w:before="120" w:after="120" w:line="360" w:lineRule="auto"/>
            </w:pPr>
            <w:r w:rsidRPr="00F137B1">
              <w:t>Chiang (2023)</w:t>
            </w:r>
          </w:p>
        </w:tc>
        <w:tc>
          <w:tcPr>
            <w:tcW w:w="0" w:type="auto"/>
            <w:hideMark/>
          </w:tcPr>
          <w:p w14:paraId="36B2BD79" w14:textId="77777777" w:rsidR="008316C2" w:rsidRPr="00F137B1" w:rsidRDefault="008316C2" w:rsidP="00630DA9">
            <w:pPr>
              <w:spacing w:before="120" w:after="120" w:line="360" w:lineRule="auto"/>
            </w:pPr>
            <w:r w:rsidRPr="00F137B1">
              <w:t>APARCH volatility modelling.</w:t>
            </w:r>
          </w:p>
        </w:tc>
        <w:tc>
          <w:tcPr>
            <w:tcW w:w="0" w:type="auto"/>
            <w:hideMark/>
          </w:tcPr>
          <w:p w14:paraId="021B9AFC" w14:textId="77777777" w:rsidR="008316C2" w:rsidRPr="00F137B1" w:rsidRDefault="008316C2" w:rsidP="00630DA9">
            <w:pPr>
              <w:spacing w:before="120" w:after="120" w:line="360" w:lineRule="auto"/>
            </w:pPr>
            <w:r w:rsidRPr="00F137B1">
              <w:t>Inflation expectations raise stock market volatility and negatively affect returns.</w:t>
            </w:r>
          </w:p>
        </w:tc>
        <w:tc>
          <w:tcPr>
            <w:tcW w:w="0" w:type="auto"/>
            <w:hideMark/>
          </w:tcPr>
          <w:p w14:paraId="781568B8" w14:textId="77777777" w:rsidR="008316C2" w:rsidRPr="00F137B1" w:rsidRDefault="008316C2" w:rsidP="00630DA9">
            <w:pPr>
              <w:spacing w:before="120" w:after="120" w:line="360" w:lineRule="auto"/>
            </w:pPr>
            <w:r w:rsidRPr="00F137B1">
              <w:t>Inflation uncertainty; volatility transmission; return instability</w:t>
            </w:r>
          </w:p>
        </w:tc>
      </w:tr>
      <w:tr w:rsidR="008316C2" w:rsidRPr="00F137B1" w14:paraId="308D46DE" w14:textId="77777777" w:rsidTr="00E22A2E">
        <w:tc>
          <w:tcPr>
            <w:tcW w:w="0" w:type="auto"/>
            <w:hideMark/>
          </w:tcPr>
          <w:p w14:paraId="2D8DE01A" w14:textId="77777777" w:rsidR="008316C2" w:rsidRPr="00F137B1" w:rsidRDefault="008316C2" w:rsidP="00630DA9">
            <w:pPr>
              <w:spacing w:before="120" w:after="120" w:line="360" w:lineRule="auto"/>
            </w:pPr>
            <w:proofErr w:type="spellStart"/>
            <w:r w:rsidRPr="00F137B1">
              <w:lastRenderedPageBreak/>
              <w:t>Neifar</w:t>
            </w:r>
            <w:proofErr w:type="spellEnd"/>
            <w:r w:rsidRPr="00F137B1">
              <w:t xml:space="preserve"> &amp; </w:t>
            </w:r>
            <w:proofErr w:type="spellStart"/>
            <w:r w:rsidRPr="00F137B1">
              <w:t>Harzallah</w:t>
            </w:r>
            <w:proofErr w:type="spellEnd"/>
            <w:r w:rsidRPr="00F137B1">
              <w:t xml:space="preserve"> (2024)</w:t>
            </w:r>
          </w:p>
        </w:tc>
        <w:tc>
          <w:tcPr>
            <w:tcW w:w="0" w:type="auto"/>
            <w:hideMark/>
          </w:tcPr>
          <w:p w14:paraId="36DB1013" w14:textId="77777777" w:rsidR="008316C2" w:rsidRPr="00F137B1" w:rsidRDefault="008316C2" w:rsidP="00630DA9">
            <w:pPr>
              <w:spacing w:before="120" w:after="120" w:line="360" w:lineRule="auto"/>
            </w:pPr>
            <w:r w:rsidRPr="00F137B1">
              <w:t>Time-series and panel Fisher hypothesis tests.</w:t>
            </w:r>
          </w:p>
        </w:tc>
        <w:tc>
          <w:tcPr>
            <w:tcW w:w="0" w:type="auto"/>
            <w:hideMark/>
          </w:tcPr>
          <w:p w14:paraId="0D047F73" w14:textId="77777777" w:rsidR="008316C2" w:rsidRPr="00F137B1" w:rsidRDefault="008316C2" w:rsidP="00630DA9">
            <w:pPr>
              <w:spacing w:before="120" w:after="120" w:line="360" w:lineRule="auto"/>
            </w:pPr>
            <w:r w:rsidRPr="00F137B1">
              <w:t>Stocks fail to provide consistent inflation hedging, particularly during economic stress.</w:t>
            </w:r>
          </w:p>
        </w:tc>
        <w:tc>
          <w:tcPr>
            <w:tcW w:w="0" w:type="auto"/>
            <w:hideMark/>
          </w:tcPr>
          <w:p w14:paraId="009A0A64" w14:textId="77777777" w:rsidR="008316C2" w:rsidRPr="00F137B1" w:rsidRDefault="008316C2" w:rsidP="00630DA9">
            <w:pPr>
              <w:spacing w:before="120" w:after="120" w:line="360" w:lineRule="auto"/>
            </w:pPr>
            <w:r w:rsidRPr="00F137B1">
              <w:t>Inflation hedging failure; crisis sensitivity; investor protection limits</w:t>
            </w:r>
          </w:p>
        </w:tc>
      </w:tr>
    </w:tbl>
    <w:p w14:paraId="36E47064" w14:textId="77777777" w:rsidR="008316C2" w:rsidRPr="00F137B1" w:rsidRDefault="008316C2" w:rsidP="00630DA9"/>
    <w:p w14:paraId="74B88514" w14:textId="77777777" w:rsidR="008316C2" w:rsidRPr="00F137B1" w:rsidRDefault="008316C2" w:rsidP="00630DA9">
      <w:pPr>
        <w:pStyle w:val="Heading2"/>
        <w:spacing w:before="120" w:after="120"/>
      </w:pPr>
      <w:bookmarkStart w:id="42" w:name="_Toc220875047"/>
      <w:r w:rsidRPr="00F137B1">
        <w:t>4.3 Theme Development Table</w:t>
      </w:r>
      <w:bookmarkEnd w:id="42"/>
      <w:r w:rsidRPr="00F137B1">
        <w:t xml:space="preserve"> </w:t>
      </w:r>
    </w:p>
    <w:tbl>
      <w:tblPr>
        <w:tblStyle w:val="TableGrid"/>
        <w:tblW w:w="0" w:type="auto"/>
        <w:tblLook w:val="04A0" w:firstRow="1" w:lastRow="0" w:firstColumn="1" w:lastColumn="0" w:noHBand="0" w:noVBand="1"/>
      </w:tblPr>
      <w:tblGrid>
        <w:gridCol w:w="3974"/>
        <w:gridCol w:w="5376"/>
      </w:tblGrid>
      <w:tr w:rsidR="008316C2" w:rsidRPr="00F137B1" w14:paraId="2760DC30" w14:textId="77777777" w:rsidTr="00E22A2E">
        <w:tc>
          <w:tcPr>
            <w:tcW w:w="0" w:type="auto"/>
            <w:hideMark/>
          </w:tcPr>
          <w:p w14:paraId="65D64334" w14:textId="77777777" w:rsidR="008316C2" w:rsidRPr="00F137B1" w:rsidRDefault="008316C2" w:rsidP="00630DA9">
            <w:pPr>
              <w:spacing w:before="120" w:after="120" w:line="360" w:lineRule="auto"/>
              <w:rPr>
                <w:b/>
                <w:bCs/>
              </w:rPr>
            </w:pPr>
            <w:r w:rsidRPr="00F137B1">
              <w:rPr>
                <w:b/>
                <w:bCs/>
              </w:rPr>
              <w:t>Keywords (from Data Extraction Table)</w:t>
            </w:r>
          </w:p>
        </w:tc>
        <w:tc>
          <w:tcPr>
            <w:tcW w:w="0" w:type="auto"/>
            <w:hideMark/>
          </w:tcPr>
          <w:p w14:paraId="67DD144E" w14:textId="77777777" w:rsidR="008316C2" w:rsidRPr="00F137B1" w:rsidRDefault="008316C2" w:rsidP="00630DA9">
            <w:pPr>
              <w:spacing w:before="120" w:after="120" w:line="360" w:lineRule="auto"/>
              <w:rPr>
                <w:b/>
                <w:bCs/>
              </w:rPr>
            </w:pPr>
            <w:r w:rsidRPr="00F137B1">
              <w:rPr>
                <w:b/>
                <w:bCs/>
              </w:rPr>
              <w:t>Theme (Complete Answer Statement)</w:t>
            </w:r>
          </w:p>
        </w:tc>
      </w:tr>
      <w:tr w:rsidR="008316C2" w:rsidRPr="00F137B1" w14:paraId="2FFA0066" w14:textId="77777777" w:rsidTr="00E22A2E">
        <w:tc>
          <w:tcPr>
            <w:tcW w:w="0" w:type="auto"/>
            <w:hideMark/>
          </w:tcPr>
          <w:p w14:paraId="49EBEDD6" w14:textId="77777777" w:rsidR="008316C2" w:rsidRPr="00F137B1" w:rsidRDefault="008316C2" w:rsidP="00630DA9">
            <w:pPr>
              <w:spacing w:before="120" w:after="120" w:line="360" w:lineRule="auto"/>
            </w:pPr>
            <w:r w:rsidRPr="00F137B1">
              <w:t>Monetary policy announcements; discount rate channel; policy credibility; forward-looking expectations</w:t>
            </w:r>
          </w:p>
        </w:tc>
        <w:tc>
          <w:tcPr>
            <w:tcW w:w="0" w:type="auto"/>
            <w:hideMark/>
          </w:tcPr>
          <w:p w14:paraId="7B1000C2" w14:textId="77777777" w:rsidR="008316C2" w:rsidRPr="00F137B1" w:rsidRDefault="008316C2" w:rsidP="00630DA9">
            <w:pPr>
              <w:spacing w:before="120" w:after="120" w:line="360" w:lineRule="auto"/>
            </w:pPr>
            <w:r w:rsidRPr="00F137B1">
              <w:t>Interest rate decisions and monetary policy signalling play a central role in shaping UK stock market behaviour through discount rate adjustments and expectation formation.</w:t>
            </w:r>
          </w:p>
        </w:tc>
      </w:tr>
      <w:tr w:rsidR="008316C2" w:rsidRPr="00F137B1" w14:paraId="7B9B8169" w14:textId="77777777" w:rsidTr="00E22A2E">
        <w:tc>
          <w:tcPr>
            <w:tcW w:w="0" w:type="auto"/>
            <w:hideMark/>
          </w:tcPr>
          <w:p w14:paraId="24EE0E84" w14:textId="77777777" w:rsidR="008316C2" w:rsidRPr="00F137B1" w:rsidRDefault="008316C2" w:rsidP="00630DA9">
            <w:pPr>
              <w:spacing w:before="120" w:after="120" w:line="360" w:lineRule="auto"/>
            </w:pPr>
            <w:r w:rsidRPr="00F137B1">
              <w:t>Labour market conditions; exchange rate effects; expectations channel; term premia effects; financial market pricing</w:t>
            </w:r>
          </w:p>
        </w:tc>
        <w:tc>
          <w:tcPr>
            <w:tcW w:w="0" w:type="auto"/>
            <w:hideMark/>
          </w:tcPr>
          <w:p w14:paraId="5BAFA00A" w14:textId="77777777" w:rsidR="008316C2" w:rsidRPr="00F137B1" w:rsidRDefault="008316C2" w:rsidP="00630DA9">
            <w:pPr>
              <w:spacing w:before="120" w:after="120" w:line="360" w:lineRule="auto"/>
            </w:pPr>
            <w:r w:rsidRPr="00F137B1">
              <w:t>Labour market dynamics, exchange rate movements, expectations, and term premia are key economic and market factors influencing the inflation–interest rate–stock market relationship.</w:t>
            </w:r>
          </w:p>
        </w:tc>
      </w:tr>
      <w:tr w:rsidR="008316C2" w:rsidRPr="00F137B1" w14:paraId="5F715874" w14:textId="77777777" w:rsidTr="00E22A2E">
        <w:tc>
          <w:tcPr>
            <w:tcW w:w="0" w:type="auto"/>
            <w:hideMark/>
          </w:tcPr>
          <w:p w14:paraId="17C09AEC" w14:textId="77777777" w:rsidR="008316C2" w:rsidRPr="00F137B1" w:rsidRDefault="008316C2" w:rsidP="00630DA9">
            <w:pPr>
              <w:spacing w:before="120" w:after="120" w:line="360" w:lineRule="auto"/>
            </w:pPr>
            <w:r w:rsidRPr="00F137B1">
              <w:t>Inflation-driven volatility; risk-taking channel; inflation uncertainty; tightening shocks; return instability</w:t>
            </w:r>
          </w:p>
        </w:tc>
        <w:tc>
          <w:tcPr>
            <w:tcW w:w="0" w:type="auto"/>
            <w:hideMark/>
          </w:tcPr>
          <w:p w14:paraId="53041A4A" w14:textId="77777777" w:rsidR="008316C2" w:rsidRPr="00F137B1" w:rsidRDefault="008316C2" w:rsidP="00630DA9">
            <w:pPr>
              <w:spacing w:before="120" w:after="120" w:line="360" w:lineRule="auto"/>
            </w:pPr>
            <w:r w:rsidRPr="00F137B1">
              <w:t>Inflation and interest rate changes increase market volatility and risk aversion, leading to predominantly negative effects on UK stock market performance during tightening periods.</w:t>
            </w:r>
          </w:p>
        </w:tc>
      </w:tr>
      <w:tr w:rsidR="008316C2" w:rsidRPr="00F137B1" w14:paraId="0F28C570" w14:textId="77777777" w:rsidTr="00E22A2E">
        <w:tc>
          <w:tcPr>
            <w:tcW w:w="0" w:type="auto"/>
            <w:hideMark/>
          </w:tcPr>
          <w:p w14:paraId="1A5B5699" w14:textId="77777777" w:rsidR="008316C2" w:rsidRPr="00F137B1" w:rsidRDefault="008316C2" w:rsidP="00630DA9">
            <w:pPr>
              <w:spacing w:before="120" w:after="120" w:line="360" w:lineRule="auto"/>
            </w:pPr>
            <w:r w:rsidRPr="00F137B1">
              <w:t>Inflation expectation mispricing; valuation uncertainty; inflation hedging failure; crisis sensitivity</w:t>
            </w:r>
          </w:p>
        </w:tc>
        <w:tc>
          <w:tcPr>
            <w:tcW w:w="0" w:type="auto"/>
            <w:hideMark/>
          </w:tcPr>
          <w:p w14:paraId="3D15FA1B" w14:textId="77777777" w:rsidR="008316C2" w:rsidRPr="00F137B1" w:rsidRDefault="008316C2" w:rsidP="00630DA9">
            <w:pPr>
              <w:spacing w:before="120" w:after="120" w:line="360" w:lineRule="auto"/>
            </w:pPr>
            <w:r w:rsidRPr="00F137B1">
              <w:t>Mispricing of inflation expectations and the failure of stocks to hedge inflation create significant challenges for investors and policymakers, particularly during economic crises.</w:t>
            </w:r>
          </w:p>
        </w:tc>
      </w:tr>
    </w:tbl>
    <w:p w14:paraId="4F3FF88B" w14:textId="77777777" w:rsidR="008316C2" w:rsidRPr="00053139" w:rsidRDefault="008316C2" w:rsidP="00630DA9">
      <w:pPr>
        <w:pStyle w:val="Heading2"/>
        <w:spacing w:before="120" w:after="120"/>
      </w:pPr>
      <w:bookmarkStart w:id="43" w:name="_Toc220875048"/>
      <w:r w:rsidRPr="00053139">
        <w:lastRenderedPageBreak/>
        <w:t>4.4 Thematic Analysis and Findings</w:t>
      </w:r>
      <w:bookmarkEnd w:id="43"/>
    </w:p>
    <w:p w14:paraId="642ED3D2" w14:textId="77777777" w:rsidR="008316C2" w:rsidRPr="00053139" w:rsidRDefault="008316C2" w:rsidP="00630DA9">
      <w:pPr>
        <w:jc w:val="both"/>
        <w:rPr>
          <w:b/>
          <w:bCs/>
        </w:rPr>
      </w:pPr>
      <w:r w:rsidRPr="00053139">
        <w:rPr>
          <w:b/>
          <w:bCs/>
        </w:rPr>
        <w:t>Theme 1: Interest rate decisions and monetary policy signalling shape UK stock market behaviour through discount rate adjustments and expectation formation</w:t>
      </w:r>
    </w:p>
    <w:p w14:paraId="73810BA2" w14:textId="77777777" w:rsidR="008316C2" w:rsidRDefault="008316C2" w:rsidP="00630DA9">
      <w:pPr>
        <w:jc w:val="both"/>
      </w:pPr>
      <w:r>
        <w:t xml:space="preserve">The literature reviewed gives well-founded and consistent statistical information to the effect that interest rate decision-making and monetary policy signalling by the Bank of England has a prevailing effect on the behaviour of the UK stock market, which is mostly achieved through discount rate adjustments and the development of investor expectations. Various empirical research, employing VAR, structural VAR and high-frequency event-study designs, demonstrates that it is the unexpected monetary policy shocks rather than observed inflation outcomes that prompt the strongest response among equity markets. In a long-sample VAR model of 1990-2025, Zhang (2025) concludes that contractionary monetary policy shocks have statistically significant negative impulse responses on UK stock returns, and the effect of these policies starts instantaneously and lasts up to six quarters. The indicators of the impulse response functions show that the largest </w:t>
      </w:r>
      <w:proofErr w:type="spellStart"/>
      <w:r>
        <w:t>sharpnesses</w:t>
      </w:r>
      <w:proofErr w:type="spellEnd"/>
      <w:r>
        <w:t xml:space="preserve"> of equity decreases appear during the first two quarters after the shock, which proves the effectiveness of the discount rate channel. Notably, decomposition findings indicated that monetary policy shocks describe a higher percentage of stock returns variance than inflation shocks, which demonstrates that interest rate policy is a more effective determinant of equity value than inflation itself.</w:t>
      </w:r>
    </w:p>
    <w:p w14:paraId="38A838B8" w14:textId="77777777" w:rsidR="008316C2" w:rsidRDefault="008316C2" w:rsidP="00630DA9">
      <w:pPr>
        <w:jc w:val="both"/>
      </w:pPr>
      <w:r>
        <w:t>This conclusion is further reinforced by high frequency evidence. Braun et al. (2024) adopt an event-study design, which is based on the announcements of the Monetary Policy Committee and prove that unexpected changes in the Bank Rate and policy communication shocks are associated with statistically significant intraday changes in equity indices in the UK. Their results show that the expected policy action causes insignificant returns in the stock market, but unexpected shocks cause instant price changes. This asymmetry substantiates that equity market responses are caused by the errors in expectations and not only by the actions of the policy. The duration of these effects is determined by the kind of policy signal. Braun et al. (2024) demonstrate that communication shocks, e.g. forward guidance or QE announcements, are frequently more likely to produce the long-lasting equity reactions, compared to mechanical adjustment of the interest rates, and that policy discourses affect long-term forecasts more effectively than mechanical interest rate alterations. This supports the effects of monetary policy signalling in the stock market behaviour.</w:t>
      </w:r>
    </w:p>
    <w:p w14:paraId="2894AFDB" w14:textId="77777777" w:rsidR="008316C2" w:rsidRDefault="008316C2" w:rsidP="00630DA9">
      <w:pPr>
        <w:jc w:val="both"/>
      </w:pPr>
      <w:r>
        <w:lastRenderedPageBreak/>
        <w:t xml:space="preserve">This is a significant detail brought about by the evidence presented by </w:t>
      </w:r>
      <w:proofErr w:type="spellStart"/>
      <w:r>
        <w:t>Christober</w:t>
      </w:r>
      <w:proofErr w:type="spellEnd"/>
      <w:r>
        <w:t xml:space="preserve"> (2025). The authors use structural VAR model to conclude that in some cases, UK stock markets give short-run positive reactions to tightening of monetary policy, especially when the tightening is regarded as a plausible commitment to maintain inflation. Such short-term profits are short-term in nature. The impulse responses in the medium term become negative and this implies that the contractionary valuation of an increase in interest rate can be offset temporarily but not removed by the policy credibility.</w:t>
      </w:r>
    </w:p>
    <w:p w14:paraId="6B2B2332" w14:textId="77777777" w:rsidR="008316C2" w:rsidRDefault="008316C2" w:rsidP="00630DA9">
      <w:pPr>
        <w:jc w:val="both"/>
      </w:pPr>
      <w:r>
        <w:t>The difference between the expected and unexpected policy actions is thus of paramount importance. Italicized interest rate movements are mostly reflected in the prices of the assets by the market expectations and through the forward guidance leading to dampened equity reactions. On the contrary, unexpected changes in policy shock introduce sudden changes in discount rates resulting in rapid repricing of equities. It is verified that an equity valuation is forward-looking, as Zhang (2025) confirms that the stock market reaction to unexpected shocks is usually much vigorous.</w:t>
      </w:r>
    </w:p>
    <w:p w14:paraId="70F22FAB" w14:textId="77777777" w:rsidR="008316C2" w:rsidRPr="00053139" w:rsidRDefault="008316C2" w:rsidP="00630DA9">
      <w:pPr>
        <w:jc w:val="both"/>
        <w:rPr>
          <w:b/>
          <w:bCs/>
        </w:rPr>
      </w:pPr>
      <w:r w:rsidRPr="00053139">
        <w:rPr>
          <w:b/>
          <w:bCs/>
        </w:rPr>
        <w:t>Theme 2: Labour market conditions, exchange rate movements, expectations, and term premia moderate the inflation–interest rate–stock market relationship</w:t>
      </w:r>
    </w:p>
    <w:p w14:paraId="161BB2BA" w14:textId="77777777" w:rsidR="008316C2" w:rsidRDefault="008316C2" w:rsidP="00630DA9">
      <w:pPr>
        <w:jc w:val="both"/>
      </w:pPr>
      <w:r>
        <w:t xml:space="preserve">Although the interest rate policy is an important factor, it is evident in the literature that the correlation between inflation rate, interest rate and the performance of the UK stock market is conditional to a number of moderating economic and market factors. The empirical evidence shows that inflation has not a pronounced direct effect on equities when labour market conditions, exchange rates, expectations and term premia are considered. Ma (2024) employs the OLS regression with </w:t>
      </w:r>
      <w:proofErr w:type="spellStart"/>
      <w:r>
        <w:t>NeweyWest</w:t>
      </w:r>
      <w:proofErr w:type="spellEnd"/>
      <w:r>
        <w:t xml:space="preserve"> standard errors on the 2018-2023 period to reveal that the direct effect of CPI inflation on FTSE 100 returns is not significant but unemployment and exchange rate variables are significant at the traditional confidence level. The unfavourable coefficient on unemployment implies that labour market slack undermines the equity performance by lowering the earnings expectations and exchange rate appreciation favours the stock returns due to the favourable foreign investment flows and the import cost dynamics. These findings are a statistical finding to support the existence of indirect impact of inflation on equities through real economic channels.</w:t>
      </w:r>
    </w:p>
    <w:p w14:paraId="3FA449EF" w14:textId="77777777" w:rsidR="008316C2" w:rsidRDefault="008316C2" w:rsidP="00630DA9">
      <w:pPr>
        <w:jc w:val="both"/>
      </w:pPr>
      <w:r>
        <w:lastRenderedPageBreak/>
        <w:t>This relationship is further moderated by the financial market expectations. Kaminska et al. (2020) break down the monetary policy surprises into expected interest rate and term premiums with the help of the high-frequency yield data. Their findings demonstrate that equity values are sensitive to the variation in either or both of the two elements, which reflects that the stock markets are not only sensitive to the anticipated future policy rates, but also to alterations in the risk compensation in the term premia. It shows that the effects of inflation and interest rate are not passed through the financial market pricing mechanisms but they are not passed through a mechanical process. The dynamics are also further conditioned by structural regime shifts. Li et al. (2025) use wavelet time-frequency analysis and conclude that the prevailing movement in the stock market is interest rates at the stable economic cycles and inflation shocks at the crisis period due to the COVID-19 pandemic as the predominant source of volatility. This is a regime dependent behaviour which shows that inflation is applicable to equity markets when it poses a threat to monetary stability and induces tightening expectation.</w:t>
      </w:r>
    </w:p>
    <w:p w14:paraId="1CB530CA" w14:textId="77777777" w:rsidR="008316C2" w:rsidRDefault="008316C2" w:rsidP="00630DA9">
      <w:pPr>
        <w:jc w:val="both"/>
      </w:pPr>
      <w:r>
        <w:t>These moderating factors are united through the role of expectations. Strength of labour markets reflects wage pressure and enduring demand, depreciation in exchange rate increases risks of imported inflation, and the persistence of inflation reflects on future tightening expectations. Ma (2024) demonstrates that despite the statistically insignificant CPI inflation, indicators of the labour market still affect the equity returns, which supports the necessity to base the expectation formation on the actual economic fundamentals instead of the headline inflation.</w:t>
      </w:r>
    </w:p>
    <w:p w14:paraId="6E1D7C7D" w14:textId="77777777" w:rsidR="008316C2" w:rsidRPr="00483E69" w:rsidRDefault="008316C2" w:rsidP="00630DA9">
      <w:pPr>
        <w:jc w:val="both"/>
      </w:pPr>
      <w:r>
        <w:rPr>
          <w:b/>
          <w:bCs/>
        </w:rPr>
        <w:t>T</w:t>
      </w:r>
      <w:r w:rsidRPr="00483E69">
        <w:rPr>
          <w:b/>
          <w:bCs/>
        </w:rPr>
        <w:t>heme 3: Inflation and interest rate changes increase volatility and risk aversion, leading to predominantly negative stock market outcomes during tightening cycles</w:t>
      </w:r>
    </w:p>
    <w:p w14:paraId="7C3DAFB5" w14:textId="77777777" w:rsidR="008316C2" w:rsidRDefault="008316C2" w:rsidP="00630DA9">
      <w:pPr>
        <w:jc w:val="both"/>
      </w:pPr>
      <w:r>
        <w:t xml:space="preserve">One of the key conclusions of the literature reviewed is that inflationary stresses and tightening of monetary policy have the largest impact on the UK stock market in the form of volatile market and </w:t>
      </w:r>
      <w:proofErr w:type="spellStart"/>
      <w:r>
        <w:t>africtive</w:t>
      </w:r>
      <w:proofErr w:type="spellEnd"/>
      <w:r>
        <w:t xml:space="preserve"> distrust in investors leading to mostly adverse equity performance. Instead of lowering returns by affecting its immediate earnings, inflation and changes in interest rates act via uncertainty, risk premia and behavioural transmission mechanisms, and exaggerate instability in markets when tightening takes place. Miranda-Agrippino and </w:t>
      </w:r>
      <w:proofErr w:type="spellStart"/>
      <w:r>
        <w:t>Nenova</w:t>
      </w:r>
      <w:proofErr w:type="spellEnd"/>
      <w:r>
        <w:t xml:space="preserve"> (2022) present sound statistical results that the monetary tightening shock induces risk premiums with considerable magnitude and causes the sudden fall of equity prices. Their impulse response functions are that after a contractionary policy shock, there is an immediate and persistent decline in equity prices, </w:t>
      </w:r>
      <w:r>
        <w:lastRenderedPageBreak/>
        <w:t>and the signs of risk appetite are worsening. Notably, even after output and inflation responses are included these effects have a significant statistical significance, which shows that the risk-taking behaviour is an important transmission mechanism. This explains the finding that this would allow investors to reconsider downside risks and not respond only to the changes in expected cash flows.</w:t>
      </w:r>
    </w:p>
    <w:p w14:paraId="658AACF6" w14:textId="77777777" w:rsidR="008316C2" w:rsidRDefault="008316C2" w:rsidP="00630DA9">
      <w:pPr>
        <w:jc w:val="both"/>
      </w:pPr>
      <w:r>
        <w:t>The dynamics of volatility also support this channel. Chiang (2023) uses APARCH volatility model in various markets and concludes that expectations of inflation has statistically significant positive impact on stock market volatility and increased volatility is related to reduced expected returns. This observation is especially applicable to the UK scenario, whereby it implies that uncertainty in inflation, as opposed to inflation rates, results in equity markets. The coefficient of statistical significance of inflation expectations establishes that uncertainty is a booster of risk, which enhances needed returns and slows down equity prices. The results are reinforced with evidence by Li et al. (2025) that introduces a structural aspect to the results. Based on the wavelet time-frequency analysis, the authors demonstrate that during a period of crisis time, stock market fluctuations are dominated by inflation shocks in both medium and long-term horizon, particularly in the post-COVID. Conversely, the impact of interest rates is more observed in the short-term. This means that the volatility effects created by tightening cycles activated by ongoing inflation have longer-term effects, and put pressure on the stock markets in the aftermath of immediate policy announcement.</w:t>
      </w:r>
    </w:p>
    <w:p w14:paraId="141A3D1A" w14:textId="77777777" w:rsidR="008316C2" w:rsidRDefault="008316C2" w:rsidP="00630DA9">
      <w:pPr>
        <w:jc w:val="both"/>
      </w:pPr>
      <w:r>
        <w:t xml:space="preserve">Asymmetry between the tightening and the easing cycles is also statistically clear. By using the responses of VAR impulses, Zhang (2025) shows that contractionary policy shocks have a bigger and more sustained negative equity reaction as compared to expansionary shocks which have a positive equity reaction. Such an asymmetry implies that markets are risk-averse and risk-adverse to downside risks and uncertainty more than to the signals of accommodative policy, which is in line with the behavioural finance theories. In the UK, though, as </w:t>
      </w:r>
      <w:proofErr w:type="spellStart"/>
      <w:r>
        <w:t>Christober</w:t>
      </w:r>
      <w:proofErr w:type="spellEnd"/>
      <w:r>
        <w:t xml:space="preserve"> (2025) notes, tightening produces positive equity reactions in the short-run, these are short-lived. The medium-term impulse reactions go back to the negative side and this is a confirmation that any positive market view of tightening is short lived but expectation-related but not fundamentals-based.</w:t>
      </w:r>
    </w:p>
    <w:p w14:paraId="4DA6B8DB" w14:textId="77777777" w:rsidR="008316C2" w:rsidRPr="00483E69" w:rsidRDefault="008316C2" w:rsidP="00630DA9">
      <w:pPr>
        <w:jc w:val="both"/>
      </w:pPr>
      <w:r w:rsidRPr="00483E69">
        <w:rPr>
          <w:b/>
          <w:bCs/>
        </w:rPr>
        <w:t>Theme 4: Inflation expectation mispricing and unstable inflation hedging create challenges for investors and policymakers during economic shocks</w:t>
      </w:r>
    </w:p>
    <w:p w14:paraId="100E7C0F" w14:textId="77777777" w:rsidR="008316C2" w:rsidRDefault="008316C2" w:rsidP="00630DA9">
      <w:pPr>
        <w:jc w:val="both"/>
      </w:pPr>
      <w:r>
        <w:lastRenderedPageBreak/>
        <w:t xml:space="preserve">The last theme is the practical and structural difficulties of inflation and interest rate dynamics to investors and policymakers. One of the challenges that are observed in the literature is the false-pricing of inflation expectation that compromises the accuracy of equity valuation and reduces the efficiency of monetary policy transmission especially in times of economic stress. Barria and Pinter (2023) support the mispricing of inflation expectations using well-structured statistical evidence on </w:t>
      </w:r>
      <w:proofErr w:type="gramStart"/>
      <w:r>
        <w:t>transaction based</w:t>
      </w:r>
      <w:proofErr w:type="gramEnd"/>
      <w:r>
        <w:t xml:space="preserve"> data on inflation linked markets. They find the sustained under- and over-reaction of market-implied inflation expectations to realised inflation that there is inefficient inflation pricing. These </w:t>
      </w:r>
      <w:proofErr w:type="spellStart"/>
      <w:r>
        <w:t>mispricings</w:t>
      </w:r>
      <w:proofErr w:type="spellEnd"/>
      <w:r>
        <w:t xml:space="preserve"> are statistically significant and are greater in the event of volatile periods, which puts valuation uncertainty on equities that are dependent on inflation expectations in discounting future cash flows. Equity markets can therefore either overreact or underreact to the news of inflation and this makes investment decisions more difficult.</w:t>
      </w:r>
    </w:p>
    <w:p w14:paraId="16B9FE67" w14:textId="77777777" w:rsidR="008316C2" w:rsidRDefault="008316C2" w:rsidP="00630DA9">
      <w:pPr>
        <w:jc w:val="both"/>
      </w:pPr>
      <w:r>
        <w:t xml:space="preserve">These issues are also worsened by the instability of inflation hedging. </w:t>
      </w:r>
      <w:proofErr w:type="spellStart"/>
      <w:r>
        <w:t>Neifar</w:t>
      </w:r>
      <w:proofErr w:type="spellEnd"/>
      <w:r>
        <w:t xml:space="preserve"> and </w:t>
      </w:r>
      <w:proofErr w:type="spellStart"/>
      <w:r>
        <w:t>Harzallah</w:t>
      </w:r>
      <w:proofErr w:type="spellEnd"/>
      <w:r>
        <w:t xml:space="preserve"> (2024) empirically test the hypothesis of Fisher and test it through time-series and panel models and conclude that stocks do not always hedge against inflation, especially in times of crisis. They find that the long-run correlation between stock returns and inflation is found to be less strong or even breaks down completely during economic shocks, which despite the assumption that equities offer natural inflation protection. This observation is statistically justified by insignificant or unstable coefficients of inflation among sub-samples. Incidentally, this means that inflation hedging using equities is not reliable on portfolio strategies in case of high inflation uncertainty. It is an indicator to policymakers that market-based inflation expectations can be inaccurate indicators of underlying inflation dynamics that lowers the efficacy of forward guidance.</w:t>
      </w:r>
    </w:p>
    <w:p w14:paraId="6D3483B0" w14:textId="350CB668" w:rsidR="008316C2" w:rsidRPr="009B74DC" w:rsidRDefault="008316C2" w:rsidP="009B74DC">
      <w:pPr>
        <w:jc w:val="both"/>
      </w:pPr>
      <w:r>
        <w:t xml:space="preserve">These have been compounded by behavioural reactions to tightening. Miranda-Agrippino and </w:t>
      </w:r>
      <w:proofErr w:type="spellStart"/>
      <w:r>
        <w:t>Nenova</w:t>
      </w:r>
      <w:proofErr w:type="spellEnd"/>
      <w:r>
        <w:t xml:space="preserve"> (2022) demonstrate that the tightening of money supply leads to a higher risk aversion that can be reinforced with the effect of expectation mispricing to enhance instability in the market. When investors also underestimate inflation risks, and take less risk, the equity prices will be less informative and more volatile. The crisis state only makes policy transmission weak. Li et al. (2025) illustrate how, in the period of inflationary regimes, the conventional interest rate instruments no longer have any stabilising effects on the equity markets. Inflation persistence and uncertainty in expectations help lower the predictability of the policy outcome compelling the policymakers to </w:t>
      </w:r>
      <w:proofErr w:type="spellStart"/>
      <w:r>
        <w:t>trade off</w:t>
      </w:r>
      <w:proofErr w:type="spellEnd"/>
      <w:r>
        <w:t xml:space="preserve"> between price stability and financial market volatility.</w:t>
      </w:r>
    </w:p>
    <w:p w14:paraId="4EF8C8B8" w14:textId="55A31A4B" w:rsidR="008316C2" w:rsidRPr="00D924D8" w:rsidRDefault="008316C2" w:rsidP="00630DA9">
      <w:pPr>
        <w:pStyle w:val="Heading1"/>
        <w:spacing w:before="120" w:after="120" w:line="360" w:lineRule="auto"/>
        <w:jc w:val="both"/>
      </w:pPr>
      <w:bookmarkStart w:id="44" w:name="_Toc220875049"/>
      <w:r>
        <w:lastRenderedPageBreak/>
        <w:t>Chapter 5:</w:t>
      </w:r>
      <w:r w:rsidRPr="00D924D8">
        <w:t xml:space="preserve"> Discussion</w:t>
      </w:r>
      <w:bookmarkEnd w:id="44"/>
    </w:p>
    <w:p w14:paraId="0BDC40D1" w14:textId="7EF2EDF3" w:rsidR="00820A81" w:rsidRPr="00820A81" w:rsidRDefault="00820A81" w:rsidP="00630DA9">
      <w:pPr>
        <w:jc w:val="both"/>
        <w:rPr>
          <w:b/>
          <w:bCs/>
        </w:rPr>
      </w:pPr>
      <w:r w:rsidRPr="00820A81">
        <w:rPr>
          <w:b/>
          <w:bCs/>
        </w:rPr>
        <w:t xml:space="preserve">The Inflation and Interest rate </w:t>
      </w:r>
      <w:r w:rsidR="009B74DC" w:rsidRPr="00820A81">
        <w:rPr>
          <w:b/>
          <w:bCs/>
        </w:rPr>
        <w:t>policy’s</w:t>
      </w:r>
      <w:r w:rsidRPr="00820A81">
        <w:rPr>
          <w:b/>
          <w:bCs/>
        </w:rPr>
        <w:t xml:space="preserve"> role in determining the behaviour of the UK stock markets</w:t>
      </w:r>
    </w:p>
    <w:p w14:paraId="1BAF5716" w14:textId="77777777" w:rsidR="00820A81" w:rsidRPr="00820A81" w:rsidRDefault="00820A81" w:rsidP="00630DA9">
      <w:pPr>
        <w:jc w:val="both"/>
      </w:pPr>
      <w:r w:rsidRPr="00820A81">
        <w:t>The literature review had pointed out that inflation and interest rate policies are the key macroeconomic instruments that affect the performance of the stock market, especially via the transmission mechanisms of money and the expectation of the investors. Some of the works in the literature underlined the fact that the adjustment of interest rates influences the equity value by changing the cost of borrowing and future cash inflows, and inflation influences the market sentiments and policy actions.</w:t>
      </w:r>
    </w:p>
    <w:p w14:paraId="30ACB392" w14:textId="77777777" w:rsidR="00820A81" w:rsidRPr="00820A81" w:rsidRDefault="00820A81" w:rsidP="00630DA9">
      <w:pPr>
        <w:jc w:val="both"/>
      </w:pPr>
      <w:r w:rsidRPr="00820A81">
        <w:t>The thematic analysis reinforces these arguments with a lot of force albeit it gives more clarity to the readers in terms of relative importance. Zhang (2025) depicts that the effect of interest rate shocks on the UK stock returns produces statistically significant and long-lasting effects, as compared to inflation shocks which interpret a lesser portion of variation in the market. This result narrows down the literature review to show as interest rate policy has a more direct and dominant influence on stock market behaviour than inflation itself.</w:t>
      </w:r>
    </w:p>
    <w:p w14:paraId="6C71B3F0" w14:textId="77777777" w:rsidR="00820A81" w:rsidRPr="00820A81" w:rsidRDefault="00820A81" w:rsidP="00630DA9">
      <w:pPr>
        <w:jc w:val="both"/>
      </w:pPr>
      <w:r w:rsidRPr="00820A81">
        <w:t xml:space="preserve">Likewise, the issues of the significance of the policy communication and expectations were addressed in the literature review. Empirically, this has been proven by Braun et al. (2024), who discover that unforeseeable announcements by the Bank of England elicit instant responses in the equity market, whereas foreseeable decisions elicit subdued responses. This analogy means that the policy signalling focus in the literature is confirmed by recent empirical findings. </w:t>
      </w:r>
      <w:proofErr w:type="spellStart"/>
      <w:r w:rsidRPr="00820A81">
        <w:t>Christober</w:t>
      </w:r>
      <w:proofErr w:type="spellEnd"/>
      <w:r w:rsidRPr="00820A81">
        <w:t xml:space="preserve"> (2025) also adds to this literature by demonstrating that the short-term favourable market responses to tightening may take place in case monetary policy is deemed credible. But the thematic results also reveal that these effects are short-term as there is also an indication that policy credibility is only a </w:t>
      </w:r>
      <w:proofErr w:type="gramStart"/>
      <w:r w:rsidRPr="00820A81">
        <w:t>short term</w:t>
      </w:r>
      <w:proofErr w:type="gramEnd"/>
      <w:r w:rsidRPr="00820A81">
        <w:t xml:space="preserve"> stabilising effect on equity markets in the medium-term.</w:t>
      </w:r>
    </w:p>
    <w:p w14:paraId="6110FE77" w14:textId="77777777" w:rsidR="00820A81" w:rsidRPr="00820A81" w:rsidRDefault="00820A81" w:rsidP="00630DA9">
      <w:pPr>
        <w:jc w:val="both"/>
      </w:pPr>
      <w:r w:rsidRPr="00820A81">
        <w:t>Generally, the literature review and the thematic analysis show that the interest rate policies, and not inflation, are the key determinants of the behaviour of the UK stock market, and inflation has a significant impact on the markets, but in this case, through the expectations of the policy.</w:t>
      </w:r>
    </w:p>
    <w:p w14:paraId="63FEF3DE" w14:textId="77777777" w:rsidR="00820A81" w:rsidRPr="00820A81" w:rsidRDefault="00820A81" w:rsidP="00630DA9">
      <w:pPr>
        <w:jc w:val="both"/>
        <w:rPr>
          <w:b/>
          <w:bCs/>
        </w:rPr>
      </w:pPr>
      <w:r w:rsidRPr="00820A81">
        <w:rPr>
          <w:b/>
          <w:bCs/>
        </w:rPr>
        <w:t>Market and Economic Factors that are important in the relationship between inflation and interest rates and the stock market.</w:t>
      </w:r>
    </w:p>
    <w:p w14:paraId="46DE8748" w14:textId="77777777" w:rsidR="00820A81" w:rsidRPr="00820A81" w:rsidRDefault="00820A81" w:rsidP="00630DA9">
      <w:pPr>
        <w:jc w:val="both"/>
      </w:pPr>
      <w:r w:rsidRPr="00820A81">
        <w:lastRenderedPageBreak/>
        <w:t>The literature review has revealed a number of economic and market variables including labour market conditions, exchange rates and expectations that influence the effect of inflation and interest rates on the stock market performance. These works claimed that inflation is not a solo agent but it relates itself with macroeconomic factors. This argument is empirically verified using the thematic analysis. An illustration is that Ma (2024) establishes that the direct impact of CPI inflation on FTSE 100 returns is not statistically significant when the contributions of the labour market and exchange rate variables are removed. This result is in line with the literature review which indicated that inflation tends to reflect the economic conditions in the background as opposed to an immediate influence on equity price.</w:t>
      </w:r>
    </w:p>
    <w:p w14:paraId="61F8A3C1" w14:textId="77777777" w:rsidR="00820A81" w:rsidRPr="00820A81" w:rsidRDefault="00820A81" w:rsidP="00630DA9">
      <w:pPr>
        <w:jc w:val="both"/>
      </w:pPr>
      <w:r w:rsidRPr="00820A81">
        <w:t>On the same note, the expectations and financial market pricing were addressed in the literature review. The empirical evidence that expectations, as well as term premia, play a role in the responses of asset prices to monetary policy, is quite strong (Kaminska et al., 2020). This proves the fact in the literature that the inflation-interest rate-stock market relationship is moderated by the pricing of future risks by financial markets and not by alone the current macroeconomic indicators. Li et al. (2025) build on this point to reveal that the relative significance of inflation and interest rates through different economic regimes differs. This supports the argument in the literature review that the macroeconomic context is important in influencing market reactions. Collectively, the results indicate a high degree of consistency between theory and empirical research, which supports the opinion that the inflation-interest rate-equity relationship is indirect and conditional.</w:t>
      </w:r>
    </w:p>
    <w:p w14:paraId="1AAF11B6" w14:textId="6DD47F7F" w:rsidR="00820A81" w:rsidRPr="005D770A" w:rsidRDefault="00820A81" w:rsidP="00630DA9">
      <w:pPr>
        <w:jc w:val="both"/>
        <w:rPr>
          <w:b/>
          <w:bCs/>
        </w:rPr>
      </w:pPr>
      <w:r w:rsidRPr="005D770A">
        <w:rPr>
          <w:b/>
          <w:bCs/>
        </w:rPr>
        <w:t>Effective and Adverse Consequences of Rising and Fall in Inflation and Interest Rates on the UK Stock Market</w:t>
      </w:r>
    </w:p>
    <w:p w14:paraId="49472A7D" w14:textId="77777777" w:rsidR="00820A81" w:rsidRPr="00820A81" w:rsidRDefault="00820A81" w:rsidP="00630DA9">
      <w:pPr>
        <w:jc w:val="both"/>
      </w:pPr>
      <w:r w:rsidRPr="00820A81">
        <w:t>The literature review indicated that inflation and interest rates shifts may have either positive or negative impacts on stock markets, depending on the expectations, uncertainty and economic status. Specifically, the volatility and low returns on equity were coupled with inflation uncertainty and tightening cycles. This point of view is firmly supported by the thematic analysis. Chiang (2023) concludes that inflation expectations are very high, and they contribute to high volatility in stock markets, and consequently have a negative impact on returns. This directly contributes to the argument that is put across in the literature that uncertainty and not inflation levels alone is detrimental to equity performance.</w:t>
      </w:r>
    </w:p>
    <w:p w14:paraId="4A35E02A" w14:textId="77777777" w:rsidR="00820A81" w:rsidRPr="00820A81" w:rsidRDefault="00820A81" w:rsidP="00630DA9">
      <w:pPr>
        <w:jc w:val="both"/>
      </w:pPr>
      <w:r w:rsidRPr="00820A81">
        <w:lastRenderedPageBreak/>
        <w:t xml:space="preserve">On the same note, Miranda-Agrippino and </w:t>
      </w:r>
      <w:proofErr w:type="spellStart"/>
      <w:r w:rsidRPr="00820A81">
        <w:t>Nenova</w:t>
      </w:r>
      <w:proofErr w:type="spellEnd"/>
      <w:r w:rsidRPr="00820A81">
        <w:t xml:space="preserve"> (2022) demonstrate that tightening of money will foster investor risk aversion, which will result in a weakening of equity prices. This observation supports the discussion of risk-taking behaviour as one of the transmission channels in the literature review. Zhang (2025) also reveals that contractionary policy shocks have greater and more enduring negative impact on stock returns than the expansionary shocks have positive impacts. Nevertheless, asymmetries in the short run are also narrowed down to the thematic analysis of the literature. According to Christopher (2025), there are short-term positive stock market effects of tightening in high policy credibility. Although this is in line with the literature argument that credible policy can stabilise markets, thematic results show that these positive effects are short lived and they are overwhelmed by negative effects on a </w:t>
      </w:r>
      <w:proofErr w:type="gramStart"/>
      <w:r w:rsidRPr="00820A81">
        <w:t>medium term</w:t>
      </w:r>
      <w:proofErr w:type="gramEnd"/>
      <w:r w:rsidRPr="00820A81">
        <w:t xml:space="preserve"> basis.</w:t>
      </w:r>
    </w:p>
    <w:p w14:paraId="0FE59489" w14:textId="77777777" w:rsidR="00820A81" w:rsidRPr="00820A81" w:rsidRDefault="00820A81" w:rsidP="00630DA9">
      <w:pPr>
        <w:jc w:val="both"/>
      </w:pPr>
      <w:r w:rsidRPr="00820A81">
        <w:t>Therefore, although the literature review considered the presence of mixed effects, the thematic analysis proves that negative effects are prevailing in practise, especially at times when the tightening cycles are taking place.</w:t>
      </w:r>
    </w:p>
    <w:p w14:paraId="7580071C" w14:textId="24DB40F9" w:rsidR="00820A81" w:rsidRPr="00820A81" w:rsidRDefault="00820A81" w:rsidP="00630DA9">
      <w:pPr>
        <w:jc w:val="both"/>
        <w:rPr>
          <w:b/>
          <w:bCs/>
        </w:rPr>
      </w:pPr>
      <w:r w:rsidRPr="00820A81">
        <w:rPr>
          <w:b/>
          <w:bCs/>
        </w:rPr>
        <w:t>Issues</w:t>
      </w:r>
      <w:r w:rsidR="00F63AD6">
        <w:rPr>
          <w:b/>
          <w:bCs/>
        </w:rPr>
        <w:t xml:space="preserve"> faced by</w:t>
      </w:r>
      <w:r w:rsidRPr="00820A81">
        <w:rPr>
          <w:b/>
          <w:bCs/>
        </w:rPr>
        <w:t xml:space="preserve"> Investors and Policymakers </w:t>
      </w:r>
    </w:p>
    <w:p w14:paraId="4B9DB7FB" w14:textId="77777777" w:rsidR="00820A81" w:rsidRPr="00820A81" w:rsidRDefault="00820A81" w:rsidP="00630DA9">
      <w:pPr>
        <w:jc w:val="both"/>
      </w:pPr>
      <w:r w:rsidRPr="00820A81">
        <w:t xml:space="preserve">Inflation and the changes in the interest rate have been noted as having several issues as shown in the literature review such as unstable inflation hedging, management of expectations, and effectiveness of the policies during a crisis. The conventional beliefs on equities as effective inflation hedges were also challenged. These concerns are highly supported by the thematic analysis. </w:t>
      </w:r>
      <w:proofErr w:type="spellStart"/>
      <w:r w:rsidRPr="00820A81">
        <w:t>Neifar</w:t>
      </w:r>
      <w:proofErr w:type="spellEnd"/>
      <w:r w:rsidRPr="00820A81">
        <w:t xml:space="preserve"> and </w:t>
      </w:r>
      <w:proofErr w:type="spellStart"/>
      <w:r w:rsidRPr="00820A81">
        <w:t>Harzallah</w:t>
      </w:r>
      <w:proofErr w:type="spellEnd"/>
      <w:r w:rsidRPr="00820A81">
        <w:t xml:space="preserve"> (2024) conclude that stocks are not always hedge against inflation, particularly when there is crisis. This observation contradicts the assumptions presented in the literature review and identifies the practical constraints of investors.</w:t>
      </w:r>
    </w:p>
    <w:p w14:paraId="2324C9EB" w14:textId="77777777" w:rsidR="00820A81" w:rsidRPr="00820A81" w:rsidRDefault="00820A81" w:rsidP="00630DA9">
      <w:pPr>
        <w:jc w:val="both"/>
      </w:pPr>
      <w:r w:rsidRPr="00820A81">
        <w:t xml:space="preserve">Barria and Pinter (2023) also reveal that the inflation expectations are often mispriced thus raising the valuation uncertainty in the equity markets. This helps in the discussion of the information inefficiencies and distortions of the expectations that is in the literature review. To policymakers, Miranda-Agrippino and </w:t>
      </w:r>
      <w:proofErr w:type="spellStart"/>
      <w:r w:rsidRPr="00820A81">
        <w:t>Nenova</w:t>
      </w:r>
      <w:proofErr w:type="spellEnd"/>
      <w:r w:rsidRPr="00820A81">
        <w:t xml:space="preserve"> (2022) demonstrate that the tightening of the belt raises the risk aversion, undermining monetary policy in the time of high uncertainty. On the whole, the literature review and the thematic analysis allow concluding that inflation and management of interest rates are a major issue to investors and policymakers, especially when the economy is shocked.</w:t>
      </w:r>
    </w:p>
    <w:p w14:paraId="09A387F7" w14:textId="505334FE" w:rsidR="00A0150F" w:rsidRDefault="00A0150F" w:rsidP="00630DA9">
      <w:pPr>
        <w:jc w:val="both"/>
      </w:pPr>
      <w:r>
        <w:t xml:space="preserve">Thus, the findings discussion illustrates a robust and consistent consistency between the literature review and the thematic analysis, as well as developing the current understanding of the effects of </w:t>
      </w:r>
      <w:r>
        <w:lastRenderedPageBreak/>
        <w:t xml:space="preserve">inflation and changes in interest rates on the UK stock market by performance. In all goals, the fact remains that the association is not simple, and conditional, and mostly because of monetary policy mechanisms, instead of inflation by itself. One of the main findings that come to </w:t>
      </w:r>
      <w:r w:rsidR="00734E0F">
        <w:t>focus</w:t>
      </w:r>
      <w:r>
        <w:t xml:space="preserve"> during the joint analysis is that interest rate policies have prevailed in determining the behaviour of the UK stock markets. Although the literature review admitted the significance of both the inflation and interest rates, the thematic analysis offers more empirical evidence of the argument that the interest rate shocks and policy signalling have more immediate and long-lasting effects in the equity markets. By comparison, inflation seems to affect the performance of the stock market mostly because of the effects it has on the expectations and subsequent policy reactions. This result narrows down previous literature where inflation is considered a direct factor of equity returns, rather than being an indirect factor that tries to affect returns through the monetary transmission channels.</w:t>
      </w:r>
    </w:p>
    <w:p w14:paraId="63C86CA1" w14:textId="13EA499F" w:rsidR="00A0150F" w:rsidRDefault="00A0150F" w:rsidP="00630DA9">
      <w:pPr>
        <w:jc w:val="both"/>
      </w:pPr>
      <w:r>
        <w:t>Moderation of the economic and market factors is also important as noted in the discussion. The literature review and the thematic analysis both come to the point of view that inflation is not a solitary phenomenon and it is affected by the labour market situation, exchange rates, financial market sentiments, and term premia. Theoretical arguments that macroeconomic context is important are supported by empirical evidence that indicates the insignificance of headline inflation when these factors have been considered. This highlights the point that inflationary and interest rate responses on stock markets are not uniform and tend to change in different economic regimes and times of economic stability or crisis.</w:t>
      </w:r>
    </w:p>
    <w:p w14:paraId="5B57E82F" w14:textId="1E1718C1" w:rsidR="00A0150F" w:rsidRDefault="00A0150F" w:rsidP="00630DA9">
      <w:pPr>
        <w:jc w:val="both"/>
      </w:pPr>
      <w:r>
        <w:t>With regard to market performance, the combined results are that negative impacts prevail especially in tightening periods. Although the literature acknowledged both positive and negative effects, thematic analysis establishes that the increment of interest rates, as well as uncertainty caused by inflation, is the main cause of volatility and risk aversion among investors, which results in poor equity performance. There are short-term beneficial responses to tightening, which are related to policy credibility, but only short-term and are overridden by negative medium-term effects. This lop-sidedness enhances the point that tightening stages are more dangerous to stock market stability compared to easing stages, which are advantageous.</w:t>
      </w:r>
    </w:p>
    <w:p w14:paraId="1BF09A49" w14:textId="771D67BC" w:rsidR="00A0150F" w:rsidRDefault="00A0150F" w:rsidP="00630DA9">
      <w:pPr>
        <w:jc w:val="both"/>
      </w:pPr>
      <w:r>
        <w:t xml:space="preserve">The discussion also shows that there are major practical difficulties to investors and policymakers. All the evidence points to the fact that equities are not always hedging the inflation and that the </w:t>
      </w:r>
      <w:r>
        <w:lastRenderedPageBreak/>
        <w:t>inflation expectations are often under- or over-priced and especially in times of economic stress. The results cause a challenge to the conventional assumptions addressed in the literature and expose the shortcomings in the portfolio strategies and the effectiveness of monetary policy. Heightened risk aversion in the tightening cycles further undermines policy transmission making it a challenging task to stabilise markets.</w:t>
      </w:r>
    </w:p>
    <w:p w14:paraId="785BA2E1" w14:textId="5F6F12F0" w:rsidR="00A0150F" w:rsidRDefault="00A0150F" w:rsidP="00630DA9">
      <w:pPr>
        <w:jc w:val="both"/>
      </w:pPr>
      <w:r>
        <w:t>The cumulative analysis has revealed that the combined effects of the change of inflation and the interest rates on the UK stock market would be best interpreted in terms of a monetary-policy-based expectation-driven model and not in terms of a straightforward inflation-return curve. Combining the theoretical information with current empirical results, the work will allow adding to the more comprehensive picture of macroeconomic factors affecting equity markets in the United Kingdom and give a solid ground to the conclusions and recommendations made in the study.</w:t>
      </w:r>
    </w:p>
    <w:p w14:paraId="41F07E50" w14:textId="77777777" w:rsidR="008316C2" w:rsidRDefault="008316C2" w:rsidP="00630DA9">
      <w:pPr>
        <w:jc w:val="both"/>
      </w:pPr>
      <w:r w:rsidRPr="00A0150F">
        <w:t>The study addresses the RQ “What is the joint impact of inflation and changes in interest rates on the performance of the stock market in the UK?”</w:t>
      </w:r>
      <w:r>
        <w:t xml:space="preserve"> </w:t>
      </w:r>
      <w:r w:rsidRPr="00D924D8">
        <w:t xml:space="preserve">The combined evidence from the literature review and thematic analysis shows that </w:t>
      </w:r>
      <w:r w:rsidRPr="00D924D8">
        <w:rPr>
          <w:b/>
          <w:bCs/>
        </w:rPr>
        <w:t>interest rate changes exert a direct and dominant influence on UK stock market performance</w:t>
      </w:r>
      <w:r w:rsidRPr="00D924D8">
        <w:t xml:space="preserve">, primarily through discount rate adjustments and expectation formation. Inflation, while important, affects stock markets mainly </w:t>
      </w:r>
      <w:r w:rsidRPr="00D924D8">
        <w:rPr>
          <w:b/>
          <w:bCs/>
        </w:rPr>
        <w:t>indirectly</w:t>
      </w:r>
      <w:r w:rsidRPr="00D924D8">
        <w:t xml:space="preserve"> by shaping expectations, uncertainty, and monetary policy responses. Together, inflation and interest rate changes increase volatility, alter risk premia, and influence investor behaviour, with negative effects dominating during tightening and high-uncertainty periods.</w:t>
      </w:r>
    </w:p>
    <w:p w14:paraId="422A9868" w14:textId="77777777" w:rsidR="008316C2" w:rsidRDefault="008316C2" w:rsidP="00630DA9">
      <w:pPr>
        <w:jc w:val="both"/>
      </w:pPr>
      <w:r>
        <w:br w:type="page"/>
      </w:r>
    </w:p>
    <w:p w14:paraId="7725A359" w14:textId="77777777" w:rsidR="008316C2" w:rsidRDefault="008316C2" w:rsidP="00630DA9">
      <w:pPr>
        <w:pStyle w:val="Heading1"/>
        <w:spacing w:before="120" w:after="120" w:line="360" w:lineRule="auto"/>
        <w:jc w:val="both"/>
      </w:pPr>
      <w:bookmarkStart w:id="45" w:name="_Toc220875050"/>
      <w:r>
        <w:lastRenderedPageBreak/>
        <w:t>Chapter 6: Conclusion and Recommendations</w:t>
      </w:r>
      <w:bookmarkEnd w:id="45"/>
    </w:p>
    <w:p w14:paraId="79F877CD" w14:textId="77777777" w:rsidR="008316C2" w:rsidRDefault="008316C2" w:rsidP="00630DA9">
      <w:pPr>
        <w:pStyle w:val="Heading2"/>
        <w:spacing w:before="120" w:after="120"/>
        <w:jc w:val="both"/>
      </w:pPr>
      <w:bookmarkStart w:id="46" w:name="_Toc220875051"/>
      <w:r>
        <w:t>6.1 Introduction</w:t>
      </w:r>
      <w:bookmarkEnd w:id="46"/>
    </w:p>
    <w:p w14:paraId="4C18F805" w14:textId="77777777" w:rsidR="008316C2" w:rsidRPr="00AC562D" w:rsidRDefault="008316C2" w:rsidP="00630DA9">
      <w:pPr>
        <w:jc w:val="both"/>
      </w:pPr>
      <w:r>
        <w:t>This chapter identifies the final findings of the research as the summary of the most important results obtained during the data analysis and the interpretation of the results in the form of a topic. It also covers all the objectives of the research and gives practical recommendations on the findings. The chapter as well brings out the implications of the study to policy makers and investors, directions in which future research should be taken and strengthens how the study fits in the understanding of how inflation and varying interest rates affect the performance of the UK stock market.</w:t>
      </w:r>
    </w:p>
    <w:p w14:paraId="74EFBE17" w14:textId="77777777" w:rsidR="008316C2" w:rsidRDefault="008316C2" w:rsidP="00630DA9">
      <w:pPr>
        <w:pStyle w:val="Heading2"/>
        <w:spacing w:before="120" w:after="120"/>
        <w:jc w:val="both"/>
      </w:pPr>
      <w:bookmarkStart w:id="47" w:name="_Toc220875052"/>
      <w:r>
        <w:t>6.2 Conclusion</w:t>
      </w:r>
      <w:bookmarkEnd w:id="47"/>
    </w:p>
    <w:p w14:paraId="7230BBA1" w14:textId="65DC4962" w:rsidR="008316C2" w:rsidRDefault="008316C2" w:rsidP="00137FCD">
      <w:pPr>
        <w:jc w:val="both"/>
      </w:pPr>
      <w:r>
        <w:t xml:space="preserve">As per objective 1, the interest rate policies are more direct and influential relative to inflation in affecting the stock market behaviour of the UK. The data analysis proves that the alterations of the Bank of England policy rate and monetary policy signalling have a great impact on the stock market performance due to the change of the discount rate and creation of expectations. The thematic analysis demonstrates that the reactions of equity markets to unexpected interest rates are high, meaning that expectations-based forward-looking and credibility of policies are at the </w:t>
      </w:r>
      <w:r w:rsidR="00734E0F">
        <w:t>core elements</w:t>
      </w:r>
      <w:r>
        <w:t xml:space="preserve"> of market responses. Contrastingly, inflation does not always have a direct effect on stock market returns. Rather, it has mostly an indirect impact, via its impact on monetary policy expectations and uncertainty. This implies that inflation is only applicable in the behaviour of the stock market when it causes tightening of policies or change of expectations about future interest rates. The results thus narrow down the conventional assumptions that assume the same effect on inflation and interest rates.</w:t>
      </w:r>
      <w:r w:rsidR="00137FCD">
        <w:t xml:space="preserve"> </w:t>
      </w:r>
      <w:r>
        <w:t>On the whole, the conclusion of this purpose is that the performance of the UK stock market is mainly influenced by interest rates choices and communication on the part of the central bank, and inflation is a secondary variable that leads to the development of a set of expectations and does not directly affect equity values.</w:t>
      </w:r>
    </w:p>
    <w:p w14:paraId="1DCA9842" w14:textId="207C5220" w:rsidR="008316C2" w:rsidRDefault="008316C2" w:rsidP="00137FCD">
      <w:pPr>
        <w:jc w:val="both"/>
      </w:pPr>
      <w:r>
        <w:t xml:space="preserve">As per objective 2, there is a conditional and moderated relationship between inflation and interest rates and performance of UK stock market based on a number of economic and market variables. The analysis of the data reveals that the conditions of the labour market, exchange rate change, financial market expectations, and term premia are important determinants of the inflation and changes in interest rates conveyed to the stock market. The results indicate that the only </w:t>
      </w:r>
      <w:r>
        <w:lastRenderedPageBreak/>
        <w:t>intervention that fails to explain stock market variations when these moderating factors are taken into account is the headline inflation. Rather, other factors like the level of unemployment and dynamics of the exchange rates assume a more significant role in determining the investor expectations and the corporate earnings prospects. Also, expectations and term premia are important giving an implication that financial market pricing mechanisms play a significant role in gauging equity reactions to macroeconomic changes.</w:t>
      </w:r>
      <w:r w:rsidR="00137FCD">
        <w:t xml:space="preserve"> </w:t>
      </w:r>
      <w:r>
        <w:t>It is also found during the analysis that structural conditions and economic regimes influence the relative weight of inflation and interest rates. Throughout periods of stability, interest rates prevail in the reaction of the stock market, and during periods of crisis, the uncertainty of inflation plays a bigger part. This study therefore concludes that in UK the inflation interest rate stock market relationship is not a linear one but influenced by the macroeconomic and financial environment.</w:t>
      </w:r>
    </w:p>
    <w:p w14:paraId="003FEFC0" w14:textId="689478BF" w:rsidR="008316C2" w:rsidRDefault="008316C2" w:rsidP="00630DA9">
      <w:pPr>
        <w:jc w:val="both"/>
      </w:pPr>
      <w:r>
        <w:t xml:space="preserve">As per objective 3, the total effects of inflation and interest rate changes on the performance of the UK stock market can be considered to be mostly negative and especially in the context of monetary tightening. The thematic results show that an increase in interest rates and the uncertainty that is caused by inflation makes stock markets volatile and investors unwilling to assume risk, which results in reduced returns on equity. Although temporary and positive market reactions can be witnessed when tightening is associated with high policy credibility, they are short-lived, and based on expectations. On medium to long terms, an increase in interest rates will increase discount rates and repress equity valuation, whereas uncertainty over inflation will increase volatility and undermine investor confidence. The evidence also indicates an asymmetry in market responses such that contractionary policy shocks have greater and more enduring negative impacts as compared to expansionary policies create positive impacts. Consequently, it can be concluded in the study that a negative effect prevails in the relationship between inflation, interest rate and stock market and volatility and uncertainty is at the </w:t>
      </w:r>
      <w:r w:rsidR="00734E0F">
        <w:t>focus</w:t>
      </w:r>
      <w:r>
        <w:t xml:space="preserve"> of creating negative effects on UK equities particularly when the economy is under stress.</w:t>
      </w:r>
    </w:p>
    <w:p w14:paraId="2FDD4F13" w14:textId="77777777" w:rsidR="008316C2" w:rsidRDefault="008316C2" w:rsidP="00630DA9">
      <w:pPr>
        <w:jc w:val="both"/>
      </w:pPr>
      <w:r>
        <w:t xml:space="preserve">As per objective 4, there is a serious problem that investors and policymakers have to grapple with to deal with the impacts of the changes in the inflation and interest rates on the UK stock market. Using the information, it is evident that the inflation expectations are most of the time mispriced, which causes the valuation uncertainty and the lack of reliable market signals. This mispricing complicates the investment choices and decreases the performance of the monetary policy communication. Also, the discussion proves that equities and their effectiveness in hedging against </w:t>
      </w:r>
      <w:r>
        <w:lastRenderedPageBreak/>
        <w:t>inflation are not always consistent, especially when the economy is unstable. This says that it defies the conventional wisdom and makes investors vulnerable to worldly risk in the times of inflation. To policy makers, the tightening cycles result in greater risk aversion that undermines policy transmission and the stabilisation effect of interest rate instruments. Comprehensively, the study concludes that the control of the effects of inflation and interest rates is specifically challenged during periods of crisis since uncertainty and expectation distortion coupled with behavioural reactions increases market instability levels. These issues demonstrate the necessity of close attention to the expectations management and open communication with the policy developments in the UK context.</w:t>
      </w:r>
    </w:p>
    <w:p w14:paraId="582F59D4" w14:textId="77777777" w:rsidR="008316C2" w:rsidRDefault="008316C2" w:rsidP="00630DA9">
      <w:pPr>
        <w:pStyle w:val="Heading2"/>
        <w:spacing w:before="120" w:after="120"/>
        <w:jc w:val="both"/>
      </w:pPr>
      <w:bookmarkStart w:id="48" w:name="_Toc220875053"/>
      <w:r>
        <w:t>6.3 Recommendations</w:t>
      </w:r>
      <w:bookmarkEnd w:id="48"/>
    </w:p>
    <w:p w14:paraId="3456D79C" w14:textId="5A2FAA63" w:rsidR="008316C2" w:rsidRDefault="008316C2" w:rsidP="001877FA">
      <w:pPr>
        <w:jc w:val="both"/>
      </w:pPr>
      <w:r>
        <w:t>According to the conclusions made in this paper, there are some important recommendations that can be given to policy makers, investors, and future investigators in relation to the UK stock market.</w:t>
      </w:r>
      <w:r w:rsidR="001877FA">
        <w:t xml:space="preserve"> </w:t>
      </w:r>
      <w:r>
        <w:t>To the policymakers especially the Bank of England, the results reflect the fact that it is essential to have clear and transparent communication of monetary policies. Since expectations and policy signalling are increasingly the factors that drive stock markets rather than inflation levels themselves, forward guidance must be put in a well-considered manner that minimises uncertainty and unwanted volatility in the market</w:t>
      </w:r>
      <w:r w:rsidR="00F62B9D">
        <w:t xml:space="preserve"> (Khan, 2024)</w:t>
      </w:r>
      <w:r>
        <w:t xml:space="preserve">. Complementary instruments of </w:t>
      </w:r>
      <w:r w:rsidR="00F62B9D">
        <w:t>macro prudence</w:t>
      </w:r>
      <w:r>
        <w:t xml:space="preserve"> should also be taken into account as a part of tightening policies so as to reduce the risk of overly high</w:t>
      </w:r>
      <w:r w:rsidR="001877FA">
        <w:t>-</w:t>
      </w:r>
      <w:r>
        <w:t>risk aversion and instability in equity markets, particularly in recessionary times.</w:t>
      </w:r>
    </w:p>
    <w:p w14:paraId="029A4315" w14:textId="031580F5" w:rsidR="008316C2" w:rsidRDefault="008316C2" w:rsidP="00630DA9">
      <w:pPr>
        <w:jc w:val="both"/>
      </w:pPr>
      <w:r>
        <w:t>To the investors, the paper suggests going with dynamic and diversified investment plans instead of using equities as a predictable inflation hedge. Considering the volatility of inflation hedging found in the results, investors ought to keenly follow interest rates expectations, labour market and exchange rates when making decisions in their portfolios</w:t>
      </w:r>
      <w:r w:rsidR="00F62B9D">
        <w:t xml:space="preserve"> (Januja, et al., 2024)</w:t>
      </w:r>
      <w:r>
        <w:t>. The inclusion of assets that are less sensitive to interest rate variations can be used to lower the volatility exposure in tightening periods.</w:t>
      </w:r>
    </w:p>
    <w:p w14:paraId="4B6AED5F" w14:textId="2935D9F5" w:rsidR="00A0150F" w:rsidRDefault="008316C2" w:rsidP="00630DA9">
      <w:pPr>
        <w:jc w:val="both"/>
      </w:pPr>
      <w:r>
        <w:t xml:space="preserve">Market wise, a better flow of </w:t>
      </w:r>
      <w:proofErr w:type="spellStart"/>
      <w:r>
        <w:t>macro economic</w:t>
      </w:r>
      <w:proofErr w:type="spellEnd"/>
      <w:r>
        <w:t xml:space="preserve"> information especially on inflation expectations and future monetary policy prospects can mitigate on the mispricing of expectations and valuation uncertainty</w:t>
      </w:r>
      <w:r w:rsidR="00F62B9D">
        <w:t xml:space="preserve"> (Akarsu and Aktug, 2025)</w:t>
      </w:r>
      <w:r>
        <w:t>. Risk assessment of policy shocks and regime shifts should be developed by financial institutions and market analysts based on scenarios.</w:t>
      </w:r>
    </w:p>
    <w:p w14:paraId="10606C7F" w14:textId="57438C2F" w:rsidR="00A0150F" w:rsidRDefault="00A0150F" w:rsidP="00630DA9">
      <w:pPr>
        <w:jc w:val="both"/>
      </w:pPr>
      <w:r>
        <w:lastRenderedPageBreak/>
        <w:t>It is suggested that the UK market participants and financial regulators should enhance the application of forward-looking scenario and stress-testing frameworks, which clearly include inflation persistence and interest rate shock scenarios (Pantos, 2023). The inclusion of such tools in investment analysis and policy evaluation can be helpful in predicting the market volatility and systemic risk. This would contribute to improved preparedness in times of speedy tightening of the monetary requirements and better decision making in times of increased uncertainty in the macroeconomic environment.</w:t>
      </w:r>
    </w:p>
    <w:p w14:paraId="3636A6A1" w14:textId="77777777" w:rsidR="008316C2" w:rsidRDefault="008316C2" w:rsidP="00630DA9">
      <w:pPr>
        <w:pStyle w:val="Heading2"/>
        <w:spacing w:before="120" w:after="120"/>
        <w:jc w:val="both"/>
      </w:pPr>
      <w:bookmarkStart w:id="49" w:name="_Toc220875054"/>
      <w:r>
        <w:t>6.4 Recommendation for future use</w:t>
      </w:r>
      <w:bookmarkEnd w:id="49"/>
      <w:r>
        <w:t xml:space="preserve"> </w:t>
      </w:r>
    </w:p>
    <w:p w14:paraId="7FD782D4" w14:textId="7A3CD5AF" w:rsidR="005553B3" w:rsidRPr="00431E20" w:rsidRDefault="008316C2" w:rsidP="00630DA9">
      <w:pPr>
        <w:jc w:val="both"/>
      </w:pPr>
      <w:r>
        <w:t>The study could be adopted as a guideline in the analysis of macroeconomic effects of inflation and interest rate changes on the performance of the stock market in the UK. The methodology of the study can be used by future researchers on sector-level or firm-level data to measure the heterogeneous effects. The findings can also be used by policymakers and investors to enhance the management of expectations and risk assessment during times of tightening of the monetary policy and uncertainty in times of inflation.</w:t>
      </w:r>
    </w:p>
    <w:p w14:paraId="78FA6C98" w14:textId="77777777" w:rsidR="006971DB" w:rsidRPr="005904DC" w:rsidRDefault="006971DB" w:rsidP="00630DA9">
      <w:pPr>
        <w:rPr>
          <w:rFonts w:asciiTheme="majorBidi" w:hAnsiTheme="majorBidi" w:cstheme="majorBidi"/>
        </w:rPr>
      </w:pPr>
      <w:r w:rsidRPr="005904DC">
        <w:rPr>
          <w:rFonts w:asciiTheme="majorBidi" w:hAnsiTheme="majorBidi" w:cstheme="majorBidi"/>
        </w:rPr>
        <w:br w:type="page"/>
      </w:r>
    </w:p>
    <w:p w14:paraId="35992C5F" w14:textId="6669A7C0" w:rsidR="00F77172" w:rsidRPr="005904DC" w:rsidRDefault="006971DB" w:rsidP="00630DA9">
      <w:pPr>
        <w:pStyle w:val="Heading1"/>
        <w:spacing w:before="120" w:after="120" w:line="360" w:lineRule="auto"/>
        <w:rPr>
          <w:rFonts w:asciiTheme="majorBidi" w:hAnsiTheme="majorBidi"/>
        </w:rPr>
      </w:pPr>
      <w:bookmarkStart w:id="50" w:name="_Toc220875055"/>
      <w:r w:rsidRPr="005904DC">
        <w:rPr>
          <w:rFonts w:asciiTheme="majorBidi" w:hAnsiTheme="majorBidi"/>
        </w:rPr>
        <w:lastRenderedPageBreak/>
        <w:t>References</w:t>
      </w:r>
      <w:bookmarkEnd w:id="50"/>
    </w:p>
    <w:p w14:paraId="62B18C99" w14:textId="77777777" w:rsidR="002B1E9A" w:rsidRPr="005904DC" w:rsidRDefault="002B1E9A" w:rsidP="00630DA9">
      <w:pPr>
        <w:jc w:val="both"/>
      </w:pPr>
      <w:r w:rsidRPr="005904DC">
        <w:t xml:space="preserve">Aguila, N. and </w:t>
      </w:r>
      <w:proofErr w:type="spellStart"/>
      <w:r w:rsidRPr="005904DC">
        <w:t>Wullweber</w:t>
      </w:r>
      <w:proofErr w:type="spellEnd"/>
      <w:r w:rsidRPr="005904DC">
        <w:t>, J. (2024) Greener and cheaper: green monetary policy in the era of inflation and high interest rates. </w:t>
      </w:r>
      <w:r w:rsidRPr="005904DC">
        <w:rPr>
          <w:i/>
          <w:iCs/>
        </w:rPr>
        <w:t>Eurasian Economic Review</w:t>
      </w:r>
      <w:r w:rsidRPr="005904DC">
        <w:t>, </w:t>
      </w:r>
      <w:r w:rsidRPr="005904DC">
        <w:rPr>
          <w:i/>
          <w:iCs/>
        </w:rPr>
        <w:t>14</w:t>
      </w:r>
      <w:r w:rsidRPr="005904DC">
        <w:t>(1), pp.39-60.</w:t>
      </w:r>
    </w:p>
    <w:p w14:paraId="506BC284" w14:textId="77777777" w:rsidR="002B1E9A" w:rsidRDefault="002B1E9A" w:rsidP="00630DA9">
      <w:pPr>
        <w:jc w:val="both"/>
      </w:pPr>
      <w:r w:rsidRPr="007406E0">
        <w:t xml:space="preserve">Ahmad, S., Wasim, S., Irfan, S., Gogoi, S., Srivastava, A. and Farheen, Z. </w:t>
      </w:r>
      <w:r>
        <w:t>(</w:t>
      </w:r>
      <w:r w:rsidRPr="007406E0">
        <w:t>2019</w:t>
      </w:r>
      <w:r>
        <w:t>)</w:t>
      </w:r>
      <w:r w:rsidRPr="007406E0">
        <w:t xml:space="preserve"> Qualitative v/s. quantitative research-a summarized review. </w:t>
      </w:r>
      <w:r w:rsidRPr="004E1028">
        <w:rPr>
          <w:i/>
          <w:iCs/>
        </w:rPr>
        <w:t>population</w:t>
      </w:r>
      <w:r w:rsidRPr="007406E0">
        <w:t>, </w:t>
      </w:r>
      <w:r w:rsidRPr="004E1028">
        <w:rPr>
          <w:i/>
          <w:iCs/>
        </w:rPr>
        <w:t>1</w:t>
      </w:r>
      <w:r w:rsidRPr="007406E0">
        <w:t>(2), pp.2828-2832.</w:t>
      </w:r>
    </w:p>
    <w:p w14:paraId="5112223C" w14:textId="77777777" w:rsidR="002B1E9A" w:rsidRPr="005904DC" w:rsidRDefault="002B1E9A" w:rsidP="00630DA9">
      <w:pPr>
        <w:jc w:val="both"/>
        <w:rPr>
          <w:rFonts w:asciiTheme="majorBidi" w:hAnsiTheme="majorBidi" w:cstheme="majorBidi"/>
        </w:rPr>
      </w:pPr>
      <w:r w:rsidRPr="005904DC">
        <w:rPr>
          <w:rFonts w:asciiTheme="majorBidi" w:hAnsiTheme="majorBidi" w:cstheme="majorBidi"/>
        </w:rPr>
        <w:t xml:space="preserve">Ahmed, R., Chen, X.H., </w:t>
      </w:r>
      <w:proofErr w:type="spellStart"/>
      <w:r w:rsidRPr="005904DC">
        <w:rPr>
          <w:rFonts w:asciiTheme="majorBidi" w:hAnsiTheme="majorBidi" w:cstheme="majorBidi"/>
        </w:rPr>
        <w:t>Kumpamool</w:t>
      </w:r>
      <w:proofErr w:type="spellEnd"/>
      <w:r w:rsidRPr="005904DC">
        <w:rPr>
          <w:rFonts w:asciiTheme="majorBidi" w:hAnsiTheme="majorBidi" w:cstheme="majorBidi"/>
        </w:rPr>
        <w:t>, C. and Nguyen, D.T. (2023) Inflation, oil prices, and economic activity in recent crisis: Evidence from the UK. </w:t>
      </w:r>
      <w:r w:rsidRPr="005904DC">
        <w:rPr>
          <w:rFonts w:asciiTheme="majorBidi" w:hAnsiTheme="majorBidi" w:cstheme="majorBidi"/>
          <w:i/>
          <w:iCs/>
        </w:rPr>
        <w:t>Energy Economics</w:t>
      </w:r>
      <w:r w:rsidRPr="005904DC">
        <w:rPr>
          <w:rFonts w:asciiTheme="majorBidi" w:hAnsiTheme="majorBidi" w:cstheme="majorBidi"/>
        </w:rPr>
        <w:t>, </w:t>
      </w:r>
      <w:r w:rsidRPr="005904DC">
        <w:rPr>
          <w:rFonts w:asciiTheme="majorBidi" w:hAnsiTheme="majorBidi" w:cstheme="majorBidi"/>
          <w:i/>
          <w:iCs/>
        </w:rPr>
        <w:t>126</w:t>
      </w:r>
      <w:r w:rsidRPr="005904DC">
        <w:rPr>
          <w:rFonts w:asciiTheme="majorBidi" w:hAnsiTheme="majorBidi" w:cstheme="majorBidi"/>
        </w:rPr>
        <w:t>, p.106918.</w:t>
      </w:r>
    </w:p>
    <w:p w14:paraId="3FB8414C" w14:textId="77777777" w:rsidR="002B1E9A" w:rsidRPr="005904DC" w:rsidRDefault="002B1E9A" w:rsidP="00630DA9">
      <w:pPr>
        <w:jc w:val="both"/>
        <w:rPr>
          <w:rFonts w:asciiTheme="majorBidi" w:hAnsiTheme="majorBidi" w:cstheme="majorBidi"/>
        </w:rPr>
      </w:pPr>
      <w:r w:rsidRPr="005904DC">
        <w:rPr>
          <w:rFonts w:asciiTheme="majorBidi" w:hAnsiTheme="majorBidi" w:cstheme="majorBidi"/>
        </w:rPr>
        <w:t xml:space="preserve">Akarsu, O. and Aktug, E. (2025) How Do Monetary Policy and Inflation Announcements Affect Firm Expectations in High </w:t>
      </w:r>
      <w:proofErr w:type="gramStart"/>
      <w:r w:rsidRPr="005904DC">
        <w:rPr>
          <w:rFonts w:asciiTheme="majorBidi" w:hAnsiTheme="majorBidi" w:cstheme="majorBidi"/>
        </w:rPr>
        <w:t>Inflation?.</w:t>
      </w:r>
      <w:proofErr w:type="gramEnd"/>
      <w:r w:rsidRPr="005904DC">
        <w:rPr>
          <w:rFonts w:asciiTheme="majorBidi" w:hAnsiTheme="majorBidi" w:cstheme="majorBidi"/>
        </w:rPr>
        <w:t> </w:t>
      </w:r>
      <w:r w:rsidRPr="005904DC">
        <w:rPr>
          <w:rFonts w:asciiTheme="majorBidi" w:hAnsiTheme="majorBidi" w:cstheme="majorBidi"/>
          <w:i/>
          <w:iCs/>
        </w:rPr>
        <w:t>Available at SSRN 5162655</w:t>
      </w:r>
      <w:r w:rsidRPr="005904DC">
        <w:rPr>
          <w:rFonts w:asciiTheme="majorBidi" w:hAnsiTheme="majorBidi" w:cstheme="majorBidi"/>
        </w:rPr>
        <w:t>.</w:t>
      </w:r>
    </w:p>
    <w:p w14:paraId="1AADD0DC" w14:textId="77777777" w:rsidR="002B1E9A" w:rsidRDefault="002B1E9A" w:rsidP="00630DA9">
      <w:pPr>
        <w:jc w:val="both"/>
      </w:pPr>
      <w:r w:rsidRPr="00E32D3E">
        <w:t xml:space="preserve">Allen, D. E., </w:t>
      </w:r>
      <w:r>
        <w:t xml:space="preserve">and </w:t>
      </w:r>
      <w:r w:rsidRPr="00E32D3E">
        <w:t>McAleer, M. (2021) A nonlinear autoregressive distributed lag (NARDL) analysis of the FTSE and S&amp;P500 indexes. </w:t>
      </w:r>
      <w:r w:rsidRPr="00E32D3E">
        <w:rPr>
          <w:i/>
          <w:iCs/>
        </w:rPr>
        <w:t>Risks</w:t>
      </w:r>
      <w:r w:rsidRPr="00E32D3E">
        <w:t>, </w:t>
      </w:r>
      <w:r w:rsidRPr="00E32D3E">
        <w:rPr>
          <w:i/>
          <w:iCs/>
        </w:rPr>
        <w:t>9</w:t>
      </w:r>
      <w:r w:rsidRPr="00E32D3E">
        <w:t>(11), 195.</w:t>
      </w:r>
    </w:p>
    <w:p w14:paraId="19325001" w14:textId="77777777" w:rsidR="002B1E9A" w:rsidRDefault="002B1E9A" w:rsidP="00630DA9">
      <w:pPr>
        <w:jc w:val="both"/>
      </w:pPr>
      <w:r w:rsidRPr="009576A4">
        <w:t xml:space="preserve">Alzoubi, M. </w:t>
      </w:r>
      <w:r>
        <w:t>(</w:t>
      </w:r>
      <w:r w:rsidRPr="009576A4">
        <w:t>2022</w:t>
      </w:r>
      <w:r>
        <w:t>)</w:t>
      </w:r>
      <w:r w:rsidRPr="009576A4">
        <w:t xml:space="preserve"> Stock market performance: Reaction to interest rates and inflation rates. </w:t>
      </w:r>
      <w:r w:rsidRPr="004E1028">
        <w:rPr>
          <w:i/>
          <w:iCs/>
        </w:rPr>
        <w:t>Banks and Bank Systems</w:t>
      </w:r>
      <w:r w:rsidRPr="009576A4">
        <w:t>, </w:t>
      </w:r>
      <w:r w:rsidRPr="004E1028">
        <w:rPr>
          <w:i/>
          <w:iCs/>
        </w:rPr>
        <w:t>17</w:t>
      </w:r>
      <w:r w:rsidRPr="009576A4">
        <w:t>(2), p.189.</w:t>
      </w:r>
    </w:p>
    <w:p w14:paraId="3A34062A" w14:textId="77777777" w:rsidR="002B1E9A" w:rsidRPr="002B1E9A" w:rsidRDefault="002B1E9A" w:rsidP="002B1E9A">
      <w:pPr>
        <w:jc w:val="both"/>
        <w:rPr>
          <w:b/>
          <w:bCs/>
          <w:lang w:val="en-US"/>
        </w:rPr>
      </w:pPr>
      <w:r>
        <w:rPr>
          <w:lang w:val="en-US"/>
        </w:rPr>
        <w:t xml:space="preserve">Ansari, S. (2023) </w:t>
      </w:r>
      <w:r w:rsidRPr="002B1E9A">
        <w:rPr>
          <w:i/>
          <w:iCs/>
          <w:lang w:val="en-US"/>
        </w:rPr>
        <w:t>Cost-Push Inflation.</w:t>
      </w:r>
      <w:r w:rsidRPr="002B1E9A">
        <w:rPr>
          <w:lang w:val="en-US"/>
        </w:rPr>
        <w:t xml:space="preserve"> </w:t>
      </w:r>
      <w:r>
        <w:rPr>
          <w:lang w:val="en-US"/>
        </w:rPr>
        <w:t>[online]. Available at:</w:t>
      </w:r>
      <w:r>
        <w:rPr>
          <w:b/>
          <w:bCs/>
          <w:lang w:val="en-US"/>
        </w:rPr>
        <w:t xml:space="preserve"> </w:t>
      </w:r>
      <w:hyperlink r:id="rId18" w:history="1">
        <w:r w:rsidRPr="00C24C8E">
          <w:rPr>
            <w:rStyle w:val="Hyperlink"/>
          </w:rPr>
          <w:t>https://www.economicsonline.co.uk/definitions/cost-push-inflation.html/</w:t>
        </w:r>
      </w:hyperlink>
      <w:r>
        <w:t xml:space="preserve"> [Accessed on: 20</w:t>
      </w:r>
      <w:r w:rsidRPr="002B1E9A">
        <w:rPr>
          <w:vertAlign w:val="superscript"/>
        </w:rPr>
        <w:t>th</w:t>
      </w:r>
      <w:r>
        <w:t xml:space="preserve"> January, 2026]</w:t>
      </w:r>
    </w:p>
    <w:p w14:paraId="78DD3DE4" w14:textId="77777777" w:rsidR="002B1E9A" w:rsidRDefault="002B1E9A" w:rsidP="00630DA9">
      <w:pPr>
        <w:jc w:val="both"/>
      </w:pPr>
      <w:r w:rsidRPr="007406E0">
        <w:t xml:space="preserve">Ansari, S., Hasheminejad, S.M. and </w:t>
      </w:r>
      <w:proofErr w:type="spellStart"/>
      <w:r w:rsidRPr="007406E0">
        <w:t>Talaneh</w:t>
      </w:r>
      <w:proofErr w:type="spellEnd"/>
      <w:r w:rsidRPr="007406E0">
        <w:t xml:space="preserve">, A. </w:t>
      </w:r>
      <w:r>
        <w:t>(</w:t>
      </w:r>
      <w:r w:rsidRPr="007406E0">
        <w:t>2026</w:t>
      </w:r>
      <w:r>
        <w:t xml:space="preserve">) </w:t>
      </w:r>
      <w:r w:rsidRPr="007406E0">
        <w:t xml:space="preserve">Presenting a model of micro-determining factors in the formation of non-performing loans of banks by the method of thematic analysis (the case study of Mehr </w:t>
      </w:r>
      <w:proofErr w:type="spellStart"/>
      <w:r w:rsidRPr="007406E0">
        <w:t>Eghtesad</w:t>
      </w:r>
      <w:proofErr w:type="spellEnd"/>
      <w:r w:rsidRPr="007406E0">
        <w:t xml:space="preserve"> Bank). </w:t>
      </w:r>
      <w:r w:rsidRPr="004E1028">
        <w:rPr>
          <w:i/>
          <w:iCs/>
        </w:rPr>
        <w:t>International Journal of Finance &amp; Managerial Accounting</w:t>
      </w:r>
      <w:r w:rsidRPr="007406E0">
        <w:t>, </w:t>
      </w:r>
      <w:r w:rsidRPr="004E1028">
        <w:rPr>
          <w:i/>
          <w:iCs/>
        </w:rPr>
        <w:t>11</w:t>
      </w:r>
      <w:r w:rsidRPr="007406E0">
        <w:t>(43), pp.157-168.</w:t>
      </w:r>
    </w:p>
    <w:p w14:paraId="5A9C3C5A" w14:textId="77777777" w:rsidR="002B1E9A" w:rsidRPr="005904DC" w:rsidRDefault="002B1E9A" w:rsidP="00630DA9">
      <w:pPr>
        <w:jc w:val="both"/>
      </w:pPr>
      <w:proofErr w:type="spellStart"/>
      <w:r w:rsidRPr="005904DC">
        <w:t>Asadollah</w:t>
      </w:r>
      <w:proofErr w:type="spellEnd"/>
      <w:r w:rsidRPr="005904DC">
        <w:t xml:space="preserve">, O., Carmy, L.S., Hoque, M.R. and </w:t>
      </w:r>
      <w:proofErr w:type="spellStart"/>
      <w:r w:rsidRPr="005904DC">
        <w:t>Yilmazkuday</w:t>
      </w:r>
      <w:proofErr w:type="spellEnd"/>
      <w:r w:rsidRPr="005904DC">
        <w:t>, H. (2024) Geopolitical risk, supply chains, and global inflation. </w:t>
      </w:r>
      <w:r w:rsidRPr="005904DC">
        <w:rPr>
          <w:i/>
          <w:iCs/>
        </w:rPr>
        <w:t>The World Economy</w:t>
      </w:r>
      <w:r w:rsidRPr="005904DC">
        <w:t>, </w:t>
      </w:r>
      <w:r w:rsidRPr="005904DC">
        <w:rPr>
          <w:i/>
          <w:iCs/>
        </w:rPr>
        <w:t>47</w:t>
      </w:r>
      <w:r w:rsidRPr="005904DC">
        <w:t>(8), pp.3450-3486.</w:t>
      </w:r>
    </w:p>
    <w:p w14:paraId="36C43185" w14:textId="77777777" w:rsidR="002B1E9A" w:rsidRDefault="002B1E9A" w:rsidP="00630DA9">
      <w:pPr>
        <w:jc w:val="both"/>
      </w:pPr>
      <w:r w:rsidRPr="00480B62">
        <w:t xml:space="preserve">Barria, R. and Pinter, G. </w:t>
      </w:r>
      <w:r>
        <w:t>(</w:t>
      </w:r>
      <w:r w:rsidRPr="00480B62">
        <w:t>2023</w:t>
      </w:r>
      <w:r>
        <w:t>)</w:t>
      </w:r>
      <w:r w:rsidRPr="00480B62">
        <w:t xml:space="preserve"> Mispricing in inflation markets.</w:t>
      </w:r>
    </w:p>
    <w:p w14:paraId="1FAC9994" w14:textId="77777777" w:rsidR="002B1E9A" w:rsidRDefault="002B1E9A" w:rsidP="00630DA9">
      <w:pPr>
        <w:jc w:val="both"/>
      </w:pPr>
      <w:r w:rsidRPr="00070A8C">
        <w:t xml:space="preserve">Basdekis, C., Christopoulos, A., </w:t>
      </w:r>
      <w:proofErr w:type="spellStart"/>
      <w:r w:rsidRPr="00070A8C">
        <w:t>Gakias</w:t>
      </w:r>
      <w:proofErr w:type="spellEnd"/>
      <w:r w:rsidRPr="00070A8C">
        <w:t xml:space="preserve">, E., </w:t>
      </w:r>
      <w:r>
        <w:t xml:space="preserve">and </w:t>
      </w:r>
      <w:proofErr w:type="spellStart"/>
      <w:r w:rsidRPr="00070A8C">
        <w:t>Katsampoxakis</w:t>
      </w:r>
      <w:proofErr w:type="spellEnd"/>
      <w:r w:rsidRPr="00070A8C">
        <w:t>, I. (2023) The Effect of ECB Unconventional Monetary Policy on Firms’ Performance during the Global Financial Crisis. </w:t>
      </w:r>
      <w:r w:rsidRPr="00070A8C">
        <w:rPr>
          <w:i/>
          <w:iCs/>
        </w:rPr>
        <w:t>Journal of Risk and Financial Management</w:t>
      </w:r>
      <w:r w:rsidRPr="00070A8C">
        <w:t>, </w:t>
      </w:r>
      <w:r w:rsidRPr="00070A8C">
        <w:rPr>
          <w:i/>
          <w:iCs/>
        </w:rPr>
        <w:t>16</w:t>
      </w:r>
      <w:r w:rsidRPr="00070A8C">
        <w:t>(5), 258.</w:t>
      </w:r>
    </w:p>
    <w:p w14:paraId="3B8C8993" w14:textId="77777777" w:rsidR="002B1E9A" w:rsidRDefault="002B1E9A" w:rsidP="00630DA9">
      <w:pPr>
        <w:jc w:val="both"/>
      </w:pPr>
      <w:r w:rsidRPr="009576A4">
        <w:t xml:space="preserve">Bernanke, B.S. </w:t>
      </w:r>
      <w:r>
        <w:t>(</w:t>
      </w:r>
      <w:r w:rsidRPr="009576A4">
        <w:t>2020</w:t>
      </w:r>
      <w:r>
        <w:t>)</w:t>
      </w:r>
      <w:r w:rsidRPr="009576A4">
        <w:t xml:space="preserve"> The new tools of monetary policy. </w:t>
      </w:r>
      <w:r w:rsidRPr="004E1028">
        <w:rPr>
          <w:i/>
          <w:iCs/>
        </w:rPr>
        <w:t>American Economic Review</w:t>
      </w:r>
      <w:r w:rsidRPr="009576A4">
        <w:t>, </w:t>
      </w:r>
      <w:r w:rsidRPr="004E1028">
        <w:rPr>
          <w:i/>
          <w:iCs/>
        </w:rPr>
        <w:t>110</w:t>
      </w:r>
      <w:r w:rsidRPr="009576A4">
        <w:t>(4), pp.943-983.</w:t>
      </w:r>
    </w:p>
    <w:p w14:paraId="198698D5" w14:textId="77777777" w:rsidR="002B1E9A" w:rsidRPr="00F82C8E" w:rsidRDefault="002B1E9A" w:rsidP="00630DA9">
      <w:pPr>
        <w:jc w:val="both"/>
      </w:pPr>
      <w:r w:rsidRPr="00B705AA">
        <w:lastRenderedPageBreak/>
        <w:t>Bewley, T. F. (2025) </w:t>
      </w:r>
      <w:r w:rsidRPr="00B705AA">
        <w:rPr>
          <w:i/>
          <w:iCs/>
        </w:rPr>
        <w:t>Price Setting</w:t>
      </w:r>
      <w:r w:rsidRPr="00B705AA">
        <w:t xml:space="preserve">. John Wiley </w:t>
      </w:r>
      <w:r>
        <w:t xml:space="preserve">and </w:t>
      </w:r>
      <w:r w:rsidRPr="00B705AA">
        <w:t>Sons.</w:t>
      </w:r>
    </w:p>
    <w:p w14:paraId="5BA1E158" w14:textId="77777777" w:rsidR="002B1E9A" w:rsidRDefault="002B1E9A" w:rsidP="00630DA9">
      <w:pPr>
        <w:jc w:val="both"/>
      </w:pPr>
      <w:r w:rsidRPr="00480B62">
        <w:t>Braun, R., Miranda-Agrippino, S. and Saha, T.</w:t>
      </w:r>
      <w:r>
        <w:t xml:space="preserve"> (</w:t>
      </w:r>
      <w:r w:rsidRPr="00480B62">
        <w:t>2025</w:t>
      </w:r>
      <w:r>
        <w:t>)</w:t>
      </w:r>
      <w:r w:rsidRPr="00480B62">
        <w:t xml:space="preserve"> Measuring monetary policy in the UK: The UK monetary policy event-study database. </w:t>
      </w:r>
      <w:r w:rsidRPr="004E1028">
        <w:rPr>
          <w:i/>
          <w:iCs/>
        </w:rPr>
        <w:t>Journal of Monetary Economics</w:t>
      </w:r>
      <w:r w:rsidRPr="00480B62">
        <w:t>, </w:t>
      </w:r>
      <w:r w:rsidRPr="004E1028">
        <w:rPr>
          <w:i/>
          <w:iCs/>
        </w:rPr>
        <w:t>149</w:t>
      </w:r>
      <w:r w:rsidRPr="00480B62">
        <w:t>, p.103645.</w:t>
      </w:r>
    </w:p>
    <w:p w14:paraId="6C4ECF1F" w14:textId="77777777" w:rsidR="002B1E9A" w:rsidRPr="00F82C8E" w:rsidRDefault="002B1E9A" w:rsidP="00630DA9">
      <w:pPr>
        <w:jc w:val="both"/>
      </w:pPr>
      <w:proofErr w:type="spellStart"/>
      <w:r w:rsidRPr="00411937">
        <w:t>Bruckberger</w:t>
      </w:r>
      <w:proofErr w:type="spellEnd"/>
      <w:r w:rsidRPr="00411937">
        <w:t xml:space="preserve">, G., Fuchs, C., Schreier, M., </w:t>
      </w:r>
      <w:r>
        <w:t xml:space="preserve">and </w:t>
      </w:r>
      <w:r w:rsidRPr="00411937">
        <w:t xml:space="preserve">Van Osselaer, S. M. (2023) Retailing </w:t>
      </w:r>
      <w:proofErr w:type="spellStart"/>
      <w:r w:rsidRPr="00411937">
        <w:t>Groundedness</w:t>
      </w:r>
      <w:proofErr w:type="spellEnd"/>
      <w:r w:rsidRPr="00411937">
        <w:t xml:space="preserve">: How to improve customer experience, brand perceptions, and customer loyalty through feelings of </w:t>
      </w:r>
      <w:proofErr w:type="spellStart"/>
      <w:r w:rsidRPr="00411937">
        <w:t>groundedness</w:t>
      </w:r>
      <w:proofErr w:type="spellEnd"/>
      <w:r w:rsidRPr="00411937">
        <w:t>. </w:t>
      </w:r>
      <w:r w:rsidRPr="00411937">
        <w:rPr>
          <w:i/>
          <w:iCs/>
        </w:rPr>
        <w:t>Journal of Retailing</w:t>
      </w:r>
      <w:r w:rsidRPr="00411937">
        <w:t>, </w:t>
      </w:r>
      <w:r w:rsidRPr="00411937">
        <w:rPr>
          <w:i/>
          <w:iCs/>
        </w:rPr>
        <w:t>99</w:t>
      </w:r>
      <w:r w:rsidRPr="00411937">
        <w:t>(4), 594-604</w:t>
      </w:r>
      <w:r>
        <w:t>.</w:t>
      </w:r>
    </w:p>
    <w:p w14:paraId="266CD685" w14:textId="77777777" w:rsidR="002B1E9A" w:rsidRDefault="002B1E9A" w:rsidP="00630DA9">
      <w:pPr>
        <w:jc w:val="both"/>
      </w:pPr>
      <w:proofErr w:type="spellStart"/>
      <w:r w:rsidRPr="00070A8C">
        <w:t>Časta</w:t>
      </w:r>
      <w:proofErr w:type="spellEnd"/>
      <w:r w:rsidRPr="00070A8C">
        <w:t xml:space="preserve">, M., </w:t>
      </w:r>
      <w:r>
        <w:t xml:space="preserve">and </w:t>
      </w:r>
      <w:proofErr w:type="spellStart"/>
      <w:r w:rsidRPr="00070A8C">
        <w:t>Švéda</w:t>
      </w:r>
      <w:proofErr w:type="spellEnd"/>
      <w:r w:rsidRPr="00070A8C">
        <w:t>, J. (2024) Monetary Policy Shocks and Bank Profitability: Evidence from the Euro Area. </w:t>
      </w:r>
      <w:r w:rsidRPr="00070A8C">
        <w:rPr>
          <w:i/>
          <w:iCs/>
        </w:rPr>
        <w:t>Available at SSRN 4770689</w:t>
      </w:r>
      <w:r w:rsidRPr="00070A8C">
        <w:t>.</w:t>
      </w:r>
    </w:p>
    <w:p w14:paraId="386E6257" w14:textId="77777777" w:rsidR="002B1E9A" w:rsidRDefault="002B1E9A" w:rsidP="00630DA9">
      <w:pPr>
        <w:jc w:val="both"/>
      </w:pPr>
      <w:r w:rsidRPr="00480B62">
        <w:t>Chiang, T.C.</w:t>
      </w:r>
      <w:r>
        <w:t xml:space="preserve"> (</w:t>
      </w:r>
      <w:r w:rsidRPr="00480B62">
        <w:t>2023</w:t>
      </w:r>
      <w:r>
        <w:t>)</w:t>
      </w:r>
      <w:r w:rsidRPr="00480B62">
        <w:t xml:space="preserve"> Stock returns and inflation expectations: Evidence from 20 major countries. </w:t>
      </w:r>
      <w:r w:rsidRPr="004E1028">
        <w:rPr>
          <w:i/>
          <w:iCs/>
        </w:rPr>
        <w:t xml:space="preserve">Quant. </w:t>
      </w:r>
      <w:proofErr w:type="spellStart"/>
      <w:r w:rsidRPr="004E1028">
        <w:rPr>
          <w:i/>
          <w:iCs/>
        </w:rPr>
        <w:t>Financ</w:t>
      </w:r>
      <w:proofErr w:type="spellEnd"/>
      <w:r w:rsidRPr="004E1028">
        <w:rPr>
          <w:i/>
          <w:iCs/>
        </w:rPr>
        <w:t>. Econ</w:t>
      </w:r>
      <w:r w:rsidRPr="00480B62">
        <w:t>, </w:t>
      </w:r>
      <w:r w:rsidRPr="004E1028">
        <w:rPr>
          <w:i/>
          <w:iCs/>
        </w:rPr>
        <w:t>7</w:t>
      </w:r>
      <w:r w:rsidRPr="00480B62">
        <w:t>, pp.538-568.</w:t>
      </w:r>
    </w:p>
    <w:p w14:paraId="7DBF7C04" w14:textId="77777777" w:rsidR="002B1E9A" w:rsidRDefault="002B1E9A" w:rsidP="00630DA9">
      <w:pPr>
        <w:jc w:val="both"/>
      </w:pPr>
      <w:proofErr w:type="spellStart"/>
      <w:r w:rsidRPr="00480B62">
        <w:t>Christober</w:t>
      </w:r>
      <w:proofErr w:type="spellEnd"/>
      <w:r w:rsidRPr="00480B62">
        <w:t>, J. and Nithish, F.</w:t>
      </w:r>
      <w:r>
        <w:t xml:space="preserve"> (</w:t>
      </w:r>
      <w:r w:rsidRPr="00480B62">
        <w:t>2025</w:t>
      </w:r>
      <w:r>
        <w:t>)</w:t>
      </w:r>
      <w:r w:rsidRPr="00480B62">
        <w:t xml:space="preserve"> Monetary Policy and Stock Market Transmission: Evidence from the United Kingdom and India. </w:t>
      </w:r>
      <w:r w:rsidRPr="004E1028">
        <w:rPr>
          <w:i/>
          <w:iCs/>
        </w:rPr>
        <w:t>Monetary Policy and Stock Market Transmission: Evidence from the United Kingdom and India (November 21, 2025)</w:t>
      </w:r>
      <w:r w:rsidRPr="00480B62">
        <w:t>.</w:t>
      </w:r>
    </w:p>
    <w:p w14:paraId="3605B28B" w14:textId="77777777" w:rsidR="002B1E9A" w:rsidRPr="005904DC" w:rsidRDefault="002B1E9A" w:rsidP="00630DA9">
      <w:pPr>
        <w:jc w:val="both"/>
        <w:rPr>
          <w:rFonts w:asciiTheme="majorBidi" w:hAnsiTheme="majorBidi" w:cstheme="majorBidi"/>
        </w:rPr>
      </w:pPr>
      <w:r w:rsidRPr="005904DC">
        <w:rPr>
          <w:rFonts w:asciiTheme="majorBidi" w:hAnsiTheme="majorBidi" w:cstheme="majorBidi"/>
        </w:rPr>
        <w:t>Desalegn, G., Tangl, A. and Fekete-Farkas, M. (2022) From short-term risk to long-term strategic challenges: Reviewing the consequences of geopolitics and COVID-19 on economic performance. </w:t>
      </w:r>
      <w:r w:rsidRPr="005904DC">
        <w:rPr>
          <w:rFonts w:asciiTheme="majorBidi" w:hAnsiTheme="majorBidi" w:cstheme="majorBidi"/>
          <w:i/>
          <w:iCs/>
        </w:rPr>
        <w:t>Sustainability</w:t>
      </w:r>
      <w:r w:rsidRPr="005904DC">
        <w:rPr>
          <w:rFonts w:asciiTheme="majorBidi" w:hAnsiTheme="majorBidi" w:cstheme="majorBidi"/>
        </w:rPr>
        <w:t>, </w:t>
      </w:r>
      <w:r w:rsidRPr="005904DC">
        <w:rPr>
          <w:rFonts w:asciiTheme="majorBidi" w:hAnsiTheme="majorBidi" w:cstheme="majorBidi"/>
          <w:i/>
          <w:iCs/>
        </w:rPr>
        <w:t>14</w:t>
      </w:r>
      <w:r w:rsidRPr="005904DC">
        <w:rPr>
          <w:rFonts w:asciiTheme="majorBidi" w:hAnsiTheme="majorBidi" w:cstheme="majorBidi"/>
        </w:rPr>
        <w:t>(21), p.14455.</w:t>
      </w:r>
    </w:p>
    <w:p w14:paraId="139F5989" w14:textId="77777777" w:rsidR="002B1E9A" w:rsidRDefault="002B1E9A" w:rsidP="00630DA9">
      <w:pPr>
        <w:jc w:val="both"/>
      </w:pPr>
      <w:r w:rsidRPr="00411937">
        <w:t xml:space="preserve">Elliott, R. J., Sun, P., </w:t>
      </w:r>
      <w:r>
        <w:t xml:space="preserve">and </w:t>
      </w:r>
      <w:r w:rsidRPr="00411937">
        <w:t>Zhu, T. (2024) Energy abundance, the geographical distribution of manufacturing, and international trade. </w:t>
      </w:r>
      <w:r w:rsidRPr="00411937">
        <w:rPr>
          <w:i/>
          <w:iCs/>
        </w:rPr>
        <w:t>Review of World Economics</w:t>
      </w:r>
      <w:r w:rsidRPr="00411937">
        <w:t>, </w:t>
      </w:r>
      <w:r w:rsidRPr="00411937">
        <w:rPr>
          <w:i/>
          <w:iCs/>
        </w:rPr>
        <w:t>160</w:t>
      </w:r>
      <w:r w:rsidRPr="00411937">
        <w:t>(4), 1361-1391.</w:t>
      </w:r>
    </w:p>
    <w:p w14:paraId="633AAAD8" w14:textId="77777777" w:rsidR="002B1E9A" w:rsidRPr="00F82C8E" w:rsidRDefault="002B1E9A" w:rsidP="00630DA9">
      <w:pPr>
        <w:jc w:val="both"/>
      </w:pPr>
      <w:r w:rsidRPr="00070A8C">
        <w:t xml:space="preserve">End, M. N., </w:t>
      </w:r>
      <w:r>
        <w:t xml:space="preserve">and </w:t>
      </w:r>
      <w:r w:rsidRPr="00070A8C">
        <w:t>Hong, M. G. H. (2022) </w:t>
      </w:r>
      <w:r w:rsidRPr="00070A8C">
        <w:rPr>
          <w:i/>
          <w:iCs/>
        </w:rPr>
        <w:t>Trust what you hear: Policy communication, expectations, and fiscal credibility</w:t>
      </w:r>
      <w:r w:rsidRPr="00070A8C">
        <w:t>. International Monetary Fund.</w:t>
      </w:r>
    </w:p>
    <w:p w14:paraId="5CB904A5" w14:textId="77777777" w:rsidR="002B1E9A" w:rsidRDefault="002B1E9A" w:rsidP="00630DA9">
      <w:pPr>
        <w:jc w:val="both"/>
      </w:pPr>
      <w:proofErr w:type="spellStart"/>
      <w:r w:rsidRPr="007406E0">
        <w:t>Famubode</w:t>
      </w:r>
      <w:proofErr w:type="spellEnd"/>
      <w:r w:rsidRPr="007406E0">
        <w:t>, O. and Ali, H.</w:t>
      </w:r>
      <w:r>
        <w:t xml:space="preserve"> (2024) </w:t>
      </w:r>
      <w:r w:rsidRPr="007406E0">
        <w:t>The impact of the exchange rate, interest rate, and inflation on stock price.</w:t>
      </w:r>
    </w:p>
    <w:p w14:paraId="40F42886" w14:textId="77777777" w:rsidR="002B1E9A" w:rsidRPr="00F82C8E" w:rsidRDefault="002B1E9A" w:rsidP="00630DA9">
      <w:pPr>
        <w:jc w:val="both"/>
      </w:pPr>
      <w:r w:rsidRPr="00E32D3E">
        <w:t>Fehrle, D. (2023) Hedging against inflation: housing versus equity. </w:t>
      </w:r>
      <w:r w:rsidRPr="00E32D3E">
        <w:rPr>
          <w:i/>
          <w:iCs/>
        </w:rPr>
        <w:t>Empirical Economics</w:t>
      </w:r>
      <w:r w:rsidRPr="00E32D3E">
        <w:t>, </w:t>
      </w:r>
      <w:r w:rsidRPr="00E32D3E">
        <w:rPr>
          <w:i/>
          <w:iCs/>
        </w:rPr>
        <w:t>65</w:t>
      </w:r>
      <w:r w:rsidRPr="00E32D3E">
        <w:t>(6), 2583-2626.</w:t>
      </w:r>
    </w:p>
    <w:p w14:paraId="71C37CCF" w14:textId="77777777" w:rsidR="002B1E9A" w:rsidRDefault="002B1E9A" w:rsidP="00630DA9">
      <w:pPr>
        <w:jc w:val="both"/>
      </w:pPr>
      <w:r w:rsidRPr="008451C5">
        <w:t xml:space="preserve">Forbes, S., Lewis, N., </w:t>
      </w:r>
      <w:r>
        <w:t xml:space="preserve">and </w:t>
      </w:r>
      <w:r w:rsidRPr="008451C5">
        <w:t>Ames, E. (2022) </w:t>
      </w:r>
      <w:r w:rsidRPr="008451C5">
        <w:rPr>
          <w:i/>
          <w:iCs/>
        </w:rPr>
        <w:t>Inflation: What it Is, why It's Bad, and how to Fix it</w:t>
      </w:r>
      <w:r w:rsidRPr="008451C5">
        <w:t>. Encounter Books.</w:t>
      </w:r>
    </w:p>
    <w:p w14:paraId="7398131F" w14:textId="77777777" w:rsidR="002B1E9A" w:rsidRDefault="002B1E9A" w:rsidP="00630DA9">
      <w:pPr>
        <w:jc w:val="both"/>
      </w:pPr>
      <w:proofErr w:type="spellStart"/>
      <w:r w:rsidRPr="007406E0">
        <w:lastRenderedPageBreak/>
        <w:t>Ghazinoory</w:t>
      </w:r>
      <w:proofErr w:type="spellEnd"/>
      <w:r w:rsidRPr="007406E0">
        <w:t xml:space="preserve">, S., </w:t>
      </w:r>
      <w:proofErr w:type="spellStart"/>
      <w:r w:rsidRPr="007406E0">
        <w:t>Zadegan</w:t>
      </w:r>
      <w:proofErr w:type="spellEnd"/>
      <w:r w:rsidRPr="007406E0">
        <w:t>, M.G. and Phaal, R.</w:t>
      </w:r>
      <w:r>
        <w:t xml:space="preserve"> (</w:t>
      </w:r>
      <w:r w:rsidRPr="007406E0">
        <w:t>2025</w:t>
      </w:r>
      <w:r>
        <w:t>)</w:t>
      </w:r>
      <w:r w:rsidRPr="007406E0">
        <w:t xml:space="preserve"> Research Design Unlocked! </w:t>
      </w:r>
      <w:proofErr w:type="spellStart"/>
      <w:r w:rsidRPr="007406E0">
        <w:t>Roadmapping</w:t>
      </w:r>
      <w:proofErr w:type="spellEnd"/>
      <w:r w:rsidRPr="007406E0">
        <w:t xml:space="preserve"> for Integration of Paradigms, Strategies, and Tools. </w:t>
      </w:r>
      <w:r w:rsidRPr="004E1028">
        <w:rPr>
          <w:i/>
          <w:iCs/>
        </w:rPr>
        <w:t>Journal of Open Innovation: Technology, Market, and Complexity</w:t>
      </w:r>
      <w:r w:rsidRPr="007406E0">
        <w:t>, p.100688.</w:t>
      </w:r>
    </w:p>
    <w:p w14:paraId="2C228B44" w14:textId="77777777" w:rsidR="002B1E9A" w:rsidRPr="005904DC" w:rsidRDefault="002B1E9A" w:rsidP="00630DA9">
      <w:pPr>
        <w:jc w:val="both"/>
        <w:rPr>
          <w:rFonts w:asciiTheme="majorBidi" w:hAnsiTheme="majorBidi" w:cstheme="majorBidi"/>
        </w:rPr>
      </w:pPr>
      <w:proofErr w:type="spellStart"/>
      <w:r w:rsidRPr="005904DC">
        <w:rPr>
          <w:rFonts w:asciiTheme="majorBidi" w:hAnsiTheme="majorBidi" w:cstheme="majorBidi"/>
        </w:rPr>
        <w:t>Girdzijauskas</w:t>
      </w:r>
      <w:proofErr w:type="spellEnd"/>
      <w:r w:rsidRPr="005904DC">
        <w:rPr>
          <w:rFonts w:asciiTheme="majorBidi" w:hAnsiTheme="majorBidi" w:cstheme="majorBidi"/>
        </w:rPr>
        <w:t xml:space="preserve">, S., </w:t>
      </w:r>
      <w:proofErr w:type="spellStart"/>
      <w:r w:rsidRPr="005904DC">
        <w:rPr>
          <w:rFonts w:asciiTheme="majorBidi" w:hAnsiTheme="majorBidi" w:cstheme="majorBidi"/>
        </w:rPr>
        <w:t>Streimikiene</w:t>
      </w:r>
      <w:proofErr w:type="spellEnd"/>
      <w:r w:rsidRPr="005904DC">
        <w:rPr>
          <w:rFonts w:asciiTheme="majorBidi" w:hAnsiTheme="majorBidi" w:cstheme="majorBidi"/>
        </w:rPr>
        <w:t xml:space="preserve">, D., </w:t>
      </w:r>
      <w:proofErr w:type="spellStart"/>
      <w:r w:rsidRPr="005904DC">
        <w:rPr>
          <w:rFonts w:asciiTheme="majorBidi" w:hAnsiTheme="majorBidi" w:cstheme="majorBidi"/>
        </w:rPr>
        <w:t>Griesiene</w:t>
      </w:r>
      <w:proofErr w:type="spellEnd"/>
      <w:r w:rsidRPr="005904DC">
        <w:rPr>
          <w:rFonts w:asciiTheme="majorBidi" w:hAnsiTheme="majorBidi" w:cstheme="majorBidi"/>
        </w:rPr>
        <w:t xml:space="preserve">, I., </w:t>
      </w:r>
      <w:proofErr w:type="spellStart"/>
      <w:r w:rsidRPr="005904DC">
        <w:rPr>
          <w:rFonts w:asciiTheme="majorBidi" w:hAnsiTheme="majorBidi" w:cstheme="majorBidi"/>
        </w:rPr>
        <w:t>Mikalauskiene</w:t>
      </w:r>
      <w:proofErr w:type="spellEnd"/>
      <w:r w:rsidRPr="005904DC">
        <w:rPr>
          <w:rFonts w:asciiTheme="majorBidi" w:hAnsiTheme="majorBidi" w:cstheme="majorBidi"/>
        </w:rPr>
        <w:t>, A. and Kyriakopoulos, G.L. (2022) New approach to inflation phenomena to ensure sustainable economic growth. </w:t>
      </w:r>
      <w:r w:rsidRPr="005904DC">
        <w:rPr>
          <w:rFonts w:asciiTheme="majorBidi" w:hAnsiTheme="majorBidi" w:cstheme="majorBidi"/>
          <w:i/>
          <w:iCs/>
        </w:rPr>
        <w:t>Sustainability</w:t>
      </w:r>
      <w:r w:rsidRPr="005904DC">
        <w:rPr>
          <w:rFonts w:asciiTheme="majorBidi" w:hAnsiTheme="majorBidi" w:cstheme="majorBidi"/>
        </w:rPr>
        <w:t>, </w:t>
      </w:r>
      <w:r w:rsidRPr="005904DC">
        <w:rPr>
          <w:rFonts w:asciiTheme="majorBidi" w:hAnsiTheme="majorBidi" w:cstheme="majorBidi"/>
          <w:i/>
          <w:iCs/>
        </w:rPr>
        <w:t>14</w:t>
      </w:r>
      <w:r w:rsidRPr="005904DC">
        <w:rPr>
          <w:rFonts w:asciiTheme="majorBidi" w:hAnsiTheme="majorBidi" w:cstheme="majorBidi"/>
        </w:rPr>
        <w:t>(1), p.518.</w:t>
      </w:r>
    </w:p>
    <w:p w14:paraId="4445850C" w14:textId="77777777" w:rsidR="002B1E9A" w:rsidRDefault="002B1E9A" w:rsidP="00630DA9">
      <w:pPr>
        <w:jc w:val="both"/>
      </w:pPr>
      <w:r w:rsidRPr="00E32D3E">
        <w:t xml:space="preserve">Gonçalves, T. C., Dias, J., </w:t>
      </w:r>
      <w:r>
        <w:t xml:space="preserve">and </w:t>
      </w:r>
      <w:r w:rsidRPr="00E32D3E">
        <w:t>Barros, V. (2022) Sustainability performance and the cost of capital. </w:t>
      </w:r>
      <w:r w:rsidRPr="00E32D3E">
        <w:rPr>
          <w:i/>
          <w:iCs/>
        </w:rPr>
        <w:t>International Journal of Financial Studies</w:t>
      </w:r>
      <w:r w:rsidRPr="00E32D3E">
        <w:t>, </w:t>
      </w:r>
      <w:r w:rsidRPr="00E32D3E">
        <w:rPr>
          <w:i/>
          <w:iCs/>
        </w:rPr>
        <w:t>10</w:t>
      </w:r>
      <w:r w:rsidRPr="00E32D3E">
        <w:t>(3), 63.</w:t>
      </w:r>
    </w:p>
    <w:p w14:paraId="3A0DF2EE" w14:textId="77777777" w:rsidR="002B1E9A" w:rsidRDefault="002B1E9A" w:rsidP="00630DA9">
      <w:pPr>
        <w:jc w:val="both"/>
      </w:pPr>
      <w:r w:rsidRPr="00B705AA">
        <w:t xml:space="preserve">Grigoli, M. F., </w:t>
      </w:r>
      <w:r>
        <w:t xml:space="preserve">and </w:t>
      </w:r>
      <w:r w:rsidRPr="00B705AA">
        <w:t>Sandri, M. D. (2022) </w:t>
      </w:r>
      <w:r w:rsidRPr="00B705AA">
        <w:rPr>
          <w:i/>
          <w:iCs/>
        </w:rPr>
        <w:t>Monetary policy and credit card spending</w:t>
      </w:r>
      <w:r w:rsidRPr="00B705AA">
        <w:t>. International Monetary Fund.</w:t>
      </w:r>
    </w:p>
    <w:p w14:paraId="442D5892" w14:textId="77777777" w:rsidR="002B1E9A" w:rsidRDefault="002B1E9A" w:rsidP="00630DA9">
      <w:pPr>
        <w:jc w:val="both"/>
      </w:pPr>
      <w:r w:rsidRPr="007406E0">
        <w:t>Gupta, R., Hasan, M.M., Islam, S.Z., Yasmin, T. and Uddin, J.</w:t>
      </w:r>
      <w:r>
        <w:t xml:space="preserve"> (</w:t>
      </w:r>
      <w:r w:rsidRPr="007406E0">
        <w:t>2023</w:t>
      </w:r>
      <w:r>
        <w:t xml:space="preserve">) </w:t>
      </w:r>
      <w:r w:rsidRPr="007406E0">
        <w:t>Evaluating the Brexit and COVID-19’s influence on the UK economy: A data analysis. </w:t>
      </w:r>
      <w:proofErr w:type="spellStart"/>
      <w:r w:rsidRPr="004E1028">
        <w:rPr>
          <w:i/>
          <w:iCs/>
        </w:rPr>
        <w:t>Plos</w:t>
      </w:r>
      <w:proofErr w:type="spellEnd"/>
      <w:r w:rsidRPr="004E1028">
        <w:rPr>
          <w:i/>
          <w:iCs/>
        </w:rPr>
        <w:t xml:space="preserve"> one</w:t>
      </w:r>
      <w:r w:rsidRPr="007406E0">
        <w:t>, </w:t>
      </w:r>
      <w:r w:rsidRPr="004E1028">
        <w:rPr>
          <w:i/>
          <w:iCs/>
        </w:rPr>
        <w:t>18</w:t>
      </w:r>
      <w:r w:rsidRPr="007406E0">
        <w:t>(6), p.e0287342.</w:t>
      </w:r>
    </w:p>
    <w:p w14:paraId="1AABB727" w14:textId="77777777" w:rsidR="002B1E9A" w:rsidRDefault="002B1E9A" w:rsidP="00630DA9">
      <w:pPr>
        <w:jc w:val="both"/>
      </w:pPr>
      <w:r w:rsidRPr="004E1028">
        <w:t xml:space="preserve">Gupta, S. and Sharma, A.K. </w:t>
      </w:r>
      <w:r>
        <w:t>(</w:t>
      </w:r>
      <w:r w:rsidRPr="004E1028">
        <w:t>2022</w:t>
      </w:r>
      <w:r>
        <w:t>)</w:t>
      </w:r>
      <w:r w:rsidRPr="004E1028">
        <w:t xml:space="preserve"> Evolution of infrastructure as an asset class: a systematic literature review and thematic analysis. </w:t>
      </w:r>
      <w:r w:rsidRPr="004E1028">
        <w:rPr>
          <w:i/>
          <w:iCs/>
        </w:rPr>
        <w:t>Journal of Asset Management</w:t>
      </w:r>
      <w:r w:rsidRPr="004E1028">
        <w:t>, </w:t>
      </w:r>
      <w:r w:rsidRPr="004E1028">
        <w:rPr>
          <w:i/>
          <w:iCs/>
        </w:rPr>
        <w:t>23</w:t>
      </w:r>
      <w:r w:rsidRPr="004E1028">
        <w:t>(3), p.173.</w:t>
      </w:r>
    </w:p>
    <w:p w14:paraId="489E0C0A" w14:textId="77777777" w:rsidR="002B1E9A" w:rsidRDefault="002B1E9A" w:rsidP="00630DA9">
      <w:pPr>
        <w:jc w:val="both"/>
      </w:pPr>
      <w:r w:rsidRPr="004E1028">
        <w:t xml:space="preserve">Haq, Z.U., Rasheed, R., Rashid, A. and Akhter, S. </w:t>
      </w:r>
      <w:r>
        <w:t>(</w:t>
      </w:r>
      <w:r w:rsidRPr="004E1028">
        <w:t>2023</w:t>
      </w:r>
      <w:r>
        <w:t>)</w:t>
      </w:r>
      <w:r w:rsidRPr="004E1028">
        <w:t xml:space="preserve"> Criteria for assessing and ensuring the trustworthiness in qualitative research. </w:t>
      </w:r>
      <w:r w:rsidRPr="004E1028">
        <w:rPr>
          <w:i/>
          <w:iCs/>
        </w:rPr>
        <w:t>International Journal of Business Reflections</w:t>
      </w:r>
      <w:r w:rsidRPr="004E1028">
        <w:t>, </w:t>
      </w:r>
      <w:r w:rsidRPr="004E1028">
        <w:rPr>
          <w:i/>
          <w:iCs/>
        </w:rPr>
        <w:t>4</w:t>
      </w:r>
      <w:r w:rsidRPr="004E1028">
        <w:t>(2).</w:t>
      </w:r>
    </w:p>
    <w:p w14:paraId="7240B04D" w14:textId="77777777" w:rsidR="002B1E9A" w:rsidRPr="005904DC" w:rsidRDefault="002B1E9A" w:rsidP="00630DA9">
      <w:pPr>
        <w:jc w:val="both"/>
        <w:rPr>
          <w:rFonts w:asciiTheme="majorBidi" w:hAnsiTheme="majorBidi" w:cstheme="majorBidi"/>
        </w:rPr>
      </w:pPr>
      <w:proofErr w:type="spellStart"/>
      <w:r w:rsidRPr="005904DC">
        <w:rPr>
          <w:rFonts w:asciiTheme="majorBidi" w:hAnsiTheme="majorBidi" w:cstheme="majorBidi"/>
        </w:rPr>
        <w:t>Hariparsad</w:t>
      </w:r>
      <w:proofErr w:type="spellEnd"/>
      <w:r w:rsidRPr="005904DC">
        <w:rPr>
          <w:rFonts w:asciiTheme="majorBidi" w:hAnsiTheme="majorBidi" w:cstheme="majorBidi"/>
        </w:rPr>
        <w:t>, S. and Maré, E. (2024) Optimal monetary and fiscal policies to maximise non-parallel risk premia in sovereign bond markets. </w:t>
      </w:r>
      <w:r w:rsidRPr="005904DC">
        <w:rPr>
          <w:rFonts w:asciiTheme="majorBidi" w:hAnsiTheme="majorBidi" w:cstheme="majorBidi"/>
          <w:i/>
          <w:iCs/>
        </w:rPr>
        <w:t>Journal of Risk and Financial Management</w:t>
      </w:r>
      <w:r w:rsidRPr="005904DC">
        <w:rPr>
          <w:rFonts w:asciiTheme="majorBidi" w:hAnsiTheme="majorBidi" w:cstheme="majorBidi"/>
        </w:rPr>
        <w:t>, </w:t>
      </w:r>
      <w:r w:rsidRPr="005904DC">
        <w:rPr>
          <w:rFonts w:asciiTheme="majorBidi" w:hAnsiTheme="majorBidi" w:cstheme="majorBidi"/>
          <w:i/>
          <w:iCs/>
        </w:rPr>
        <w:t>17</w:t>
      </w:r>
      <w:r w:rsidRPr="005904DC">
        <w:rPr>
          <w:rFonts w:asciiTheme="majorBidi" w:hAnsiTheme="majorBidi" w:cstheme="majorBidi"/>
        </w:rPr>
        <w:t>(11), p.510.</w:t>
      </w:r>
    </w:p>
    <w:p w14:paraId="36B85D8E" w14:textId="77777777" w:rsidR="002B1E9A" w:rsidRDefault="002B1E9A" w:rsidP="00630DA9">
      <w:pPr>
        <w:jc w:val="both"/>
      </w:pPr>
      <w:r w:rsidRPr="0094395F">
        <w:t xml:space="preserve">Heinlein, R., </w:t>
      </w:r>
      <w:r>
        <w:t xml:space="preserve">and </w:t>
      </w:r>
      <w:r w:rsidRPr="0094395F">
        <w:t>Lepori, G. M. (2022) Do financial markets respond to macroeconomic surprises? Evidence from the UK. </w:t>
      </w:r>
      <w:r w:rsidRPr="0094395F">
        <w:rPr>
          <w:i/>
          <w:iCs/>
        </w:rPr>
        <w:t>Empirical Economics</w:t>
      </w:r>
      <w:r w:rsidRPr="0094395F">
        <w:t>, </w:t>
      </w:r>
      <w:r w:rsidRPr="0094395F">
        <w:rPr>
          <w:i/>
          <w:iCs/>
        </w:rPr>
        <w:t>62</w:t>
      </w:r>
      <w:r w:rsidRPr="0094395F">
        <w:t>(5), 2329-2371.</w:t>
      </w:r>
    </w:p>
    <w:p w14:paraId="59E9D37F" w14:textId="77777777" w:rsidR="002B1E9A" w:rsidRDefault="002B1E9A" w:rsidP="00630DA9">
      <w:pPr>
        <w:jc w:val="both"/>
      </w:pPr>
      <w:proofErr w:type="spellStart"/>
      <w:r w:rsidRPr="00B705AA">
        <w:t>Horobet</w:t>
      </w:r>
      <w:proofErr w:type="spellEnd"/>
      <w:r w:rsidRPr="00B705AA">
        <w:t xml:space="preserve">, A., </w:t>
      </w:r>
      <w:proofErr w:type="spellStart"/>
      <w:r w:rsidRPr="00B705AA">
        <w:t>Curea</w:t>
      </w:r>
      <w:proofErr w:type="spellEnd"/>
      <w:r w:rsidRPr="00B705AA">
        <w:t xml:space="preserve">, S. C., </w:t>
      </w:r>
      <w:proofErr w:type="spellStart"/>
      <w:r w:rsidRPr="00B705AA">
        <w:t>Smedoiu</w:t>
      </w:r>
      <w:proofErr w:type="spellEnd"/>
      <w:r w:rsidRPr="00B705AA">
        <w:t xml:space="preserve"> Popoviciu, A., </w:t>
      </w:r>
      <w:proofErr w:type="spellStart"/>
      <w:r w:rsidRPr="00B705AA">
        <w:t>Botoroga</w:t>
      </w:r>
      <w:proofErr w:type="spellEnd"/>
      <w:r w:rsidRPr="00B705AA">
        <w:t xml:space="preserve">, C. A., Belascu, L., </w:t>
      </w:r>
      <w:r>
        <w:t xml:space="preserve">and </w:t>
      </w:r>
      <w:r w:rsidRPr="00B705AA">
        <w:t>Dumitrescu, D. G. (2021) Solvency risk and corporate performance: A case study on European retailers. </w:t>
      </w:r>
      <w:r w:rsidRPr="00B705AA">
        <w:rPr>
          <w:i/>
          <w:iCs/>
        </w:rPr>
        <w:t>Journal of Risk and Financial Management</w:t>
      </w:r>
      <w:r w:rsidRPr="00B705AA">
        <w:t>, </w:t>
      </w:r>
      <w:r w:rsidRPr="00B705AA">
        <w:rPr>
          <w:i/>
          <w:iCs/>
        </w:rPr>
        <w:t>14</w:t>
      </w:r>
      <w:r w:rsidRPr="00B705AA">
        <w:t>(11), 536.</w:t>
      </w:r>
    </w:p>
    <w:p w14:paraId="7A6390D7" w14:textId="7030A777" w:rsidR="002B1E9A" w:rsidRPr="002B1E9A" w:rsidRDefault="002B1E9A" w:rsidP="002B1E9A">
      <w:pPr>
        <w:jc w:val="both"/>
        <w:rPr>
          <w:b/>
          <w:bCs/>
          <w:lang w:val="en-US"/>
        </w:rPr>
      </w:pPr>
      <w:r>
        <w:t>Jaisinghani, S. and Msika, M. (202</w:t>
      </w:r>
      <w:r w:rsidR="00B3190B">
        <w:t>3</w:t>
      </w:r>
      <w:r>
        <w:t xml:space="preserve">) </w:t>
      </w:r>
      <w:r w:rsidRPr="002B1E9A">
        <w:rPr>
          <w:i/>
          <w:iCs/>
          <w:lang w:val="en-US"/>
        </w:rPr>
        <w:t>London’s Investment Appeal Is Unraveling as Arm Heads to the US.</w:t>
      </w:r>
      <w:r>
        <w:rPr>
          <w:b/>
          <w:bCs/>
          <w:lang w:val="en-US"/>
        </w:rPr>
        <w:t xml:space="preserve"> </w:t>
      </w:r>
      <w:r>
        <w:rPr>
          <w:lang w:val="en-US"/>
        </w:rPr>
        <w:t>[online]. Available at:</w:t>
      </w:r>
      <w:r>
        <w:rPr>
          <w:b/>
          <w:bCs/>
          <w:lang w:val="en-US"/>
        </w:rPr>
        <w:t xml:space="preserve"> </w:t>
      </w:r>
      <w:hyperlink r:id="rId19" w:history="1">
        <w:r w:rsidRPr="00C24C8E">
          <w:rPr>
            <w:rStyle w:val="Hyperlink"/>
          </w:rPr>
          <w:t>https://www.bloomberg.com/news/articles/2023-03-04/london-s-investment-appeal-is-unraveling-as-arm-heads-to-the-us</w:t>
        </w:r>
      </w:hyperlink>
      <w:r>
        <w:t xml:space="preserve"> [Accessed on: 20</w:t>
      </w:r>
      <w:r w:rsidRPr="002B1E9A">
        <w:rPr>
          <w:vertAlign w:val="superscript"/>
        </w:rPr>
        <w:t>th</w:t>
      </w:r>
      <w:r>
        <w:t xml:space="preserve"> January, 2026]</w:t>
      </w:r>
    </w:p>
    <w:p w14:paraId="58B882E9" w14:textId="77777777" w:rsidR="002B1E9A" w:rsidRDefault="002B1E9A" w:rsidP="00630DA9">
      <w:pPr>
        <w:jc w:val="both"/>
      </w:pPr>
      <w:r w:rsidRPr="00F62B9D">
        <w:lastRenderedPageBreak/>
        <w:t xml:space="preserve">Janjua, L.R., Gigauri, I., Wójcik-Czerniawska, A. and </w:t>
      </w:r>
      <w:proofErr w:type="spellStart"/>
      <w:r w:rsidRPr="00F62B9D">
        <w:t>Pohulak-Żołędowska</w:t>
      </w:r>
      <w:proofErr w:type="spellEnd"/>
      <w:r w:rsidRPr="00F62B9D">
        <w:t>, E.</w:t>
      </w:r>
      <w:r>
        <w:t xml:space="preserve"> (</w:t>
      </w:r>
      <w:r w:rsidRPr="00F62B9D">
        <w:t>2024</w:t>
      </w:r>
      <w:r>
        <w:t xml:space="preserve">) </w:t>
      </w:r>
      <w:r w:rsidRPr="00F62B9D">
        <w:t>Risk Management in the Area of Bitcoin Market Development: Example from the USA. </w:t>
      </w:r>
      <w:r w:rsidRPr="00F62B9D">
        <w:rPr>
          <w:i/>
          <w:iCs/>
        </w:rPr>
        <w:t>Risks</w:t>
      </w:r>
      <w:r w:rsidRPr="00F62B9D">
        <w:t>, </w:t>
      </w:r>
      <w:r w:rsidRPr="00F62B9D">
        <w:rPr>
          <w:i/>
          <w:iCs/>
        </w:rPr>
        <w:t>12</w:t>
      </w:r>
      <w:r w:rsidRPr="00F62B9D">
        <w:t>(4), p.67.</w:t>
      </w:r>
    </w:p>
    <w:p w14:paraId="398319C2" w14:textId="77777777" w:rsidR="002B1E9A" w:rsidRDefault="002B1E9A" w:rsidP="00630DA9">
      <w:pPr>
        <w:jc w:val="both"/>
      </w:pPr>
      <w:r w:rsidRPr="00480B62">
        <w:t xml:space="preserve">Kaminska, I., Mumtaz, H. and </w:t>
      </w:r>
      <w:proofErr w:type="spellStart"/>
      <w:r w:rsidRPr="00480B62">
        <w:t>Šustek</w:t>
      </w:r>
      <w:proofErr w:type="spellEnd"/>
      <w:r w:rsidRPr="00480B62">
        <w:t>, R.</w:t>
      </w:r>
      <w:r>
        <w:t xml:space="preserve"> (</w:t>
      </w:r>
      <w:r w:rsidRPr="00480B62">
        <w:t>2021</w:t>
      </w:r>
      <w:r>
        <w:t>)</w:t>
      </w:r>
      <w:r w:rsidRPr="00480B62">
        <w:t xml:space="preserve"> Monetary policy surprises and their transmission through term premia and expected interest rates. </w:t>
      </w:r>
      <w:r w:rsidRPr="004E1028">
        <w:rPr>
          <w:i/>
          <w:iCs/>
        </w:rPr>
        <w:t>Journal of Monetary Economics</w:t>
      </w:r>
      <w:r w:rsidRPr="00480B62">
        <w:t>, </w:t>
      </w:r>
      <w:r w:rsidRPr="004E1028">
        <w:rPr>
          <w:i/>
          <w:iCs/>
        </w:rPr>
        <w:t>124</w:t>
      </w:r>
      <w:r w:rsidRPr="00480B62">
        <w:t>, pp.48-65.</w:t>
      </w:r>
    </w:p>
    <w:p w14:paraId="757FFDA4" w14:textId="77777777" w:rsidR="002B1E9A" w:rsidRPr="00F82C8E" w:rsidRDefault="002B1E9A" w:rsidP="00630DA9">
      <w:pPr>
        <w:jc w:val="both"/>
      </w:pPr>
      <w:r w:rsidRPr="00070A8C">
        <w:t xml:space="preserve">Karahan, Ö., </w:t>
      </w:r>
      <w:r>
        <w:t xml:space="preserve">and </w:t>
      </w:r>
      <w:proofErr w:type="spellStart"/>
      <w:r w:rsidRPr="00070A8C">
        <w:t>Bayır</w:t>
      </w:r>
      <w:proofErr w:type="spellEnd"/>
      <w:r w:rsidRPr="00070A8C">
        <w:t>, M. (2022) The effects of monetary policies on foreign direct investment inflows in emerging economies: some policy implications for post-COVID-19. </w:t>
      </w:r>
      <w:r w:rsidRPr="00070A8C">
        <w:rPr>
          <w:i/>
          <w:iCs/>
        </w:rPr>
        <w:t>Future Business Journal</w:t>
      </w:r>
      <w:r w:rsidRPr="00070A8C">
        <w:t>, </w:t>
      </w:r>
      <w:r w:rsidRPr="00070A8C">
        <w:rPr>
          <w:i/>
          <w:iCs/>
        </w:rPr>
        <w:t>8</w:t>
      </w:r>
      <w:r w:rsidRPr="00070A8C">
        <w:t>(1), 39.</w:t>
      </w:r>
    </w:p>
    <w:p w14:paraId="4A32786F" w14:textId="77777777" w:rsidR="002B1E9A" w:rsidRDefault="002B1E9A" w:rsidP="00630DA9">
      <w:pPr>
        <w:jc w:val="both"/>
      </w:pPr>
      <w:r w:rsidRPr="00F62B9D">
        <w:t>Khan, A.</w:t>
      </w:r>
      <w:r>
        <w:t xml:space="preserve"> (</w:t>
      </w:r>
      <w:r w:rsidRPr="00F62B9D">
        <w:t>2024</w:t>
      </w:r>
      <w:r>
        <w:t>)</w:t>
      </w:r>
      <w:r w:rsidRPr="00F62B9D">
        <w:t> </w:t>
      </w:r>
      <w:r w:rsidRPr="00F62B9D">
        <w:rPr>
          <w:i/>
          <w:iCs/>
        </w:rPr>
        <w:t>Navigating the Stock Market: A Practical Guide to Successful Buying, Selling, and AI Risk Management</w:t>
      </w:r>
      <w:r w:rsidRPr="00F62B9D">
        <w:t>. Walter de Gruyter GmbH &amp; Co KG.</w:t>
      </w:r>
    </w:p>
    <w:p w14:paraId="0D431DE8" w14:textId="77777777" w:rsidR="002B1E9A" w:rsidRDefault="002B1E9A" w:rsidP="00630DA9">
      <w:pPr>
        <w:jc w:val="both"/>
      </w:pPr>
      <w:r w:rsidRPr="0094395F">
        <w:t>Khan, E. (2023)</w:t>
      </w:r>
      <w:r>
        <w:t xml:space="preserve"> </w:t>
      </w:r>
      <w:r w:rsidRPr="0094395F">
        <w:t>The post-Brexit paradigm: investigating the effects of foreign direct investment on economic growth in the United Kingdom. </w:t>
      </w:r>
      <w:r w:rsidRPr="0094395F">
        <w:rPr>
          <w:i/>
          <w:iCs/>
        </w:rPr>
        <w:t>Archives of the Social Sciences: A Journal of Collaborative Memory</w:t>
      </w:r>
      <w:r w:rsidRPr="0094395F">
        <w:t>, </w:t>
      </w:r>
      <w:r w:rsidRPr="0094395F">
        <w:rPr>
          <w:i/>
          <w:iCs/>
        </w:rPr>
        <w:t>2</w:t>
      </w:r>
      <w:r w:rsidRPr="0094395F">
        <w:t>(1), 94-110.</w:t>
      </w:r>
    </w:p>
    <w:p w14:paraId="62DF101E" w14:textId="77777777" w:rsidR="002B1E9A" w:rsidRDefault="002B1E9A" w:rsidP="00630DA9">
      <w:pPr>
        <w:jc w:val="both"/>
      </w:pPr>
      <w:r w:rsidRPr="007406E0">
        <w:t>Khan, M.A., Ali, H., Shabbir, H., Noor, F. and Majid, M.D.</w:t>
      </w:r>
      <w:r>
        <w:t xml:space="preserve"> (</w:t>
      </w:r>
      <w:r w:rsidRPr="007406E0">
        <w:t>2024</w:t>
      </w:r>
      <w:r>
        <w:t>)</w:t>
      </w:r>
      <w:r w:rsidRPr="007406E0">
        <w:t xml:space="preserve"> Impact of Macroeconomic Indicators on Stock Market Predictions: A </w:t>
      </w:r>
      <w:proofErr w:type="gramStart"/>
      <w:r w:rsidRPr="007406E0">
        <w:t>Cross Country</w:t>
      </w:r>
      <w:proofErr w:type="gramEnd"/>
      <w:r w:rsidRPr="007406E0">
        <w:t xml:space="preserve"> Analysis. </w:t>
      </w:r>
      <w:r w:rsidRPr="004E1028">
        <w:rPr>
          <w:i/>
          <w:iCs/>
        </w:rPr>
        <w:t>Journal of Computing &amp; Biomedical Informatics</w:t>
      </w:r>
      <w:r w:rsidRPr="007406E0">
        <w:t>, </w:t>
      </w:r>
      <w:r w:rsidRPr="004E1028">
        <w:rPr>
          <w:i/>
          <w:iCs/>
        </w:rPr>
        <w:t>8</w:t>
      </w:r>
      <w:r w:rsidRPr="007406E0">
        <w:t>(01).</w:t>
      </w:r>
    </w:p>
    <w:p w14:paraId="227A29A4" w14:textId="77777777" w:rsidR="002B1E9A" w:rsidRDefault="002B1E9A" w:rsidP="00630DA9">
      <w:pPr>
        <w:jc w:val="both"/>
      </w:pPr>
      <w:r w:rsidRPr="004E1028">
        <w:t>Kishan, S. and Gupta, U.</w:t>
      </w:r>
      <w:r>
        <w:t xml:space="preserve"> (</w:t>
      </w:r>
      <w:r w:rsidRPr="004E1028">
        <w:t>2024</w:t>
      </w:r>
      <w:r>
        <w:t>)</w:t>
      </w:r>
      <w:r w:rsidRPr="004E1028">
        <w:t xml:space="preserve"> Research publication ethics: ensuring integrity, transparency, and responsible scholarship. </w:t>
      </w:r>
      <w:r w:rsidRPr="004E1028">
        <w:rPr>
          <w:i/>
          <w:iCs/>
        </w:rPr>
        <w:t>Journal of Technical Education and Training</w:t>
      </w:r>
      <w:r w:rsidRPr="004E1028">
        <w:t>, </w:t>
      </w:r>
      <w:r w:rsidRPr="004E1028">
        <w:rPr>
          <w:i/>
          <w:iCs/>
        </w:rPr>
        <w:t>13</w:t>
      </w:r>
      <w:r w:rsidRPr="004E1028">
        <w:t>(2), p.128.</w:t>
      </w:r>
    </w:p>
    <w:p w14:paraId="439C2AC8" w14:textId="77777777" w:rsidR="002B1E9A" w:rsidRPr="005904DC" w:rsidRDefault="002B1E9A" w:rsidP="00630DA9">
      <w:pPr>
        <w:jc w:val="both"/>
        <w:rPr>
          <w:rFonts w:asciiTheme="majorBidi" w:hAnsiTheme="majorBidi" w:cstheme="majorBidi"/>
        </w:rPr>
      </w:pPr>
      <w:r w:rsidRPr="005904DC">
        <w:rPr>
          <w:rFonts w:asciiTheme="majorBidi" w:hAnsiTheme="majorBidi" w:cstheme="majorBidi"/>
        </w:rPr>
        <w:t>Koroma, S. and Bein, M. (2024) The moderating effect of economic policy uncertainty on the relationship between working capital management and profitability: evidence from UK non-financial firms. </w:t>
      </w:r>
      <w:r w:rsidRPr="005904DC">
        <w:rPr>
          <w:rFonts w:asciiTheme="majorBidi" w:hAnsiTheme="majorBidi" w:cstheme="majorBidi"/>
          <w:i/>
          <w:iCs/>
        </w:rPr>
        <w:t>Sage Open</w:t>
      </w:r>
      <w:r w:rsidRPr="005904DC">
        <w:rPr>
          <w:rFonts w:asciiTheme="majorBidi" w:hAnsiTheme="majorBidi" w:cstheme="majorBidi"/>
        </w:rPr>
        <w:t>, </w:t>
      </w:r>
      <w:r w:rsidRPr="005904DC">
        <w:rPr>
          <w:rFonts w:asciiTheme="majorBidi" w:hAnsiTheme="majorBidi" w:cstheme="majorBidi"/>
          <w:i/>
          <w:iCs/>
        </w:rPr>
        <w:t>14</w:t>
      </w:r>
      <w:r w:rsidRPr="005904DC">
        <w:rPr>
          <w:rFonts w:asciiTheme="majorBidi" w:hAnsiTheme="majorBidi" w:cstheme="majorBidi"/>
        </w:rPr>
        <w:t>(2), p.21582440241242552.</w:t>
      </w:r>
    </w:p>
    <w:p w14:paraId="592208F5" w14:textId="77777777" w:rsidR="002B1E9A" w:rsidRDefault="002B1E9A" w:rsidP="00630DA9">
      <w:pPr>
        <w:jc w:val="both"/>
      </w:pPr>
      <w:r w:rsidRPr="00B705AA">
        <w:t>Kroner, N. (2023) Inflation and attention: Evidence from the market reaction to macro announcements. </w:t>
      </w:r>
      <w:r w:rsidRPr="00B705AA">
        <w:rPr>
          <w:i/>
          <w:iCs/>
        </w:rPr>
        <w:t>Available at SSRN 4527424</w:t>
      </w:r>
      <w:r w:rsidRPr="00B705AA">
        <w:t>.</w:t>
      </w:r>
    </w:p>
    <w:p w14:paraId="09BE71BA" w14:textId="77777777" w:rsidR="002B1E9A" w:rsidRDefault="002B1E9A" w:rsidP="00630DA9">
      <w:pPr>
        <w:jc w:val="both"/>
      </w:pPr>
      <w:r w:rsidRPr="00070A8C">
        <w:t xml:space="preserve">Kuramoto, Y., Khan, M. S. R., </w:t>
      </w:r>
      <w:r>
        <w:t xml:space="preserve">and </w:t>
      </w:r>
      <w:r w:rsidRPr="00070A8C">
        <w:t xml:space="preserve">Kadoya, Y. (2024) </w:t>
      </w:r>
      <w:proofErr w:type="spellStart"/>
      <w:r w:rsidRPr="00070A8C">
        <w:t>Behavioral</w:t>
      </w:r>
      <w:proofErr w:type="spellEnd"/>
      <w:r w:rsidRPr="00070A8C">
        <w:t xml:space="preserve"> biases in panic selling: Exploring the role of framing during the COVID-19 market crisis. </w:t>
      </w:r>
      <w:r w:rsidRPr="00070A8C">
        <w:rPr>
          <w:i/>
          <w:iCs/>
        </w:rPr>
        <w:t>Risks</w:t>
      </w:r>
      <w:r w:rsidRPr="00070A8C">
        <w:t>, </w:t>
      </w:r>
      <w:r w:rsidRPr="00070A8C">
        <w:rPr>
          <w:i/>
          <w:iCs/>
        </w:rPr>
        <w:t>12</w:t>
      </w:r>
      <w:r w:rsidRPr="00070A8C">
        <w:t>(10), 162.</w:t>
      </w:r>
    </w:p>
    <w:p w14:paraId="6A1DB46D" w14:textId="77777777" w:rsidR="002B1E9A" w:rsidRDefault="002B1E9A" w:rsidP="00630DA9">
      <w:pPr>
        <w:jc w:val="both"/>
      </w:pPr>
      <w:r w:rsidRPr="009576A4">
        <w:t>Levine-Clark, M. and Gil, E.L.</w:t>
      </w:r>
      <w:r>
        <w:t xml:space="preserve"> (</w:t>
      </w:r>
      <w:r w:rsidRPr="009576A4">
        <w:t>2021</w:t>
      </w:r>
      <w:r>
        <w:t>)</w:t>
      </w:r>
      <w:r w:rsidRPr="009576A4">
        <w:t xml:space="preserve"> A new comparative citation analysis: google scholar, </w:t>
      </w:r>
      <w:proofErr w:type="spellStart"/>
      <w:r w:rsidRPr="009576A4">
        <w:t>microsoft</w:t>
      </w:r>
      <w:proofErr w:type="spellEnd"/>
      <w:r w:rsidRPr="009576A4">
        <w:t xml:space="preserve"> academic, </w:t>
      </w:r>
      <w:proofErr w:type="spellStart"/>
      <w:r w:rsidRPr="009576A4">
        <w:t>scopus</w:t>
      </w:r>
      <w:proofErr w:type="spellEnd"/>
      <w:r w:rsidRPr="009576A4">
        <w:t>, and web of science. </w:t>
      </w:r>
      <w:r w:rsidRPr="004E1028">
        <w:rPr>
          <w:i/>
          <w:iCs/>
        </w:rPr>
        <w:t>Journal of Business &amp; Finance Librarianship</w:t>
      </w:r>
      <w:r w:rsidRPr="009576A4">
        <w:t>, </w:t>
      </w:r>
      <w:r w:rsidRPr="004E1028">
        <w:rPr>
          <w:i/>
          <w:iCs/>
        </w:rPr>
        <w:t>26</w:t>
      </w:r>
      <w:r w:rsidRPr="009576A4">
        <w:t>(1-2), pp.145-163.</w:t>
      </w:r>
    </w:p>
    <w:p w14:paraId="109F9ADC" w14:textId="77777777" w:rsidR="002B1E9A" w:rsidRDefault="002B1E9A" w:rsidP="00630DA9">
      <w:pPr>
        <w:jc w:val="both"/>
      </w:pPr>
      <w:r w:rsidRPr="00070A8C">
        <w:lastRenderedPageBreak/>
        <w:t xml:space="preserve">Li, Y., Lau, W. Y., </w:t>
      </w:r>
      <w:r>
        <w:t xml:space="preserve">and </w:t>
      </w:r>
      <w:r w:rsidRPr="00070A8C">
        <w:t>Ng, K. H. (2025) From Crisis to Crisis: The Moderating Role of Inflation and Interest Rate on Liquidity's Impact on Stock Returns in Selected Advanced Economies. </w:t>
      </w:r>
      <w:r w:rsidRPr="00070A8C">
        <w:rPr>
          <w:i/>
          <w:iCs/>
        </w:rPr>
        <w:t>Borsa Istanbul Review</w:t>
      </w:r>
      <w:r w:rsidRPr="00070A8C">
        <w:t>.</w:t>
      </w:r>
    </w:p>
    <w:p w14:paraId="5604948E" w14:textId="77777777" w:rsidR="002B1E9A" w:rsidRDefault="002B1E9A" w:rsidP="00630DA9">
      <w:pPr>
        <w:jc w:val="both"/>
      </w:pPr>
      <w:r w:rsidRPr="00480B62">
        <w:t>Li, Y., Lau, W.Y. and Ng, K.H.</w:t>
      </w:r>
      <w:r>
        <w:t xml:space="preserve"> (</w:t>
      </w:r>
      <w:r w:rsidRPr="00480B62">
        <w:t>2025</w:t>
      </w:r>
      <w:r>
        <w:t>)</w:t>
      </w:r>
      <w:r w:rsidRPr="00480B62">
        <w:t xml:space="preserve"> From Crisis to Crisis: The Roles of Interest Rate and Inflation in Shaping Stock Returns in Selected Advanced Economies. </w:t>
      </w:r>
      <w:r w:rsidRPr="004E1028">
        <w:rPr>
          <w:i/>
          <w:iCs/>
        </w:rPr>
        <w:t>International Review of Economics &amp; Finance</w:t>
      </w:r>
      <w:r w:rsidRPr="00480B62">
        <w:t>, p.104804.</w:t>
      </w:r>
    </w:p>
    <w:p w14:paraId="08C3F2FE" w14:textId="77777777" w:rsidR="002B1E9A" w:rsidRDefault="002B1E9A" w:rsidP="00630DA9">
      <w:pPr>
        <w:jc w:val="both"/>
      </w:pPr>
      <w:r w:rsidRPr="003E46C0">
        <w:t xml:space="preserve">Liu, Q., Li, R., Ahmad, M., </w:t>
      </w:r>
      <w:r>
        <w:t xml:space="preserve">and </w:t>
      </w:r>
      <w:r w:rsidRPr="003E46C0">
        <w:t xml:space="preserve">Ren, Z. (2023) Asset securitization and bank stock price performance: Bubble increase or risk </w:t>
      </w:r>
      <w:proofErr w:type="gramStart"/>
      <w:r w:rsidRPr="003E46C0">
        <w:t>transfer?.</w:t>
      </w:r>
      <w:proofErr w:type="gramEnd"/>
      <w:r w:rsidRPr="003E46C0">
        <w:t> </w:t>
      </w:r>
      <w:r w:rsidRPr="003E46C0">
        <w:rPr>
          <w:i/>
          <w:iCs/>
        </w:rPr>
        <w:t>Borsa Istanbul Review</w:t>
      </w:r>
      <w:r w:rsidRPr="003E46C0">
        <w:t>, </w:t>
      </w:r>
      <w:r w:rsidRPr="003E46C0">
        <w:rPr>
          <w:i/>
          <w:iCs/>
        </w:rPr>
        <w:t>23</w:t>
      </w:r>
      <w:r w:rsidRPr="003E46C0">
        <w:t>(6), 1474-1486.</w:t>
      </w:r>
    </w:p>
    <w:p w14:paraId="604DA0DC" w14:textId="77777777" w:rsidR="002B1E9A" w:rsidRDefault="002B1E9A" w:rsidP="00630DA9">
      <w:pPr>
        <w:jc w:val="both"/>
      </w:pPr>
      <w:r w:rsidRPr="00480B62">
        <w:t>Ma, N.</w:t>
      </w:r>
      <w:r>
        <w:t xml:space="preserve"> (</w:t>
      </w:r>
      <w:r w:rsidRPr="00480B62">
        <w:t>2024</w:t>
      </w:r>
      <w:r>
        <w:t>)</w:t>
      </w:r>
      <w:r w:rsidRPr="00480B62">
        <w:t xml:space="preserve"> </w:t>
      </w:r>
      <w:proofErr w:type="spellStart"/>
      <w:r w:rsidRPr="00480B62">
        <w:t>Analyzing</w:t>
      </w:r>
      <w:proofErr w:type="spellEnd"/>
      <w:r w:rsidRPr="00480B62">
        <w:t xml:space="preserve"> the Impact of Inflation on the UK Stock Market: A Focus on the FTSE 100 Index.</w:t>
      </w:r>
    </w:p>
    <w:p w14:paraId="1D2106AB" w14:textId="77777777" w:rsidR="002B1E9A" w:rsidRDefault="002B1E9A" w:rsidP="00630DA9">
      <w:pPr>
        <w:jc w:val="both"/>
      </w:pPr>
      <w:r w:rsidRPr="008451C5">
        <w:t>Marsella, F. N. U. (2025) Real Estate as a Hedge Against Inflation. </w:t>
      </w:r>
      <w:r w:rsidRPr="008451C5">
        <w:rPr>
          <w:i/>
          <w:iCs/>
        </w:rPr>
        <w:t>Archives of Business Research</w:t>
      </w:r>
      <w:r w:rsidRPr="008451C5">
        <w:t>, </w:t>
      </w:r>
      <w:r w:rsidRPr="008451C5">
        <w:rPr>
          <w:i/>
          <w:iCs/>
        </w:rPr>
        <w:t>13</w:t>
      </w:r>
      <w:r w:rsidRPr="008451C5">
        <w:t>(04), 87-98.</w:t>
      </w:r>
    </w:p>
    <w:p w14:paraId="1709936F" w14:textId="77777777" w:rsidR="002B1E9A" w:rsidRDefault="002B1E9A" w:rsidP="00630DA9">
      <w:pPr>
        <w:jc w:val="both"/>
      </w:pPr>
      <w:r w:rsidRPr="007406E0">
        <w:t xml:space="preserve">Melnikovas, A. </w:t>
      </w:r>
      <w:r>
        <w:t>(</w:t>
      </w:r>
      <w:r w:rsidRPr="007406E0">
        <w:t>2018</w:t>
      </w:r>
      <w:r>
        <w:t xml:space="preserve">) </w:t>
      </w:r>
      <w:r w:rsidRPr="007406E0">
        <w:t>Towards an Explicit Research Methodology: Adapting Research Onion Model for Futures Studies. </w:t>
      </w:r>
      <w:r w:rsidRPr="004E1028">
        <w:rPr>
          <w:i/>
          <w:iCs/>
        </w:rPr>
        <w:t>Journal of futures Studies</w:t>
      </w:r>
      <w:r w:rsidRPr="007406E0">
        <w:t>, </w:t>
      </w:r>
      <w:r w:rsidRPr="004E1028">
        <w:rPr>
          <w:i/>
          <w:iCs/>
        </w:rPr>
        <w:t>23</w:t>
      </w:r>
      <w:r w:rsidRPr="007406E0">
        <w:t>(2).</w:t>
      </w:r>
    </w:p>
    <w:p w14:paraId="6569BD79" w14:textId="77777777" w:rsidR="002B1E9A" w:rsidRDefault="002B1E9A" w:rsidP="00630DA9">
      <w:pPr>
        <w:jc w:val="both"/>
      </w:pPr>
      <w:proofErr w:type="spellStart"/>
      <w:r w:rsidRPr="009576A4">
        <w:t>Mezmir</w:t>
      </w:r>
      <w:proofErr w:type="spellEnd"/>
      <w:r w:rsidRPr="009576A4">
        <w:t>, E.A.</w:t>
      </w:r>
      <w:r>
        <w:t xml:space="preserve"> (</w:t>
      </w:r>
      <w:r w:rsidRPr="009576A4">
        <w:t>2020</w:t>
      </w:r>
      <w:r>
        <w:t>)</w:t>
      </w:r>
      <w:r w:rsidRPr="009576A4">
        <w:t xml:space="preserve"> Qualitative data analysis: An overview of data reduction, data display, and interpretation. </w:t>
      </w:r>
      <w:r w:rsidRPr="004E1028">
        <w:rPr>
          <w:i/>
          <w:iCs/>
        </w:rPr>
        <w:t>Research on humanities and social sciences</w:t>
      </w:r>
      <w:r w:rsidRPr="009576A4">
        <w:t>, </w:t>
      </w:r>
      <w:r w:rsidRPr="004E1028">
        <w:rPr>
          <w:i/>
          <w:iCs/>
        </w:rPr>
        <w:t>10</w:t>
      </w:r>
      <w:r w:rsidRPr="009576A4">
        <w:t>(21), pp.15-27.</w:t>
      </w:r>
    </w:p>
    <w:p w14:paraId="2496B4FC" w14:textId="77777777" w:rsidR="002B1E9A" w:rsidRDefault="002B1E9A" w:rsidP="00630DA9">
      <w:pPr>
        <w:jc w:val="both"/>
      </w:pPr>
      <w:r w:rsidRPr="0094395F">
        <w:t xml:space="preserve">Miles, D., </w:t>
      </w:r>
      <w:r>
        <w:t xml:space="preserve">and </w:t>
      </w:r>
      <w:r w:rsidRPr="0094395F">
        <w:t>Monro, V. (2021)</w:t>
      </w:r>
      <w:r>
        <w:t xml:space="preserve"> </w:t>
      </w:r>
      <w:r w:rsidRPr="0094395F">
        <w:t>UK house prices and three decades of decline in the risk-free real interest rate. </w:t>
      </w:r>
      <w:r w:rsidRPr="0094395F">
        <w:rPr>
          <w:i/>
          <w:iCs/>
        </w:rPr>
        <w:t>Economic Policy</w:t>
      </w:r>
      <w:r w:rsidRPr="0094395F">
        <w:t>, </w:t>
      </w:r>
      <w:r w:rsidRPr="0094395F">
        <w:rPr>
          <w:i/>
          <w:iCs/>
        </w:rPr>
        <w:t>36</w:t>
      </w:r>
      <w:r w:rsidRPr="0094395F">
        <w:t>(108), 627-684.</w:t>
      </w:r>
    </w:p>
    <w:p w14:paraId="44A9DBD9" w14:textId="77777777" w:rsidR="002B1E9A" w:rsidRDefault="002B1E9A" w:rsidP="00630DA9">
      <w:pPr>
        <w:jc w:val="both"/>
      </w:pPr>
      <w:r w:rsidRPr="00480B62">
        <w:t xml:space="preserve">Miranda-Agrippino, S. and </w:t>
      </w:r>
      <w:proofErr w:type="spellStart"/>
      <w:r w:rsidRPr="00480B62">
        <w:t>Nenova</w:t>
      </w:r>
      <w:proofErr w:type="spellEnd"/>
      <w:r w:rsidRPr="00480B62">
        <w:t xml:space="preserve">, T. </w:t>
      </w:r>
      <w:r>
        <w:t>(</w:t>
      </w:r>
      <w:r w:rsidRPr="00480B62">
        <w:t>2022</w:t>
      </w:r>
      <w:r>
        <w:t>)</w:t>
      </w:r>
      <w:r w:rsidRPr="00480B62">
        <w:t xml:space="preserve"> A tale of two global monetary policies. </w:t>
      </w:r>
      <w:r w:rsidRPr="004E1028">
        <w:rPr>
          <w:i/>
          <w:iCs/>
        </w:rPr>
        <w:t>Journal of International Economics</w:t>
      </w:r>
      <w:r w:rsidRPr="00480B62">
        <w:t>, </w:t>
      </w:r>
      <w:r w:rsidRPr="004E1028">
        <w:rPr>
          <w:i/>
          <w:iCs/>
        </w:rPr>
        <w:t>136</w:t>
      </w:r>
      <w:r w:rsidRPr="00480B62">
        <w:t>, p.103606.</w:t>
      </w:r>
    </w:p>
    <w:p w14:paraId="4363E56E" w14:textId="77777777" w:rsidR="002B1E9A" w:rsidRDefault="002B1E9A" w:rsidP="00630DA9">
      <w:pPr>
        <w:jc w:val="both"/>
      </w:pPr>
      <w:r w:rsidRPr="00084F7F">
        <w:t xml:space="preserve">Miranda-Agrippino, S., </w:t>
      </w:r>
      <w:r>
        <w:t xml:space="preserve">and </w:t>
      </w:r>
      <w:proofErr w:type="spellStart"/>
      <w:r w:rsidRPr="00084F7F">
        <w:t>Nenova</w:t>
      </w:r>
      <w:proofErr w:type="spellEnd"/>
      <w:r w:rsidRPr="00084F7F">
        <w:t>, T. (2022) A tale of two global monetary policies. </w:t>
      </w:r>
      <w:r w:rsidRPr="00084F7F">
        <w:rPr>
          <w:i/>
          <w:iCs/>
        </w:rPr>
        <w:t>Journal of International Economics</w:t>
      </w:r>
      <w:r w:rsidRPr="00084F7F">
        <w:t>, </w:t>
      </w:r>
      <w:r w:rsidRPr="00084F7F">
        <w:rPr>
          <w:i/>
          <w:iCs/>
        </w:rPr>
        <w:t>136</w:t>
      </w:r>
      <w:r w:rsidRPr="00084F7F">
        <w:t>, 103606.</w:t>
      </w:r>
    </w:p>
    <w:p w14:paraId="6A657F61" w14:textId="77777777" w:rsidR="002B1E9A" w:rsidRDefault="002B1E9A" w:rsidP="00630DA9">
      <w:pPr>
        <w:jc w:val="both"/>
      </w:pPr>
      <w:r w:rsidRPr="008451C5">
        <w:t>Nabarro, B. (2022) </w:t>
      </w:r>
      <w:r w:rsidRPr="008451C5">
        <w:rPr>
          <w:i/>
          <w:iCs/>
        </w:rPr>
        <w:t>UK outlook: why we need to do things differently</w:t>
      </w:r>
      <w:r w:rsidRPr="008451C5">
        <w:t> (No. R221). IFS Report.</w:t>
      </w:r>
    </w:p>
    <w:p w14:paraId="52D4A4F2" w14:textId="77777777" w:rsidR="002B1E9A" w:rsidRDefault="002B1E9A" w:rsidP="00630DA9">
      <w:pPr>
        <w:jc w:val="both"/>
      </w:pPr>
      <w:r w:rsidRPr="004E1028">
        <w:t xml:space="preserve">Naeem, M., </w:t>
      </w:r>
      <w:proofErr w:type="spellStart"/>
      <w:r w:rsidRPr="004E1028">
        <w:t>Ozuem</w:t>
      </w:r>
      <w:proofErr w:type="spellEnd"/>
      <w:r w:rsidRPr="004E1028">
        <w:t>, W., Howell, K. and Ranfagni, S.</w:t>
      </w:r>
      <w:r>
        <w:t xml:space="preserve"> (</w:t>
      </w:r>
      <w:r w:rsidRPr="004E1028">
        <w:t>2023</w:t>
      </w:r>
      <w:r>
        <w:t>)</w:t>
      </w:r>
      <w:r w:rsidRPr="004E1028">
        <w:t xml:space="preserve"> A step-by-step process of thematic analysis to develop a conceptual model in qualitative research. </w:t>
      </w:r>
      <w:r w:rsidRPr="004E1028">
        <w:rPr>
          <w:i/>
          <w:iCs/>
        </w:rPr>
        <w:t>International journal of qualitative methods</w:t>
      </w:r>
      <w:r w:rsidRPr="004E1028">
        <w:t>, </w:t>
      </w:r>
      <w:r w:rsidRPr="004E1028">
        <w:rPr>
          <w:i/>
          <w:iCs/>
        </w:rPr>
        <w:t>22</w:t>
      </w:r>
      <w:r w:rsidRPr="004E1028">
        <w:t>, p.16094069231205789.</w:t>
      </w:r>
    </w:p>
    <w:p w14:paraId="42C8C9A8" w14:textId="77777777" w:rsidR="002B1E9A" w:rsidRDefault="002B1E9A" w:rsidP="00630DA9">
      <w:pPr>
        <w:jc w:val="both"/>
      </w:pPr>
      <w:r w:rsidRPr="00E32D3E">
        <w:lastRenderedPageBreak/>
        <w:t xml:space="preserve">Naidoo, T., </w:t>
      </w:r>
      <w:proofErr w:type="spellStart"/>
      <w:r w:rsidRPr="00E32D3E">
        <w:t>Moores</w:t>
      </w:r>
      <w:proofErr w:type="spellEnd"/>
      <w:r w:rsidRPr="00E32D3E">
        <w:t xml:space="preserve">-Pitt, P., </w:t>
      </w:r>
      <w:proofErr w:type="spellStart"/>
      <w:r w:rsidRPr="00E32D3E">
        <w:t>Muzindutsi</w:t>
      </w:r>
      <w:proofErr w:type="spellEnd"/>
      <w:r w:rsidRPr="00E32D3E">
        <w:t xml:space="preserve">, P. F., </w:t>
      </w:r>
      <w:r>
        <w:t xml:space="preserve">and </w:t>
      </w:r>
      <w:r w:rsidRPr="00E32D3E">
        <w:t>O Isah, K. (2025) Analysing investor sentiment and stock market volatility of the JSE size-based indices: a GARCH-MIDAS approach. </w:t>
      </w:r>
      <w:r w:rsidRPr="00E32D3E">
        <w:rPr>
          <w:i/>
          <w:iCs/>
        </w:rPr>
        <w:t>Risk Management</w:t>
      </w:r>
      <w:r w:rsidRPr="00E32D3E">
        <w:t>, </w:t>
      </w:r>
      <w:r w:rsidRPr="00E32D3E">
        <w:rPr>
          <w:i/>
          <w:iCs/>
        </w:rPr>
        <w:t>27</w:t>
      </w:r>
      <w:r w:rsidRPr="00E32D3E">
        <w:t>(3), 14.</w:t>
      </w:r>
    </w:p>
    <w:p w14:paraId="2BED0188" w14:textId="77777777" w:rsidR="002B1E9A" w:rsidRDefault="002B1E9A" w:rsidP="00630DA9">
      <w:pPr>
        <w:jc w:val="both"/>
      </w:pPr>
      <w:proofErr w:type="spellStart"/>
      <w:r w:rsidRPr="00480B62">
        <w:t>Neifar</w:t>
      </w:r>
      <w:proofErr w:type="spellEnd"/>
      <w:r w:rsidRPr="00480B62">
        <w:t xml:space="preserve">, M. and </w:t>
      </w:r>
      <w:proofErr w:type="spellStart"/>
      <w:r w:rsidRPr="00480B62">
        <w:t>Harzallah</w:t>
      </w:r>
      <w:proofErr w:type="spellEnd"/>
      <w:r w:rsidRPr="00480B62">
        <w:t>, A.</w:t>
      </w:r>
      <w:r>
        <w:t xml:space="preserve"> (</w:t>
      </w:r>
      <w:r w:rsidRPr="00480B62">
        <w:t>2024</w:t>
      </w:r>
      <w:r>
        <w:t>)</w:t>
      </w:r>
      <w:r w:rsidRPr="00480B62">
        <w:t xml:space="preserve"> The Fisher’s hedge hypothesis: what about homogeneity and stability </w:t>
      </w:r>
      <w:proofErr w:type="gramStart"/>
      <w:r w:rsidRPr="00480B62">
        <w:t>properties?.</w:t>
      </w:r>
      <w:proofErr w:type="gramEnd"/>
      <w:r w:rsidRPr="00480B62">
        <w:t> </w:t>
      </w:r>
      <w:r w:rsidRPr="004E1028">
        <w:rPr>
          <w:i/>
          <w:iCs/>
        </w:rPr>
        <w:t xml:space="preserve">Journal of Derivatives and Quantitative Studies: </w:t>
      </w:r>
      <w:r w:rsidRPr="004E1028">
        <w:rPr>
          <w:rFonts w:ascii="Batang" w:eastAsia="Batang" w:hAnsi="Batang" w:cs="Batang" w:hint="eastAsia"/>
          <w:i/>
          <w:iCs/>
        </w:rPr>
        <w:t>선물연구</w:t>
      </w:r>
      <w:r w:rsidRPr="00480B62">
        <w:t>, </w:t>
      </w:r>
      <w:r w:rsidRPr="004E1028">
        <w:rPr>
          <w:i/>
          <w:iCs/>
        </w:rPr>
        <w:t>32</w:t>
      </w:r>
      <w:r w:rsidRPr="00480B62">
        <w:t>(4), pp.344-370.</w:t>
      </w:r>
    </w:p>
    <w:p w14:paraId="3E608D88" w14:textId="77777777" w:rsidR="002B1E9A" w:rsidRDefault="002B1E9A" w:rsidP="00630DA9">
      <w:pPr>
        <w:jc w:val="both"/>
      </w:pPr>
      <w:r w:rsidRPr="0094395F">
        <w:t xml:space="preserve">Nukala, V. B., </w:t>
      </w:r>
      <w:r>
        <w:t xml:space="preserve">and </w:t>
      </w:r>
      <w:r w:rsidRPr="0094395F">
        <w:t>Prasada Rao, S. S. (2021)</w:t>
      </w:r>
      <w:r>
        <w:t xml:space="preserve"> </w:t>
      </w:r>
      <w:r w:rsidRPr="0094395F">
        <w:t>Role of debt-to-equity ratio in project investment valuation, assessing risk and return in capital markets. </w:t>
      </w:r>
      <w:r w:rsidRPr="0094395F">
        <w:rPr>
          <w:i/>
          <w:iCs/>
        </w:rPr>
        <w:t>Future Business Journal</w:t>
      </w:r>
      <w:r w:rsidRPr="0094395F">
        <w:t>, </w:t>
      </w:r>
      <w:r w:rsidRPr="0094395F">
        <w:rPr>
          <w:i/>
          <w:iCs/>
        </w:rPr>
        <w:t>7</w:t>
      </w:r>
      <w:r w:rsidRPr="0094395F">
        <w:t>(1), 13.</w:t>
      </w:r>
    </w:p>
    <w:p w14:paraId="19226D0E" w14:textId="77777777" w:rsidR="002B1E9A" w:rsidRPr="00F82C8E" w:rsidRDefault="002B1E9A" w:rsidP="00630DA9">
      <w:pPr>
        <w:jc w:val="both"/>
      </w:pPr>
      <w:r w:rsidRPr="00084F7F">
        <w:t>Odlyzko, A. (2025) The 1825 Crisis and Bank of England as Lender of Last Resort. </w:t>
      </w:r>
      <w:r w:rsidRPr="00084F7F">
        <w:rPr>
          <w:i/>
          <w:iCs/>
        </w:rPr>
        <w:t>Available at SSRN</w:t>
      </w:r>
      <w:r w:rsidRPr="00084F7F">
        <w:t>.</w:t>
      </w:r>
    </w:p>
    <w:p w14:paraId="58BE72F9" w14:textId="77777777" w:rsidR="002B1E9A" w:rsidRDefault="002B1E9A" w:rsidP="00630DA9">
      <w:pPr>
        <w:jc w:val="both"/>
      </w:pPr>
      <w:r w:rsidRPr="007406E0">
        <w:t>Okoli, C.</w:t>
      </w:r>
      <w:r>
        <w:t xml:space="preserve"> (</w:t>
      </w:r>
      <w:r w:rsidRPr="007406E0">
        <w:t>2023</w:t>
      </w:r>
      <w:r>
        <w:t>)</w:t>
      </w:r>
      <w:r w:rsidRPr="007406E0">
        <w:t xml:space="preserve"> Inductive, abductive and deductive theorising. </w:t>
      </w:r>
      <w:r w:rsidRPr="004E1028">
        <w:rPr>
          <w:i/>
          <w:iCs/>
        </w:rPr>
        <w:t>International Journal of Management Concepts and Philosophy</w:t>
      </w:r>
      <w:r w:rsidRPr="007406E0">
        <w:t>, </w:t>
      </w:r>
      <w:r w:rsidRPr="004E1028">
        <w:rPr>
          <w:i/>
          <w:iCs/>
        </w:rPr>
        <w:t>16</w:t>
      </w:r>
      <w:r w:rsidRPr="007406E0">
        <w:t>(3), pp.302-316.</w:t>
      </w:r>
    </w:p>
    <w:p w14:paraId="1D4D9FD6" w14:textId="77777777" w:rsidR="002B1E9A" w:rsidRDefault="002B1E9A" w:rsidP="00630DA9">
      <w:pPr>
        <w:jc w:val="both"/>
      </w:pPr>
      <w:r w:rsidRPr="009576A4">
        <w:t xml:space="preserve">Olabode, S.O., </w:t>
      </w:r>
      <w:proofErr w:type="spellStart"/>
      <w:r w:rsidRPr="009576A4">
        <w:t>Olateju</w:t>
      </w:r>
      <w:proofErr w:type="spellEnd"/>
      <w:r w:rsidRPr="009576A4">
        <w:t xml:space="preserve">, O.I. and Bakare, A.A. </w:t>
      </w:r>
      <w:r>
        <w:t>(</w:t>
      </w:r>
      <w:r w:rsidRPr="009576A4">
        <w:t>2019</w:t>
      </w:r>
      <w:r>
        <w:t>)</w:t>
      </w:r>
      <w:r w:rsidRPr="009576A4">
        <w:t xml:space="preserve"> An assessment of the reliability of secondary data in management science research. </w:t>
      </w:r>
      <w:r w:rsidRPr="004E1028">
        <w:rPr>
          <w:i/>
          <w:iCs/>
        </w:rPr>
        <w:t>International Journal of Business and Management Review</w:t>
      </w:r>
      <w:r w:rsidRPr="009576A4">
        <w:t>, </w:t>
      </w:r>
      <w:r w:rsidRPr="004E1028">
        <w:rPr>
          <w:i/>
          <w:iCs/>
        </w:rPr>
        <w:t>7</w:t>
      </w:r>
      <w:r w:rsidRPr="009576A4">
        <w:t>(3), pp.27-43.</w:t>
      </w:r>
    </w:p>
    <w:p w14:paraId="45F9A55D" w14:textId="77777777" w:rsidR="002B1E9A" w:rsidRDefault="002B1E9A" w:rsidP="00630DA9">
      <w:pPr>
        <w:jc w:val="both"/>
      </w:pPr>
      <w:r w:rsidRPr="00A0150F">
        <w:t>Pantos, S.</w:t>
      </w:r>
      <w:r>
        <w:t xml:space="preserve"> (</w:t>
      </w:r>
      <w:r w:rsidRPr="00A0150F">
        <w:t>2023</w:t>
      </w:r>
      <w:r>
        <w:t>)</w:t>
      </w:r>
      <w:r w:rsidRPr="00A0150F">
        <w:t xml:space="preserve"> Designing stress tests for </w:t>
      </w:r>
      <w:proofErr w:type="spellStart"/>
      <w:r w:rsidRPr="00A0150F">
        <w:t>uk</w:t>
      </w:r>
      <w:proofErr w:type="spellEnd"/>
      <w:r w:rsidRPr="00A0150F">
        <w:t xml:space="preserve"> fast-growing firms and fintech. </w:t>
      </w:r>
      <w:r w:rsidRPr="00A0150F">
        <w:rPr>
          <w:i/>
          <w:iCs/>
        </w:rPr>
        <w:t>Risks</w:t>
      </w:r>
      <w:r w:rsidRPr="00A0150F">
        <w:t>, </w:t>
      </w:r>
      <w:r w:rsidRPr="00A0150F">
        <w:rPr>
          <w:i/>
          <w:iCs/>
        </w:rPr>
        <w:t>11</w:t>
      </w:r>
      <w:r w:rsidRPr="00A0150F">
        <w:t>(2), p.31.</w:t>
      </w:r>
    </w:p>
    <w:p w14:paraId="1549CBB6" w14:textId="77777777" w:rsidR="002B1E9A" w:rsidRDefault="002B1E9A" w:rsidP="00630DA9">
      <w:pPr>
        <w:jc w:val="both"/>
      </w:pPr>
      <w:r w:rsidRPr="007406E0">
        <w:t>Pervin, N. and Mokhtar, M.</w:t>
      </w:r>
      <w:r>
        <w:t xml:space="preserve"> (</w:t>
      </w:r>
      <w:r w:rsidRPr="007406E0">
        <w:t>2022</w:t>
      </w:r>
      <w:r>
        <w:t>)</w:t>
      </w:r>
      <w:r w:rsidRPr="007406E0">
        <w:t xml:space="preserve"> The interpretivist research paradigm: A subjective notion of a social context. </w:t>
      </w:r>
      <w:r w:rsidRPr="004E1028">
        <w:rPr>
          <w:i/>
          <w:iCs/>
        </w:rPr>
        <w:t>International Journal of Academic Research in Progressive Education and Development</w:t>
      </w:r>
      <w:r w:rsidRPr="007406E0">
        <w:t>, </w:t>
      </w:r>
      <w:r w:rsidRPr="004E1028">
        <w:rPr>
          <w:i/>
          <w:iCs/>
        </w:rPr>
        <w:t>11</w:t>
      </w:r>
      <w:r w:rsidRPr="007406E0">
        <w:t>(2), pp.419-428.</w:t>
      </w:r>
    </w:p>
    <w:p w14:paraId="4B18C04F" w14:textId="77777777" w:rsidR="002B1E9A" w:rsidRPr="00F82C8E" w:rsidRDefault="002B1E9A" w:rsidP="00630DA9">
      <w:pPr>
        <w:jc w:val="both"/>
      </w:pPr>
      <w:r w:rsidRPr="0094395F">
        <w:t>Rajan, R. (2023)</w:t>
      </w:r>
      <w:r>
        <w:t xml:space="preserve"> </w:t>
      </w:r>
      <w:r w:rsidRPr="0094395F">
        <w:rPr>
          <w:i/>
          <w:iCs/>
        </w:rPr>
        <w:t>Monetary policy and its unintended consequences</w:t>
      </w:r>
      <w:r w:rsidRPr="0094395F">
        <w:t>. MIT Press.</w:t>
      </w:r>
    </w:p>
    <w:p w14:paraId="0F968393" w14:textId="77777777" w:rsidR="002B1E9A" w:rsidRDefault="002B1E9A" w:rsidP="00630DA9">
      <w:pPr>
        <w:jc w:val="both"/>
      </w:pPr>
      <w:r w:rsidRPr="00E32D3E">
        <w:t xml:space="preserve">Rashad, T., Zaman, K., Khan, H. U. R., </w:t>
      </w:r>
      <w:r>
        <w:t xml:space="preserve">and </w:t>
      </w:r>
      <w:r w:rsidRPr="00E32D3E">
        <w:t>Rashid, A. (2022) Evaluating the economic and environmental repercussions of the price paradox in natural resource commodities: Market drivers and potential challenges for sustainable development. </w:t>
      </w:r>
      <w:r w:rsidRPr="00E32D3E">
        <w:rPr>
          <w:i/>
          <w:iCs/>
        </w:rPr>
        <w:t>Commodities</w:t>
      </w:r>
      <w:r w:rsidRPr="00E32D3E">
        <w:t>, </w:t>
      </w:r>
      <w:r w:rsidRPr="00E32D3E">
        <w:rPr>
          <w:i/>
          <w:iCs/>
        </w:rPr>
        <w:t>1</w:t>
      </w:r>
      <w:r w:rsidRPr="00E32D3E">
        <w:t>(2), 127-151.</w:t>
      </w:r>
    </w:p>
    <w:p w14:paraId="1C424EF5" w14:textId="77777777" w:rsidR="002B1E9A" w:rsidRDefault="002B1E9A" w:rsidP="00630DA9">
      <w:pPr>
        <w:jc w:val="both"/>
      </w:pPr>
      <w:r w:rsidRPr="009576A4">
        <w:t xml:space="preserve">Rogge, A., Anter, L., Kunze, D., </w:t>
      </w:r>
      <w:proofErr w:type="spellStart"/>
      <w:r w:rsidRPr="009576A4">
        <w:t>Pomsel</w:t>
      </w:r>
      <w:proofErr w:type="spellEnd"/>
      <w:r w:rsidRPr="009576A4">
        <w:t xml:space="preserve">, K. and Willenbrock, G. </w:t>
      </w:r>
      <w:r>
        <w:t>(</w:t>
      </w:r>
      <w:r w:rsidRPr="009576A4">
        <w:t>2024</w:t>
      </w:r>
      <w:r>
        <w:t>)</w:t>
      </w:r>
      <w:r w:rsidRPr="009576A4">
        <w:t xml:space="preserve"> Standardized sampling for systematic literature reviews (STAMP method): ensuring reproducibility and replicability. </w:t>
      </w:r>
      <w:r w:rsidRPr="004E1028">
        <w:rPr>
          <w:i/>
          <w:iCs/>
        </w:rPr>
        <w:t>Media and Communication</w:t>
      </w:r>
      <w:r w:rsidRPr="009576A4">
        <w:t>, </w:t>
      </w:r>
      <w:r w:rsidRPr="004E1028">
        <w:rPr>
          <w:i/>
          <w:iCs/>
        </w:rPr>
        <w:t>12</w:t>
      </w:r>
      <w:r w:rsidRPr="009576A4">
        <w:t>.</w:t>
      </w:r>
    </w:p>
    <w:p w14:paraId="36DBDB74" w14:textId="77777777" w:rsidR="002B1E9A" w:rsidRPr="005904DC" w:rsidRDefault="002B1E9A" w:rsidP="00630DA9">
      <w:pPr>
        <w:jc w:val="both"/>
        <w:rPr>
          <w:rFonts w:asciiTheme="majorBidi" w:hAnsiTheme="majorBidi" w:cstheme="majorBidi"/>
        </w:rPr>
      </w:pPr>
      <w:r w:rsidRPr="005904DC">
        <w:rPr>
          <w:rFonts w:asciiTheme="majorBidi" w:hAnsiTheme="majorBidi" w:cstheme="majorBidi"/>
        </w:rPr>
        <w:t>Sharma, K.S. and Sinha, U.P. (2025) </w:t>
      </w:r>
      <w:r w:rsidRPr="005904DC">
        <w:rPr>
          <w:rFonts w:asciiTheme="majorBidi" w:hAnsiTheme="majorBidi" w:cstheme="majorBidi"/>
          <w:i/>
          <w:iCs/>
        </w:rPr>
        <w:t xml:space="preserve">Navigating </w:t>
      </w:r>
      <w:proofErr w:type="gramStart"/>
      <w:r w:rsidRPr="005904DC">
        <w:rPr>
          <w:rFonts w:asciiTheme="majorBidi" w:hAnsiTheme="majorBidi" w:cstheme="majorBidi"/>
          <w:i/>
          <w:iCs/>
        </w:rPr>
        <w:t>The</w:t>
      </w:r>
      <w:proofErr w:type="gramEnd"/>
      <w:r w:rsidRPr="005904DC">
        <w:rPr>
          <w:rFonts w:asciiTheme="majorBidi" w:hAnsiTheme="majorBidi" w:cstheme="majorBidi"/>
          <w:i/>
          <w:iCs/>
        </w:rPr>
        <w:t xml:space="preserve"> Inflation Surge: Economic Insights and Solutions</w:t>
      </w:r>
      <w:r w:rsidRPr="005904DC">
        <w:rPr>
          <w:rFonts w:asciiTheme="majorBidi" w:hAnsiTheme="majorBidi" w:cstheme="majorBidi"/>
        </w:rPr>
        <w:t>. Concept Publishing Company.</w:t>
      </w:r>
    </w:p>
    <w:p w14:paraId="2B7ED1CD" w14:textId="77777777" w:rsidR="002B1E9A" w:rsidRDefault="002B1E9A" w:rsidP="00630DA9">
      <w:pPr>
        <w:jc w:val="both"/>
        <w:rPr>
          <w:rFonts w:asciiTheme="majorBidi" w:hAnsiTheme="majorBidi" w:cstheme="majorBidi"/>
        </w:rPr>
      </w:pPr>
      <w:r w:rsidRPr="005904DC">
        <w:rPr>
          <w:rFonts w:asciiTheme="majorBidi" w:hAnsiTheme="majorBidi" w:cstheme="majorBidi"/>
        </w:rPr>
        <w:lastRenderedPageBreak/>
        <w:t>Shchapov, I. (2024) Monetary Tightening, Quantitative Easing, and Financial Stability. </w:t>
      </w:r>
      <w:r w:rsidRPr="005904DC">
        <w:rPr>
          <w:rFonts w:asciiTheme="majorBidi" w:hAnsiTheme="majorBidi" w:cstheme="majorBidi"/>
          <w:i/>
          <w:iCs/>
        </w:rPr>
        <w:t>Quantitative Easing, and Financial Stability (August 16, 2024)</w:t>
      </w:r>
      <w:r w:rsidRPr="005904DC">
        <w:rPr>
          <w:rFonts w:asciiTheme="majorBidi" w:hAnsiTheme="majorBidi" w:cstheme="majorBidi"/>
        </w:rPr>
        <w:t>.</w:t>
      </w:r>
    </w:p>
    <w:p w14:paraId="3B436516" w14:textId="77777777" w:rsidR="002B1E9A" w:rsidRDefault="002B1E9A" w:rsidP="00630DA9">
      <w:pPr>
        <w:jc w:val="both"/>
      </w:pPr>
      <w:r w:rsidRPr="00B705AA">
        <w:t>Shirakawa, M. (2021)</w:t>
      </w:r>
      <w:r>
        <w:t xml:space="preserve"> </w:t>
      </w:r>
      <w:r w:rsidRPr="00B705AA">
        <w:rPr>
          <w:i/>
          <w:iCs/>
        </w:rPr>
        <w:t>Tumultuous times: Central banking in an era of crisis</w:t>
      </w:r>
      <w:r w:rsidRPr="00B705AA">
        <w:t>. Yale University Press.</w:t>
      </w:r>
    </w:p>
    <w:p w14:paraId="2389DF00" w14:textId="77777777" w:rsidR="002B1E9A" w:rsidRDefault="002B1E9A" w:rsidP="00630DA9">
      <w:pPr>
        <w:jc w:val="both"/>
      </w:pPr>
      <w:r w:rsidRPr="007406E0">
        <w:t xml:space="preserve">Su, N. </w:t>
      </w:r>
      <w:r>
        <w:t>(</w:t>
      </w:r>
      <w:r w:rsidRPr="007406E0">
        <w:t>2018</w:t>
      </w:r>
      <w:r>
        <w:t>)</w:t>
      </w:r>
      <w:r w:rsidRPr="007406E0">
        <w:t xml:space="preserve"> Positivist qualitative methods. </w:t>
      </w:r>
      <w:r w:rsidRPr="004E1028">
        <w:rPr>
          <w:i/>
          <w:iCs/>
        </w:rPr>
        <w:t>The Sage Handbook of Qualitative Business and Management Research Methods. London: Sage Publications Ltd</w:t>
      </w:r>
      <w:r w:rsidRPr="007406E0">
        <w:t>, pp.17-32.</w:t>
      </w:r>
    </w:p>
    <w:p w14:paraId="7B3CCCF3" w14:textId="77777777" w:rsidR="002B1E9A" w:rsidRDefault="002B1E9A" w:rsidP="00630DA9">
      <w:pPr>
        <w:jc w:val="both"/>
      </w:pPr>
      <w:r w:rsidRPr="008451C5">
        <w:t>Taheri Hosseinkhani, N. (2025)</w:t>
      </w:r>
      <w:r>
        <w:t xml:space="preserve"> </w:t>
      </w:r>
      <w:r w:rsidRPr="008451C5">
        <w:t>Comprehensive Analysis of Carbon Taxation and Emission Trading Systems: Design, Implementation, and Impacts. </w:t>
      </w:r>
      <w:r w:rsidRPr="008451C5">
        <w:rPr>
          <w:i/>
          <w:iCs/>
        </w:rPr>
        <w:t>Implementation, and Impacts (September 18, 2025)</w:t>
      </w:r>
      <w:r w:rsidRPr="008451C5">
        <w:t>.</w:t>
      </w:r>
    </w:p>
    <w:p w14:paraId="668F9131" w14:textId="77777777" w:rsidR="002B1E9A" w:rsidRDefault="002B1E9A" w:rsidP="00630DA9">
      <w:pPr>
        <w:jc w:val="both"/>
      </w:pPr>
      <w:proofErr w:type="spellStart"/>
      <w:r w:rsidRPr="004E1028">
        <w:t>Thiruma</w:t>
      </w:r>
      <w:proofErr w:type="spellEnd"/>
      <w:r w:rsidRPr="004E1028">
        <w:t xml:space="preserve"> Valavan, A. </w:t>
      </w:r>
      <w:r>
        <w:t>(</w:t>
      </w:r>
      <w:r w:rsidRPr="004E1028">
        <w:t>2023</w:t>
      </w:r>
      <w:r>
        <w:t>)</w:t>
      </w:r>
      <w:r w:rsidRPr="004E1028">
        <w:t xml:space="preserve"> AI Ethics and Bias: Exploratory study on the ethical considerations and potential biases in ai and data-driven decision-making in banking, with a focus on fairness, transparency, and accountability. </w:t>
      </w:r>
      <w:r w:rsidRPr="004E1028">
        <w:rPr>
          <w:i/>
          <w:iCs/>
        </w:rPr>
        <w:t>World Journal of Advanced Research and Reviews</w:t>
      </w:r>
      <w:r w:rsidRPr="004E1028">
        <w:t>, </w:t>
      </w:r>
      <w:r w:rsidRPr="004E1028">
        <w:rPr>
          <w:i/>
          <w:iCs/>
        </w:rPr>
        <w:t>20</w:t>
      </w:r>
      <w:r w:rsidRPr="004E1028">
        <w:t>(2), pp.197-206.</w:t>
      </w:r>
    </w:p>
    <w:p w14:paraId="2CC1FC03" w14:textId="77777777" w:rsidR="002B1E9A" w:rsidRDefault="002B1E9A" w:rsidP="00630DA9">
      <w:pPr>
        <w:jc w:val="both"/>
      </w:pPr>
      <w:r>
        <w:rPr>
          <w:lang w:val="en-US"/>
        </w:rPr>
        <w:t xml:space="preserve">Trading Economics. (2026) </w:t>
      </w:r>
      <w:r w:rsidRPr="002B1E9A">
        <w:rPr>
          <w:i/>
          <w:iCs/>
          <w:lang w:val="en-US"/>
        </w:rPr>
        <w:t>United Kingdom Stock Market Index (GB 100).</w:t>
      </w:r>
      <w:r>
        <w:rPr>
          <w:lang w:val="en-US"/>
        </w:rPr>
        <w:t xml:space="preserve"> [online]. Available at:</w:t>
      </w:r>
      <w:r>
        <w:rPr>
          <w:b/>
          <w:bCs/>
          <w:lang w:val="en-US"/>
        </w:rPr>
        <w:t xml:space="preserve"> </w:t>
      </w:r>
      <w:hyperlink r:id="rId20" w:history="1">
        <w:r w:rsidRPr="00C24C8E">
          <w:rPr>
            <w:rStyle w:val="Hyperlink"/>
          </w:rPr>
          <w:t>https://tradingeconomics.com/united-kingdom/stock-market</w:t>
        </w:r>
      </w:hyperlink>
      <w:r>
        <w:t xml:space="preserve"> [Accessed on: 20</w:t>
      </w:r>
      <w:r w:rsidRPr="002B1E9A">
        <w:rPr>
          <w:vertAlign w:val="superscript"/>
        </w:rPr>
        <w:t>th</w:t>
      </w:r>
      <w:r>
        <w:t xml:space="preserve"> January, 2026]</w:t>
      </w:r>
    </w:p>
    <w:p w14:paraId="28EDD88E" w14:textId="77777777" w:rsidR="002B1E9A" w:rsidRDefault="002B1E9A" w:rsidP="00630DA9">
      <w:pPr>
        <w:jc w:val="both"/>
      </w:pPr>
      <w:r w:rsidRPr="0094395F">
        <w:t xml:space="preserve">Vik, P. M., Curtis, J., </w:t>
      </w:r>
      <w:r>
        <w:t xml:space="preserve">and </w:t>
      </w:r>
      <w:r w:rsidRPr="0094395F">
        <w:t>Dayson, K. T. (2023)</w:t>
      </w:r>
      <w:r>
        <w:t xml:space="preserve"> </w:t>
      </w:r>
      <w:r w:rsidRPr="0094395F">
        <w:t>The impact of COVID-19 on UK community finance institutions–Implications for local economic development. </w:t>
      </w:r>
      <w:r w:rsidRPr="0094395F">
        <w:rPr>
          <w:i/>
          <w:iCs/>
        </w:rPr>
        <w:t>Local Economy</w:t>
      </w:r>
      <w:r w:rsidRPr="0094395F">
        <w:t>, </w:t>
      </w:r>
      <w:r w:rsidRPr="0094395F">
        <w:rPr>
          <w:i/>
          <w:iCs/>
        </w:rPr>
        <w:t>38</w:t>
      </w:r>
      <w:r w:rsidRPr="0094395F">
        <w:t>(5), 423-442.</w:t>
      </w:r>
    </w:p>
    <w:p w14:paraId="479994C7" w14:textId="77777777" w:rsidR="002B1E9A" w:rsidRDefault="002B1E9A" w:rsidP="00630DA9">
      <w:pPr>
        <w:jc w:val="both"/>
      </w:pPr>
      <w:r w:rsidRPr="007406E0">
        <w:t>Vivek, R. and Nanthagopan, Y.</w:t>
      </w:r>
      <w:r>
        <w:t xml:space="preserve"> (</w:t>
      </w:r>
      <w:r w:rsidRPr="007406E0">
        <w:t>2021</w:t>
      </w:r>
      <w:r>
        <w:t>)</w:t>
      </w:r>
      <w:r w:rsidRPr="007406E0">
        <w:t xml:space="preserve"> Multi Method Qualitative Research Study in Management.</w:t>
      </w:r>
    </w:p>
    <w:p w14:paraId="69ED8449" w14:textId="77777777" w:rsidR="002B1E9A" w:rsidRDefault="002B1E9A" w:rsidP="00630DA9">
      <w:pPr>
        <w:jc w:val="both"/>
      </w:pPr>
      <w:r w:rsidRPr="009576A4">
        <w:t>Wankhade, A.</w:t>
      </w:r>
      <w:r>
        <w:t xml:space="preserve"> (</w:t>
      </w:r>
      <w:r w:rsidRPr="009576A4">
        <w:t>2025</w:t>
      </w:r>
      <w:r>
        <w:t>)</w:t>
      </w:r>
      <w:r w:rsidRPr="009576A4">
        <w:t xml:space="preserve"> Stock Market Volatility: From Causes to Consequences. </w:t>
      </w:r>
      <w:r w:rsidRPr="004E1028">
        <w:rPr>
          <w:i/>
          <w:iCs/>
        </w:rPr>
        <w:t>Available at SSRN 5882182</w:t>
      </w:r>
      <w:r w:rsidRPr="009576A4">
        <w:t>.</w:t>
      </w:r>
    </w:p>
    <w:p w14:paraId="57F8D73C" w14:textId="77777777" w:rsidR="002B1E9A" w:rsidRDefault="002B1E9A" w:rsidP="00630DA9">
      <w:pPr>
        <w:jc w:val="both"/>
      </w:pPr>
      <w:r w:rsidRPr="00E32D3E">
        <w:t xml:space="preserve">White, W. R. (2021) It’s Worse </w:t>
      </w:r>
      <w:proofErr w:type="spellStart"/>
      <w:r w:rsidRPr="00E32D3E">
        <w:t>than'Reverse</w:t>
      </w:r>
      <w:proofErr w:type="spellEnd"/>
      <w:r w:rsidRPr="00E32D3E">
        <w:t>': The Full Case Against Ultra Low and Negative Interest Rates. </w:t>
      </w:r>
      <w:r w:rsidRPr="00E32D3E">
        <w:rPr>
          <w:i/>
          <w:iCs/>
        </w:rPr>
        <w:t>Institute for New Economic Thinking Working Paper Series</w:t>
      </w:r>
      <w:r w:rsidRPr="00E32D3E">
        <w:t>, (151).</w:t>
      </w:r>
    </w:p>
    <w:p w14:paraId="0065F629" w14:textId="77777777" w:rsidR="002B1E9A" w:rsidRDefault="002B1E9A" w:rsidP="00630DA9">
      <w:pPr>
        <w:jc w:val="both"/>
      </w:pPr>
      <w:r w:rsidRPr="00B705AA">
        <w:t xml:space="preserve">Xie, X., Jin, X., Wei, G., </w:t>
      </w:r>
      <w:r>
        <w:t xml:space="preserve">and </w:t>
      </w:r>
      <w:r w:rsidRPr="00B705AA">
        <w:t>Chang, C. T. (2023) Monitoring and early warning of SMEs’ shutdown risk under the impact of global pandemic shock. </w:t>
      </w:r>
      <w:r w:rsidRPr="00B705AA">
        <w:rPr>
          <w:i/>
          <w:iCs/>
        </w:rPr>
        <w:t>Systems</w:t>
      </w:r>
      <w:r w:rsidRPr="00B705AA">
        <w:t>, </w:t>
      </w:r>
      <w:r w:rsidRPr="00B705AA">
        <w:rPr>
          <w:i/>
          <w:iCs/>
        </w:rPr>
        <w:t>11</w:t>
      </w:r>
      <w:r w:rsidRPr="00B705AA">
        <w:t>(5), 260.</w:t>
      </w:r>
    </w:p>
    <w:p w14:paraId="62A142CE" w14:textId="77777777" w:rsidR="002B1E9A" w:rsidRDefault="002B1E9A" w:rsidP="00630DA9">
      <w:pPr>
        <w:jc w:val="both"/>
      </w:pPr>
      <w:proofErr w:type="spellStart"/>
      <w:r w:rsidRPr="00070A8C">
        <w:t>Xiuzhen</w:t>
      </w:r>
      <w:proofErr w:type="spellEnd"/>
      <w:r w:rsidRPr="00070A8C">
        <w:t xml:space="preserve">, X., Zheng, W., </w:t>
      </w:r>
      <w:r>
        <w:t xml:space="preserve">and </w:t>
      </w:r>
      <w:r w:rsidRPr="00070A8C">
        <w:t>Umair, M. (2022) Testing the fluctuations of oil resource price volatility: a hurdle for economic recovery. </w:t>
      </w:r>
      <w:r w:rsidRPr="00070A8C">
        <w:rPr>
          <w:i/>
          <w:iCs/>
        </w:rPr>
        <w:t>Resources Policy</w:t>
      </w:r>
      <w:r w:rsidRPr="00070A8C">
        <w:t>, </w:t>
      </w:r>
      <w:r w:rsidRPr="00070A8C">
        <w:rPr>
          <w:i/>
          <w:iCs/>
        </w:rPr>
        <w:t>79</w:t>
      </w:r>
      <w:r w:rsidRPr="00070A8C">
        <w:t>, 102982.</w:t>
      </w:r>
    </w:p>
    <w:p w14:paraId="5F8CD6B7" w14:textId="77777777" w:rsidR="002B1E9A" w:rsidRDefault="002B1E9A" w:rsidP="00630DA9">
      <w:pPr>
        <w:jc w:val="both"/>
      </w:pPr>
      <w:r w:rsidRPr="00070A8C">
        <w:t xml:space="preserve">Yeter, B., </w:t>
      </w:r>
      <w:proofErr w:type="spellStart"/>
      <w:r w:rsidRPr="00070A8C">
        <w:t>Garbatov</w:t>
      </w:r>
      <w:proofErr w:type="spellEnd"/>
      <w:r w:rsidRPr="00070A8C">
        <w:t xml:space="preserve">, Y., Brennan, F., </w:t>
      </w:r>
      <w:r>
        <w:t xml:space="preserve">and </w:t>
      </w:r>
      <w:r w:rsidRPr="00070A8C">
        <w:t>Kolios, A. (2023)</w:t>
      </w:r>
      <w:r>
        <w:t xml:space="preserve"> </w:t>
      </w:r>
      <w:r w:rsidRPr="00070A8C">
        <w:t>Macroeconomic impact on the risk management of offshore wind farms. </w:t>
      </w:r>
      <w:r w:rsidRPr="00070A8C">
        <w:rPr>
          <w:i/>
          <w:iCs/>
        </w:rPr>
        <w:t>Ocean Engineering</w:t>
      </w:r>
      <w:r w:rsidRPr="00070A8C">
        <w:t>, </w:t>
      </w:r>
      <w:r w:rsidRPr="00070A8C">
        <w:rPr>
          <w:i/>
          <w:iCs/>
        </w:rPr>
        <w:t>284</w:t>
      </w:r>
      <w:r w:rsidRPr="00070A8C">
        <w:t>, 115224.</w:t>
      </w:r>
    </w:p>
    <w:p w14:paraId="391618B3" w14:textId="77777777" w:rsidR="002B1E9A" w:rsidRDefault="002B1E9A" w:rsidP="00630DA9">
      <w:pPr>
        <w:jc w:val="both"/>
      </w:pPr>
      <w:proofErr w:type="spellStart"/>
      <w:r w:rsidRPr="007406E0">
        <w:lastRenderedPageBreak/>
        <w:t>Yuwono</w:t>
      </w:r>
      <w:proofErr w:type="spellEnd"/>
      <w:r w:rsidRPr="007406E0">
        <w:t xml:space="preserve">, M.A. and Rachmawati, D. </w:t>
      </w:r>
      <w:r>
        <w:t>(</w:t>
      </w:r>
      <w:r w:rsidRPr="007406E0">
        <w:t>2023</w:t>
      </w:r>
      <w:r>
        <w:t>)</w:t>
      </w:r>
      <w:r w:rsidRPr="007406E0">
        <w:t xml:space="preserve"> Combined methods. Can this solve the differences between deductive and inductive methods in qualitative </w:t>
      </w:r>
      <w:proofErr w:type="gramStart"/>
      <w:r w:rsidRPr="007406E0">
        <w:t>research?.</w:t>
      </w:r>
      <w:proofErr w:type="gramEnd"/>
      <w:r w:rsidRPr="007406E0">
        <w:t> </w:t>
      </w:r>
      <w:r w:rsidRPr="004E1028">
        <w:rPr>
          <w:i/>
          <w:iCs/>
        </w:rPr>
        <w:t>Moroccan Journal of Quantitative and Qualitative Research</w:t>
      </w:r>
      <w:r w:rsidRPr="007406E0">
        <w:t>, </w:t>
      </w:r>
      <w:r w:rsidRPr="004E1028">
        <w:rPr>
          <w:i/>
          <w:iCs/>
        </w:rPr>
        <w:t>5</w:t>
      </w:r>
      <w:r w:rsidRPr="007406E0">
        <w:t>(3).</w:t>
      </w:r>
    </w:p>
    <w:p w14:paraId="1FBE6C49" w14:textId="77777777" w:rsidR="002B1E9A" w:rsidRDefault="002B1E9A" w:rsidP="00630DA9">
      <w:pPr>
        <w:jc w:val="both"/>
      </w:pPr>
      <w:r w:rsidRPr="008451C5">
        <w:t>Zhang, M. Z. (2021) </w:t>
      </w:r>
      <w:r w:rsidRPr="008451C5">
        <w:rPr>
          <w:i/>
          <w:iCs/>
        </w:rPr>
        <w:t>Stock returns and inflation redux: an explanation from monetary policy in advanced and emerging markets</w:t>
      </w:r>
      <w:r w:rsidRPr="008451C5">
        <w:t>. International Monetary Fund.</w:t>
      </w:r>
    </w:p>
    <w:p w14:paraId="674CFD84" w14:textId="34041CFD" w:rsidR="00AD1331" w:rsidRDefault="002B1E9A" w:rsidP="00630DA9">
      <w:pPr>
        <w:jc w:val="both"/>
        <w:rPr>
          <w:lang w:val="en-US"/>
        </w:rPr>
      </w:pPr>
      <w:r w:rsidRPr="00480B62">
        <w:t>Zhang, Z.</w:t>
      </w:r>
      <w:r>
        <w:t xml:space="preserve"> (</w:t>
      </w:r>
      <w:r w:rsidRPr="00480B62">
        <w:t>2025</w:t>
      </w:r>
      <w:r>
        <w:t>)</w:t>
      </w:r>
      <w:r w:rsidRPr="00480B62">
        <w:t xml:space="preserve"> Monetary Policy and Stock Market Performance in the UK (1990-2025): A VAR Approach. </w:t>
      </w:r>
      <w:r w:rsidRPr="004E1028">
        <w:rPr>
          <w:i/>
          <w:iCs/>
        </w:rPr>
        <w:t>Available at SSRN 5402541</w:t>
      </w:r>
      <w:r w:rsidRPr="00480B62">
        <w:t>.</w:t>
      </w:r>
    </w:p>
    <w:p w14:paraId="1CD8E82F" w14:textId="77777777" w:rsidR="00AD1331" w:rsidRDefault="00AD1331">
      <w:pPr>
        <w:rPr>
          <w:lang w:val="en-US"/>
        </w:rPr>
      </w:pPr>
      <w:r>
        <w:rPr>
          <w:lang w:val="en-US"/>
        </w:rPr>
        <w:br w:type="page"/>
      </w:r>
    </w:p>
    <w:p w14:paraId="495098D6" w14:textId="35F96474" w:rsidR="002B1E9A" w:rsidRDefault="00AD1331" w:rsidP="00AD1331">
      <w:pPr>
        <w:pStyle w:val="Heading1"/>
        <w:rPr>
          <w:lang w:val="en-US"/>
        </w:rPr>
      </w:pPr>
      <w:bookmarkStart w:id="51" w:name="_Toc220875056"/>
      <w:r>
        <w:rPr>
          <w:lang w:val="en-US"/>
        </w:rPr>
        <w:lastRenderedPageBreak/>
        <w:t>Appendix 1: Ethic Form</w:t>
      </w:r>
      <w:bookmarkEnd w:id="51"/>
    </w:p>
    <w:bookmarkStart w:id="52" w:name="_MON_1831487732"/>
    <w:bookmarkEnd w:id="52"/>
    <w:p w14:paraId="04E99F24" w14:textId="5BD43FD7" w:rsidR="00AD1331" w:rsidRPr="00AD1331" w:rsidRDefault="00AD1331" w:rsidP="00AD1331">
      <w:pPr>
        <w:rPr>
          <w:lang w:val="en-US"/>
        </w:rPr>
      </w:pPr>
      <w:r>
        <w:rPr>
          <w:lang w:val="en-US"/>
        </w:rPr>
        <w:object w:dxaOrig="1520" w:dyaOrig="987" w14:anchorId="78A1F1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21" o:title=""/>
          </v:shape>
          <o:OLEObject Type="Embed" ProgID="Word.Document.12" ShapeID="_x0000_i1025" DrawAspect="Icon" ObjectID="_1831487753" r:id="rId22">
            <o:FieldCodes>\s</o:FieldCodes>
          </o:OLEObject>
        </w:object>
      </w:r>
    </w:p>
    <w:p w14:paraId="0E56F011" w14:textId="77777777" w:rsidR="00AD1331" w:rsidRPr="00AD1331" w:rsidRDefault="00AD1331" w:rsidP="00630DA9">
      <w:pPr>
        <w:jc w:val="both"/>
        <w:rPr>
          <w:lang w:val="en-US"/>
        </w:rPr>
      </w:pPr>
    </w:p>
    <w:sectPr w:rsidR="00AD1331" w:rsidRPr="00AD1331">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01D42" w14:textId="77777777" w:rsidR="00A25E09" w:rsidRDefault="00A25E09" w:rsidP="00C8395F">
      <w:pPr>
        <w:spacing w:before="0" w:after="0" w:line="240" w:lineRule="auto"/>
      </w:pPr>
      <w:r>
        <w:separator/>
      </w:r>
    </w:p>
  </w:endnote>
  <w:endnote w:type="continuationSeparator" w:id="0">
    <w:p w14:paraId="66351040" w14:textId="77777777" w:rsidR="00A25E09" w:rsidRDefault="00A25E09" w:rsidP="00C8395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6891307"/>
      <w:docPartObj>
        <w:docPartGallery w:val="Page Numbers (Bottom of Page)"/>
        <w:docPartUnique/>
      </w:docPartObj>
    </w:sdtPr>
    <w:sdtEndPr>
      <w:rPr>
        <w:noProof/>
      </w:rPr>
    </w:sdtEndPr>
    <w:sdtContent>
      <w:p w14:paraId="542FE09D" w14:textId="49676AF6" w:rsidR="00C8395F" w:rsidRDefault="00C839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2D0155" w14:textId="77777777" w:rsidR="00C8395F" w:rsidRDefault="00C83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D87E5" w14:textId="77777777" w:rsidR="00A25E09" w:rsidRDefault="00A25E09" w:rsidP="00C8395F">
      <w:pPr>
        <w:spacing w:before="0" w:after="0" w:line="240" w:lineRule="auto"/>
      </w:pPr>
      <w:r>
        <w:separator/>
      </w:r>
    </w:p>
  </w:footnote>
  <w:footnote w:type="continuationSeparator" w:id="0">
    <w:p w14:paraId="74CA6A98" w14:textId="77777777" w:rsidR="00A25E09" w:rsidRDefault="00A25E09" w:rsidP="00C8395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342A5"/>
    <w:multiLevelType w:val="multilevel"/>
    <w:tmpl w:val="D616A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11251B"/>
    <w:multiLevelType w:val="hybridMultilevel"/>
    <w:tmpl w:val="91389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DE16EDC"/>
    <w:multiLevelType w:val="multilevel"/>
    <w:tmpl w:val="6518A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7487595">
    <w:abstractNumId w:val="1"/>
  </w:num>
  <w:num w:numId="2" w16cid:durableId="1944074387">
    <w:abstractNumId w:val="2"/>
  </w:num>
  <w:num w:numId="3" w16cid:durableId="1114862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ExNjOyNDU1NLU0NDdT0lEKTi0uzszPAykwrAUATbkIiCwAAAA="/>
  </w:docVars>
  <w:rsids>
    <w:rsidRoot w:val="00F35D67"/>
    <w:rsid w:val="00003E14"/>
    <w:rsid w:val="0000468A"/>
    <w:rsid w:val="00005EF6"/>
    <w:rsid w:val="00006552"/>
    <w:rsid w:val="00006E2F"/>
    <w:rsid w:val="000077CC"/>
    <w:rsid w:val="00010DDB"/>
    <w:rsid w:val="0001391A"/>
    <w:rsid w:val="000141CF"/>
    <w:rsid w:val="00014202"/>
    <w:rsid w:val="000223EB"/>
    <w:rsid w:val="00023628"/>
    <w:rsid w:val="000239A6"/>
    <w:rsid w:val="0004070E"/>
    <w:rsid w:val="0004461D"/>
    <w:rsid w:val="00050C86"/>
    <w:rsid w:val="00062332"/>
    <w:rsid w:val="00070A8C"/>
    <w:rsid w:val="0007586D"/>
    <w:rsid w:val="000761D7"/>
    <w:rsid w:val="00084F7F"/>
    <w:rsid w:val="0009445A"/>
    <w:rsid w:val="000961E3"/>
    <w:rsid w:val="000A1D96"/>
    <w:rsid w:val="000B0420"/>
    <w:rsid w:val="000B165A"/>
    <w:rsid w:val="000B1DDF"/>
    <w:rsid w:val="000C4F09"/>
    <w:rsid w:val="000D0357"/>
    <w:rsid w:val="000D5C0E"/>
    <w:rsid w:val="000E4FD1"/>
    <w:rsid w:val="000E5F60"/>
    <w:rsid w:val="000E6A0E"/>
    <w:rsid w:val="000F3DB5"/>
    <w:rsid w:val="000F50F3"/>
    <w:rsid w:val="000F7668"/>
    <w:rsid w:val="00100195"/>
    <w:rsid w:val="00100382"/>
    <w:rsid w:val="00104FD5"/>
    <w:rsid w:val="00107FF4"/>
    <w:rsid w:val="0011596C"/>
    <w:rsid w:val="00115DB2"/>
    <w:rsid w:val="00116521"/>
    <w:rsid w:val="0012147D"/>
    <w:rsid w:val="00121DA3"/>
    <w:rsid w:val="00123828"/>
    <w:rsid w:val="00126D51"/>
    <w:rsid w:val="001341BA"/>
    <w:rsid w:val="001375AA"/>
    <w:rsid w:val="00137FCD"/>
    <w:rsid w:val="00141445"/>
    <w:rsid w:val="001430F2"/>
    <w:rsid w:val="00143F46"/>
    <w:rsid w:val="00152509"/>
    <w:rsid w:val="00156734"/>
    <w:rsid w:val="00156EDC"/>
    <w:rsid w:val="00160184"/>
    <w:rsid w:val="001642E9"/>
    <w:rsid w:val="00166EB6"/>
    <w:rsid w:val="001742C9"/>
    <w:rsid w:val="00175CA3"/>
    <w:rsid w:val="0017683E"/>
    <w:rsid w:val="00176B3F"/>
    <w:rsid w:val="001804D6"/>
    <w:rsid w:val="001811C8"/>
    <w:rsid w:val="001877FA"/>
    <w:rsid w:val="0019206B"/>
    <w:rsid w:val="00192416"/>
    <w:rsid w:val="00196298"/>
    <w:rsid w:val="001A30D9"/>
    <w:rsid w:val="001A55DB"/>
    <w:rsid w:val="001B0455"/>
    <w:rsid w:val="001B197F"/>
    <w:rsid w:val="001C385A"/>
    <w:rsid w:val="001C68FB"/>
    <w:rsid w:val="001D2AAE"/>
    <w:rsid w:val="001E0304"/>
    <w:rsid w:val="001E6B64"/>
    <w:rsid w:val="001E7A0E"/>
    <w:rsid w:val="001F6311"/>
    <w:rsid w:val="00200E32"/>
    <w:rsid w:val="00201C69"/>
    <w:rsid w:val="00204086"/>
    <w:rsid w:val="00211881"/>
    <w:rsid w:val="0021346A"/>
    <w:rsid w:val="00220304"/>
    <w:rsid w:val="002215C8"/>
    <w:rsid w:val="002258DA"/>
    <w:rsid w:val="00235133"/>
    <w:rsid w:val="00251362"/>
    <w:rsid w:val="00251D9F"/>
    <w:rsid w:val="00252503"/>
    <w:rsid w:val="0025435B"/>
    <w:rsid w:val="0025485B"/>
    <w:rsid w:val="002642F5"/>
    <w:rsid w:val="002715E7"/>
    <w:rsid w:val="00274317"/>
    <w:rsid w:val="00282825"/>
    <w:rsid w:val="00285C24"/>
    <w:rsid w:val="00290AD1"/>
    <w:rsid w:val="00293D6A"/>
    <w:rsid w:val="002A435C"/>
    <w:rsid w:val="002A5AC9"/>
    <w:rsid w:val="002A65EF"/>
    <w:rsid w:val="002A7DC0"/>
    <w:rsid w:val="002B1E9A"/>
    <w:rsid w:val="002B3E3B"/>
    <w:rsid w:val="002B4369"/>
    <w:rsid w:val="002B4D2B"/>
    <w:rsid w:val="002C2D32"/>
    <w:rsid w:val="002C6C8C"/>
    <w:rsid w:val="002C7346"/>
    <w:rsid w:val="002C73AA"/>
    <w:rsid w:val="002C7584"/>
    <w:rsid w:val="002D1272"/>
    <w:rsid w:val="002D3D31"/>
    <w:rsid w:val="002D3DB0"/>
    <w:rsid w:val="002D470F"/>
    <w:rsid w:val="002E16FB"/>
    <w:rsid w:val="002E4826"/>
    <w:rsid w:val="002E4FF1"/>
    <w:rsid w:val="002E7B46"/>
    <w:rsid w:val="002F2862"/>
    <w:rsid w:val="002F678A"/>
    <w:rsid w:val="002F71C1"/>
    <w:rsid w:val="003024A2"/>
    <w:rsid w:val="0030551B"/>
    <w:rsid w:val="0031037D"/>
    <w:rsid w:val="003130C8"/>
    <w:rsid w:val="003148F7"/>
    <w:rsid w:val="00314C81"/>
    <w:rsid w:val="003159B7"/>
    <w:rsid w:val="003174A7"/>
    <w:rsid w:val="003233A5"/>
    <w:rsid w:val="00323424"/>
    <w:rsid w:val="00325C10"/>
    <w:rsid w:val="00327027"/>
    <w:rsid w:val="0032758D"/>
    <w:rsid w:val="003333EC"/>
    <w:rsid w:val="00334BEE"/>
    <w:rsid w:val="003369DD"/>
    <w:rsid w:val="003401BD"/>
    <w:rsid w:val="003443A0"/>
    <w:rsid w:val="003448AB"/>
    <w:rsid w:val="00346B08"/>
    <w:rsid w:val="003549F1"/>
    <w:rsid w:val="0035777C"/>
    <w:rsid w:val="00363260"/>
    <w:rsid w:val="003659B9"/>
    <w:rsid w:val="00374C2B"/>
    <w:rsid w:val="0037652A"/>
    <w:rsid w:val="003771BE"/>
    <w:rsid w:val="003774BF"/>
    <w:rsid w:val="00381621"/>
    <w:rsid w:val="00386243"/>
    <w:rsid w:val="00394AAB"/>
    <w:rsid w:val="003A018C"/>
    <w:rsid w:val="003A038B"/>
    <w:rsid w:val="003A54DD"/>
    <w:rsid w:val="003A66BF"/>
    <w:rsid w:val="003B1507"/>
    <w:rsid w:val="003B19BF"/>
    <w:rsid w:val="003B35A5"/>
    <w:rsid w:val="003B5697"/>
    <w:rsid w:val="003B668E"/>
    <w:rsid w:val="003C0737"/>
    <w:rsid w:val="003C28C6"/>
    <w:rsid w:val="003C60A1"/>
    <w:rsid w:val="003C6C6F"/>
    <w:rsid w:val="003D38C0"/>
    <w:rsid w:val="003E02BE"/>
    <w:rsid w:val="003E2FE6"/>
    <w:rsid w:val="003E330A"/>
    <w:rsid w:val="003E3F30"/>
    <w:rsid w:val="003E46C0"/>
    <w:rsid w:val="003E56F1"/>
    <w:rsid w:val="003E59E7"/>
    <w:rsid w:val="003E71FC"/>
    <w:rsid w:val="003F3DC4"/>
    <w:rsid w:val="003F51AF"/>
    <w:rsid w:val="003F7C27"/>
    <w:rsid w:val="00401C0C"/>
    <w:rsid w:val="00403F63"/>
    <w:rsid w:val="0040799F"/>
    <w:rsid w:val="00411937"/>
    <w:rsid w:val="00412D57"/>
    <w:rsid w:val="004143F6"/>
    <w:rsid w:val="004170D4"/>
    <w:rsid w:val="004230BE"/>
    <w:rsid w:val="00423A56"/>
    <w:rsid w:val="0042448A"/>
    <w:rsid w:val="00425491"/>
    <w:rsid w:val="00427D50"/>
    <w:rsid w:val="00431E20"/>
    <w:rsid w:val="00434E26"/>
    <w:rsid w:val="00441267"/>
    <w:rsid w:val="004416E9"/>
    <w:rsid w:val="00452B1E"/>
    <w:rsid w:val="00467901"/>
    <w:rsid w:val="0047314F"/>
    <w:rsid w:val="004A0A5F"/>
    <w:rsid w:val="004A4BE7"/>
    <w:rsid w:val="004A662E"/>
    <w:rsid w:val="004A7FDB"/>
    <w:rsid w:val="004B39F7"/>
    <w:rsid w:val="004C142D"/>
    <w:rsid w:val="004C41BE"/>
    <w:rsid w:val="004C7167"/>
    <w:rsid w:val="004C7C1D"/>
    <w:rsid w:val="004D50A7"/>
    <w:rsid w:val="004E4603"/>
    <w:rsid w:val="004E7410"/>
    <w:rsid w:val="004E774E"/>
    <w:rsid w:val="004F310E"/>
    <w:rsid w:val="00502D8C"/>
    <w:rsid w:val="00503651"/>
    <w:rsid w:val="00505189"/>
    <w:rsid w:val="00511C51"/>
    <w:rsid w:val="00513540"/>
    <w:rsid w:val="005175F4"/>
    <w:rsid w:val="00521012"/>
    <w:rsid w:val="0052421A"/>
    <w:rsid w:val="00536F1F"/>
    <w:rsid w:val="005373F1"/>
    <w:rsid w:val="005553B3"/>
    <w:rsid w:val="00556B23"/>
    <w:rsid w:val="00557AF2"/>
    <w:rsid w:val="005609DE"/>
    <w:rsid w:val="005635CD"/>
    <w:rsid w:val="005649F7"/>
    <w:rsid w:val="00575583"/>
    <w:rsid w:val="00575BF9"/>
    <w:rsid w:val="0057728B"/>
    <w:rsid w:val="0058599D"/>
    <w:rsid w:val="005904DC"/>
    <w:rsid w:val="00591C54"/>
    <w:rsid w:val="00591D7F"/>
    <w:rsid w:val="00594FA6"/>
    <w:rsid w:val="005963EF"/>
    <w:rsid w:val="005A67CF"/>
    <w:rsid w:val="005B2722"/>
    <w:rsid w:val="005B535B"/>
    <w:rsid w:val="005C07CB"/>
    <w:rsid w:val="005C3BFA"/>
    <w:rsid w:val="005C40C6"/>
    <w:rsid w:val="005C445C"/>
    <w:rsid w:val="005C5F17"/>
    <w:rsid w:val="005D2516"/>
    <w:rsid w:val="005D3E05"/>
    <w:rsid w:val="005D45A5"/>
    <w:rsid w:val="005D770A"/>
    <w:rsid w:val="005E1C1D"/>
    <w:rsid w:val="005E767A"/>
    <w:rsid w:val="005F793D"/>
    <w:rsid w:val="00610C57"/>
    <w:rsid w:val="00611971"/>
    <w:rsid w:val="0062264E"/>
    <w:rsid w:val="0062272B"/>
    <w:rsid w:val="00623F2D"/>
    <w:rsid w:val="00625115"/>
    <w:rsid w:val="00626115"/>
    <w:rsid w:val="00630DA9"/>
    <w:rsid w:val="006362D3"/>
    <w:rsid w:val="006363F6"/>
    <w:rsid w:val="00640231"/>
    <w:rsid w:val="00641889"/>
    <w:rsid w:val="0064624C"/>
    <w:rsid w:val="006506B7"/>
    <w:rsid w:val="00654E13"/>
    <w:rsid w:val="00672E2B"/>
    <w:rsid w:val="00673D07"/>
    <w:rsid w:val="00674C6A"/>
    <w:rsid w:val="006763CF"/>
    <w:rsid w:val="00681A8B"/>
    <w:rsid w:val="006847C2"/>
    <w:rsid w:val="00686815"/>
    <w:rsid w:val="00692281"/>
    <w:rsid w:val="006966F6"/>
    <w:rsid w:val="006971DB"/>
    <w:rsid w:val="006B1510"/>
    <w:rsid w:val="006B356F"/>
    <w:rsid w:val="006C0539"/>
    <w:rsid w:val="006C3AAC"/>
    <w:rsid w:val="006C6173"/>
    <w:rsid w:val="006C69AF"/>
    <w:rsid w:val="006D01C1"/>
    <w:rsid w:val="006E00E5"/>
    <w:rsid w:val="006E1ADB"/>
    <w:rsid w:val="006E50A1"/>
    <w:rsid w:val="007012EE"/>
    <w:rsid w:val="00705F01"/>
    <w:rsid w:val="00707B71"/>
    <w:rsid w:val="00711C85"/>
    <w:rsid w:val="00712A4A"/>
    <w:rsid w:val="00712F80"/>
    <w:rsid w:val="007140E4"/>
    <w:rsid w:val="00714235"/>
    <w:rsid w:val="00714B93"/>
    <w:rsid w:val="00714FF4"/>
    <w:rsid w:val="007202F1"/>
    <w:rsid w:val="00722EEC"/>
    <w:rsid w:val="00723356"/>
    <w:rsid w:val="00724703"/>
    <w:rsid w:val="00724DAF"/>
    <w:rsid w:val="00726E8A"/>
    <w:rsid w:val="00727CF9"/>
    <w:rsid w:val="00734E0F"/>
    <w:rsid w:val="007355CC"/>
    <w:rsid w:val="00735627"/>
    <w:rsid w:val="00737329"/>
    <w:rsid w:val="007409A6"/>
    <w:rsid w:val="0074517B"/>
    <w:rsid w:val="007451F7"/>
    <w:rsid w:val="0074624B"/>
    <w:rsid w:val="00747C5D"/>
    <w:rsid w:val="007565AE"/>
    <w:rsid w:val="007571CC"/>
    <w:rsid w:val="00760681"/>
    <w:rsid w:val="00760A78"/>
    <w:rsid w:val="00761C70"/>
    <w:rsid w:val="0076481F"/>
    <w:rsid w:val="00766838"/>
    <w:rsid w:val="007728A8"/>
    <w:rsid w:val="007752B3"/>
    <w:rsid w:val="007808E7"/>
    <w:rsid w:val="0078318B"/>
    <w:rsid w:val="00790906"/>
    <w:rsid w:val="00791A18"/>
    <w:rsid w:val="00793326"/>
    <w:rsid w:val="007A6780"/>
    <w:rsid w:val="007B5941"/>
    <w:rsid w:val="007C1EC5"/>
    <w:rsid w:val="007C284B"/>
    <w:rsid w:val="007C577B"/>
    <w:rsid w:val="007D0F03"/>
    <w:rsid w:val="007D2C4B"/>
    <w:rsid w:val="007D3C42"/>
    <w:rsid w:val="007D42F7"/>
    <w:rsid w:val="007D539F"/>
    <w:rsid w:val="007D61E2"/>
    <w:rsid w:val="007D6971"/>
    <w:rsid w:val="007E1D70"/>
    <w:rsid w:val="007E5985"/>
    <w:rsid w:val="007E7F91"/>
    <w:rsid w:val="007F184E"/>
    <w:rsid w:val="00814E75"/>
    <w:rsid w:val="008152F1"/>
    <w:rsid w:val="008153DF"/>
    <w:rsid w:val="008200BE"/>
    <w:rsid w:val="00820A81"/>
    <w:rsid w:val="008246E0"/>
    <w:rsid w:val="00827CC1"/>
    <w:rsid w:val="008316C2"/>
    <w:rsid w:val="00831966"/>
    <w:rsid w:val="00845006"/>
    <w:rsid w:val="008451C5"/>
    <w:rsid w:val="00845202"/>
    <w:rsid w:val="00847422"/>
    <w:rsid w:val="00853D92"/>
    <w:rsid w:val="00857CAF"/>
    <w:rsid w:val="00860966"/>
    <w:rsid w:val="00864918"/>
    <w:rsid w:val="00867DB1"/>
    <w:rsid w:val="008766D7"/>
    <w:rsid w:val="00882A90"/>
    <w:rsid w:val="00894C07"/>
    <w:rsid w:val="00897D03"/>
    <w:rsid w:val="008A3C48"/>
    <w:rsid w:val="008A6806"/>
    <w:rsid w:val="008B25FD"/>
    <w:rsid w:val="008B39CD"/>
    <w:rsid w:val="008C672D"/>
    <w:rsid w:val="008D18A8"/>
    <w:rsid w:val="008D24C6"/>
    <w:rsid w:val="008E6741"/>
    <w:rsid w:val="008F1F51"/>
    <w:rsid w:val="008F5107"/>
    <w:rsid w:val="008F5EDB"/>
    <w:rsid w:val="008F7B6E"/>
    <w:rsid w:val="009049EE"/>
    <w:rsid w:val="009162A9"/>
    <w:rsid w:val="00916BA7"/>
    <w:rsid w:val="009220D9"/>
    <w:rsid w:val="00924191"/>
    <w:rsid w:val="0092496F"/>
    <w:rsid w:val="009263EF"/>
    <w:rsid w:val="00927FD1"/>
    <w:rsid w:val="0093032D"/>
    <w:rsid w:val="009323A2"/>
    <w:rsid w:val="00942310"/>
    <w:rsid w:val="00942B73"/>
    <w:rsid w:val="0094395F"/>
    <w:rsid w:val="00950F7F"/>
    <w:rsid w:val="00952442"/>
    <w:rsid w:val="00954D2C"/>
    <w:rsid w:val="00960AF6"/>
    <w:rsid w:val="00960F29"/>
    <w:rsid w:val="00962563"/>
    <w:rsid w:val="009651EB"/>
    <w:rsid w:val="00970019"/>
    <w:rsid w:val="0097007B"/>
    <w:rsid w:val="00973D2C"/>
    <w:rsid w:val="00980584"/>
    <w:rsid w:val="009806C1"/>
    <w:rsid w:val="00990061"/>
    <w:rsid w:val="00997AD8"/>
    <w:rsid w:val="009A2158"/>
    <w:rsid w:val="009A59C1"/>
    <w:rsid w:val="009B054F"/>
    <w:rsid w:val="009B282E"/>
    <w:rsid w:val="009B5AB4"/>
    <w:rsid w:val="009B5D99"/>
    <w:rsid w:val="009B74DC"/>
    <w:rsid w:val="009B7501"/>
    <w:rsid w:val="009C3953"/>
    <w:rsid w:val="009C51C3"/>
    <w:rsid w:val="009C5EBD"/>
    <w:rsid w:val="009C7D7E"/>
    <w:rsid w:val="009D5133"/>
    <w:rsid w:val="009D6057"/>
    <w:rsid w:val="009D61ED"/>
    <w:rsid w:val="009E42AF"/>
    <w:rsid w:val="009E60F5"/>
    <w:rsid w:val="009F2B7D"/>
    <w:rsid w:val="00A00990"/>
    <w:rsid w:val="00A0150F"/>
    <w:rsid w:val="00A04539"/>
    <w:rsid w:val="00A10A22"/>
    <w:rsid w:val="00A14FF0"/>
    <w:rsid w:val="00A150F9"/>
    <w:rsid w:val="00A1622D"/>
    <w:rsid w:val="00A222B1"/>
    <w:rsid w:val="00A23E6A"/>
    <w:rsid w:val="00A25E09"/>
    <w:rsid w:val="00A27283"/>
    <w:rsid w:val="00A352AB"/>
    <w:rsid w:val="00A44DA5"/>
    <w:rsid w:val="00A507AB"/>
    <w:rsid w:val="00A5123E"/>
    <w:rsid w:val="00A536E1"/>
    <w:rsid w:val="00A56DC0"/>
    <w:rsid w:val="00A706A0"/>
    <w:rsid w:val="00A71B41"/>
    <w:rsid w:val="00A720DF"/>
    <w:rsid w:val="00A73A60"/>
    <w:rsid w:val="00A7471C"/>
    <w:rsid w:val="00A76EC9"/>
    <w:rsid w:val="00A77D2F"/>
    <w:rsid w:val="00A85A1F"/>
    <w:rsid w:val="00A85A62"/>
    <w:rsid w:val="00A86FB8"/>
    <w:rsid w:val="00A92A29"/>
    <w:rsid w:val="00A9554C"/>
    <w:rsid w:val="00AA24E3"/>
    <w:rsid w:val="00AA4B7E"/>
    <w:rsid w:val="00AA762F"/>
    <w:rsid w:val="00AC0905"/>
    <w:rsid w:val="00AC271B"/>
    <w:rsid w:val="00AC5AA2"/>
    <w:rsid w:val="00AD0042"/>
    <w:rsid w:val="00AD0B7E"/>
    <w:rsid w:val="00AD1331"/>
    <w:rsid w:val="00AD19CA"/>
    <w:rsid w:val="00AD212E"/>
    <w:rsid w:val="00AD2977"/>
    <w:rsid w:val="00AD35B8"/>
    <w:rsid w:val="00AD43A2"/>
    <w:rsid w:val="00AE098A"/>
    <w:rsid w:val="00AE3687"/>
    <w:rsid w:val="00AE3DE2"/>
    <w:rsid w:val="00AE477A"/>
    <w:rsid w:val="00AE5974"/>
    <w:rsid w:val="00AF1DF5"/>
    <w:rsid w:val="00AF473C"/>
    <w:rsid w:val="00AF52A6"/>
    <w:rsid w:val="00AF68A7"/>
    <w:rsid w:val="00B029F7"/>
    <w:rsid w:val="00B14A02"/>
    <w:rsid w:val="00B22848"/>
    <w:rsid w:val="00B248F5"/>
    <w:rsid w:val="00B24CD6"/>
    <w:rsid w:val="00B3190B"/>
    <w:rsid w:val="00B31A16"/>
    <w:rsid w:val="00B42D8A"/>
    <w:rsid w:val="00B45F4E"/>
    <w:rsid w:val="00B5105F"/>
    <w:rsid w:val="00B63A15"/>
    <w:rsid w:val="00B705AA"/>
    <w:rsid w:val="00B80B35"/>
    <w:rsid w:val="00B94EDF"/>
    <w:rsid w:val="00B9642A"/>
    <w:rsid w:val="00BA0234"/>
    <w:rsid w:val="00BA24DD"/>
    <w:rsid w:val="00BA498F"/>
    <w:rsid w:val="00BA58DD"/>
    <w:rsid w:val="00BB002E"/>
    <w:rsid w:val="00BB622D"/>
    <w:rsid w:val="00BD76F9"/>
    <w:rsid w:val="00BE4683"/>
    <w:rsid w:val="00BF1555"/>
    <w:rsid w:val="00C04036"/>
    <w:rsid w:val="00C045E4"/>
    <w:rsid w:val="00C055AC"/>
    <w:rsid w:val="00C12729"/>
    <w:rsid w:val="00C13D9F"/>
    <w:rsid w:val="00C1788D"/>
    <w:rsid w:val="00C17FDB"/>
    <w:rsid w:val="00C31139"/>
    <w:rsid w:val="00C3389A"/>
    <w:rsid w:val="00C352F0"/>
    <w:rsid w:val="00C3616C"/>
    <w:rsid w:val="00C36D0F"/>
    <w:rsid w:val="00C406CB"/>
    <w:rsid w:val="00C453E1"/>
    <w:rsid w:val="00C51423"/>
    <w:rsid w:val="00C546BA"/>
    <w:rsid w:val="00C63F8C"/>
    <w:rsid w:val="00C70360"/>
    <w:rsid w:val="00C70ED7"/>
    <w:rsid w:val="00C70FA3"/>
    <w:rsid w:val="00C73147"/>
    <w:rsid w:val="00C74878"/>
    <w:rsid w:val="00C77542"/>
    <w:rsid w:val="00C80327"/>
    <w:rsid w:val="00C83712"/>
    <w:rsid w:val="00C8395F"/>
    <w:rsid w:val="00C91818"/>
    <w:rsid w:val="00C939EC"/>
    <w:rsid w:val="00C947E1"/>
    <w:rsid w:val="00CA1B21"/>
    <w:rsid w:val="00CA26EF"/>
    <w:rsid w:val="00CA4090"/>
    <w:rsid w:val="00CA5415"/>
    <w:rsid w:val="00CA5A70"/>
    <w:rsid w:val="00CC074F"/>
    <w:rsid w:val="00CC1E90"/>
    <w:rsid w:val="00CC4BAC"/>
    <w:rsid w:val="00CC5F68"/>
    <w:rsid w:val="00CD3BBF"/>
    <w:rsid w:val="00CD62F2"/>
    <w:rsid w:val="00CD7EA1"/>
    <w:rsid w:val="00CE2B09"/>
    <w:rsid w:val="00CE5A0C"/>
    <w:rsid w:val="00CF1961"/>
    <w:rsid w:val="00CF7D53"/>
    <w:rsid w:val="00D005FE"/>
    <w:rsid w:val="00D018F7"/>
    <w:rsid w:val="00D02D44"/>
    <w:rsid w:val="00D065DA"/>
    <w:rsid w:val="00D06AE8"/>
    <w:rsid w:val="00D130CA"/>
    <w:rsid w:val="00D15044"/>
    <w:rsid w:val="00D17F75"/>
    <w:rsid w:val="00D21A0B"/>
    <w:rsid w:val="00D249CB"/>
    <w:rsid w:val="00D26CC9"/>
    <w:rsid w:val="00D3081A"/>
    <w:rsid w:val="00D316F6"/>
    <w:rsid w:val="00D33A2D"/>
    <w:rsid w:val="00D437F3"/>
    <w:rsid w:val="00D4438C"/>
    <w:rsid w:val="00D45200"/>
    <w:rsid w:val="00D456FE"/>
    <w:rsid w:val="00D50BE2"/>
    <w:rsid w:val="00D547F0"/>
    <w:rsid w:val="00D567B6"/>
    <w:rsid w:val="00D61AC0"/>
    <w:rsid w:val="00D61F9C"/>
    <w:rsid w:val="00D63BE6"/>
    <w:rsid w:val="00D71345"/>
    <w:rsid w:val="00D717D8"/>
    <w:rsid w:val="00D80DCE"/>
    <w:rsid w:val="00D81D6A"/>
    <w:rsid w:val="00D87637"/>
    <w:rsid w:val="00D94610"/>
    <w:rsid w:val="00D96F35"/>
    <w:rsid w:val="00DA141F"/>
    <w:rsid w:val="00DA2DEF"/>
    <w:rsid w:val="00DA5708"/>
    <w:rsid w:val="00DB0DA0"/>
    <w:rsid w:val="00DB1982"/>
    <w:rsid w:val="00DB348D"/>
    <w:rsid w:val="00DB363E"/>
    <w:rsid w:val="00DB48B5"/>
    <w:rsid w:val="00DC137C"/>
    <w:rsid w:val="00DC3848"/>
    <w:rsid w:val="00DD08D7"/>
    <w:rsid w:val="00DE5BBF"/>
    <w:rsid w:val="00DF0970"/>
    <w:rsid w:val="00DF0D09"/>
    <w:rsid w:val="00DF379F"/>
    <w:rsid w:val="00E053B4"/>
    <w:rsid w:val="00E05EE9"/>
    <w:rsid w:val="00E0638C"/>
    <w:rsid w:val="00E07897"/>
    <w:rsid w:val="00E1234D"/>
    <w:rsid w:val="00E12C3F"/>
    <w:rsid w:val="00E13707"/>
    <w:rsid w:val="00E24EB6"/>
    <w:rsid w:val="00E32B66"/>
    <w:rsid w:val="00E32D3E"/>
    <w:rsid w:val="00E35C11"/>
    <w:rsid w:val="00E36362"/>
    <w:rsid w:val="00E403A8"/>
    <w:rsid w:val="00E40BCB"/>
    <w:rsid w:val="00E42618"/>
    <w:rsid w:val="00E46606"/>
    <w:rsid w:val="00E50950"/>
    <w:rsid w:val="00E55806"/>
    <w:rsid w:val="00E62505"/>
    <w:rsid w:val="00E634F5"/>
    <w:rsid w:val="00E86E18"/>
    <w:rsid w:val="00E90C24"/>
    <w:rsid w:val="00E95131"/>
    <w:rsid w:val="00E96748"/>
    <w:rsid w:val="00EB0BBA"/>
    <w:rsid w:val="00EB4E4C"/>
    <w:rsid w:val="00EC3CBD"/>
    <w:rsid w:val="00EC5584"/>
    <w:rsid w:val="00ED490E"/>
    <w:rsid w:val="00ED515D"/>
    <w:rsid w:val="00EE0C8B"/>
    <w:rsid w:val="00EE1855"/>
    <w:rsid w:val="00EE30E7"/>
    <w:rsid w:val="00EE5B54"/>
    <w:rsid w:val="00EE628A"/>
    <w:rsid w:val="00EF3398"/>
    <w:rsid w:val="00EF7EBD"/>
    <w:rsid w:val="00EF7EEF"/>
    <w:rsid w:val="00F04455"/>
    <w:rsid w:val="00F0458C"/>
    <w:rsid w:val="00F04F81"/>
    <w:rsid w:val="00F05711"/>
    <w:rsid w:val="00F07AF0"/>
    <w:rsid w:val="00F10309"/>
    <w:rsid w:val="00F120B3"/>
    <w:rsid w:val="00F2426E"/>
    <w:rsid w:val="00F3531E"/>
    <w:rsid w:val="00F35D67"/>
    <w:rsid w:val="00F46C2C"/>
    <w:rsid w:val="00F51D07"/>
    <w:rsid w:val="00F533D3"/>
    <w:rsid w:val="00F62B9D"/>
    <w:rsid w:val="00F63AD6"/>
    <w:rsid w:val="00F7228E"/>
    <w:rsid w:val="00F72D3F"/>
    <w:rsid w:val="00F72E3A"/>
    <w:rsid w:val="00F77172"/>
    <w:rsid w:val="00F81D4C"/>
    <w:rsid w:val="00F82C8E"/>
    <w:rsid w:val="00F83772"/>
    <w:rsid w:val="00F854C7"/>
    <w:rsid w:val="00FA6429"/>
    <w:rsid w:val="00FA698B"/>
    <w:rsid w:val="00FB0AF0"/>
    <w:rsid w:val="00FB1A1B"/>
    <w:rsid w:val="00FB26B3"/>
    <w:rsid w:val="00FB7868"/>
    <w:rsid w:val="00FC584C"/>
    <w:rsid w:val="00FC5A21"/>
    <w:rsid w:val="00FD309F"/>
    <w:rsid w:val="00FD396D"/>
    <w:rsid w:val="00FD5231"/>
    <w:rsid w:val="00FD6556"/>
    <w:rsid w:val="00FD72D8"/>
    <w:rsid w:val="00FE0840"/>
    <w:rsid w:val="00FE3560"/>
    <w:rsid w:val="00FE498D"/>
    <w:rsid w:val="00FE5568"/>
    <w:rsid w:val="00FF16BA"/>
    <w:rsid w:val="00FF27D2"/>
    <w:rsid w:val="00FF57E7"/>
    <w:rsid w:val="00FF70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669FD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before="120"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A60"/>
    <w:rPr>
      <w:rFonts w:ascii="Times New Roman" w:eastAsiaTheme="minorEastAsia" w:hAnsi="Times New Roman"/>
      <w:sz w:val="24"/>
      <w:lang w:val="en-GB" w:eastAsia="zh-CN"/>
    </w:rPr>
  </w:style>
  <w:style w:type="paragraph" w:styleId="Heading1">
    <w:name w:val="heading 1"/>
    <w:basedOn w:val="Normal"/>
    <w:next w:val="Normal"/>
    <w:link w:val="Heading1Char"/>
    <w:uiPriority w:val="9"/>
    <w:qFormat/>
    <w:rsid w:val="00107FF4"/>
    <w:pPr>
      <w:keepNext/>
      <w:keepLines/>
      <w:spacing w:before="240" w:after="0" w:line="276" w:lineRule="auto"/>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C137C"/>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autoRedefine/>
    <w:uiPriority w:val="9"/>
    <w:unhideWhenUsed/>
    <w:qFormat/>
    <w:rsid w:val="006363F6"/>
    <w:pPr>
      <w:keepNext/>
      <w:keepLines/>
      <w:spacing w:before="40" w:after="0"/>
      <w:outlineLvl w:val="2"/>
    </w:pPr>
    <w:rPr>
      <w:rFonts w:eastAsiaTheme="majorEastAsia" w:cstheme="majorBidi"/>
      <w:i/>
      <w:color w:val="000000" w:themeColor="text1"/>
      <w:szCs w:val="24"/>
      <w:u w:val="single"/>
    </w:rPr>
  </w:style>
  <w:style w:type="paragraph" w:styleId="Heading4">
    <w:name w:val="heading 4"/>
    <w:basedOn w:val="Normal"/>
    <w:next w:val="Normal"/>
    <w:link w:val="Heading4Char"/>
    <w:uiPriority w:val="9"/>
    <w:semiHidden/>
    <w:unhideWhenUsed/>
    <w:qFormat/>
    <w:rsid w:val="00F35D6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35D6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35D6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35D6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35D67"/>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35D67"/>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7FF4"/>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DC137C"/>
    <w:rPr>
      <w:rFonts w:ascii="Times New Roman" w:eastAsiaTheme="majorEastAsia" w:hAnsi="Times New Roman" w:cstheme="majorBidi"/>
      <w:b/>
      <w:i/>
      <w:sz w:val="24"/>
      <w:szCs w:val="26"/>
      <w:lang w:val="en-GB"/>
    </w:rPr>
  </w:style>
  <w:style w:type="character" w:customStyle="1" w:styleId="Heading3Char">
    <w:name w:val="Heading 3 Char"/>
    <w:basedOn w:val="DefaultParagraphFont"/>
    <w:link w:val="Heading3"/>
    <w:uiPriority w:val="9"/>
    <w:rsid w:val="006363F6"/>
    <w:rPr>
      <w:rFonts w:ascii="Times New Roman" w:eastAsiaTheme="majorEastAsia" w:hAnsi="Times New Roman" w:cstheme="majorBidi"/>
      <w:i/>
      <w:color w:val="000000" w:themeColor="text1"/>
      <w:sz w:val="24"/>
      <w:szCs w:val="24"/>
      <w:u w:val="single"/>
      <w:lang w:val="en-GB"/>
    </w:rPr>
  </w:style>
  <w:style w:type="paragraph" w:styleId="Title">
    <w:name w:val="Title"/>
    <w:basedOn w:val="Normal"/>
    <w:next w:val="Normal"/>
    <w:link w:val="TitleChar"/>
    <w:autoRedefine/>
    <w:uiPriority w:val="10"/>
    <w:qFormat/>
    <w:rsid w:val="00C3389A"/>
    <w:pPr>
      <w:spacing w:before="240" w:after="320" w:line="240" w:lineRule="auto"/>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C3389A"/>
    <w:rPr>
      <w:rFonts w:ascii="Times New Roman" w:eastAsiaTheme="majorEastAsia" w:hAnsi="Times New Roman" w:cstheme="majorBidi"/>
      <w:b/>
      <w:spacing w:val="-10"/>
      <w:kern w:val="28"/>
      <w:sz w:val="56"/>
      <w:szCs w:val="56"/>
      <w:lang w:val="en-GB"/>
    </w:rPr>
  </w:style>
  <w:style w:type="character" w:customStyle="1" w:styleId="Heading4Char">
    <w:name w:val="Heading 4 Char"/>
    <w:basedOn w:val="DefaultParagraphFont"/>
    <w:link w:val="Heading4"/>
    <w:uiPriority w:val="9"/>
    <w:semiHidden/>
    <w:rsid w:val="00F35D67"/>
    <w:rPr>
      <w:rFonts w:eastAsiaTheme="majorEastAsia" w:cstheme="majorBidi"/>
      <w:i/>
      <w:iCs/>
      <w:color w:val="2F5496" w:themeColor="accent1" w:themeShade="BF"/>
      <w:sz w:val="24"/>
      <w:lang w:val="en-GB" w:eastAsia="zh-CN"/>
    </w:rPr>
  </w:style>
  <w:style w:type="character" w:customStyle="1" w:styleId="Heading5Char">
    <w:name w:val="Heading 5 Char"/>
    <w:basedOn w:val="DefaultParagraphFont"/>
    <w:link w:val="Heading5"/>
    <w:uiPriority w:val="9"/>
    <w:semiHidden/>
    <w:rsid w:val="00F35D67"/>
    <w:rPr>
      <w:rFonts w:eastAsiaTheme="majorEastAsia" w:cstheme="majorBidi"/>
      <w:color w:val="2F5496" w:themeColor="accent1" w:themeShade="BF"/>
      <w:sz w:val="24"/>
      <w:lang w:val="en-GB" w:eastAsia="zh-CN"/>
    </w:rPr>
  </w:style>
  <w:style w:type="character" w:customStyle="1" w:styleId="Heading6Char">
    <w:name w:val="Heading 6 Char"/>
    <w:basedOn w:val="DefaultParagraphFont"/>
    <w:link w:val="Heading6"/>
    <w:uiPriority w:val="9"/>
    <w:semiHidden/>
    <w:rsid w:val="00F35D67"/>
    <w:rPr>
      <w:rFonts w:eastAsiaTheme="majorEastAsia" w:cstheme="majorBidi"/>
      <w:i/>
      <w:iCs/>
      <w:color w:val="595959" w:themeColor="text1" w:themeTint="A6"/>
      <w:sz w:val="24"/>
      <w:lang w:val="en-GB" w:eastAsia="zh-CN"/>
    </w:rPr>
  </w:style>
  <w:style w:type="character" w:customStyle="1" w:styleId="Heading7Char">
    <w:name w:val="Heading 7 Char"/>
    <w:basedOn w:val="DefaultParagraphFont"/>
    <w:link w:val="Heading7"/>
    <w:uiPriority w:val="9"/>
    <w:semiHidden/>
    <w:rsid w:val="00F35D67"/>
    <w:rPr>
      <w:rFonts w:eastAsiaTheme="majorEastAsia" w:cstheme="majorBidi"/>
      <w:color w:val="595959" w:themeColor="text1" w:themeTint="A6"/>
      <w:sz w:val="24"/>
      <w:lang w:val="en-GB" w:eastAsia="zh-CN"/>
    </w:rPr>
  </w:style>
  <w:style w:type="character" w:customStyle="1" w:styleId="Heading8Char">
    <w:name w:val="Heading 8 Char"/>
    <w:basedOn w:val="DefaultParagraphFont"/>
    <w:link w:val="Heading8"/>
    <w:uiPriority w:val="9"/>
    <w:semiHidden/>
    <w:rsid w:val="00F35D67"/>
    <w:rPr>
      <w:rFonts w:eastAsiaTheme="majorEastAsia" w:cstheme="majorBidi"/>
      <w:i/>
      <w:iCs/>
      <w:color w:val="272727" w:themeColor="text1" w:themeTint="D8"/>
      <w:sz w:val="24"/>
      <w:lang w:val="en-GB" w:eastAsia="zh-CN"/>
    </w:rPr>
  </w:style>
  <w:style w:type="character" w:customStyle="1" w:styleId="Heading9Char">
    <w:name w:val="Heading 9 Char"/>
    <w:basedOn w:val="DefaultParagraphFont"/>
    <w:link w:val="Heading9"/>
    <w:uiPriority w:val="9"/>
    <w:semiHidden/>
    <w:rsid w:val="00F35D67"/>
    <w:rPr>
      <w:rFonts w:eastAsiaTheme="majorEastAsia" w:cstheme="majorBidi"/>
      <w:color w:val="272727" w:themeColor="text1" w:themeTint="D8"/>
      <w:sz w:val="24"/>
      <w:lang w:val="en-GB" w:eastAsia="zh-CN"/>
    </w:rPr>
  </w:style>
  <w:style w:type="paragraph" w:styleId="Subtitle">
    <w:name w:val="Subtitle"/>
    <w:basedOn w:val="Normal"/>
    <w:next w:val="Normal"/>
    <w:link w:val="SubtitleChar"/>
    <w:uiPriority w:val="11"/>
    <w:qFormat/>
    <w:rsid w:val="00F35D6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5D67"/>
    <w:rPr>
      <w:rFonts w:eastAsiaTheme="majorEastAsia" w:cstheme="majorBidi"/>
      <w:color w:val="595959" w:themeColor="text1" w:themeTint="A6"/>
      <w:spacing w:val="15"/>
      <w:sz w:val="28"/>
      <w:szCs w:val="28"/>
      <w:lang w:val="en-GB" w:eastAsia="zh-CN"/>
    </w:rPr>
  </w:style>
  <w:style w:type="paragraph" w:styleId="Quote">
    <w:name w:val="Quote"/>
    <w:basedOn w:val="Normal"/>
    <w:next w:val="Normal"/>
    <w:link w:val="QuoteChar"/>
    <w:uiPriority w:val="29"/>
    <w:qFormat/>
    <w:rsid w:val="00F35D6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35D67"/>
    <w:rPr>
      <w:rFonts w:ascii="Times New Roman" w:eastAsiaTheme="minorEastAsia" w:hAnsi="Times New Roman"/>
      <w:i/>
      <w:iCs/>
      <w:color w:val="404040" w:themeColor="text1" w:themeTint="BF"/>
      <w:sz w:val="24"/>
      <w:lang w:val="en-GB" w:eastAsia="zh-CN"/>
    </w:rPr>
  </w:style>
  <w:style w:type="paragraph" w:styleId="ListParagraph">
    <w:name w:val="List Paragraph"/>
    <w:basedOn w:val="Normal"/>
    <w:uiPriority w:val="34"/>
    <w:qFormat/>
    <w:rsid w:val="00F35D67"/>
    <w:pPr>
      <w:ind w:left="720"/>
      <w:contextualSpacing/>
    </w:pPr>
  </w:style>
  <w:style w:type="character" w:styleId="IntenseEmphasis">
    <w:name w:val="Intense Emphasis"/>
    <w:basedOn w:val="DefaultParagraphFont"/>
    <w:uiPriority w:val="21"/>
    <w:qFormat/>
    <w:rsid w:val="00F35D67"/>
    <w:rPr>
      <w:i/>
      <w:iCs/>
      <w:color w:val="2F5496" w:themeColor="accent1" w:themeShade="BF"/>
    </w:rPr>
  </w:style>
  <w:style w:type="paragraph" w:styleId="IntenseQuote">
    <w:name w:val="Intense Quote"/>
    <w:basedOn w:val="Normal"/>
    <w:next w:val="Normal"/>
    <w:link w:val="IntenseQuoteChar"/>
    <w:uiPriority w:val="30"/>
    <w:qFormat/>
    <w:rsid w:val="00F35D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35D67"/>
    <w:rPr>
      <w:rFonts w:ascii="Times New Roman" w:eastAsiaTheme="minorEastAsia" w:hAnsi="Times New Roman"/>
      <w:i/>
      <w:iCs/>
      <w:color w:val="2F5496" w:themeColor="accent1" w:themeShade="BF"/>
      <w:sz w:val="24"/>
      <w:lang w:val="en-GB" w:eastAsia="zh-CN"/>
    </w:rPr>
  </w:style>
  <w:style w:type="character" w:styleId="IntenseReference">
    <w:name w:val="Intense Reference"/>
    <w:basedOn w:val="DefaultParagraphFont"/>
    <w:uiPriority w:val="32"/>
    <w:qFormat/>
    <w:rsid w:val="00F35D67"/>
    <w:rPr>
      <w:b/>
      <w:bCs/>
      <w:smallCaps/>
      <w:color w:val="2F5496" w:themeColor="accent1" w:themeShade="BF"/>
      <w:spacing w:val="5"/>
    </w:rPr>
  </w:style>
  <w:style w:type="paragraph" w:styleId="TOCHeading">
    <w:name w:val="TOC Heading"/>
    <w:basedOn w:val="Heading1"/>
    <w:next w:val="Normal"/>
    <w:uiPriority w:val="39"/>
    <w:unhideWhenUsed/>
    <w:qFormat/>
    <w:rsid w:val="00674C6A"/>
    <w:pPr>
      <w:spacing w:line="259" w:lineRule="auto"/>
      <w:outlineLvl w:val="9"/>
    </w:pPr>
    <w:rPr>
      <w:rFonts w:asciiTheme="majorHAnsi" w:hAnsiTheme="majorHAnsi"/>
      <w:b w:val="0"/>
      <w:color w:val="2F5496" w:themeColor="accent1" w:themeShade="BF"/>
      <w:kern w:val="0"/>
      <w:sz w:val="32"/>
      <w:lang w:val="en-US" w:eastAsia="en-US"/>
      <w14:ligatures w14:val="none"/>
    </w:rPr>
  </w:style>
  <w:style w:type="paragraph" w:styleId="TOC1">
    <w:name w:val="toc 1"/>
    <w:basedOn w:val="Normal"/>
    <w:next w:val="Normal"/>
    <w:autoRedefine/>
    <w:uiPriority w:val="39"/>
    <w:unhideWhenUsed/>
    <w:rsid w:val="00674C6A"/>
    <w:pPr>
      <w:spacing w:after="100"/>
    </w:pPr>
  </w:style>
  <w:style w:type="paragraph" w:styleId="TOC2">
    <w:name w:val="toc 2"/>
    <w:basedOn w:val="Normal"/>
    <w:next w:val="Normal"/>
    <w:autoRedefine/>
    <w:uiPriority w:val="39"/>
    <w:unhideWhenUsed/>
    <w:rsid w:val="00674C6A"/>
    <w:pPr>
      <w:spacing w:after="100"/>
      <w:ind w:left="240"/>
    </w:pPr>
  </w:style>
  <w:style w:type="character" w:styleId="Hyperlink">
    <w:name w:val="Hyperlink"/>
    <w:basedOn w:val="DefaultParagraphFont"/>
    <w:uiPriority w:val="99"/>
    <w:unhideWhenUsed/>
    <w:rsid w:val="00674C6A"/>
    <w:rPr>
      <w:color w:val="0563C1" w:themeColor="hyperlink"/>
      <w:u w:val="single"/>
    </w:rPr>
  </w:style>
  <w:style w:type="paragraph" w:styleId="Header">
    <w:name w:val="header"/>
    <w:basedOn w:val="Normal"/>
    <w:link w:val="HeaderChar"/>
    <w:uiPriority w:val="99"/>
    <w:unhideWhenUsed/>
    <w:rsid w:val="00C8395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C8395F"/>
    <w:rPr>
      <w:rFonts w:ascii="Times New Roman" w:eastAsiaTheme="minorEastAsia" w:hAnsi="Times New Roman"/>
      <w:sz w:val="24"/>
      <w:lang w:val="en-GB" w:eastAsia="zh-CN"/>
    </w:rPr>
  </w:style>
  <w:style w:type="paragraph" w:styleId="Footer">
    <w:name w:val="footer"/>
    <w:basedOn w:val="Normal"/>
    <w:link w:val="FooterChar"/>
    <w:uiPriority w:val="99"/>
    <w:unhideWhenUsed/>
    <w:rsid w:val="00C8395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8395F"/>
    <w:rPr>
      <w:rFonts w:ascii="Times New Roman" w:eastAsiaTheme="minorEastAsia" w:hAnsi="Times New Roman"/>
      <w:sz w:val="24"/>
      <w:lang w:val="en-GB" w:eastAsia="zh-CN"/>
    </w:rPr>
  </w:style>
  <w:style w:type="character" w:styleId="CommentReference">
    <w:name w:val="annotation reference"/>
    <w:basedOn w:val="DefaultParagraphFont"/>
    <w:uiPriority w:val="99"/>
    <w:semiHidden/>
    <w:unhideWhenUsed/>
    <w:rsid w:val="00394AAB"/>
    <w:rPr>
      <w:sz w:val="16"/>
      <w:szCs w:val="16"/>
    </w:rPr>
  </w:style>
  <w:style w:type="paragraph" w:styleId="CommentText">
    <w:name w:val="annotation text"/>
    <w:basedOn w:val="Normal"/>
    <w:link w:val="CommentTextChar"/>
    <w:uiPriority w:val="99"/>
    <w:unhideWhenUsed/>
    <w:rsid w:val="00394AAB"/>
    <w:pPr>
      <w:spacing w:line="240" w:lineRule="auto"/>
    </w:pPr>
    <w:rPr>
      <w:sz w:val="20"/>
      <w:szCs w:val="20"/>
    </w:rPr>
  </w:style>
  <w:style w:type="character" w:customStyle="1" w:styleId="CommentTextChar">
    <w:name w:val="Comment Text Char"/>
    <w:basedOn w:val="DefaultParagraphFont"/>
    <w:link w:val="CommentText"/>
    <w:uiPriority w:val="99"/>
    <w:rsid w:val="00394AAB"/>
    <w:rPr>
      <w:rFonts w:ascii="Times New Roman" w:eastAsiaTheme="minorEastAsia" w:hAnsi="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394AAB"/>
    <w:rPr>
      <w:b/>
      <w:bCs/>
    </w:rPr>
  </w:style>
  <w:style w:type="character" w:customStyle="1" w:styleId="CommentSubjectChar">
    <w:name w:val="Comment Subject Char"/>
    <w:basedOn w:val="CommentTextChar"/>
    <w:link w:val="CommentSubject"/>
    <w:uiPriority w:val="99"/>
    <w:semiHidden/>
    <w:rsid w:val="00394AAB"/>
    <w:rPr>
      <w:rFonts w:ascii="Times New Roman" w:eastAsiaTheme="minorEastAsia" w:hAnsi="Times New Roman"/>
      <w:b/>
      <w:bCs/>
      <w:sz w:val="20"/>
      <w:szCs w:val="20"/>
      <w:lang w:val="en-GB" w:eastAsia="zh-CN"/>
    </w:rPr>
  </w:style>
  <w:style w:type="table" w:styleId="TableGrid">
    <w:name w:val="Table Grid"/>
    <w:basedOn w:val="TableNormal"/>
    <w:uiPriority w:val="39"/>
    <w:rsid w:val="008316C2"/>
    <w:pPr>
      <w:spacing w:before="0" w:after="0" w:line="240" w:lineRule="auto"/>
      <w:jc w:val="both"/>
    </w:pPr>
    <w:rPr>
      <w:rFonts w:eastAsiaTheme="minorEastAsia"/>
      <w:sz w:val="24"/>
      <w:szCs w:val="24"/>
      <w:lang w:val="en-IN"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316C2"/>
    <w:pPr>
      <w:spacing w:before="0" w:after="200" w:line="240" w:lineRule="auto"/>
      <w:jc w:val="both"/>
    </w:pPr>
    <w:rPr>
      <w:i/>
      <w:iCs/>
      <w:color w:val="44546A" w:themeColor="text2"/>
      <w:sz w:val="18"/>
      <w:szCs w:val="18"/>
      <w:lang w:val="en-IN"/>
    </w:rPr>
  </w:style>
  <w:style w:type="paragraph" w:styleId="TOC3">
    <w:name w:val="toc 3"/>
    <w:basedOn w:val="Normal"/>
    <w:next w:val="Normal"/>
    <w:autoRedefine/>
    <w:uiPriority w:val="39"/>
    <w:unhideWhenUsed/>
    <w:rsid w:val="009D5133"/>
    <w:pPr>
      <w:spacing w:after="100"/>
      <w:ind w:left="480"/>
    </w:pPr>
  </w:style>
  <w:style w:type="character" w:styleId="UnresolvedMention">
    <w:name w:val="Unresolved Mention"/>
    <w:basedOn w:val="DefaultParagraphFont"/>
    <w:uiPriority w:val="99"/>
    <w:semiHidden/>
    <w:unhideWhenUsed/>
    <w:rsid w:val="002B1E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hyperlink" Target="https://www.economicsonline.co.uk/definitions/cost-push-inflation.html/" TargetMode="External"/><Relationship Id="rId3" Type="http://schemas.openxmlformats.org/officeDocument/2006/relationships/styles" Target="styles.xml"/><Relationship Id="rId21" Type="http://schemas.openxmlformats.org/officeDocument/2006/relationships/image" Target="media/image6.emf"/><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https://tradingeconomics.com/united-kingdom/stock-mark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bloomberg.com/news/articles/2023-03-04/london-s-investment-appeal-is-unraveling-as-arm-heads-to-the-u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package" Target="embeddings/Microsoft_Word_Document.docx"/></Relationships>
</file>

<file path=word/diagrams/colors1.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6F5D771-579E-4591-997E-FA3418388738}" type="doc">
      <dgm:prSet loTypeId="urn:microsoft.com/office/officeart/2005/8/layout/venn2" loCatId="relationship" qsTypeId="urn:microsoft.com/office/officeart/2005/8/quickstyle/3d3" qsCatId="3D" csTypeId="urn:microsoft.com/office/officeart/2005/8/colors/accent2_3" csCatId="accent2" phldr="1"/>
      <dgm:spPr/>
      <dgm:t>
        <a:bodyPr/>
        <a:lstStyle/>
        <a:p>
          <a:endParaRPr lang="en-IN"/>
        </a:p>
      </dgm:t>
    </dgm:pt>
    <dgm:pt modelId="{180B3DD4-0CED-4146-B269-254553247702}">
      <dgm:prSet phldrT="[Text]" custT="1"/>
      <dgm:spPr/>
      <dgm:t>
        <a:bodyPr/>
        <a:lstStyle/>
        <a:p>
          <a:pPr>
            <a:buNone/>
          </a:pPr>
          <a:r>
            <a:rPr lang="en-IN" sz="1200" b="1">
              <a:solidFill>
                <a:sysClr val="windowText" lastClr="000000"/>
              </a:solidFill>
            </a:rPr>
            <a:t>Interpretivism</a:t>
          </a:r>
        </a:p>
      </dgm:t>
    </dgm:pt>
    <dgm:pt modelId="{0AD2FA14-981F-4A39-83C6-E354C8819931}" type="parTrans" cxnId="{B5A54EF5-77BC-4664-84C8-243C68FE1ED5}">
      <dgm:prSet/>
      <dgm:spPr/>
      <dgm:t>
        <a:bodyPr/>
        <a:lstStyle/>
        <a:p>
          <a:endParaRPr lang="en-IN" sz="1200" b="1">
            <a:solidFill>
              <a:sysClr val="windowText" lastClr="000000"/>
            </a:solidFill>
          </a:endParaRPr>
        </a:p>
      </dgm:t>
    </dgm:pt>
    <dgm:pt modelId="{42701F6A-D9E1-443E-82A1-BAA9A163F590}" type="sibTrans" cxnId="{B5A54EF5-77BC-4664-84C8-243C68FE1ED5}">
      <dgm:prSet/>
      <dgm:spPr/>
      <dgm:t>
        <a:bodyPr/>
        <a:lstStyle/>
        <a:p>
          <a:endParaRPr lang="en-IN" sz="1200" b="1">
            <a:solidFill>
              <a:sysClr val="windowText" lastClr="000000"/>
            </a:solidFill>
          </a:endParaRPr>
        </a:p>
      </dgm:t>
    </dgm:pt>
    <dgm:pt modelId="{97FC2A5A-6FA9-41AA-87E0-378B9186329F}">
      <dgm:prSet phldrT="[Text]" custT="1"/>
      <dgm:spPr/>
      <dgm:t>
        <a:bodyPr/>
        <a:lstStyle/>
        <a:p>
          <a:pPr>
            <a:buNone/>
          </a:pPr>
          <a:r>
            <a:rPr lang="en-IN" sz="1200" b="1">
              <a:solidFill>
                <a:sysClr val="windowText" lastClr="000000"/>
              </a:solidFill>
            </a:rPr>
            <a:t>Inductive</a:t>
          </a:r>
        </a:p>
      </dgm:t>
    </dgm:pt>
    <dgm:pt modelId="{FFA2CC49-D32D-406E-9271-13AE5AA217AF}" type="parTrans" cxnId="{B5DB9057-8E88-4DD3-AADB-BE35EDB21C1C}">
      <dgm:prSet/>
      <dgm:spPr/>
      <dgm:t>
        <a:bodyPr/>
        <a:lstStyle/>
        <a:p>
          <a:endParaRPr lang="en-IN" sz="1200" b="1">
            <a:solidFill>
              <a:sysClr val="windowText" lastClr="000000"/>
            </a:solidFill>
          </a:endParaRPr>
        </a:p>
      </dgm:t>
    </dgm:pt>
    <dgm:pt modelId="{C5DA5C12-4FAC-4D9C-8BA9-25B239AC3ECE}" type="sibTrans" cxnId="{B5DB9057-8E88-4DD3-AADB-BE35EDB21C1C}">
      <dgm:prSet/>
      <dgm:spPr/>
      <dgm:t>
        <a:bodyPr/>
        <a:lstStyle/>
        <a:p>
          <a:endParaRPr lang="en-IN" sz="1200" b="1">
            <a:solidFill>
              <a:sysClr val="windowText" lastClr="000000"/>
            </a:solidFill>
          </a:endParaRPr>
        </a:p>
      </dgm:t>
    </dgm:pt>
    <dgm:pt modelId="{C3C7317B-A1D2-4648-BCA0-480D481435D2}">
      <dgm:prSet phldrT="[Text]" custT="1"/>
      <dgm:spPr/>
      <dgm:t>
        <a:bodyPr/>
        <a:lstStyle/>
        <a:p>
          <a:pPr>
            <a:buNone/>
          </a:pPr>
          <a:r>
            <a:rPr lang="en-IN" sz="1200" b="1">
              <a:solidFill>
                <a:sysClr val="windowText" lastClr="000000"/>
              </a:solidFill>
            </a:rPr>
            <a:t>Qualitative</a:t>
          </a:r>
        </a:p>
      </dgm:t>
    </dgm:pt>
    <dgm:pt modelId="{6176ECB2-9CF2-46AE-A561-96BE671C2439}" type="parTrans" cxnId="{29504569-B116-406C-AA9F-E8FD6A261464}">
      <dgm:prSet/>
      <dgm:spPr/>
      <dgm:t>
        <a:bodyPr/>
        <a:lstStyle/>
        <a:p>
          <a:endParaRPr lang="en-IN" sz="1200" b="1">
            <a:solidFill>
              <a:sysClr val="windowText" lastClr="000000"/>
            </a:solidFill>
          </a:endParaRPr>
        </a:p>
      </dgm:t>
    </dgm:pt>
    <dgm:pt modelId="{05DA7300-A94B-4969-B3ED-59E86951DBD5}" type="sibTrans" cxnId="{29504569-B116-406C-AA9F-E8FD6A261464}">
      <dgm:prSet/>
      <dgm:spPr/>
      <dgm:t>
        <a:bodyPr/>
        <a:lstStyle/>
        <a:p>
          <a:endParaRPr lang="en-IN" sz="1200" b="1">
            <a:solidFill>
              <a:sysClr val="windowText" lastClr="000000"/>
            </a:solidFill>
          </a:endParaRPr>
        </a:p>
      </dgm:t>
    </dgm:pt>
    <dgm:pt modelId="{8FBBF7A5-076D-401A-A4D4-8F7C6AE22F0F}">
      <dgm:prSet phldrT="[Text]" custT="1"/>
      <dgm:spPr/>
      <dgm:t>
        <a:bodyPr/>
        <a:lstStyle/>
        <a:p>
          <a:pPr>
            <a:buNone/>
          </a:pPr>
          <a:r>
            <a:rPr lang="en-IN" sz="1200" b="1">
              <a:solidFill>
                <a:sysClr val="windowText" lastClr="000000"/>
              </a:solidFill>
            </a:rPr>
            <a:t>Systematic Literature Review </a:t>
          </a:r>
        </a:p>
      </dgm:t>
    </dgm:pt>
    <dgm:pt modelId="{A46061D5-7155-49FD-BBC0-307F7CCE8659}" type="parTrans" cxnId="{D02B15BD-C547-4D6E-B589-078FF9173D9E}">
      <dgm:prSet/>
      <dgm:spPr/>
      <dgm:t>
        <a:bodyPr/>
        <a:lstStyle/>
        <a:p>
          <a:endParaRPr lang="en-IN" sz="1200" b="1">
            <a:solidFill>
              <a:sysClr val="windowText" lastClr="000000"/>
            </a:solidFill>
          </a:endParaRPr>
        </a:p>
      </dgm:t>
    </dgm:pt>
    <dgm:pt modelId="{2783292C-5EFB-412E-82CD-F1EECF5A9282}" type="sibTrans" cxnId="{D02B15BD-C547-4D6E-B589-078FF9173D9E}">
      <dgm:prSet/>
      <dgm:spPr/>
      <dgm:t>
        <a:bodyPr/>
        <a:lstStyle/>
        <a:p>
          <a:endParaRPr lang="en-IN" sz="1200" b="1">
            <a:solidFill>
              <a:sysClr val="windowText" lastClr="000000"/>
            </a:solidFill>
          </a:endParaRPr>
        </a:p>
      </dgm:t>
    </dgm:pt>
    <dgm:pt modelId="{488FB3BE-AAF6-413C-92FA-697D56FCB8DF}">
      <dgm:prSet custT="1"/>
      <dgm:spPr/>
      <dgm:t>
        <a:bodyPr/>
        <a:lstStyle/>
        <a:p>
          <a:pPr>
            <a:buNone/>
          </a:pPr>
          <a:r>
            <a:rPr lang="en-IN" sz="1200" b="1">
              <a:solidFill>
                <a:sysClr val="windowText" lastClr="000000"/>
              </a:solidFill>
            </a:rPr>
            <a:t>Cross-sectional</a:t>
          </a:r>
        </a:p>
      </dgm:t>
    </dgm:pt>
    <dgm:pt modelId="{4A7628D6-49DB-48DA-AC99-17E44D986667}" type="parTrans" cxnId="{8D4695BD-83F5-4131-B881-CC4931DF068E}">
      <dgm:prSet/>
      <dgm:spPr/>
      <dgm:t>
        <a:bodyPr/>
        <a:lstStyle/>
        <a:p>
          <a:endParaRPr lang="en-IN" sz="1200" b="1">
            <a:solidFill>
              <a:sysClr val="windowText" lastClr="000000"/>
            </a:solidFill>
          </a:endParaRPr>
        </a:p>
      </dgm:t>
    </dgm:pt>
    <dgm:pt modelId="{04DB07F4-0BBE-47DE-B413-1B0C77C6F103}" type="sibTrans" cxnId="{8D4695BD-83F5-4131-B881-CC4931DF068E}">
      <dgm:prSet/>
      <dgm:spPr/>
      <dgm:t>
        <a:bodyPr/>
        <a:lstStyle/>
        <a:p>
          <a:endParaRPr lang="en-IN" sz="1200" b="1">
            <a:solidFill>
              <a:sysClr val="windowText" lastClr="000000"/>
            </a:solidFill>
          </a:endParaRPr>
        </a:p>
      </dgm:t>
    </dgm:pt>
    <dgm:pt modelId="{A6FB3B8B-C6EB-4F5C-8B20-AA3109A6BF0B}">
      <dgm:prSet custT="1"/>
      <dgm:spPr/>
      <dgm:t>
        <a:bodyPr/>
        <a:lstStyle/>
        <a:p>
          <a:pPr>
            <a:buNone/>
          </a:pPr>
          <a:r>
            <a:rPr lang="en-IN" sz="800" b="1">
              <a:solidFill>
                <a:sysClr val="windowText" lastClr="000000"/>
              </a:solidFill>
            </a:rPr>
            <a:t>Secondary data collection</a:t>
          </a:r>
        </a:p>
      </dgm:t>
    </dgm:pt>
    <dgm:pt modelId="{761E8DD6-35A4-49BD-8616-71E32D127DC5}" type="parTrans" cxnId="{DA6983D0-2287-4A13-A97F-8B026B290306}">
      <dgm:prSet/>
      <dgm:spPr/>
      <dgm:t>
        <a:bodyPr/>
        <a:lstStyle/>
        <a:p>
          <a:endParaRPr lang="en-IN" sz="1200" b="1">
            <a:solidFill>
              <a:sysClr val="windowText" lastClr="000000"/>
            </a:solidFill>
          </a:endParaRPr>
        </a:p>
      </dgm:t>
    </dgm:pt>
    <dgm:pt modelId="{8ECEC043-2989-4D34-B423-23CE12592B93}" type="sibTrans" cxnId="{DA6983D0-2287-4A13-A97F-8B026B290306}">
      <dgm:prSet/>
      <dgm:spPr/>
      <dgm:t>
        <a:bodyPr/>
        <a:lstStyle/>
        <a:p>
          <a:endParaRPr lang="en-IN" sz="1200" b="1">
            <a:solidFill>
              <a:sysClr val="windowText" lastClr="000000"/>
            </a:solidFill>
          </a:endParaRPr>
        </a:p>
      </dgm:t>
    </dgm:pt>
    <dgm:pt modelId="{CF9AFF82-976D-486E-813B-55A77D3A634D}">
      <dgm:prSet custT="1"/>
      <dgm:spPr/>
      <dgm:t>
        <a:bodyPr/>
        <a:lstStyle/>
        <a:p>
          <a:pPr>
            <a:buNone/>
          </a:pPr>
          <a:r>
            <a:rPr lang="en-IN" sz="800" b="1">
              <a:solidFill>
                <a:sysClr val="windowText" lastClr="000000"/>
              </a:solidFill>
            </a:rPr>
            <a:t>Thematic analysis</a:t>
          </a:r>
        </a:p>
      </dgm:t>
    </dgm:pt>
    <dgm:pt modelId="{4F11C79F-DE18-45B2-B45A-BAA8D7A96320}" type="parTrans" cxnId="{2DB6A49A-7723-40E8-978E-EA87271D78AD}">
      <dgm:prSet/>
      <dgm:spPr/>
      <dgm:t>
        <a:bodyPr/>
        <a:lstStyle/>
        <a:p>
          <a:endParaRPr lang="en-IN" sz="1200" b="1">
            <a:solidFill>
              <a:sysClr val="windowText" lastClr="000000"/>
            </a:solidFill>
          </a:endParaRPr>
        </a:p>
      </dgm:t>
    </dgm:pt>
    <dgm:pt modelId="{A14CE414-C210-4458-9DA8-8071FE28995C}" type="sibTrans" cxnId="{2DB6A49A-7723-40E8-978E-EA87271D78AD}">
      <dgm:prSet/>
      <dgm:spPr/>
      <dgm:t>
        <a:bodyPr/>
        <a:lstStyle/>
        <a:p>
          <a:endParaRPr lang="en-IN" sz="1200" b="1">
            <a:solidFill>
              <a:sysClr val="windowText" lastClr="000000"/>
            </a:solidFill>
          </a:endParaRPr>
        </a:p>
      </dgm:t>
    </dgm:pt>
    <dgm:pt modelId="{1A4D37C3-FD11-4D8F-B098-9CE0BD34CA16}" type="pres">
      <dgm:prSet presAssocID="{A6F5D771-579E-4591-997E-FA3418388738}" presName="Name0" presStyleCnt="0">
        <dgm:presLayoutVars>
          <dgm:chMax val="7"/>
          <dgm:resizeHandles val="exact"/>
        </dgm:presLayoutVars>
      </dgm:prSet>
      <dgm:spPr/>
    </dgm:pt>
    <dgm:pt modelId="{9CF80543-DEE5-4DEA-9603-34ED3F0F9CD9}" type="pres">
      <dgm:prSet presAssocID="{A6F5D771-579E-4591-997E-FA3418388738}" presName="comp1" presStyleCnt="0"/>
      <dgm:spPr/>
    </dgm:pt>
    <dgm:pt modelId="{67F17F91-28BB-4CDE-99CA-4A721125AABE}" type="pres">
      <dgm:prSet presAssocID="{A6F5D771-579E-4591-997E-FA3418388738}" presName="circle1" presStyleLbl="node1" presStyleIdx="0" presStyleCnt="7"/>
      <dgm:spPr/>
    </dgm:pt>
    <dgm:pt modelId="{68CD0ED4-EE55-4391-8237-05B5028CB6B3}" type="pres">
      <dgm:prSet presAssocID="{A6F5D771-579E-4591-997E-FA3418388738}" presName="c1text" presStyleLbl="node1" presStyleIdx="0" presStyleCnt="7">
        <dgm:presLayoutVars>
          <dgm:bulletEnabled val="1"/>
        </dgm:presLayoutVars>
      </dgm:prSet>
      <dgm:spPr/>
    </dgm:pt>
    <dgm:pt modelId="{E0E75E82-FAC0-4A4C-AAE0-1826D7A97A0C}" type="pres">
      <dgm:prSet presAssocID="{A6F5D771-579E-4591-997E-FA3418388738}" presName="comp2" presStyleCnt="0"/>
      <dgm:spPr/>
    </dgm:pt>
    <dgm:pt modelId="{C15A1655-BDAA-4B45-985D-87A3D0CDBB4C}" type="pres">
      <dgm:prSet presAssocID="{A6F5D771-579E-4591-997E-FA3418388738}" presName="circle2" presStyleLbl="node1" presStyleIdx="1" presStyleCnt="7"/>
      <dgm:spPr/>
    </dgm:pt>
    <dgm:pt modelId="{9113A6E8-6314-4605-90DF-3E7EE55EAC44}" type="pres">
      <dgm:prSet presAssocID="{A6F5D771-579E-4591-997E-FA3418388738}" presName="c2text" presStyleLbl="node1" presStyleIdx="1" presStyleCnt="7">
        <dgm:presLayoutVars>
          <dgm:bulletEnabled val="1"/>
        </dgm:presLayoutVars>
      </dgm:prSet>
      <dgm:spPr/>
    </dgm:pt>
    <dgm:pt modelId="{C5941507-6A49-48F5-8725-D715CFC26B57}" type="pres">
      <dgm:prSet presAssocID="{A6F5D771-579E-4591-997E-FA3418388738}" presName="comp3" presStyleCnt="0"/>
      <dgm:spPr/>
    </dgm:pt>
    <dgm:pt modelId="{36B8FDAE-6FB8-4A45-ABC8-BAFD242E754D}" type="pres">
      <dgm:prSet presAssocID="{A6F5D771-579E-4591-997E-FA3418388738}" presName="circle3" presStyleLbl="node1" presStyleIdx="2" presStyleCnt="7"/>
      <dgm:spPr/>
    </dgm:pt>
    <dgm:pt modelId="{8429D06E-7B1E-470E-8560-DB56C4F6FA9F}" type="pres">
      <dgm:prSet presAssocID="{A6F5D771-579E-4591-997E-FA3418388738}" presName="c3text" presStyleLbl="node1" presStyleIdx="2" presStyleCnt="7">
        <dgm:presLayoutVars>
          <dgm:bulletEnabled val="1"/>
        </dgm:presLayoutVars>
      </dgm:prSet>
      <dgm:spPr/>
    </dgm:pt>
    <dgm:pt modelId="{AD48D327-76CB-43DC-8CCE-CFF7F426F463}" type="pres">
      <dgm:prSet presAssocID="{A6F5D771-579E-4591-997E-FA3418388738}" presName="comp4" presStyleCnt="0"/>
      <dgm:spPr/>
    </dgm:pt>
    <dgm:pt modelId="{A010671E-509C-4CAC-B5A1-E777FB064D4B}" type="pres">
      <dgm:prSet presAssocID="{A6F5D771-579E-4591-997E-FA3418388738}" presName="circle4" presStyleLbl="node1" presStyleIdx="3" presStyleCnt="7"/>
      <dgm:spPr/>
    </dgm:pt>
    <dgm:pt modelId="{9D303C6F-B6DD-42F2-ACCF-5B43D2EAB5B8}" type="pres">
      <dgm:prSet presAssocID="{A6F5D771-579E-4591-997E-FA3418388738}" presName="c4text" presStyleLbl="node1" presStyleIdx="3" presStyleCnt="7">
        <dgm:presLayoutVars>
          <dgm:bulletEnabled val="1"/>
        </dgm:presLayoutVars>
      </dgm:prSet>
      <dgm:spPr/>
    </dgm:pt>
    <dgm:pt modelId="{7AFF0208-418B-4066-944A-CBE5B7C265C5}" type="pres">
      <dgm:prSet presAssocID="{A6F5D771-579E-4591-997E-FA3418388738}" presName="comp5" presStyleCnt="0"/>
      <dgm:spPr/>
    </dgm:pt>
    <dgm:pt modelId="{7B084316-B3AF-4500-9C9D-857B8E5891FB}" type="pres">
      <dgm:prSet presAssocID="{A6F5D771-579E-4591-997E-FA3418388738}" presName="circle5" presStyleLbl="node1" presStyleIdx="4" presStyleCnt="7"/>
      <dgm:spPr/>
    </dgm:pt>
    <dgm:pt modelId="{46E7D1BB-5A48-4DDD-855B-A3F6C9542C3D}" type="pres">
      <dgm:prSet presAssocID="{A6F5D771-579E-4591-997E-FA3418388738}" presName="c5text" presStyleLbl="node1" presStyleIdx="4" presStyleCnt="7">
        <dgm:presLayoutVars>
          <dgm:bulletEnabled val="1"/>
        </dgm:presLayoutVars>
      </dgm:prSet>
      <dgm:spPr/>
    </dgm:pt>
    <dgm:pt modelId="{44294F18-AA7C-49C7-92E8-F7643F85A23C}" type="pres">
      <dgm:prSet presAssocID="{A6F5D771-579E-4591-997E-FA3418388738}" presName="comp6" presStyleCnt="0"/>
      <dgm:spPr/>
    </dgm:pt>
    <dgm:pt modelId="{36DAF7DC-2547-4DD7-A148-46C714E6A349}" type="pres">
      <dgm:prSet presAssocID="{A6F5D771-579E-4591-997E-FA3418388738}" presName="circle6" presStyleLbl="node1" presStyleIdx="5" presStyleCnt="7"/>
      <dgm:spPr/>
    </dgm:pt>
    <dgm:pt modelId="{A0FAF0C3-D507-4B55-A1C7-5C62B1D79BC9}" type="pres">
      <dgm:prSet presAssocID="{A6F5D771-579E-4591-997E-FA3418388738}" presName="c6text" presStyleLbl="node1" presStyleIdx="5" presStyleCnt="7">
        <dgm:presLayoutVars>
          <dgm:bulletEnabled val="1"/>
        </dgm:presLayoutVars>
      </dgm:prSet>
      <dgm:spPr/>
    </dgm:pt>
    <dgm:pt modelId="{136346C7-760A-410A-9975-ED0305ACC45F}" type="pres">
      <dgm:prSet presAssocID="{A6F5D771-579E-4591-997E-FA3418388738}" presName="comp7" presStyleCnt="0"/>
      <dgm:spPr/>
    </dgm:pt>
    <dgm:pt modelId="{6D075912-744D-4790-8038-D78C6E219287}" type="pres">
      <dgm:prSet presAssocID="{A6F5D771-579E-4591-997E-FA3418388738}" presName="circle7" presStyleLbl="node1" presStyleIdx="6" presStyleCnt="7"/>
      <dgm:spPr/>
    </dgm:pt>
    <dgm:pt modelId="{A667F9C5-6344-46B4-B275-420271D6C2E2}" type="pres">
      <dgm:prSet presAssocID="{A6F5D771-579E-4591-997E-FA3418388738}" presName="c7text" presStyleLbl="node1" presStyleIdx="6" presStyleCnt="7">
        <dgm:presLayoutVars>
          <dgm:bulletEnabled val="1"/>
        </dgm:presLayoutVars>
      </dgm:prSet>
      <dgm:spPr/>
    </dgm:pt>
  </dgm:ptLst>
  <dgm:cxnLst>
    <dgm:cxn modelId="{39B37042-95A2-47FC-8964-F2C8628739FC}" type="presOf" srcId="{8FBBF7A5-076D-401A-A4D4-8F7C6AE22F0F}" destId="{A010671E-509C-4CAC-B5A1-E777FB064D4B}" srcOrd="0" destOrd="0" presId="urn:microsoft.com/office/officeart/2005/8/layout/venn2"/>
    <dgm:cxn modelId="{29504569-B116-406C-AA9F-E8FD6A261464}" srcId="{A6F5D771-579E-4591-997E-FA3418388738}" destId="{C3C7317B-A1D2-4648-BCA0-480D481435D2}" srcOrd="2" destOrd="0" parTransId="{6176ECB2-9CF2-46AE-A561-96BE671C2439}" sibTransId="{05DA7300-A94B-4969-B3ED-59E86951DBD5}"/>
    <dgm:cxn modelId="{564DDA49-FF0E-406A-84A8-0385B022AE99}" type="presOf" srcId="{180B3DD4-0CED-4146-B269-254553247702}" destId="{67F17F91-28BB-4CDE-99CA-4A721125AABE}" srcOrd="0" destOrd="0" presId="urn:microsoft.com/office/officeart/2005/8/layout/venn2"/>
    <dgm:cxn modelId="{31CC9B71-9BB6-4870-B220-29178B30E808}" type="presOf" srcId="{488FB3BE-AAF6-413C-92FA-697D56FCB8DF}" destId="{46E7D1BB-5A48-4DDD-855B-A3F6C9542C3D}" srcOrd="1" destOrd="0" presId="urn:microsoft.com/office/officeart/2005/8/layout/venn2"/>
    <dgm:cxn modelId="{5438DA51-CEA2-4EC1-BC39-2427643C5B08}" type="presOf" srcId="{C3C7317B-A1D2-4648-BCA0-480D481435D2}" destId="{36B8FDAE-6FB8-4A45-ABC8-BAFD242E754D}" srcOrd="0" destOrd="0" presId="urn:microsoft.com/office/officeart/2005/8/layout/venn2"/>
    <dgm:cxn modelId="{44050C73-43C0-4453-BF1F-1E8ECCCB85E2}" type="presOf" srcId="{CF9AFF82-976D-486E-813B-55A77D3A634D}" destId="{6D075912-744D-4790-8038-D78C6E219287}" srcOrd="0" destOrd="0" presId="urn:microsoft.com/office/officeart/2005/8/layout/venn2"/>
    <dgm:cxn modelId="{AEA55477-3F10-446F-9AB0-D721F62EB495}" type="presOf" srcId="{8FBBF7A5-076D-401A-A4D4-8F7C6AE22F0F}" destId="{9D303C6F-B6DD-42F2-ACCF-5B43D2EAB5B8}" srcOrd="1" destOrd="0" presId="urn:microsoft.com/office/officeart/2005/8/layout/venn2"/>
    <dgm:cxn modelId="{B5DB9057-8E88-4DD3-AADB-BE35EDB21C1C}" srcId="{A6F5D771-579E-4591-997E-FA3418388738}" destId="{97FC2A5A-6FA9-41AA-87E0-378B9186329F}" srcOrd="1" destOrd="0" parTransId="{FFA2CC49-D32D-406E-9271-13AE5AA217AF}" sibTransId="{C5DA5C12-4FAC-4D9C-8BA9-25B239AC3ECE}"/>
    <dgm:cxn modelId="{A806EB83-ADE0-46F0-B3B9-69990DCBA337}" type="presOf" srcId="{488FB3BE-AAF6-413C-92FA-697D56FCB8DF}" destId="{7B084316-B3AF-4500-9C9D-857B8E5891FB}" srcOrd="0" destOrd="0" presId="urn:microsoft.com/office/officeart/2005/8/layout/venn2"/>
    <dgm:cxn modelId="{2DB6A49A-7723-40E8-978E-EA87271D78AD}" srcId="{A6F5D771-579E-4591-997E-FA3418388738}" destId="{CF9AFF82-976D-486E-813B-55A77D3A634D}" srcOrd="6" destOrd="0" parTransId="{4F11C79F-DE18-45B2-B45A-BAA8D7A96320}" sibTransId="{A14CE414-C210-4458-9DA8-8071FE28995C}"/>
    <dgm:cxn modelId="{0AB6F19A-9F32-411C-9669-EC45BC7A1B88}" type="presOf" srcId="{97FC2A5A-6FA9-41AA-87E0-378B9186329F}" destId="{C15A1655-BDAA-4B45-985D-87A3D0CDBB4C}" srcOrd="0" destOrd="0" presId="urn:microsoft.com/office/officeart/2005/8/layout/venn2"/>
    <dgm:cxn modelId="{92F2039F-1461-4DDC-89EA-3E7441C6278D}" type="presOf" srcId="{A6F5D771-579E-4591-997E-FA3418388738}" destId="{1A4D37C3-FD11-4D8F-B098-9CE0BD34CA16}" srcOrd="0" destOrd="0" presId="urn:microsoft.com/office/officeart/2005/8/layout/venn2"/>
    <dgm:cxn modelId="{0C6BE3A0-F7A2-4190-A493-152EA1E7C6AC}" type="presOf" srcId="{CF9AFF82-976D-486E-813B-55A77D3A634D}" destId="{A667F9C5-6344-46B4-B275-420271D6C2E2}" srcOrd="1" destOrd="0" presId="urn:microsoft.com/office/officeart/2005/8/layout/venn2"/>
    <dgm:cxn modelId="{931D17B4-B367-4E89-825C-9BBC948364B0}" type="presOf" srcId="{A6FB3B8B-C6EB-4F5C-8B20-AA3109A6BF0B}" destId="{A0FAF0C3-D507-4B55-A1C7-5C62B1D79BC9}" srcOrd="1" destOrd="0" presId="urn:microsoft.com/office/officeart/2005/8/layout/venn2"/>
    <dgm:cxn modelId="{D02B15BD-C547-4D6E-B589-078FF9173D9E}" srcId="{A6F5D771-579E-4591-997E-FA3418388738}" destId="{8FBBF7A5-076D-401A-A4D4-8F7C6AE22F0F}" srcOrd="3" destOrd="0" parTransId="{A46061D5-7155-49FD-BBC0-307F7CCE8659}" sibTransId="{2783292C-5EFB-412E-82CD-F1EECF5A9282}"/>
    <dgm:cxn modelId="{8D4695BD-83F5-4131-B881-CC4931DF068E}" srcId="{A6F5D771-579E-4591-997E-FA3418388738}" destId="{488FB3BE-AAF6-413C-92FA-697D56FCB8DF}" srcOrd="4" destOrd="0" parTransId="{4A7628D6-49DB-48DA-AC99-17E44D986667}" sibTransId="{04DB07F4-0BBE-47DE-B413-1B0C77C6F103}"/>
    <dgm:cxn modelId="{4F08D2C3-1ED1-442A-9A56-3B6B8FF0DE8A}" type="presOf" srcId="{180B3DD4-0CED-4146-B269-254553247702}" destId="{68CD0ED4-EE55-4391-8237-05B5028CB6B3}" srcOrd="1" destOrd="0" presId="urn:microsoft.com/office/officeart/2005/8/layout/venn2"/>
    <dgm:cxn modelId="{DA6983D0-2287-4A13-A97F-8B026B290306}" srcId="{A6F5D771-579E-4591-997E-FA3418388738}" destId="{A6FB3B8B-C6EB-4F5C-8B20-AA3109A6BF0B}" srcOrd="5" destOrd="0" parTransId="{761E8DD6-35A4-49BD-8616-71E32D127DC5}" sibTransId="{8ECEC043-2989-4D34-B423-23CE12592B93}"/>
    <dgm:cxn modelId="{EF337FD3-82B1-4511-944F-ED30ABD099B7}" type="presOf" srcId="{A6FB3B8B-C6EB-4F5C-8B20-AA3109A6BF0B}" destId="{36DAF7DC-2547-4DD7-A148-46C714E6A349}" srcOrd="0" destOrd="0" presId="urn:microsoft.com/office/officeart/2005/8/layout/venn2"/>
    <dgm:cxn modelId="{B42929DE-1CF4-4673-BAED-8A3014112190}" type="presOf" srcId="{C3C7317B-A1D2-4648-BCA0-480D481435D2}" destId="{8429D06E-7B1E-470E-8560-DB56C4F6FA9F}" srcOrd="1" destOrd="0" presId="urn:microsoft.com/office/officeart/2005/8/layout/venn2"/>
    <dgm:cxn modelId="{B5A54EF5-77BC-4664-84C8-243C68FE1ED5}" srcId="{A6F5D771-579E-4591-997E-FA3418388738}" destId="{180B3DD4-0CED-4146-B269-254553247702}" srcOrd="0" destOrd="0" parTransId="{0AD2FA14-981F-4A39-83C6-E354C8819931}" sibTransId="{42701F6A-D9E1-443E-82A1-BAA9A163F590}"/>
    <dgm:cxn modelId="{9B308BF6-0E5E-4299-B5AB-7C8BF86EABB0}" type="presOf" srcId="{97FC2A5A-6FA9-41AA-87E0-378B9186329F}" destId="{9113A6E8-6314-4605-90DF-3E7EE55EAC44}" srcOrd="1" destOrd="0" presId="urn:microsoft.com/office/officeart/2005/8/layout/venn2"/>
    <dgm:cxn modelId="{46CDDC83-9E4C-4DC2-AC8C-3376C2B86171}" type="presParOf" srcId="{1A4D37C3-FD11-4D8F-B098-9CE0BD34CA16}" destId="{9CF80543-DEE5-4DEA-9603-34ED3F0F9CD9}" srcOrd="0" destOrd="0" presId="urn:microsoft.com/office/officeart/2005/8/layout/venn2"/>
    <dgm:cxn modelId="{C4CDD3E5-7EA1-4707-9201-C8DC8BACDD1D}" type="presParOf" srcId="{9CF80543-DEE5-4DEA-9603-34ED3F0F9CD9}" destId="{67F17F91-28BB-4CDE-99CA-4A721125AABE}" srcOrd="0" destOrd="0" presId="urn:microsoft.com/office/officeart/2005/8/layout/venn2"/>
    <dgm:cxn modelId="{3D640B56-7E76-4F35-9971-A2C8EBF53928}" type="presParOf" srcId="{9CF80543-DEE5-4DEA-9603-34ED3F0F9CD9}" destId="{68CD0ED4-EE55-4391-8237-05B5028CB6B3}" srcOrd="1" destOrd="0" presId="urn:microsoft.com/office/officeart/2005/8/layout/venn2"/>
    <dgm:cxn modelId="{CEC7FA41-139E-496F-BECF-B029878DB1C2}" type="presParOf" srcId="{1A4D37C3-FD11-4D8F-B098-9CE0BD34CA16}" destId="{E0E75E82-FAC0-4A4C-AAE0-1826D7A97A0C}" srcOrd="1" destOrd="0" presId="urn:microsoft.com/office/officeart/2005/8/layout/venn2"/>
    <dgm:cxn modelId="{36BEBA2F-28C9-4355-9B27-89C308F2CA6C}" type="presParOf" srcId="{E0E75E82-FAC0-4A4C-AAE0-1826D7A97A0C}" destId="{C15A1655-BDAA-4B45-985D-87A3D0CDBB4C}" srcOrd="0" destOrd="0" presId="urn:microsoft.com/office/officeart/2005/8/layout/venn2"/>
    <dgm:cxn modelId="{CA981802-2ACB-467E-8EC4-7D3BAFA5454D}" type="presParOf" srcId="{E0E75E82-FAC0-4A4C-AAE0-1826D7A97A0C}" destId="{9113A6E8-6314-4605-90DF-3E7EE55EAC44}" srcOrd="1" destOrd="0" presId="urn:microsoft.com/office/officeart/2005/8/layout/venn2"/>
    <dgm:cxn modelId="{A5F7EEF7-F782-42A6-981C-E88C7E9B88D4}" type="presParOf" srcId="{1A4D37C3-FD11-4D8F-B098-9CE0BD34CA16}" destId="{C5941507-6A49-48F5-8725-D715CFC26B57}" srcOrd="2" destOrd="0" presId="urn:microsoft.com/office/officeart/2005/8/layout/venn2"/>
    <dgm:cxn modelId="{BCDF8CAF-2C16-4595-89B1-404EAD00F611}" type="presParOf" srcId="{C5941507-6A49-48F5-8725-D715CFC26B57}" destId="{36B8FDAE-6FB8-4A45-ABC8-BAFD242E754D}" srcOrd="0" destOrd="0" presId="urn:microsoft.com/office/officeart/2005/8/layout/venn2"/>
    <dgm:cxn modelId="{C57991C3-0E09-4C28-BE05-7D8989C534E1}" type="presParOf" srcId="{C5941507-6A49-48F5-8725-D715CFC26B57}" destId="{8429D06E-7B1E-470E-8560-DB56C4F6FA9F}" srcOrd="1" destOrd="0" presId="urn:microsoft.com/office/officeart/2005/8/layout/venn2"/>
    <dgm:cxn modelId="{D629C566-CF50-4259-A578-0DDC0DE473E3}" type="presParOf" srcId="{1A4D37C3-FD11-4D8F-B098-9CE0BD34CA16}" destId="{AD48D327-76CB-43DC-8CCE-CFF7F426F463}" srcOrd="3" destOrd="0" presId="urn:microsoft.com/office/officeart/2005/8/layout/venn2"/>
    <dgm:cxn modelId="{394DDD64-F3ED-4841-80AB-C00794B03462}" type="presParOf" srcId="{AD48D327-76CB-43DC-8CCE-CFF7F426F463}" destId="{A010671E-509C-4CAC-B5A1-E777FB064D4B}" srcOrd="0" destOrd="0" presId="urn:microsoft.com/office/officeart/2005/8/layout/venn2"/>
    <dgm:cxn modelId="{0FDE3012-2851-4544-A8A6-1FD628D03E4B}" type="presParOf" srcId="{AD48D327-76CB-43DC-8CCE-CFF7F426F463}" destId="{9D303C6F-B6DD-42F2-ACCF-5B43D2EAB5B8}" srcOrd="1" destOrd="0" presId="urn:microsoft.com/office/officeart/2005/8/layout/venn2"/>
    <dgm:cxn modelId="{1EDAFF0E-7189-44A5-BB4F-40B24BC1BB2B}" type="presParOf" srcId="{1A4D37C3-FD11-4D8F-B098-9CE0BD34CA16}" destId="{7AFF0208-418B-4066-944A-CBE5B7C265C5}" srcOrd="4" destOrd="0" presId="urn:microsoft.com/office/officeart/2005/8/layout/venn2"/>
    <dgm:cxn modelId="{CBCB586D-7A72-4D58-BB59-3A55DF4008F0}" type="presParOf" srcId="{7AFF0208-418B-4066-944A-CBE5B7C265C5}" destId="{7B084316-B3AF-4500-9C9D-857B8E5891FB}" srcOrd="0" destOrd="0" presId="urn:microsoft.com/office/officeart/2005/8/layout/venn2"/>
    <dgm:cxn modelId="{813686E1-32F2-47BE-9A18-EACC67442CE7}" type="presParOf" srcId="{7AFF0208-418B-4066-944A-CBE5B7C265C5}" destId="{46E7D1BB-5A48-4DDD-855B-A3F6C9542C3D}" srcOrd="1" destOrd="0" presId="urn:microsoft.com/office/officeart/2005/8/layout/venn2"/>
    <dgm:cxn modelId="{183E97D7-1BB1-4194-A586-7D6F69CD3341}" type="presParOf" srcId="{1A4D37C3-FD11-4D8F-B098-9CE0BD34CA16}" destId="{44294F18-AA7C-49C7-92E8-F7643F85A23C}" srcOrd="5" destOrd="0" presId="urn:microsoft.com/office/officeart/2005/8/layout/venn2"/>
    <dgm:cxn modelId="{771E5BCB-8C31-4D5A-8FEF-D0B3535AA529}" type="presParOf" srcId="{44294F18-AA7C-49C7-92E8-F7643F85A23C}" destId="{36DAF7DC-2547-4DD7-A148-46C714E6A349}" srcOrd="0" destOrd="0" presId="urn:microsoft.com/office/officeart/2005/8/layout/venn2"/>
    <dgm:cxn modelId="{4F10459C-4E61-44ED-9A6E-25AF6CFC7D6D}" type="presParOf" srcId="{44294F18-AA7C-49C7-92E8-F7643F85A23C}" destId="{A0FAF0C3-D507-4B55-A1C7-5C62B1D79BC9}" srcOrd="1" destOrd="0" presId="urn:microsoft.com/office/officeart/2005/8/layout/venn2"/>
    <dgm:cxn modelId="{D19C7ACC-2E35-46AB-9B4E-0EA293092273}" type="presParOf" srcId="{1A4D37C3-FD11-4D8F-B098-9CE0BD34CA16}" destId="{136346C7-760A-410A-9975-ED0305ACC45F}" srcOrd="6" destOrd="0" presId="urn:microsoft.com/office/officeart/2005/8/layout/venn2"/>
    <dgm:cxn modelId="{502342C1-C98B-4CFC-AAE6-BDBE14053E74}" type="presParOf" srcId="{136346C7-760A-410A-9975-ED0305ACC45F}" destId="{6D075912-744D-4790-8038-D78C6E219287}" srcOrd="0" destOrd="0" presId="urn:microsoft.com/office/officeart/2005/8/layout/venn2"/>
    <dgm:cxn modelId="{9171442D-86E5-4EE7-AD33-53119C2C2851}" type="presParOf" srcId="{136346C7-760A-410A-9975-ED0305ACC45F}" destId="{A667F9C5-6344-46B4-B275-420271D6C2E2}" srcOrd="1" destOrd="0" presId="urn:microsoft.com/office/officeart/2005/8/layout/venn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F17F91-28BB-4CDE-99CA-4A721125AABE}">
      <dsp:nvSpPr>
        <dsp:cNvPr id="0" name=""/>
        <dsp:cNvSpPr/>
      </dsp:nvSpPr>
      <dsp:spPr>
        <a:xfrm>
          <a:off x="651509" y="0"/>
          <a:ext cx="4404360" cy="4404360"/>
        </a:xfrm>
        <a:prstGeom prst="ellipse">
          <a:avLst/>
        </a:prstGeom>
        <a:solidFill>
          <a:schemeClr val="accent2">
            <a:shade val="8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b="1" kern="1200">
              <a:solidFill>
                <a:sysClr val="windowText" lastClr="000000"/>
              </a:solidFill>
            </a:rPr>
            <a:t>Interpretivism</a:t>
          </a:r>
        </a:p>
      </dsp:txBody>
      <dsp:txXfrm>
        <a:off x="2027872" y="220218"/>
        <a:ext cx="1651635" cy="440436"/>
      </dsp:txXfrm>
    </dsp:sp>
    <dsp:sp modelId="{C15A1655-BDAA-4B45-985D-87A3D0CDBB4C}">
      <dsp:nvSpPr>
        <dsp:cNvPr id="0" name=""/>
        <dsp:cNvSpPr/>
      </dsp:nvSpPr>
      <dsp:spPr>
        <a:xfrm>
          <a:off x="981836" y="660653"/>
          <a:ext cx="3743706" cy="3743706"/>
        </a:xfrm>
        <a:prstGeom prst="ellipse">
          <a:avLst/>
        </a:prstGeom>
        <a:solidFill>
          <a:schemeClr val="accent2">
            <a:shade val="80000"/>
            <a:hueOff val="-80236"/>
            <a:satOff val="1694"/>
            <a:lumOff val="4514"/>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b="1" kern="1200">
              <a:solidFill>
                <a:sysClr val="windowText" lastClr="000000"/>
              </a:solidFill>
            </a:rPr>
            <a:t>Inductive</a:t>
          </a:r>
        </a:p>
      </dsp:txBody>
      <dsp:txXfrm>
        <a:off x="2046453" y="875917"/>
        <a:ext cx="1614473" cy="430526"/>
      </dsp:txXfrm>
    </dsp:sp>
    <dsp:sp modelId="{36B8FDAE-6FB8-4A45-ABC8-BAFD242E754D}">
      <dsp:nvSpPr>
        <dsp:cNvPr id="0" name=""/>
        <dsp:cNvSpPr/>
      </dsp:nvSpPr>
      <dsp:spPr>
        <a:xfrm>
          <a:off x="1312163" y="1321307"/>
          <a:ext cx="3083052" cy="3083052"/>
        </a:xfrm>
        <a:prstGeom prst="ellipse">
          <a:avLst/>
        </a:prstGeom>
        <a:solidFill>
          <a:schemeClr val="accent2">
            <a:shade val="80000"/>
            <a:hueOff val="-160472"/>
            <a:satOff val="3389"/>
            <a:lumOff val="9027"/>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b="1" kern="1200">
              <a:solidFill>
                <a:sysClr val="windowText" lastClr="000000"/>
              </a:solidFill>
            </a:rPr>
            <a:t>Qualitative</a:t>
          </a:r>
        </a:p>
      </dsp:txBody>
      <dsp:txXfrm>
        <a:off x="2055950" y="1534038"/>
        <a:ext cx="1595479" cy="425461"/>
      </dsp:txXfrm>
    </dsp:sp>
    <dsp:sp modelId="{A010671E-509C-4CAC-B5A1-E777FB064D4B}">
      <dsp:nvSpPr>
        <dsp:cNvPr id="0" name=""/>
        <dsp:cNvSpPr/>
      </dsp:nvSpPr>
      <dsp:spPr>
        <a:xfrm>
          <a:off x="1642490" y="1981961"/>
          <a:ext cx="2422398" cy="2422398"/>
        </a:xfrm>
        <a:prstGeom prst="ellipse">
          <a:avLst/>
        </a:prstGeom>
        <a:solidFill>
          <a:schemeClr val="accent2">
            <a:shade val="80000"/>
            <a:hueOff val="-240708"/>
            <a:satOff val="5083"/>
            <a:lumOff val="1354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b="1" kern="1200">
              <a:solidFill>
                <a:sysClr val="windowText" lastClr="000000"/>
              </a:solidFill>
            </a:rPr>
            <a:t>Systematic Literature Review </a:t>
          </a:r>
        </a:p>
      </dsp:txBody>
      <dsp:txXfrm>
        <a:off x="2199642" y="2199977"/>
        <a:ext cx="1308094" cy="436031"/>
      </dsp:txXfrm>
    </dsp:sp>
    <dsp:sp modelId="{7B084316-B3AF-4500-9C9D-857B8E5891FB}">
      <dsp:nvSpPr>
        <dsp:cNvPr id="0" name=""/>
        <dsp:cNvSpPr/>
      </dsp:nvSpPr>
      <dsp:spPr>
        <a:xfrm>
          <a:off x="1972818" y="2642616"/>
          <a:ext cx="1761744" cy="1761744"/>
        </a:xfrm>
        <a:prstGeom prst="ellipse">
          <a:avLst/>
        </a:prstGeom>
        <a:solidFill>
          <a:schemeClr val="accent2">
            <a:shade val="80000"/>
            <a:hueOff val="-320943"/>
            <a:satOff val="6777"/>
            <a:lumOff val="18054"/>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b="1" kern="1200">
              <a:solidFill>
                <a:sysClr val="windowText" lastClr="000000"/>
              </a:solidFill>
            </a:rPr>
            <a:t>Cross-sectional</a:t>
          </a:r>
        </a:p>
      </dsp:txBody>
      <dsp:txXfrm>
        <a:off x="2281123" y="2862834"/>
        <a:ext cx="1145133" cy="440436"/>
      </dsp:txXfrm>
    </dsp:sp>
    <dsp:sp modelId="{36DAF7DC-2547-4DD7-A148-46C714E6A349}">
      <dsp:nvSpPr>
        <dsp:cNvPr id="0" name=""/>
        <dsp:cNvSpPr/>
      </dsp:nvSpPr>
      <dsp:spPr>
        <a:xfrm>
          <a:off x="2303144" y="3303269"/>
          <a:ext cx="1101090" cy="1101090"/>
        </a:xfrm>
        <a:prstGeom prst="ellipse">
          <a:avLst/>
        </a:prstGeom>
        <a:solidFill>
          <a:schemeClr val="accent2">
            <a:shade val="80000"/>
            <a:hueOff val="-401179"/>
            <a:satOff val="8472"/>
            <a:lumOff val="2256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IN" sz="800" b="1" kern="1200">
              <a:solidFill>
                <a:sysClr val="windowText" lastClr="000000"/>
              </a:solidFill>
            </a:rPr>
            <a:t>Secondary data collection</a:t>
          </a:r>
        </a:p>
      </dsp:txBody>
      <dsp:txXfrm>
        <a:off x="2479319" y="3467882"/>
        <a:ext cx="748741" cy="265362"/>
      </dsp:txXfrm>
    </dsp:sp>
    <dsp:sp modelId="{6D075912-744D-4790-8038-D78C6E219287}">
      <dsp:nvSpPr>
        <dsp:cNvPr id="0" name=""/>
        <dsp:cNvSpPr/>
      </dsp:nvSpPr>
      <dsp:spPr>
        <a:xfrm>
          <a:off x="2523362" y="3743706"/>
          <a:ext cx="660654" cy="660654"/>
        </a:xfrm>
        <a:prstGeom prst="ellipse">
          <a:avLst/>
        </a:prstGeom>
        <a:solidFill>
          <a:schemeClr val="accent2">
            <a:shade val="80000"/>
            <a:hueOff val="-481415"/>
            <a:satOff val="10166"/>
            <a:lumOff val="2708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IN" sz="800" b="1" kern="1200">
              <a:solidFill>
                <a:sysClr val="windowText" lastClr="000000"/>
              </a:solidFill>
            </a:rPr>
            <a:t>Thematic analysis</a:t>
          </a:r>
        </a:p>
      </dsp:txBody>
      <dsp:txXfrm>
        <a:off x="2620113" y="3908869"/>
        <a:ext cx="467152" cy="330327"/>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65610-38BB-4988-BDA1-30BBEC675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19206</Words>
  <Characters>109477</Characters>
  <Application>Microsoft Office Word</Application>
  <DocSecurity>0</DocSecurity>
  <Lines>912</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2026-01-20T03:41:00Z</dcterms:created>
  <dcterms:modified xsi:type="dcterms:W3CDTF">2026-02-01T16:19:00Z</dcterms:modified>
</cp:coreProperties>
</file>