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BD62A0" w14:textId="77777777" w:rsidR="00241B30" w:rsidRDefault="00241B30" w:rsidP="00241B30">
      <w:pPr>
        <w:rPr>
          <w:rFonts w:ascii="Arial" w:hAnsi="Arial" w:cs="Arial"/>
        </w:rPr>
      </w:pPr>
      <w:r>
        <w:rPr>
          <w:rFonts w:ascii="Arial" w:hAnsi="Arial" w:cs="Arial"/>
        </w:rPr>
        <w:t>Name: Laura Thomas</w:t>
      </w:r>
    </w:p>
    <w:p w14:paraId="167D8FE9" w14:textId="77777777" w:rsidR="00241B30" w:rsidRDefault="00241B30" w:rsidP="00241B30">
      <w:pPr>
        <w:rPr>
          <w:rFonts w:ascii="Arial" w:hAnsi="Arial" w:cs="Arial"/>
        </w:rPr>
      </w:pPr>
      <w:r>
        <w:rPr>
          <w:rFonts w:ascii="Arial" w:hAnsi="Arial" w:cs="Arial"/>
        </w:rPr>
        <w:t>Student no: 2245957</w:t>
      </w:r>
    </w:p>
    <w:p w14:paraId="6A0693D1" w14:textId="77777777" w:rsidR="00241B30" w:rsidRDefault="00241B30" w:rsidP="00241B30">
      <w:r>
        <w:rPr>
          <w:rFonts w:ascii="Arial" w:hAnsi="Arial" w:cs="Arial"/>
          <w:b/>
          <w:bCs/>
        </w:rPr>
        <w:t>Essay One: How effectively has the police service adapted to accommodate diversity within the UK? Consider the police force itself and/or the way police engage with diverse communities. Your answer must be based on academic research.</w:t>
      </w:r>
    </w:p>
    <w:p w14:paraId="5FE6EB27" w14:textId="41CDA009" w:rsidR="00CC2092" w:rsidRDefault="00241B30" w:rsidP="00241B30">
      <w:r>
        <w:t>The police force in the UK are the visible symbol of the law, however, historically the police force has come under great scrutiny for its lack of inclusivity, education and lack of appropriate engagement with diverse communities. There have been many examples of the reasons behind this, one of which is the underrepresentation within the police force itself, with forces in the UK being predominantly white males, communities are fast growing in diversity and the gap of these communities being represented by the individuals policing them has grown apparent</w:t>
      </w:r>
      <w:r>
        <w:t xml:space="preserve"> </w:t>
      </w:r>
      <w:sdt>
        <w:sdtPr>
          <w:id w:val="812068374"/>
          <w:citation/>
        </w:sdtPr>
        <w:sdtContent>
          <w:r>
            <w:fldChar w:fldCharType="begin"/>
          </w:r>
          <w:r>
            <w:instrText xml:space="preserve"> CITATION Pic22 \l 2057 </w:instrText>
          </w:r>
          <w:r>
            <w:fldChar w:fldCharType="separate"/>
          </w:r>
          <w:r w:rsidRPr="00241B30">
            <w:rPr>
              <w:noProof/>
            </w:rPr>
            <w:t>(Pickles, 2022)</w:t>
          </w:r>
          <w:r>
            <w:fldChar w:fldCharType="end"/>
          </w:r>
        </w:sdtContent>
      </w:sdt>
      <w:r>
        <w:t xml:space="preserve">. </w:t>
      </w:r>
      <w:r>
        <w:t>This piece of work will explore the aspects of the underrepresentation of the police force and the affect this has on the communities it is policing, giving examples of historic and prominent incidents which have not only provided a tainted view of the police force, but to also explore the outcomes, lessons learnt and positive police engagement with diverse communities that is ongoing to this day</w:t>
      </w:r>
      <w:r>
        <w:t xml:space="preserve"> </w:t>
      </w:r>
      <w:sdt>
        <w:sdtPr>
          <w:id w:val="-534587254"/>
          <w:citation/>
        </w:sdtPr>
        <w:sdtContent>
          <w:r>
            <w:fldChar w:fldCharType="begin"/>
          </w:r>
          <w:r>
            <w:instrText xml:space="preserve"> CITATION Sko06 \l 2057 </w:instrText>
          </w:r>
          <w:r>
            <w:fldChar w:fldCharType="separate"/>
          </w:r>
          <w:r w:rsidRPr="00241B30">
            <w:rPr>
              <w:noProof/>
            </w:rPr>
            <w:t>(Skogan, 2006)</w:t>
          </w:r>
          <w:r>
            <w:fldChar w:fldCharType="end"/>
          </w:r>
        </w:sdtContent>
      </w:sdt>
      <w:r>
        <w:t xml:space="preserve">. </w:t>
      </w:r>
    </w:p>
    <w:p w14:paraId="77255B5D" w14:textId="77777777" w:rsidR="00FD05C8" w:rsidRDefault="00241B30" w:rsidP="00241B30">
      <w:r>
        <w:t>Public trust, community engagement, and effective accommodation of diversity in the police force are just three critical factors that are vitally important to achieve as these are a few of the essential elements that ensure the public confidence in the police force. Similarly to Europe, the UK has a worryingly low percentage of represented ethnic minorities within the Police Force with this percentage only decreasing as the officer rank increases</w:t>
      </w:r>
      <w:r>
        <w:t xml:space="preserve"> </w:t>
      </w:r>
      <w:sdt>
        <w:sdtPr>
          <w:id w:val="-721829366"/>
          <w:citation/>
        </w:sdtPr>
        <w:sdtContent>
          <w:r>
            <w:fldChar w:fldCharType="begin"/>
          </w:r>
          <w:r>
            <w:instrText xml:space="preserve"> CITATION van071 \l 2057 </w:instrText>
          </w:r>
          <w:r>
            <w:fldChar w:fldCharType="separate"/>
          </w:r>
          <w:r w:rsidRPr="00241B30">
            <w:rPr>
              <w:noProof/>
            </w:rPr>
            <w:t>(van Ewijk, A.R., 2007)</w:t>
          </w:r>
          <w:r>
            <w:fldChar w:fldCharType="end"/>
          </w:r>
        </w:sdtContent>
      </w:sdt>
      <w:r>
        <w:t xml:space="preserve">. </w:t>
      </w:r>
      <w:r>
        <w:t>Thus, resulting in the question being asked that how a police force that enforces the law in diverse communities particularly, expect to gain public trust and successful community engagement from the communities they police?  To increase the diversity within the police force, recruitment is an essential, but with this comes a barrier. One of the profound reasons for the low recruitment of ethnic minorities into the police force and a prominent barrier is the historic distrust of the police force from diverse communities, due this ongoing hostility, the police force have experienced a push back from individuals not wanting to pursue a career in the police force thus giving the force additional pressure of ensuring successful engagement with its communities but also to adapt a more practical approach to recruiting individuals from diverse communities</w:t>
      </w:r>
      <w:r>
        <w:t xml:space="preserve"> </w:t>
      </w:r>
      <w:sdt>
        <w:sdtPr>
          <w:id w:val="-297690346"/>
          <w:citation/>
        </w:sdtPr>
        <w:sdtContent>
          <w:r>
            <w:fldChar w:fldCharType="begin"/>
          </w:r>
          <w:r>
            <w:instrText xml:space="preserve"> CITATION Wat071 \l 2057 </w:instrText>
          </w:r>
          <w:r>
            <w:fldChar w:fldCharType="separate"/>
          </w:r>
          <w:r w:rsidRPr="00241B30">
            <w:rPr>
              <w:noProof/>
            </w:rPr>
            <w:t>(Waters, I. et al., 2007)</w:t>
          </w:r>
          <w:r>
            <w:fldChar w:fldCharType="end"/>
          </w:r>
        </w:sdtContent>
      </w:sdt>
      <w:r>
        <w:t>.</w:t>
      </w:r>
    </w:p>
    <w:p w14:paraId="63365BEB" w14:textId="26E9FDB8" w:rsidR="00241B30" w:rsidRDefault="00FD05C8" w:rsidP="00241B30">
      <w:r>
        <w:t>This</w:t>
      </w:r>
      <w:r w:rsidR="00241B30">
        <w:t xml:space="preserve"> article published</w:t>
      </w:r>
      <w:r>
        <w:t xml:space="preserve"> </w:t>
      </w:r>
      <w:r w:rsidR="00241B30">
        <w:t>highlights the legitimacy of authority by ethnic minority communities, different communities come from diverse cultures or countries where a distrust of the law is prevalent</w:t>
      </w:r>
      <w:r w:rsidR="00241B30">
        <w:t xml:space="preserve"> </w:t>
      </w:r>
      <w:sdt>
        <w:sdtPr>
          <w:id w:val="-1002888697"/>
          <w:citation/>
        </w:sdtPr>
        <w:sdtContent>
          <w:r w:rsidR="00241B30">
            <w:fldChar w:fldCharType="begin"/>
          </w:r>
          <w:r w:rsidR="00241B30">
            <w:instrText xml:space="preserve"> CITATION Mur12 \l 2057 </w:instrText>
          </w:r>
          <w:r w:rsidR="00241B30">
            <w:fldChar w:fldCharType="separate"/>
          </w:r>
          <w:r w:rsidR="00241B30" w:rsidRPr="00241B30">
            <w:rPr>
              <w:noProof/>
            </w:rPr>
            <w:t>(Murphy, 2012)</w:t>
          </w:r>
          <w:r w:rsidR="00241B30">
            <w:fldChar w:fldCharType="end"/>
          </w:r>
        </w:sdtContent>
      </w:sdt>
      <w:r w:rsidR="00241B30">
        <w:t xml:space="preserve">. </w:t>
      </w:r>
      <w:r w:rsidR="00241B30">
        <w:t xml:space="preserve">There </w:t>
      </w:r>
      <w:r>
        <w:t>are</w:t>
      </w:r>
      <w:r w:rsidR="00241B30">
        <w:t xml:space="preserve"> prominent controversies surrounding the Police force which has only encouraged a distrust from diverse communities within the UK. A prominent incident that demonstrates this, </w:t>
      </w:r>
      <w:r>
        <w:t xml:space="preserve">the </w:t>
      </w:r>
      <w:r w:rsidR="00241B30" w:rsidRPr="009D28CC">
        <w:t>Stephen Lawrence murder</w:t>
      </w:r>
      <w:r w:rsidR="00241B30">
        <w:t xml:space="preserve"> in 1993, </w:t>
      </w:r>
      <w:r>
        <w:t>t</w:t>
      </w:r>
      <w:r w:rsidR="00241B30">
        <w:t xml:space="preserve">he </w:t>
      </w:r>
      <w:r w:rsidR="00241B30" w:rsidRPr="009D28CC">
        <w:t xml:space="preserve">Macpherson </w:t>
      </w:r>
      <w:r w:rsidR="00241B30">
        <w:t>Inquiry r</w:t>
      </w:r>
      <w:r w:rsidR="00241B30" w:rsidRPr="009D28CC">
        <w:t>eport into th</w:t>
      </w:r>
      <w:r w:rsidR="00241B30">
        <w:t>is</w:t>
      </w:r>
      <w:r w:rsidR="00241B30" w:rsidRPr="009D28CC">
        <w:t xml:space="preserve"> </w:t>
      </w:r>
      <w:r w:rsidR="00241B30">
        <w:t>highlighted several significant failings and subsequently gave a damming report into the actions taken, questioning the actions of the police force and how they conduct their lawful responsibilities. As a result of</w:t>
      </w:r>
      <w:r w:rsidR="00241B30" w:rsidRPr="009D28CC">
        <w:t xml:space="preserve"> the report a host of initiatives addressed issues ranging from police liaison with victims, first aid training, to stop and search procedures and police complaints</w:t>
      </w:r>
      <w:r w:rsidR="00241B30">
        <w:t xml:space="preserve"> </w:t>
      </w:r>
      <w:sdt>
        <w:sdtPr>
          <w:id w:val="-1753960896"/>
          <w:citation/>
        </w:sdtPr>
        <w:sdtContent>
          <w:r w:rsidR="009D58DB">
            <w:fldChar w:fldCharType="begin"/>
          </w:r>
          <w:r w:rsidR="009D58DB">
            <w:instrText xml:space="preserve">CITATION Fos05 \l 2057 </w:instrText>
          </w:r>
          <w:r w:rsidR="009D58DB">
            <w:fldChar w:fldCharType="separate"/>
          </w:r>
          <w:r w:rsidR="009D58DB" w:rsidRPr="009D58DB">
            <w:rPr>
              <w:noProof/>
            </w:rPr>
            <w:t>(Foster, 2005)</w:t>
          </w:r>
          <w:r w:rsidR="009D58DB">
            <w:fldChar w:fldCharType="end"/>
          </w:r>
        </w:sdtContent>
      </w:sdt>
      <w:r w:rsidR="009D58DB">
        <w:t xml:space="preserve">. </w:t>
      </w:r>
      <w:r w:rsidR="009D58DB">
        <w:t>Another was the 1981 Brixton Riots, which saw a fight back from the Black community against police discrimination.</w:t>
      </w:r>
      <w:r w:rsidR="009D58DB" w:rsidRPr="009D28CC">
        <w:t xml:space="preserve"> This subsequently </w:t>
      </w:r>
      <w:r w:rsidR="009D58DB">
        <w:t xml:space="preserve">highlighted significant changes that needed to be addressed on how the police force engage with diverse minority communities and where </w:t>
      </w:r>
      <w:r w:rsidR="009D58DB" w:rsidRPr="009D28CC">
        <w:t>efforts ought to be concentrated</w:t>
      </w:r>
      <w:r w:rsidR="009D58DB">
        <w:t xml:space="preserve"> </w:t>
      </w:r>
      <w:sdt>
        <w:sdtPr>
          <w:id w:val="839816603"/>
          <w:citation/>
        </w:sdtPr>
        <w:sdtContent>
          <w:r w:rsidR="002364D7">
            <w:fldChar w:fldCharType="begin"/>
          </w:r>
          <w:r w:rsidR="002364D7">
            <w:instrText xml:space="preserve"> CITATION Jef12 \l 2057 </w:instrText>
          </w:r>
          <w:r w:rsidR="002364D7">
            <w:fldChar w:fldCharType="separate"/>
          </w:r>
          <w:r w:rsidR="002364D7" w:rsidRPr="002364D7">
            <w:rPr>
              <w:noProof/>
            </w:rPr>
            <w:t>(Jefferson, T, 2012)</w:t>
          </w:r>
          <w:r w:rsidR="002364D7">
            <w:fldChar w:fldCharType="end"/>
          </w:r>
        </w:sdtContent>
      </w:sdt>
      <w:r w:rsidR="002364D7">
        <w:t>.</w:t>
      </w:r>
    </w:p>
    <w:p w14:paraId="0E1A60CA" w14:textId="40424E93" w:rsidR="0082224F" w:rsidRDefault="0082224F" w:rsidP="00241B30">
      <w:r>
        <w:t xml:space="preserve">In addition, a vital conclusion from both incidents was to address Police Stop and Search Powers and how ethnic/racial bias can affect an officers’ decision in the individual they use this </w:t>
      </w:r>
      <w:r>
        <w:lastRenderedPageBreak/>
        <w:t>power on. A study taken from the Criminology and Public Policy’s examination of this explores trials where theorised training could reduce officer bias by improving their competence by applying legitimate criteria in search decisions. As a result, training was found to be the most effective form of reform</w:t>
      </w:r>
      <w:r>
        <w:t xml:space="preserve"> </w:t>
      </w:r>
      <w:sdt>
        <w:sdtPr>
          <w:id w:val="1697807166"/>
          <w:citation/>
        </w:sdtPr>
        <w:sdtContent>
          <w:r>
            <w:fldChar w:fldCharType="begin"/>
          </w:r>
          <w:r>
            <w:instrText xml:space="preserve"> CITATION Mil20 \l 2057 </w:instrText>
          </w:r>
          <w:r>
            <w:fldChar w:fldCharType="separate"/>
          </w:r>
          <w:r w:rsidRPr="0082224F">
            <w:rPr>
              <w:noProof/>
            </w:rPr>
            <w:t>(Miller, 2020)</w:t>
          </w:r>
          <w:r>
            <w:fldChar w:fldCharType="end"/>
          </w:r>
        </w:sdtContent>
      </w:sdt>
      <w:r>
        <w:t xml:space="preserve">. </w:t>
      </w:r>
      <w:r>
        <w:t>In addition, The Police and Criminal Evidence Act 1984 (PACE) was introduced, this legislation is the main guide of an officer’s lawful duties and one that is strictly followed by officers, setting a balance of police powers and the rights and freedoms of the public. PACE has been given praise as well as criticism, however, PACE has at least, given members of the public reassurance and guidance of the law, their rights and freedoms as well as having knowledge of police guidelines</w:t>
      </w:r>
      <w:r>
        <w:t xml:space="preserve"> </w:t>
      </w:r>
      <w:sdt>
        <w:sdtPr>
          <w:id w:val="-1882308187"/>
          <w:citation/>
        </w:sdtPr>
        <w:sdtContent>
          <w:r>
            <w:fldChar w:fldCharType="begin"/>
          </w:r>
          <w:r>
            <w:instrText xml:space="preserve"> CITATION PAC19 \l 2057 </w:instrText>
          </w:r>
          <w:r>
            <w:fldChar w:fldCharType="separate"/>
          </w:r>
          <w:r w:rsidRPr="0082224F">
            <w:rPr>
              <w:noProof/>
            </w:rPr>
            <w:t>(PACE: A Practical Guide to the Police and Criminal Evidence Act 1984, 2019)</w:t>
          </w:r>
          <w:r>
            <w:fldChar w:fldCharType="end"/>
          </w:r>
        </w:sdtContent>
      </w:sdt>
      <w:r>
        <w:t>.</w:t>
      </w:r>
    </w:p>
    <w:p w14:paraId="357D3A88" w14:textId="05EEEDE7" w:rsidR="0082224F" w:rsidRDefault="0082224F" w:rsidP="00241B30">
      <w:r w:rsidRPr="00681598">
        <w:t>There has been much discussion in the police service as to whether racial equality training should be woven like a golden thread through all police training or whether it should be covered in stand-alone courses.</w:t>
      </w:r>
      <w:r>
        <w:t xml:space="preserve"> However, this </w:t>
      </w:r>
      <w:r w:rsidRPr="00681598">
        <w:t>approach</w:t>
      </w:r>
      <w:r>
        <w:t xml:space="preserve"> can be argued that it </w:t>
      </w:r>
      <w:r w:rsidRPr="00681598">
        <w:t>can become so fine that it is easily omitted or ignored. Several different courses have been introduced to officers to ensure</w:t>
      </w:r>
      <w:r>
        <w:t xml:space="preserve"> robust</w:t>
      </w:r>
      <w:r w:rsidRPr="00681598">
        <w:t xml:space="preserve"> knowledge and understanding of diverse cultures and ethnicities. To ensure this is correctly taught, police forces are collaborating with communities and including officers of different ethnic backgrounds to ensure that this is delivered correctly and appropriately</w:t>
      </w:r>
      <w:r>
        <w:t xml:space="preserve"> </w:t>
      </w:r>
      <w:sdt>
        <w:sdtPr>
          <w:id w:val="402419894"/>
          <w:citation/>
        </w:sdtPr>
        <w:sdtContent>
          <w:r w:rsidR="007D3FD9">
            <w:fldChar w:fldCharType="begin"/>
          </w:r>
          <w:r w:rsidR="007D3FD9">
            <w:instrText xml:space="preserve"> CITATION Ben06 \l 2057 </w:instrText>
          </w:r>
          <w:r w:rsidR="007D3FD9">
            <w:fldChar w:fldCharType="separate"/>
          </w:r>
          <w:r w:rsidR="007D3FD9" w:rsidRPr="007D3FD9">
            <w:rPr>
              <w:noProof/>
            </w:rPr>
            <w:t>(Bennett, 2006)</w:t>
          </w:r>
          <w:r w:rsidR="007D3FD9">
            <w:fldChar w:fldCharType="end"/>
          </w:r>
        </w:sdtContent>
      </w:sdt>
      <w:r w:rsidR="007D3FD9">
        <w:t>.</w:t>
      </w:r>
    </w:p>
    <w:p w14:paraId="0909203C" w14:textId="6B8C8CC8" w:rsidR="002364D7" w:rsidRDefault="002364D7" w:rsidP="00241B30">
      <w:r>
        <w:t>Equally, s</w:t>
      </w:r>
      <w:r w:rsidRPr="005B447A">
        <w:t>hared leadership with minority ethnic communities</w:t>
      </w:r>
      <w:r>
        <w:t xml:space="preserve"> is a study conducted to focus on the various aspects of Shared Leadership within the context of the police and minority ethnic communities. It is believed that Shared Leadership and communities working together to gain a trust and desired outcome with shared communication between police and that of their communities they protect. While there is a generalised commitment to consulting with minority ethnic communities via contemporary approaches, there is still a problem with concluding the different approaches given specific community needs. In turn, this concluded a re-introduction of PCSO’s and neighbourhood policing teams within communities to gain a form of trust and understanding between both police and diverse communities</w:t>
      </w:r>
      <w:r>
        <w:t xml:space="preserve"> </w:t>
      </w:r>
      <w:sdt>
        <w:sdtPr>
          <w:id w:val="68312913"/>
          <w:citation/>
        </w:sdtPr>
        <w:sdtContent>
          <w:r>
            <w:fldChar w:fldCharType="begin"/>
          </w:r>
          <w:r>
            <w:instrText xml:space="preserve"> CITATION Cra10 \l 2057 </w:instrText>
          </w:r>
          <w:r>
            <w:fldChar w:fldCharType="separate"/>
          </w:r>
          <w:r w:rsidRPr="002364D7">
            <w:rPr>
              <w:noProof/>
            </w:rPr>
            <w:t>(Craig, Marnoch, and Topping, 2010)</w:t>
          </w:r>
          <w:r>
            <w:fldChar w:fldCharType="end"/>
          </w:r>
        </w:sdtContent>
      </w:sdt>
      <w:r>
        <w:t>.</w:t>
      </w:r>
    </w:p>
    <w:p w14:paraId="4FED4673" w14:textId="12ADCC38" w:rsidR="000F50D5" w:rsidRDefault="000F50D5" w:rsidP="00241B30">
      <w:r>
        <w:t>In conclusion from the findings explored in this paper, while there is much more work to be done, the police force has taken active steps to encourage communities in the decision-making and welcomed communication on their specific needs and requirements, giving a sense of involvement from communities and learning. This coming from a force which is keen to accommodate diversity within its force and for the wider public. Positive factors include working with schools and the wider public, collaborating and actively being present in the community</w:t>
      </w:r>
      <w:r w:rsidR="00FD05C8">
        <w:t xml:space="preserve">, </w:t>
      </w:r>
      <w:r>
        <w:t>ensur</w:t>
      </w:r>
      <w:r w:rsidR="00FD05C8">
        <w:t>ing</w:t>
      </w:r>
      <w:r>
        <w:t xml:space="preserve"> that lessons can be learnt by forces and education on minority ethnic groups within these communities can be done effectively and in a way of active change</w:t>
      </w:r>
      <w:r>
        <w:t xml:space="preserve"> </w:t>
      </w:r>
      <w:sdt>
        <w:sdtPr>
          <w:id w:val="789557807"/>
          <w:citation/>
        </w:sdtPr>
        <w:sdtContent>
          <w:r>
            <w:fldChar w:fldCharType="begin"/>
          </w:r>
          <w:r>
            <w:instrText xml:space="preserve">CITATION Awa18 \l 2057 </w:instrText>
          </w:r>
          <w:r>
            <w:fldChar w:fldCharType="separate"/>
          </w:r>
          <w:r w:rsidRPr="000F50D5">
            <w:rPr>
              <w:noProof/>
            </w:rPr>
            <w:t>(Awan et al., 2018)</w:t>
          </w:r>
          <w:r>
            <w:fldChar w:fldCharType="end"/>
          </w:r>
        </w:sdtContent>
      </w:sdt>
      <w:r>
        <w:t xml:space="preserve">. </w:t>
      </w:r>
      <w:r>
        <w:t xml:space="preserve">Although the </w:t>
      </w:r>
      <w:r w:rsidRPr="00321D2C">
        <w:t>Police Reform Act 2002</w:t>
      </w:r>
      <w:r>
        <w:t xml:space="preserve"> was originally introduced to include PCSO’s in the community, this has also been a step in the right direction ensuring demographically diverse recruitment of PCSO officers</w:t>
      </w:r>
      <w:r w:rsidR="00FD05C8">
        <w:t>.</w:t>
      </w:r>
      <w:r>
        <w:t xml:space="preserve"> </w:t>
      </w:r>
      <w:sdt>
        <w:sdtPr>
          <w:id w:val="-1850098558"/>
          <w:citation/>
        </w:sdtPr>
        <w:sdtContent>
          <w:r>
            <w:fldChar w:fldCharType="begin"/>
          </w:r>
          <w:r>
            <w:instrText xml:space="preserve"> CITATION JOH06 \l 2057 </w:instrText>
          </w:r>
          <w:r>
            <w:fldChar w:fldCharType="separate"/>
          </w:r>
          <w:r w:rsidRPr="000F50D5">
            <w:rPr>
              <w:noProof/>
            </w:rPr>
            <w:t>(JOHNSTON, 2006)</w:t>
          </w:r>
          <w:r>
            <w:fldChar w:fldCharType="end"/>
          </w:r>
        </w:sdtContent>
      </w:sdt>
      <w:r>
        <w:t>.</w:t>
      </w:r>
    </w:p>
    <w:p w14:paraId="4B0189FC" w14:textId="0C4E9D10" w:rsidR="00453A96" w:rsidRDefault="000F50D5" w:rsidP="00453A96">
      <w:r>
        <w:t>1</w:t>
      </w:r>
      <w:r w:rsidR="00FD05C8">
        <w:t>099</w:t>
      </w:r>
      <w:r>
        <w:t xml:space="preserve"> words.</w:t>
      </w:r>
      <w:r w:rsidR="00453A96">
        <w:t xml:space="preserve"> </w:t>
      </w:r>
    </w:p>
    <w:p w14:paraId="0314AC42" w14:textId="77777777" w:rsidR="00FD05C8" w:rsidRDefault="00FD05C8" w:rsidP="00453A96"/>
    <w:p w14:paraId="4F3637D7" w14:textId="77777777" w:rsidR="00FD05C8" w:rsidRDefault="00FD05C8" w:rsidP="00453A96"/>
    <w:p w14:paraId="635B767B" w14:textId="77777777" w:rsidR="00FD05C8" w:rsidRDefault="00FD05C8" w:rsidP="00453A96"/>
    <w:p w14:paraId="090A8A02" w14:textId="28E3ECD6" w:rsidR="00453A96" w:rsidRPr="00453A96" w:rsidRDefault="00453A96" w:rsidP="00453A96">
      <w:r w:rsidRPr="00101156">
        <w:rPr>
          <w:rFonts w:asciiTheme="minorHAnsi" w:hAnsiTheme="minorHAnsi" w:cs="Arial"/>
          <w:b/>
          <w:bCs/>
        </w:rPr>
        <w:lastRenderedPageBreak/>
        <w:t>Essay Two: Response policing – Why is it important to manage mental wellbeing in policing? What can be the consequences if mental wellbeing is not managed appropriately?</w:t>
      </w:r>
    </w:p>
    <w:p w14:paraId="745D2426" w14:textId="1F78D7BD" w:rsidR="00453A96" w:rsidRDefault="00453A96" w:rsidP="00453A96">
      <w:pPr>
        <w:rPr>
          <w:rFonts w:asciiTheme="minorHAnsi" w:hAnsiTheme="minorHAnsi" w:cs="Arial"/>
        </w:rPr>
      </w:pPr>
      <w:r>
        <w:rPr>
          <w:rFonts w:asciiTheme="minorHAnsi" w:hAnsiTheme="minorHAnsi" w:cs="Arial"/>
        </w:rPr>
        <w:t>As first responders, officers on the front line will experience traumatic events daily, if not managed properly by the individual and the organisation</w:t>
      </w:r>
      <w:r w:rsidR="00D54B6E">
        <w:rPr>
          <w:rFonts w:asciiTheme="minorHAnsi" w:hAnsiTheme="minorHAnsi" w:cs="Arial"/>
        </w:rPr>
        <w:t>,</w:t>
      </w:r>
      <w:r>
        <w:rPr>
          <w:rFonts w:asciiTheme="minorHAnsi" w:hAnsiTheme="minorHAnsi" w:cs="Arial"/>
        </w:rPr>
        <w:t xml:space="preserve"> consequences of this can be catastrophic. In addition, officers on the front-line face other organisational pressures which can contribute to poor mental wellbeing. Stress factors found include, </w:t>
      </w:r>
      <w:r w:rsidRPr="000B0905">
        <w:rPr>
          <w:rFonts w:asciiTheme="minorHAnsi" w:hAnsiTheme="minorHAnsi" w:cs="Arial"/>
        </w:rPr>
        <w:t>heightened emotional situations, dangerous incidents, trauma, criticism, high workloads, as well as other stress factors that may contribute such as personal stressors</w:t>
      </w:r>
      <w:r>
        <w:rPr>
          <w:rFonts w:asciiTheme="minorHAnsi" w:hAnsiTheme="minorHAnsi" w:cs="Arial"/>
        </w:rPr>
        <w:t xml:space="preserve">, thus resulting in low morale and taking a leave of sickness consequently putting additional pressures on other officers and staff </w:t>
      </w:r>
      <w:sdt>
        <w:sdtPr>
          <w:rPr>
            <w:rFonts w:asciiTheme="minorHAnsi" w:hAnsiTheme="minorHAnsi" w:cs="Arial"/>
          </w:rPr>
          <w:id w:val="-2043734255"/>
          <w:citation/>
        </w:sdtPr>
        <w:sdtContent>
          <w:r>
            <w:rPr>
              <w:rFonts w:asciiTheme="minorHAnsi" w:hAnsiTheme="minorHAnsi" w:cs="Arial"/>
            </w:rPr>
            <w:fldChar w:fldCharType="begin"/>
          </w:r>
          <w:r>
            <w:rPr>
              <w:rFonts w:asciiTheme="minorHAnsi" w:hAnsiTheme="minorHAnsi" w:cs="Arial"/>
            </w:rPr>
            <w:instrText xml:space="preserve">CITATION Jun10 \l 2057 </w:instrText>
          </w:r>
          <w:r>
            <w:rPr>
              <w:rFonts w:asciiTheme="minorHAnsi" w:hAnsiTheme="minorHAnsi" w:cs="Arial"/>
            </w:rPr>
            <w:fldChar w:fldCharType="separate"/>
          </w:r>
          <w:r w:rsidRPr="00127012">
            <w:rPr>
              <w:rFonts w:asciiTheme="minorHAnsi" w:hAnsiTheme="minorHAnsi" w:cs="Arial"/>
              <w:noProof/>
            </w:rPr>
            <w:t>(Juniper B, White N and Bellamy P, 2010)</w:t>
          </w:r>
          <w:r>
            <w:rPr>
              <w:rFonts w:asciiTheme="minorHAnsi" w:hAnsiTheme="minorHAnsi" w:cs="Arial"/>
            </w:rPr>
            <w:fldChar w:fldCharType="end"/>
          </w:r>
        </w:sdtContent>
      </w:sdt>
      <w:r>
        <w:rPr>
          <w:rFonts w:asciiTheme="minorHAnsi" w:hAnsiTheme="minorHAnsi" w:cs="Arial"/>
        </w:rPr>
        <w:t xml:space="preserve">. </w:t>
      </w:r>
      <w:r w:rsidR="00D54B6E" w:rsidRPr="00D54B6E">
        <w:rPr>
          <w:rFonts w:asciiTheme="minorHAnsi" w:hAnsiTheme="minorHAnsi" w:cs="Arial"/>
        </w:rPr>
        <w:t>It is imperative that the active management of wellbeing is taken seriously and dealt with appropriately.</w:t>
      </w:r>
      <w:r w:rsidR="00D54B6E">
        <w:rPr>
          <w:rFonts w:asciiTheme="minorHAnsi" w:hAnsiTheme="minorHAnsi" w:cs="Arial"/>
        </w:rPr>
        <w:t xml:space="preserve"> </w:t>
      </w:r>
      <w:r>
        <w:rPr>
          <w:rFonts w:asciiTheme="minorHAnsi" w:hAnsiTheme="minorHAnsi" w:cs="Arial"/>
        </w:rPr>
        <w:t>This piece of work will explore the organisational stressors that contribute to mental wellbeing and conclude on the consequences</w:t>
      </w:r>
      <w:r w:rsidR="00D54B6E">
        <w:rPr>
          <w:rFonts w:asciiTheme="minorHAnsi" w:hAnsiTheme="minorHAnsi" w:cs="Arial"/>
        </w:rPr>
        <w:t xml:space="preserve"> and importance</w:t>
      </w:r>
      <w:r>
        <w:rPr>
          <w:rFonts w:asciiTheme="minorHAnsi" w:hAnsiTheme="minorHAnsi" w:cs="Arial"/>
        </w:rPr>
        <w:t xml:space="preserve"> when not managed appropriately. </w:t>
      </w:r>
      <w:r w:rsidRPr="000B0905">
        <w:rPr>
          <w:rFonts w:asciiTheme="minorHAnsi" w:hAnsiTheme="minorHAnsi" w:cs="Arial"/>
        </w:rPr>
        <w:t xml:space="preserve"> </w:t>
      </w:r>
    </w:p>
    <w:p w14:paraId="3B4FFD28" w14:textId="5B7693CE" w:rsidR="00453A96" w:rsidRDefault="00453A96" w:rsidP="00453A96">
      <w:pPr>
        <w:rPr>
          <w:rFonts w:asciiTheme="minorHAnsi" w:hAnsiTheme="minorHAnsi" w:cs="Arial"/>
        </w:rPr>
      </w:pPr>
      <w:r w:rsidRPr="000B0905">
        <w:rPr>
          <w:rFonts w:asciiTheme="minorHAnsi" w:hAnsiTheme="minorHAnsi" w:cs="Arial"/>
        </w:rPr>
        <w:t xml:space="preserve">Historically, forces have been criticised for lack </w:t>
      </w:r>
      <w:r>
        <w:rPr>
          <w:rFonts w:asciiTheme="minorHAnsi" w:hAnsiTheme="minorHAnsi" w:cs="Arial"/>
        </w:rPr>
        <w:t>of</w:t>
      </w:r>
      <w:r w:rsidRPr="000B0905">
        <w:rPr>
          <w:rFonts w:asciiTheme="minorHAnsi" w:hAnsiTheme="minorHAnsi" w:cs="Arial"/>
        </w:rPr>
        <w:t xml:space="preserve"> support </w:t>
      </w:r>
      <w:r>
        <w:rPr>
          <w:rFonts w:asciiTheme="minorHAnsi" w:hAnsiTheme="minorHAnsi" w:cs="Arial"/>
        </w:rPr>
        <w:t>for</w:t>
      </w:r>
      <w:r w:rsidRPr="000B0905">
        <w:rPr>
          <w:rFonts w:asciiTheme="minorHAnsi" w:hAnsiTheme="minorHAnsi" w:cs="Arial"/>
        </w:rPr>
        <w:t xml:space="preserve"> officers when they find themselves struggling with their mental wellbeing</w:t>
      </w:r>
      <w:r>
        <w:rPr>
          <w:rFonts w:asciiTheme="minorHAnsi" w:hAnsiTheme="minorHAnsi" w:cs="Arial"/>
        </w:rPr>
        <w:t>, the police force has been given a reputation of a stiff upper lip or</w:t>
      </w:r>
      <w:r w:rsidR="00176E7A">
        <w:rPr>
          <w:rFonts w:asciiTheme="minorHAnsi" w:hAnsiTheme="minorHAnsi" w:cs="Arial"/>
        </w:rPr>
        <w:t xml:space="preserve"> officers</w:t>
      </w:r>
      <w:r>
        <w:rPr>
          <w:rFonts w:asciiTheme="minorHAnsi" w:hAnsiTheme="minorHAnsi" w:cs="Arial"/>
        </w:rPr>
        <w:t xml:space="preserve"> not being taken seriously when it comes to </w:t>
      </w:r>
      <w:r w:rsidR="00176E7A">
        <w:rPr>
          <w:rFonts w:asciiTheme="minorHAnsi" w:hAnsiTheme="minorHAnsi" w:cs="Arial"/>
        </w:rPr>
        <w:t xml:space="preserve">their </w:t>
      </w:r>
      <w:r>
        <w:rPr>
          <w:rFonts w:asciiTheme="minorHAnsi" w:hAnsiTheme="minorHAnsi" w:cs="Arial"/>
        </w:rPr>
        <w:t>mental health which contributes to m</w:t>
      </w:r>
      <w:r w:rsidRPr="000B0905">
        <w:rPr>
          <w:rFonts w:asciiTheme="minorHAnsi" w:hAnsiTheme="minorHAnsi" w:cs="Arial"/>
        </w:rPr>
        <w:t xml:space="preserve">ajority of these officers </w:t>
      </w:r>
      <w:r>
        <w:rPr>
          <w:rFonts w:asciiTheme="minorHAnsi" w:hAnsiTheme="minorHAnsi" w:cs="Arial"/>
        </w:rPr>
        <w:t>not seeking help and continuing to s</w:t>
      </w:r>
      <w:r w:rsidRPr="000B0905">
        <w:rPr>
          <w:rFonts w:asciiTheme="minorHAnsi" w:hAnsiTheme="minorHAnsi" w:cs="Arial"/>
        </w:rPr>
        <w:t>truggle to complete their duties</w:t>
      </w:r>
      <w:r>
        <w:rPr>
          <w:rFonts w:asciiTheme="minorHAnsi" w:hAnsiTheme="minorHAnsi" w:cs="Arial"/>
        </w:rPr>
        <w:t xml:space="preserve"> in silence. </w:t>
      </w:r>
      <w:r w:rsidRPr="000B0905">
        <w:rPr>
          <w:rFonts w:asciiTheme="minorHAnsi" w:hAnsiTheme="minorHAnsi" w:cs="Arial"/>
        </w:rPr>
        <w:t xml:space="preserve">Many feel that there is a stigma attached to asking for support and do not want to </w:t>
      </w:r>
      <w:r w:rsidR="00176E7A">
        <w:rPr>
          <w:rFonts w:asciiTheme="minorHAnsi" w:hAnsiTheme="minorHAnsi" w:cs="Arial"/>
        </w:rPr>
        <w:t>present as</w:t>
      </w:r>
      <w:r w:rsidRPr="000B0905">
        <w:rPr>
          <w:rFonts w:asciiTheme="minorHAnsi" w:hAnsiTheme="minorHAnsi" w:cs="Arial"/>
        </w:rPr>
        <w:t xml:space="preserve"> weak or unable to cope</w:t>
      </w:r>
      <w:r w:rsidR="00176E7A">
        <w:rPr>
          <w:rFonts w:asciiTheme="minorHAnsi" w:hAnsiTheme="minorHAnsi" w:cs="Arial"/>
        </w:rPr>
        <w:t>.</w:t>
      </w:r>
      <w:r w:rsidRPr="000B0905">
        <w:rPr>
          <w:rFonts w:asciiTheme="minorHAnsi" w:hAnsiTheme="minorHAnsi" w:cs="Arial"/>
        </w:rPr>
        <w:t xml:space="preserve"> </w:t>
      </w:r>
      <w:r w:rsidR="00176E7A">
        <w:rPr>
          <w:rFonts w:asciiTheme="minorHAnsi" w:hAnsiTheme="minorHAnsi" w:cs="Arial"/>
        </w:rPr>
        <w:t xml:space="preserve">And there </w:t>
      </w:r>
      <w:r w:rsidR="00176E7A" w:rsidRPr="000B0905">
        <w:rPr>
          <w:rFonts w:asciiTheme="minorHAnsi" w:hAnsiTheme="minorHAnsi" w:cs="Arial"/>
        </w:rPr>
        <w:t xml:space="preserve">has always been an underlying perception that officers should present as strong </w:t>
      </w:r>
      <w:r w:rsidR="00176E7A">
        <w:rPr>
          <w:rFonts w:asciiTheme="minorHAnsi" w:hAnsiTheme="minorHAnsi" w:cs="Arial"/>
        </w:rPr>
        <w:t xml:space="preserve">and </w:t>
      </w:r>
      <w:r w:rsidR="00176E7A" w:rsidRPr="000B0905">
        <w:rPr>
          <w:rFonts w:asciiTheme="minorHAnsi" w:hAnsiTheme="minorHAnsi" w:cs="Arial"/>
        </w:rPr>
        <w:t>unphased.</w:t>
      </w:r>
      <w:r w:rsidR="00176E7A">
        <w:rPr>
          <w:rFonts w:asciiTheme="minorHAnsi" w:hAnsiTheme="minorHAnsi" w:cs="Arial"/>
        </w:rPr>
        <w:t xml:space="preserve"> </w:t>
      </w:r>
      <w:r w:rsidRPr="000B0905">
        <w:rPr>
          <w:rFonts w:asciiTheme="minorHAnsi" w:hAnsiTheme="minorHAnsi" w:cs="Arial"/>
        </w:rPr>
        <w:t xml:space="preserve">Studies have </w:t>
      </w:r>
      <w:r w:rsidR="00176E7A">
        <w:rPr>
          <w:rFonts w:asciiTheme="minorHAnsi" w:hAnsiTheme="minorHAnsi" w:cs="Arial"/>
        </w:rPr>
        <w:t>concluded</w:t>
      </w:r>
      <w:r w:rsidRPr="000B0905">
        <w:rPr>
          <w:rFonts w:asciiTheme="minorHAnsi" w:hAnsiTheme="minorHAnsi" w:cs="Arial"/>
        </w:rPr>
        <w:t xml:space="preserve"> that officers feel that there is a lack of confidentiality if they were to seek support. Flagging their mental wellbeing to senior officers</w:t>
      </w:r>
      <w:r>
        <w:rPr>
          <w:rFonts w:asciiTheme="minorHAnsi" w:hAnsiTheme="minorHAnsi" w:cs="Arial"/>
        </w:rPr>
        <w:t>,</w:t>
      </w:r>
      <w:r w:rsidRPr="000B0905">
        <w:rPr>
          <w:rFonts w:asciiTheme="minorHAnsi" w:hAnsiTheme="minorHAnsi" w:cs="Arial"/>
        </w:rPr>
        <w:t xml:space="preserve"> is reported as having a negative label and officers feel they face repercussions for future progression in the role</w:t>
      </w:r>
      <w:r>
        <w:rPr>
          <w:rFonts w:asciiTheme="minorHAnsi" w:hAnsiTheme="minorHAnsi" w:cs="Arial"/>
        </w:rPr>
        <w:t xml:space="preserve"> </w:t>
      </w:r>
      <w:sdt>
        <w:sdtPr>
          <w:rPr>
            <w:rFonts w:asciiTheme="minorHAnsi" w:hAnsiTheme="minorHAnsi" w:cs="Arial"/>
          </w:rPr>
          <w:id w:val="-1080674177"/>
          <w:citation/>
        </w:sdtPr>
        <w:sdtContent>
          <w:r>
            <w:rPr>
              <w:rFonts w:asciiTheme="minorHAnsi" w:hAnsiTheme="minorHAnsi" w:cs="Arial"/>
            </w:rPr>
            <w:fldChar w:fldCharType="begin"/>
          </w:r>
          <w:r>
            <w:rPr>
              <w:rFonts w:asciiTheme="minorHAnsi" w:hAnsiTheme="minorHAnsi" w:cs="Arial"/>
            </w:rPr>
            <w:instrText xml:space="preserve">CITATION Rou22 \l 2057 </w:instrText>
          </w:r>
          <w:r>
            <w:rPr>
              <w:rFonts w:asciiTheme="minorHAnsi" w:hAnsiTheme="minorHAnsi" w:cs="Arial"/>
            </w:rPr>
            <w:fldChar w:fldCharType="separate"/>
          </w:r>
          <w:r w:rsidRPr="00127012">
            <w:rPr>
              <w:rFonts w:asciiTheme="minorHAnsi" w:hAnsiTheme="minorHAnsi" w:cs="Arial"/>
              <w:noProof/>
            </w:rPr>
            <w:t>(Newell et al., 2021)</w:t>
          </w:r>
          <w:r>
            <w:rPr>
              <w:rFonts w:asciiTheme="minorHAnsi" w:hAnsiTheme="minorHAnsi" w:cs="Arial"/>
            </w:rPr>
            <w:fldChar w:fldCharType="end"/>
          </w:r>
        </w:sdtContent>
      </w:sdt>
      <w:r>
        <w:rPr>
          <w:rFonts w:asciiTheme="minorHAnsi" w:hAnsiTheme="minorHAnsi" w:cs="Arial"/>
        </w:rPr>
        <w:t>.</w:t>
      </w:r>
    </w:p>
    <w:p w14:paraId="06AFB769" w14:textId="0803A75E" w:rsidR="00453A96" w:rsidRDefault="00453A96" w:rsidP="00453A96">
      <w:pPr>
        <w:rPr>
          <w:rFonts w:asciiTheme="minorHAnsi" w:hAnsiTheme="minorHAnsi" w:cs="Arial"/>
        </w:rPr>
      </w:pPr>
      <w:r w:rsidRPr="000B0905">
        <w:rPr>
          <w:rFonts w:asciiTheme="minorHAnsi" w:hAnsiTheme="minorHAnsi" w:cs="Arial"/>
        </w:rPr>
        <w:t>In recent years</w:t>
      </w:r>
      <w:r>
        <w:rPr>
          <w:rFonts w:asciiTheme="minorHAnsi" w:hAnsiTheme="minorHAnsi" w:cs="Arial"/>
        </w:rPr>
        <w:t>,</w:t>
      </w:r>
      <w:r w:rsidRPr="000B0905">
        <w:rPr>
          <w:rFonts w:asciiTheme="minorHAnsi" w:hAnsiTheme="minorHAnsi" w:cs="Arial"/>
        </w:rPr>
        <w:t xml:space="preserve"> studies show the effects that policing has on </w:t>
      </w:r>
      <w:r>
        <w:rPr>
          <w:rFonts w:asciiTheme="minorHAnsi" w:hAnsiTheme="minorHAnsi" w:cs="Arial"/>
        </w:rPr>
        <w:t xml:space="preserve">an </w:t>
      </w:r>
      <w:r w:rsidR="00176E7A">
        <w:rPr>
          <w:rFonts w:asciiTheme="minorHAnsi" w:hAnsiTheme="minorHAnsi" w:cs="Arial"/>
        </w:rPr>
        <w:t>officer’s</w:t>
      </w:r>
      <w:r>
        <w:rPr>
          <w:rFonts w:asciiTheme="minorHAnsi" w:hAnsiTheme="minorHAnsi" w:cs="Arial"/>
        </w:rPr>
        <w:t xml:space="preserve"> mental wellbeing </w:t>
      </w:r>
      <w:r w:rsidRPr="000B0905">
        <w:rPr>
          <w:rFonts w:asciiTheme="minorHAnsi" w:hAnsiTheme="minorHAnsi" w:cs="Arial"/>
        </w:rPr>
        <w:t xml:space="preserve">and what needs to change to ensure the </w:t>
      </w:r>
      <w:r>
        <w:rPr>
          <w:rFonts w:asciiTheme="minorHAnsi" w:hAnsiTheme="minorHAnsi" w:cs="Arial"/>
        </w:rPr>
        <w:t xml:space="preserve">appropriate </w:t>
      </w:r>
      <w:r w:rsidRPr="000B0905">
        <w:rPr>
          <w:rFonts w:asciiTheme="minorHAnsi" w:hAnsiTheme="minorHAnsi" w:cs="Arial"/>
        </w:rPr>
        <w:t>support. A systematic review published in 2019 concluded that there was convincing evidence to suggest that organisation factors were a contributor when reviewing poor mental wellbeing</w:t>
      </w:r>
      <w:r w:rsidR="00176E7A">
        <w:rPr>
          <w:rFonts w:asciiTheme="minorHAnsi" w:hAnsiTheme="minorHAnsi" w:cs="Arial"/>
        </w:rPr>
        <w:t xml:space="preserve"> in the police force</w:t>
      </w:r>
      <w:r w:rsidRPr="000B0905">
        <w:rPr>
          <w:rFonts w:asciiTheme="minorHAnsi" w:hAnsiTheme="minorHAnsi" w:cs="Arial"/>
        </w:rPr>
        <w:t xml:space="preserve">. </w:t>
      </w:r>
      <w:r w:rsidR="00176E7A">
        <w:rPr>
          <w:rFonts w:asciiTheme="minorHAnsi" w:hAnsiTheme="minorHAnsi" w:cs="Arial"/>
        </w:rPr>
        <w:t>H</w:t>
      </w:r>
      <w:r w:rsidRPr="000B0905">
        <w:rPr>
          <w:rFonts w:asciiTheme="minorHAnsi" w:hAnsiTheme="minorHAnsi" w:cs="Arial"/>
        </w:rPr>
        <w:t>ighlighted factors</w:t>
      </w:r>
      <w:r w:rsidR="00176E7A">
        <w:rPr>
          <w:rFonts w:asciiTheme="minorHAnsi" w:hAnsiTheme="minorHAnsi" w:cs="Arial"/>
        </w:rPr>
        <w:t xml:space="preserve"> include</w:t>
      </w:r>
      <w:r w:rsidRPr="000B0905">
        <w:rPr>
          <w:rFonts w:asciiTheme="minorHAnsi" w:hAnsiTheme="minorHAnsi" w:cs="Arial"/>
        </w:rPr>
        <w:t>, emotional exhaustion, lack of support, long working hours, and job pressur</w:t>
      </w:r>
      <w:r>
        <w:rPr>
          <w:rFonts w:asciiTheme="minorHAnsi" w:hAnsiTheme="minorHAnsi" w:cs="Arial"/>
        </w:rPr>
        <w:t xml:space="preserve">e </w:t>
      </w:r>
      <w:sdt>
        <w:sdtPr>
          <w:rPr>
            <w:rFonts w:asciiTheme="minorHAnsi" w:hAnsiTheme="minorHAnsi" w:cs="Arial"/>
          </w:rPr>
          <w:id w:val="1233038585"/>
          <w:citation/>
        </w:sdtPr>
        <w:sdtContent>
          <w:r>
            <w:rPr>
              <w:rFonts w:asciiTheme="minorHAnsi" w:hAnsiTheme="minorHAnsi" w:cs="Arial"/>
            </w:rPr>
            <w:fldChar w:fldCharType="begin"/>
          </w:r>
          <w:r>
            <w:rPr>
              <w:rFonts w:asciiTheme="minorHAnsi" w:hAnsiTheme="minorHAnsi" w:cs="Arial"/>
            </w:rPr>
            <w:instrText xml:space="preserve">CITATION BMC19 \l 2057 </w:instrText>
          </w:r>
          <w:r>
            <w:rPr>
              <w:rFonts w:asciiTheme="minorHAnsi" w:hAnsiTheme="minorHAnsi" w:cs="Arial"/>
            </w:rPr>
            <w:fldChar w:fldCharType="separate"/>
          </w:r>
          <w:r w:rsidRPr="00127012">
            <w:rPr>
              <w:rFonts w:asciiTheme="minorHAnsi" w:hAnsiTheme="minorHAnsi" w:cs="Arial"/>
              <w:noProof/>
            </w:rPr>
            <w:t>(Purba A, and Demou E, 2019)</w:t>
          </w:r>
          <w:r>
            <w:rPr>
              <w:rFonts w:asciiTheme="minorHAnsi" w:hAnsiTheme="minorHAnsi" w:cs="Arial"/>
            </w:rPr>
            <w:fldChar w:fldCharType="end"/>
          </w:r>
        </w:sdtContent>
      </w:sdt>
      <w:r w:rsidRPr="000B0905">
        <w:rPr>
          <w:rFonts w:asciiTheme="minorHAnsi" w:hAnsiTheme="minorHAnsi" w:cs="Arial"/>
        </w:rPr>
        <w:t>.</w:t>
      </w:r>
      <w:r>
        <w:rPr>
          <w:rFonts w:asciiTheme="minorHAnsi" w:hAnsiTheme="minorHAnsi" w:cs="Arial"/>
        </w:rPr>
        <w:t xml:space="preserve"> </w:t>
      </w:r>
      <w:r w:rsidRPr="000B0905">
        <w:rPr>
          <w:rFonts w:asciiTheme="minorHAnsi" w:hAnsiTheme="minorHAnsi" w:cs="Arial"/>
        </w:rPr>
        <w:t>Situational and organisation factors play a key role in the influence</w:t>
      </w:r>
      <w:r w:rsidR="00176E7A">
        <w:rPr>
          <w:rFonts w:asciiTheme="minorHAnsi" w:hAnsiTheme="minorHAnsi" w:cs="Arial"/>
        </w:rPr>
        <w:t xml:space="preserve"> on</w:t>
      </w:r>
      <w:r w:rsidRPr="000B0905">
        <w:rPr>
          <w:rFonts w:asciiTheme="minorHAnsi" w:hAnsiTheme="minorHAnsi" w:cs="Arial"/>
        </w:rPr>
        <w:t xml:space="preserve"> mental wellbeing</w:t>
      </w:r>
      <w:r w:rsidR="00176E7A">
        <w:rPr>
          <w:rFonts w:asciiTheme="minorHAnsi" w:hAnsiTheme="minorHAnsi" w:cs="Arial"/>
        </w:rPr>
        <w:t xml:space="preserve">, </w:t>
      </w:r>
      <w:r w:rsidRPr="000B0905">
        <w:rPr>
          <w:rFonts w:asciiTheme="minorHAnsi" w:hAnsiTheme="minorHAnsi" w:cs="Arial"/>
        </w:rPr>
        <w:t>in the last decade stress related sickness leave</w:t>
      </w:r>
      <w:r w:rsidR="00176E7A">
        <w:rPr>
          <w:rFonts w:asciiTheme="minorHAnsi" w:hAnsiTheme="minorHAnsi" w:cs="Arial"/>
        </w:rPr>
        <w:t xml:space="preserve"> has doubled</w:t>
      </w:r>
      <w:r w:rsidRPr="000B0905">
        <w:rPr>
          <w:rFonts w:asciiTheme="minorHAnsi" w:hAnsiTheme="minorHAnsi" w:cs="Arial"/>
        </w:rPr>
        <w:t xml:space="preserve">, </w:t>
      </w:r>
      <w:r w:rsidR="00176E7A">
        <w:rPr>
          <w:rFonts w:asciiTheme="minorHAnsi" w:hAnsiTheme="minorHAnsi" w:cs="Arial"/>
        </w:rPr>
        <w:t>and</w:t>
      </w:r>
      <w:r w:rsidRPr="000B0905">
        <w:rPr>
          <w:rFonts w:asciiTheme="minorHAnsi" w:hAnsiTheme="minorHAnsi" w:cs="Arial"/>
        </w:rPr>
        <w:t xml:space="preserve"> cost one force area in Lincolnshire 10,324 duty days and £1.7 million on sick leave </w:t>
      </w:r>
      <w:r w:rsidR="00D664D1">
        <w:rPr>
          <w:rFonts w:asciiTheme="minorHAnsi" w:hAnsiTheme="minorHAnsi" w:cs="Arial"/>
        </w:rPr>
        <w:t xml:space="preserve">in one year. </w:t>
      </w:r>
      <w:r w:rsidRPr="000B0905">
        <w:rPr>
          <w:rFonts w:asciiTheme="minorHAnsi" w:hAnsiTheme="minorHAnsi" w:cs="Arial"/>
        </w:rPr>
        <w:t xml:space="preserve">The main factors of the sickness leave taken were due to stress, anxiety, and depression. </w:t>
      </w:r>
      <w:sdt>
        <w:sdtPr>
          <w:rPr>
            <w:rFonts w:asciiTheme="minorHAnsi" w:hAnsiTheme="minorHAnsi" w:cs="Arial"/>
          </w:rPr>
          <w:id w:val="-1763674969"/>
          <w:citation/>
        </w:sdtPr>
        <w:sdtContent>
          <w:r>
            <w:rPr>
              <w:rFonts w:asciiTheme="minorHAnsi" w:hAnsiTheme="minorHAnsi" w:cs="Arial"/>
            </w:rPr>
            <w:fldChar w:fldCharType="begin"/>
          </w:r>
          <w:r>
            <w:rPr>
              <w:rFonts w:asciiTheme="minorHAnsi" w:hAnsiTheme="minorHAnsi" w:cs="Arial"/>
            </w:rPr>
            <w:instrText xml:space="preserve">CITATION Jou21 \l 2057 </w:instrText>
          </w:r>
          <w:r>
            <w:rPr>
              <w:rFonts w:asciiTheme="minorHAnsi" w:hAnsiTheme="minorHAnsi" w:cs="Arial"/>
            </w:rPr>
            <w:fldChar w:fldCharType="separate"/>
          </w:r>
          <w:r w:rsidRPr="00127012">
            <w:rPr>
              <w:rFonts w:asciiTheme="minorHAnsi" w:hAnsiTheme="minorHAnsi" w:cs="Arial"/>
              <w:noProof/>
            </w:rPr>
            <w:t>(Phythian et al., 2021)</w:t>
          </w:r>
          <w:r>
            <w:rPr>
              <w:rFonts w:asciiTheme="minorHAnsi" w:hAnsiTheme="minorHAnsi" w:cs="Arial"/>
            </w:rPr>
            <w:fldChar w:fldCharType="end"/>
          </w:r>
        </w:sdtContent>
      </w:sdt>
      <w:r w:rsidRPr="000B0905">
        <w:rPr>
          <w:rFonts w:asciiTheme="minorHAnsi" w:hAnsiTheme="minorHAnsi" w:cs="Arial"/>
        </w:rPr>
        <w:t xml:space="preserve">. </w:t>
      </w:r>
    </w:p>
    <w:p w14:paraId="1E1BDC63" w14:textId="2A75A9B8" w:rsidR="00453A96" w:rsidRDefault="00453A96" w:rsidP="00453A96">
      <w:pPr>
        <w:rPr>
          <w:rFonts w:asciiTheme="minorHAnsi" w:hAnsiTheme="minorHAnsi" w:cs="Arial"/>
        </w:rPr>
      </w:pPr>
      <w:r>
        <w:rPr>
          <w:rFonts w:asciiTheme="minorHAnsi" w:hAnsiTheme="minorHAnsi" w:cs="Arial"/>
        </w:rPr>
        <w:t>Furthermore, a lack of data was found when analysing phycological ill-health of officers</w:t>
      </w:r>
      <w:r w:rsidR="00D664D1">
        <w:rPr>
          <w:rFonts w:asciiTheme="minorHAnsi" w:hAnsiTheme="minorHAnsi" w:cs="Arial"/>
        </w:rPr>
        <w:t xml:space="preserve"> and combined with officers suffering in silence</w:t>
      </w:r>
      <w:r>
        <w:rPr>
          <w:rFonts w:asciiTheme="minorHAnsi" w:hAnsiTheme="minorHAnsi" w:cs="Arial"/>
        </w:rPr>
        <w:t>,</w:t>
      </w:r>
      <w:r w:rsidR="00D664D1">
        <w:rPr>
          <w:rFonts w:asciiTheme="minorHAnsi" w:hAnsiTheme="minorHAnsi" w:cs="Arial"/>
        </w:rPr>
        <w:t xml:space="preserve"> this gives</w:t>
      </w:r>
      <w:r>
        <w:rPr>
          <w:rFonts w:asciiTheme="minorHAnsi" w:hAnsiTheme="minorHAnsi" w:cs="Arial"/>
        </w:rPr>
        <w:t xml:space="preserve"> a clear conclusion that </w:t>
      </w:r>
      <w:r w:rsidR="00D664D1">
        <w:rPr>
          <w:rFonts w:asciiTheme="minorHAnsi" w:hAnsiTheme="minorHAnsi" w:cs="Arial"/>
        </w:rPr>
        <w:t>more could be done</w:t>
      </w:r>
      <w:r>
        <w:rPr>
          <w:rFonts w:asciiTheme="minorHAnsi" w:hAnsiTheme="minorHAnsi" w:cs="Arial"/>
        </w:rPr>
        <w:t xml:space="preserve"> to support mental wellbeing in policing</w:t>
      </w:r>
      <w:r w:rsidR="00D664D1">
        <w:rPr>
          <w:rFonts w:asciiTheme="minorHAnsi" w:hAnsiTheme="minorHAnsi" w:cs="Arial"/>
        </w:rPr>
        <w:t xml:space="preserve">. </w:t>
      </w:r>
      <w:r w:rsidR="001D1EC5">
        <w:rPr>
          <w:rFonts w:asciiTheme="minorHAnsi" w:hAnsiTheme="minorHAnsi" w:cs="Arial"/>
        </w:rPr>
        <w:t>This implies</w:t>
      </w:r>
      <w:r>
        <w:rPr>
          <w:rFonts w:asciiTheme="minorHAnsi" w:hAnsiTheme="minorHAnsi" w:cs="Arial"/>
        </w:rPr>
        <w:t xml:space="preserve"> an escalation </w:t>
      </w:r>
      <w:r w:rsidR="001D1EC5">
        <w:rPr>
          <w:rFonts w:asciiTheme="minorHAnsi" w:hAnsiTheme="minorHAnsi" w:cs="Arial"/>
        </w:rPr>
        <w:t>of</w:t>
      </w:r>
      <w:r>
        <w:rPr>
          <w:rFonts w:asciiTheme="minorHAnsi" w:hAnsiTheme="minorHAnsi" w:cs="Arial"/>
        </w:rPr>
        <w:t xml:space="preserve"> the increase in officer related sickness due to wellbeing but also addressing the reasons behind it and lack of learning from an organisational point of view. Whether it be an increase in crime, lack of support from the organisation or an increase in job related duties that officers face. Regardless, this study shows that the lack of research when it comes to wellbeing related sickness days not only is a cause for concern but also highlights that more often than not officers who decide to take a leave of absence for their wellbeing were more likely to take a second leave of sickness absence following their return </w:t>
      </w:r>
      <w:sdt>
        <w:sdtPr>
          <w:rPr>
            <w:rFonts w:asciiTheme="minorHAnsi" w:hAnsiTheme="minorHAnsi" w:cs="Arial"/>
          </w:rPr>
          <w:id w:val="2063981281"/>
          <w:citation/>
        </w:sdtPr>
        <w:sdtContent>
          <w:r>
            <w:rPr>
              <w:rFonts w:asciiTheme="minorHAnsi" w:hAnsiTheme="minorHAnsi" w:cs="Arial"/>
            </w:rPr>
            <w:fldChar w:fldCharType="begin"/>
          </w:r>
          <w:r>
            <w:rPr>
              <w:rFonts w:asciiTheme="minorHAnsi" w:hAnsiTheme="minorHAnsi" w:cs="Arial"/>
            </w:rPr>
            <w:instrText xml:space="preserve"> CITATION Car20 \l 2057 </w:instrText>
          </w:r>
          <w:r>
            <w:rPr>
              <w:rFonts w:asciiTheme="minorHAnsi" w:hAnsiTheme="minorHAnsi" w:cs="Arial"/>
            </w:rPr>
            <w:fldChar w:fldCharType="separate"/>
          </w:r>
          <w:r w:rsidRPr="00127012">
            <w:rPr>
              <w:rFonts w:asciiTheme="minorHAnsi" w:hAnsiTheme="minorHAnsi" w:cs="Arial"/>
              <w:noProof/>
            </w:rPr>
            <w:t>(Cartwright and Roach, 2020)</w:t>
          </w:r>
          <w:r>
            <w:rPr>
              <w:rFonts w:asciiTheme="minorHAnsi" w:hAnsiTheme="minorHAnsi" w:cs="Arial"/>
            </w:rPr>
            <w:fldChar w:fldCharType="end"/>
          </w:r>
        </w:sdtContent>
      </w:sdt>
      <w:r>
        <w:rPr>
          <w:rFonts w:asciiTheme="minorHAnsi" w:hAnsiTheme="minorHAnsi" w:cs="Arial"/>
        </w:rPr>
        <w:t>.</w:t>
      </w:r>
    </w:p>
    <w:p w14:paraId="2DE28002" w14:textId="77777777" w:rsidR="00453A96" w:rsidRDefault="00453A96" w:rsidP="00453A96">
      <w:pPr>
        <w:rPr>
          <w:rFonts w:asciiTheme="minorHAnsi" w:hAnsiTheme="minorHAnsi" w:cs="Arial"/>
        </w:rPr>
      </w:pPr>
      <w:r>
        <w:rPr>
          <w:rFonts w:asciiTheme="minorHAnsi" w:hAnsiTheme="minorHAnsi" w:cs="Arial"/>
        </w:rPr>
        <w:t xml:space="preserve">The COVID-19 pandemic saw an alarming increase on the impact of police officer wellbeing. As front-line workers, officers faced several challenges when dealing with the pandemic facing a </w:t>
      </w:r>
      <w:r>
        <w:rPr>
          <w:rFonts w:asciiTheme="minorHAnsi" w:hAnsiTheme="minorHAnsi" w:cs="Arial"/>
        </w:rPr>
        <w:lastRenderedPageBreak/>
        <w:t xml:space="preserve">surge of officers feeling less safe and as a result suffered anxiety. This is plausible when thinking that officers deal with the already high demand that comes with the role but during the COVID-19 pandemic, officers were not only faced with the demand in enforcing the restrictions that came with the pandemic but also the organisation stressors of having to work on the front line while keeping others and themselves safe. This brought a massive strain on officers who already face a greater risk of poor wellbeing. The lasting effect of the pandemic will inevitably be a long road to recovery </w:t>
      </w:r>
      <w:sdt>
        <w:sdtPr>
          <w:rPr>
            <w:rFonts w:asciiTheme="minorHAnsi" w:hAnsiTheme="minorHAnsi" w:cs="Arial"/>
          </w:rPr>
          <w:id w:val="-1818642676"/>
          <w:citation/>
        </w:sdtPr>
        <w:sdtContent>
          <w:r>
            <w:rPr>
              <w:rFonts w:asciiTheme="minorHAnsi" w:hAnsiTheme="minorHAnsi" w:cs="Arial"/>
            </w:rPr>
            <w:fldChar w:fldCharType="begin"/>
          </w:r>
          <w:r>
            <w:rPr>
              <w:rFonts w:asciiTheme="minorHAnsi" w:hAnsiTheme="minorHAnsi" w:cs="Arial"/>
            </w:rPr>
            <w:instrText xml:space="preserve">CITATION Uni20 \l 2057 </w:instrText>
          </w:r>
          <w:r>
            <w:rPr>
              <w:rFonts w:asciiTheme="minorHAnsi" w:hAnsiTheme="minorHAnsi" w:cs="Arial"/>
            </w:rPr>
            <w:fldChar w:fldCharType="separate"/>
          </w:r>
          <w:r w:rsidRPr="00127012">
            <w:rPr>
              <w:rFonts w:asciiTheme="minorHAnsi" w:hAnsiTheme="minorHAnsi" w:cs="Arial"/>
              <w:noProof/>
            </w:rPr>
            <w:t>(Stogner, Miller and McLean, 2020)</w:t>
          </w:r>
          <w:r>
            <w:rPr>
              <w:rFonts w:asciiTheme="minorHAnsi" w:hAnsiTheme="minorHAnsi" w:cs="Arial"/>
            </w:rPr>
            <w:fldChar w:fldCharType="end"/>
          </w:r>
        </w:sdtContent>
      </w:sdt>
      <w:r>
        <w:rPr>
          <w:rFonts w:asciiTheme="minorHAnsi" w:hAnsiTheme="minorHAnsi" w:cs="Arial"/>
        </w:rPr>
        <w:t xml:space="preserve">. </w:t>
      </w:r>
    </w:p>
    <w:p w14:paraId="65558F7C" w14:textId="77777777" w:rsidR="00453A96" w:rsidRDefault="00453A96" w:rsidP="00453A96">
      <w:pPr>
        <w:rPr>
          <w:rFonts w:asciiTheme="minorHAnsi" w:hAnsiTheme="minorHAnsi" w:cs="Arial"/>
        </w:rPr>
      </w:pPr>
      <w:r>
        <w:rPr>
          <w:rFonts w:asciiTheme="minorHAnsi" w:hAnsiTheme="minorHAnsi" w:cs="Arial"/>
        </w:rPr>
        <w:t xml:space="preserve">With ongoing challenges officer’s face in their roles, it is not a surprise that approximately 1 in 5 officers and staff in the UK face symptoms of Post-Traumatic Stress Disorder (PTSD), this is something that requires urgent addressing given the volume of those it affects in the police force. The consequences of this if not treated can lead to additional ongoing sickness leave, cost to forces not only financially but through officer number decline, leaving their role. PTSD if not treated can have a lasting effect on officers and staff in their personal and professional careers, not only does this effect the individual but also their peers </w:t>
      </w:r>
      <w:sdt>
        <w:sdtPr>
          <w:rPr>
            <w:rFonts w:asciiTheme="minorHAnsi" w:hAnsiTheme="minorHAnsi" w:cs="Arial"/>
          </w:rPr>
          <w:id w:val="1665208127"/>
          <w:citation/>
        </w:sdtPr>
        <w:sdtContent>
          <w:r>
            <w:rPr>
              <w:rFonts w:asciiTheme="minorHAnsi" w:hAnsiTheme="minorHAnsi" w:cs="Arial"/>
            </w:rPr>
            <w:fldChar w:fldCharType="begin"/>
          </w:r>
          <w:r>
            <w:rPr>
              <w:rFonts w:asciiTheme="minorHAnsi" w:hAnsiTheme="minorHAnsi" w:cs="Arial"/>
            </w:rPr>
            <w:instrText xml:space="preserve">CITATION PMA24 \l 2057 </w:instrText>
          </w:r>
          <w:r>
            <w:rPr>
              <w:rFonts w:asciiTheme="minorHAnsi" w:hAnsiTheme="minorHAnsi" w:cs="Arial"/>
            </w:rPr>
            <w:fldChar w:fldCharType="separate"/>
          </w:r>
          <w:r w:rsidRPr="00127012">
            <w:rPr>
              <w:rFonts w:asciiTheme="minorHAnsi" w:hAnsiTheme="minorHAnsi" w:cs="Arial"/>
              <w:noProof/>
            </w:rPr>
            <w:t>(Mental Health in the Police - PMAC, 2024)</w:t>
          </w:r>
          <w:r>
            <w:rPr>
              <w:rFonts w:asciiTheme="minorHAnsi" w:hAnsiTheme="minorHAnsi" w:cs="Arial"/>
            </w:rPr>
            <w:fldChar w:fldCharType="end"/>
          </w:r>
        </w:sdtContent>
      </w:sdt>
      <w:r>
        <w:rPr>
          <w:rFonts w:asciiTheme="minorHAnsi" w:hAnsiTheme="minorHAnsi" w:cs="Arial"/>
        </w:rPr>
        <w:t>.</w:t>
      </w:r>
    </w:p>
    <w:p w14:paraId="1E6E822F" w14:textId="77777777" w:rsidR="00453A96" w:rsidRDefault="00453A96" w:rsidP="00453A96">
      <w:pPr>
        <w:rPr>
          <w:rFonts w:asciiTheme="minorHAnsi" w:hAnsiTheme="minorHAnsi" w:cs="Arial"/>
        </w:rPr>
      </w:pPr>
      <w:r>
        <w:rPr>
          <w:rFonts w:asciiTheme="minorHAnsi" w:hAnsiTheme="minorHAnsi" w:cs="Arial"/>
        </w:rPr>
        <w:t xml:space="preserve">There have been an extremely high number of voluntary resignations from officers, however from 2022 a Leavers Survey has been put in place to try and identify officers and staff reasons for leaving the force to try and improve and address the reasons behind officers’ decision to leave. Of 651 participants that completed the Leavers Survey, 6.3% felt they have Health and Wellbeing concerns for leaving the role. From these findings given the right support on officer’s health and wellbeing this percentage would potentially be reduced </w:t>
      </w:r>
      <w:sdt>
        <w:sdtPr>
          <w:rPr>
            <w:rFonts w:asciiTheme="minorHAnsi" w:hAnsiTheme="minorHAnsi" w:cs="Arial"/>
          </w:rPr>
          <w:id w:val="1600443937"/>
          <w:citation/>
        </w:sdtPr>
        <w:sdtContent>
          <w:r>
            <w:rPr>
              <w:rFonts w:asciiTheme="minorHAnsi" w:hAnsiTheme="minorHAnsi" w:cs="Arial"/>
            </w:rPr>
            <w:fldChar w:fldCharType="begin"/>
          </w:r>
          <w:r>
            <w:rPr>
              <w:rFonts w:asciiTheme="minorHAnsi" w:hAnsiTheme="minorHAnsi" w:cs="Arial"/>
            </w:rPr>
            <w:instrText xml:space="preserve">CITATION Met23 \l 2057 </w:instrText>
          </w:r>
          <w:r>
            <w:rPr>
              <w:rFonts w:asciiTheme="minorHAnsi" w:hAnsiTheme="minorHAnsi" w:cs="Arial"/>
            </w:rPr>
            <w:fldChar w:fldCharType="separate"/>
          </w:r>
          <w:r w:rsidRPr="00127012">
            <w:rPr>
              <w:rFonts w:asciiTheme="minorHAnsi" w:hAnsiTheme="minorHAnsi" w:cs="Arial"/>
              <w:noProof/>
            </w:rPr>
            <w:t>(Police, Metropolitan, 2023)</w:t>
          </w:r>
          <w:r>
            <w:rPr>
              <w:rFonts w:asciiTheme="minorHAnsi" w:hAnsiTheme="minorHAnsi" w:cs="Arial"/>
            </w:rPr>
            <w:fldChar w:fldCharType="end"/>
          </w:r>
        </w:sdtContent>
      </w:sdt>
      <w:r>
        <w:rPr>
          <w:rFonts w:asciiTheme="minorHAnsi" w:hAnsiTheme="minorHAnsi" w:cs="Arial"/>
        </w:rPr>
        <w:t>.</w:t>
      </w:r>
    </w:p>
    <w:p w14:paraId="1084FB67" w14:textId="7C31F211" w:rsidR="00453A96" w:rsidRDefault="00453A96" w:rsidP="00453A96">
      <w:pPr>
        <w:rPr>
          <w:rFonts w:asciiTheme="minorHAnsi" w:hAnsiTheme="minorHAnsi" w:cs="Arial"/>
        </w:rPr>
      </w:pPr>
      <w:r>
        <w:rPr>
          <w:rFonts w:asciiTheme="minorHAnsi" w:hAnsiTheme="minorHAnsi" w:cs="Arial"/>
        </w:rPr>
        <w:t>To conclude, support in the police force has come a long way, with the introduction of stress specific training for officers and staff making it mandatory for them to complete is a positive factor. As well as the introduction of Trauma Risk Management (</w:t>
      </w:r>
      <w:proofErr w:type="spellStart"/>
      <w:r>
        <w:rPr>
          <w:rFonts w:asciiTheme="minorHAnsi" w:hAnsiTheme="minorHAnsi" w:cs="Arial"/>
        </w:rPr>
        <w:t>TRiM</w:t>
      </w:r>
      <w:proofErr w:type="spellEnd"/>
      <w:r>
        <w:rPr>
          <w:rFonts w:asciiTheme="minorHAnsi" w:hAnsiTheme="minorHAnsi" w:cs="Arial"/>
        </w:rPr>
        <w:t xml:space="preserve">) which is an organisational peer support response for officers who attend traumatic incidents. This identifies individual officers who have attended the incident, and they are then offered support to process the incident should they feel they require this </w:t>
      </w:r>
      <w:sdt>
        <w:sdtPr>
          <w:rPr>
            <w:rFonts w:asciiTheme="minorHAnsi" w:hAnsiTheme="minorHAnsi" w:cs="Arial"/>
          </w:rPr>
          <w:id w:val="357624567"/>
          <w:citation/>
        </w:sdtPr>
        <w:sdtContent>
          <w:r>
            <w:rPr>
              <w:rFonts w:asciiTheme="minorHAnsi" w:hAnsiTheme="minorHAnsi" w:cs="Arial"/>
            </w:rPr>
            <w:fldChar w:fldCharType="begin"/>
          </w:r>
          <w:r>
            <w:rPr>
              <w:rFonts w:asciiTheme="minorHAnsi" w:hAnsiTheme="minorHAnsi" w:cs="Arial"/>
            </w:rPr>
            <w:instrText xml:space="preserve">CITATION Oxf13 \l 2057 </w:instrText>
          </w:r>
          <w:r>
            <w:rPr>
              <w:rFonts w:asciiTheme="minorHAnsi" w:hAnsiTheme="minorHAnsi" w:cs="Arial"/>
            </w:rPr>
            <w:fldChar w:fldCharType="separate"/>
          </w:r>
          <w:r w:rsidRPr="00127012">
            <w:rPr>
              <w:rFonts w:asciiTheme="minorHAnsi" w:hAnsiTheme="minorHAnsi" w:cs="Arial"/>
              <w:noProof/>
            </w:rPr>
            <w:t>(Hunt E et al., 2013)</w:t>
          </w:r>
          <w:r>
            <w:rPr>
              <w:rFonts w:asciiTheme="minorHAnsi" w:hAnsiTheme="minorHAnsi" w:cs="Arial"/>
            </w:rPr>
            <w:fldChar w:fldCharType="end"/>
          </w:r>
        </w:sdtContent>
      </w:sdt>
      <w:r>
        <w:rPr>
          <w:rFonts w:asciiTheme="minorHAnsi" w:hAnsiTheme="minorHAnsi" w:cs="Arial"/>
        </w:rPr>
        <w:t xml:space="preserve">. The Blue Light Wellbeing Framework (BLWF) is a self-assessment tool which is available for emergency services workers that sets a standard for wellbeing in each force area and by using the tools available to them via the BLWF, organisations can ensure that they are trained to deal with the specific support that officers and staff require. This and other support networks are a step in the right direction, but </w:t>
      </w:r>
      <w:r w:rsidR="001D1EC5">
        <w:rPr>
          <w:rFonts w:asciiTheme="minorHAnsi" w:hAnsiTheme="minorHAnsi" w:cs="Arial"/>
        </w:rPr>
        <w:t>additional</w:t>
      </w:r>
      <w:r>
        <w:rPr>
          <w:rFonts w:asciiTheme="minorHAnsi" w:hAnsiTheme="minorHAnsi" w:cs="Arial"/>
        </w:rPr>
        <w:t xml:space="preserve"> work that is needed to ensure that officer and staff wellbeing is safeguarded in their roles for future </w:t>
      </w:r>
      <w:sdt>
        <w:sdtPr>
          <w:rPr>
            <w:rFonts w:asciiTheme="minorHAnsi" w:hAnsiTheme="minorHAnsi" w:cs="Arial"/>
          </w:rPr>
          <w:id w:val="-747190033"/>
          <w:citation/>
        </w:sdtPr>
        <w:sdtContent>
          <w:r>
            <w:rPr>
              <w:rFonts w:asciiTheme="minorHAnsi" w:hAnsiTheme="minorHAnsi" w:cs="Arial"/>
            </w:rPr>
            <w:fldChar w:fldCharType="begin"/>
          </w:r>
          <w:r>
            <w:rPr>
              <w:rFonts w:asciiTheme="minorHAnsi" w:hAnsiTheme="minorHAnsi" w:cs="Arial"/>
            </w:rPr>
            <w:instrText xml:space="preserve">CITATION The241 \l 2057 </w:instrText>
          </w:r>
          <w:r>
            <w:rPr>
              <w:rFonts w:asciiTheme="minorHAnsi" w:hAnsiTheme="minorHAnsi" w:cs="Arial"/>
            </w:rPr>
            <w:fldChar w:fldCharType="separate"/>
          </w:r>
          <w:r w:rsidRPr="00127012">
            <w:rPr>
              <w:rFonts w:asciiTheme="minorHAnsi" w:hAnsiTheme="minorHAnsi" w:cs="Arial"/>
              <w:noProof/>
            </w:rPr>
            <w:t>(Oscar Kilo, 2024)</w:t>
          </w:r>
          <w:r>
            <w:rPr>
              <w:rFonts w:asciiTheme="minorHAnsi" w:hAnsiTheme="minorHAnsi" w:cs="Arial"/>
            </w:rPr>
            <w:fldChar w:fldCharType="end"/>
          </w:r>
        </w:sdtContent>
      </w:sdt>
      <w:r>
        <w:rPr>
          <w:rFonts w:asciiTheme="minorHAnsi" w:hAnsiTheme="minorHAnsi" w:cs="Arial"/>
        </w:rPr>
        <w:t>.</w:t>
      </w:r>
    </w:p>
    <w:p w14:paraId="75010046" w14:textId="6CCB89E7" w:rsidR="00453A96" w:rsidRDefault="00453A96" w:rsidP="00241B30">
      <w:r>
        <w:t>11</w:t>
      </w:r>
      <w:r w:rsidR="001D1EC5">
        <w:t>00</w:t>
      </w:r>
      <w:r>
        <w:t xml:space="preserve"> words. </w:t>
      </w:r>
    </w:p>
    <w:p w14:paraId="2FCBF497" w14:textId="77777777" w:rsidR="001D1EC5" w:rsidRDefault="001D1EC5" w:rsidP="00241B30"/>
    <w:p w14:paraId="5EA76447" w14:textId="77777777" w:rsidR="001D1EC5" w:rsidRDefault="001D1EC5" w:rsidP="00241B30"/>
    <w:p w14:paraId="65D4FFA5" w14:textId="77777777" w:rsidR="00453A96" w:rsidRDefault="00453A96" w:rsidP="00241B30"/>
    <w:p w14:paraId="30513610" w14:textId="77777777" w:rsidR="00453A96" w:rsidRDefault="00453A96" w:rsidP="00241B30"/>
    <w:p w14:paraId="5D7DD173" w14:textId="77777777" w:rsidR="00453A96" w:rsidRDefault="00453A96" w:rsidP="00241B30"/>
    <w:p w14:paraId="25FB7C6F" w14:textId="77777777" w:rsidR="00453A96" w:rsidRDefault="00453A96" w:rsidP="00241B30"/>
    <w:p w14:paraId="6543F223" w14:textId="77777777" w:rsidR="00453A96" w:rsidRPr="00101156" w:rsidRDefault="00453A96" w:rsidP="00453A96">
      <w:pPr>
        <w:rPr>
          <w:rFonts w:asciiTheme="minorHAnsi" w:hAnsiTheme="minorHAnsi" w:cs="Arial"/>
          <w:b/>
          <w:bCs/>
        </w:rPr>
      </w:pPr>
      <w:r w:rsidRPr="00101156">
        <w:rPr>
          <w:rFonts w:asciiTheme="minorHAnsi" w:hAnsiTheme="minorHAnsi" w:cs="Arial"/>
          <w:b/>
          <w:bCs/>
        </w:rPr>
        <w:lastRenderedPageBreak/>
        <w:t>Essay Three: Outline potential links between serious and organised crime and public protection issues. What characteristics make some people more vulnerable to exploitation by serious and organised crime gangs? Your answer must be based on academic research.</w:t>
      </w:r>
    </w:p>
    <w:p w14:paraId="7AAD0D7D" w14:textId="77777777" w:rsidR="00453A96" w:rsidRDefault="00453A96" w:rsidP="00453A96">
      <w:pPr>
        <w:rPr>
          <w:rFonts w:asciiTheme="minorHAnsi" w:hAnsiTheme="minorHAnsi" w:cs="Arial"/>
        </w:rPr>
      </w:pPr>
      <w:r>
        <w:rPr>
          <w:rFonts w:asciiTheme="minorHAnsi" w:hAnsiTheme="minorHAnsi" w:cs="Arial"/>
        </w:rPr>
        <w:t xml:space="preserve">Serious and Organised Crime (SOC) is an issue which is growing at an uncontrollable rate, problem-orientated policing is effective when implemented, but there are several barriers when it comes to conducting problem-orientated policing and for it to be effective. The scale of SOC is beyond compare and the police force already being at full capacity of workload and officers, it could be argued that there could be a lack of focus on SOC. There is a lack of research and understanding surrounding SOC and the factors within it. Put simply, SOC is connected via a large network of different counties and countries which not only creates complicated barriers for the police force but also, requires partnership working with other force areas who also do not have the additional resources at hand. </w:t>
      </w:r>
      <w:sdt>
        <w:sdtPr>
          <w:rPr>
            <w:rFonts w:asciiTheme="minorHAnsi" w:hAnsiTheme="minorHAnsi" w:cs="Arial"/>
          </w:rPr>
          <w:id w:val="624976691"/>
          <w:citation/>
        </w:sdtPr>
        <w:sdtContent>
          <w:r>
            <w:rPr>
              <w:rFonts w:asciiTheme="minorHAnsi" w:hAnsiTheme="minorHAnsi" w:cs="Arial"/>
            </w:rPr>
            <w:fldChar w:fldCharType="begin"/>
          </w:r>
          <w:r>
            <w:rPr>
              <w:rFonts w:asciiTheme="minorHAnsi" w:hAnsiTheme="minorHAnsi" w:cs="Arial"/>
            </w:rPr>
            <w:instrText xml:space="preserve">CITATION Tay22 \l 2057 </w:instrText>
          </w:r>
          <w:r>
            <w:rPr>
              <w:rFonts w:asciiTheme="minorHAnsi" w:hAnsiTheme="minorHAnsi" w:cs="Arial"/>
            </w:rPr>
            <w:fldChar w:fldCharType="separate"/>
          </w:r>
          <w:r w:rsidRPr="00127012">
            <w:rPr>
              <w:rFonts w:asciiTheme="minorHAnsi" w:hAnsiTheme="minorHAnsi" w:cs="Arial"/>
              <w:noProof/>
            </w:rPr>
            <w:t>(Bullock et al., 2021)</w:t>
          </w:r>
          <w:r>
            <w:rPr>
              <w:rFonts w:asciiTheme="minorHAnsi" w:hAnsiTheme="minorHAnsi" w:cs="Arial"/>
            </w:rPr>
            <w:fldChar w:fldCharType="end"/>
          </w:r>
        </w:sdtContent>
      </w:sdt>
      <w:r>
        <w:rPr>
          <w:rFonts w:asciiTheme="minorHAnsi" w:hAnsiTheme="minorHAnsi" w:cs="Arial"/>
        </w:rPr>
        <w:t xml:space="preserve">. This piece of work will outline the potential links between early life and inherited behaviours passed down by generations of individuals who find themselves in the work of SOC. There are additional characteristics which some face and make them more vulnerable to this life which will also be discussed during this piece of work. </w:t>
      </w:r>
    </w:p>
    <w:p w14:paraId="5BEB8060" w14:textId="64C454B1" w:rsidR="00453A96" w:rsidRDefault="00453A96" w:rsidP="00453A96">
      <w:pPr>
        <w:rPr>
          <w:rFonts w:asciiTheme="minorHAnsi" w:hAnsiTheme="minorHAnsi" w:cs="Arial"/>
        </w:rPr>
      </w:pPr>
      <w:r>
        <w:rPr>
          <w:rFonts w:asciiTheme="minorHAnsi" w:hAnsiTheme="minorHAnsi" w:cs="Arial"/>
        </w:rPr>
        <w:t xml:space="preserve">There is an alarming rate of people living in the UK who are involved in SOC that costs the UK £47 billion each year </w:t>
      </w:r>
      <w:sdt>
        <w:sdtPr>
          <w:rPr>
            <w:rFonts w:asciiTheme="minorHAnsi" w:hAnsiTheme="minorHAnsi" w:cs="Arial"/>
          </w:rPr>
          <w:id w:val="-1662461805"/>
          <w:citation/>
        </w:sdtPr>
        <w:sdtContent>
          <w:r>
            <w:rPr>
              <w:rFonts w:asciiTheme="minorHAnsi" w:hAnsiTheme="minorHAnsi" w:cs="Arial"/>
            </w:rPr>
            <w:fldChar w:fldCharType="begin"/>
          </w:r>
          <w:r>
            <w:rPr>
              <w:rFonts w:asciiTheme="minorHAnsi" w:hAnsiTheme="minorHAnsi" w:cs="Arial"/>
            </w:rPr>
            <w:instrText xml:space="preserve">CITATION GOV241 \l 2057 </w:instrText>
          </w:r>
          <w:r>
            <w:rPr>
              <w:rFonts w:asciiTheme="minorHAnsi" w:hAnsiTheme="minorHAnsi" w:cs="Arial"/>
            </w:rPr>
            <w:fldChar w:fldCharType="separate"/>
          </w:r>
          <w:r w:rsidRPr="00127012">
            <w:rPr>
              <w:rFonts w:asciiTheme="minorHAnsi" w:hAnsiTheme="minorHAnsi" w:cs="Arial"/>
              <w:noProof/>
            </w:rPr>
            <w:t>(Gov.UK, 2023)</w:t>
          </w:r>
          <w:r>
            <w:rPr>
              <w:rFonts w:asciiTheme="minorHAnsi" w:hAnsiTheme="minorHAnsi" w:cs="Arial"/>
            </w:rPr>
            <w:fldChar w:fldCharType="end"/>
          </w:r>
        </w:sdtContent>
      </w:sdt>
      <w:r>
        <w:rPr>
          <w:rFonts w:asciiTheme="minorHAnsi" w:hAnsiTheme="minorHAnsi" w:cs="Arial"/>
        </w:rPr>
        <w:t xml:space="preserve">. </w:t>
      </w:r>
      <w:r w:rsidR="001D1EC5">
        <w:rPr>
          <w:rFonts w:asciiTheme="minorHAnsi" w:hAnsiTheme="minorHAnsi" w:cs="Arial"/>
        </w:rPr>
        <w:t>I</w:t>
      </w:r>
      <w:r>
        <w:rPr>
          <w:rFonts w:asciiTheme="minorHAnsi" w:hAnsiTheme="minorHAnsi" w:cs="Arial"/>
        </w:rPr>
        <w:t>mportantly, there is wider public concern for individuals who are drawn in to SOC. What</w:t>
      </w:r>
      <w:r w:rsidR="001D1EC5">
        <w:rPr>
          <w:rFonts w:asciiTheme="minorHAnsi" w:hAnsiTheme="minorHAnsi" w:cs="Arial"/>
        </w:rPr>
        <w:t>’</w:t>
      </w:r>
      <w:r>
        <w:rPr>
          <w:rFonts w:asciiTheme="minorHAnsi" w:hAnsiTheme="minorHAnsi" w:cs="Arial"/>
        </w:rPr>
        <w:t>s clear is that there</w:t>
      </w:r>
      <w:r w:rsidR="001D1EC5">
        <w:rPr>
          <w:rFonts w:asciiTheme="minorHAnsi" w:hAnsiTheme="minorHAnsi" w:cs="Arial"/>
        </w:rPr>
        <w:t>’s</w:t>
      </w:r>
      <w:r>
        <w:rPr>
          <w:rFonts w:asciiTheme="minorHAnsi" w:hAnsiTheme="minorHAnsi" w:cs="Arial"/>
        </w:rPr>
        <w:t xml:space="preserve"> many different avenues of SOC, and the list is not exhaustive, some include, cybercrime, child sexual abuse, modern slavery, organised immigration crime and drug trafficking. Furthermore, it can be argued that the task of tackling SOC is overpowered by weaknesses rather than strengths given the vast growing avenues that criminals take to go undetected from law enforcement. </w:t>
      </w:r>
      <w:r w:rsidR="00F34A2F">
        <w:rPr>
          <w:rFonts w:asciiTheme="minorHAnsi" w:hAnsiTheme="minorHAnsi" w:cs="Arial"/>
        </w:rPr>
        <w:t>G</w:t>
      </w:r>
      <w:r>
        <w:rPr>
          <w:rFonts w:asciiTheme="minorHAnsi" w:hAnsiTheme="minorHAnsi" w:cs="Arial"/>
        </w:rPr>
        <w:t>rowing towns and cities, come growing creativity from criminals who organise these crimes. Given the number of different networks and the vast areas in which they are dealt from, protecting the public is a mammoth task and</w:t>
      </w:r>
      <w:r w:rsidR="00F34A2F">
        <w:rPr>
          <w:rFonts w:asciiTheme="minorHAnsi" w:hAnsiTheme="minorHAnsi" w:cs="Arial"/>
        </w:rPr>
        <w:t xml:space="preserve"> </w:t>
      </w:r>
      <w:r>
        <w:rPr>
          <w:rFonts w:asciiTheme="minorHAnsi" w:hAnsiTheme="minorHAnsi" w:cs="Arial"/>
        </w:rPr>
        <w:t xml:space="preserve">extremely challenging. Offenders who are organising these serious crimes are increasingly getting more savvy and pray on the young and vulnerable as their choice of victims to carry out their facilitation of a crime </w:t>
      </w:r>
      <w:sdt>
        <w:sdtPr>
          <w:rPr>
            <w:rFonts w:asciiTheme="minorHAnsi" w:hAnsiTheme="minorHAnsi" w:cs="Arial"/>
          </w:rPr>
          <w:id w:val="-1139797288"/>
          <w:citation/>
        </w:sdtPr>
        <w:sdtContent>
          <w:r>
            <w:rPr>
              <w:rFonts w:asciiTheme="minorHAnsi" w:hAnsiTheme="minorHAnsi" w:cs="Arial"/>
            </w:rPr>
            <w:fldChar w:fldCharType="begin"/>
          </w:r>
          <w:r>
            <w:rPr>
              <w:rFonts w:asciiTheme="minorHAnsi" w:hAnsiTheme="minorHAnsi" w:cs="Arial"/>
            </w:rPr>
            <w:instrText xml:space="preserve">CITATION Eme08 \l 2057 </w:instrText>
          </w:r>
          <w:r>
            <w:rPr>
              <w:rFonts w:asciiTheme="minorHAnsi" w:hAnsiTheme="minorHAnsi" w:cs="Arial"/>
            </w:rPr>
            <w:fldChar w:fldCharType="separate"/>
          </w:r>
          <w:r w:rsidRPr="00127012">
            <w:rPr>
              <w:rFonts w:asciiTheme="minorHAnsi" w:hAnsiTheme="minorHAnsi" w:cs="Arial"/>
              <w:noProof/>
            </w:rPr>
            <w:t>(Verfaillie and Vander Beken, 2008)</w:t>
          </w:r>
          <w:r>
            <w:rPr>
              <w:rFonts w:asciiTheme="minorHAnsi" w:hAnsiTheme="minorHAnsi" w:cs="Arial"/>
            </w:rPr>
            <w:fldChar w:fldCharType="end"/>
          </w:r>
        </w:sdtContent>
      </w:sdt>
      <w:r>
        <w:rPr>
          <w:rFonts w:asciiTheme="minorHAnsi" w:hAnsiTheme="minorHAnsi" w:cs="Arial"/>
        </w:rPr>
        <w:t>.</w:t>
      </w:r>
    </w:p>
    <w:p w14:paraId="74A8C866" w14:textId="77777777" w:rsidR="00453A96" w:rsidRDefault="00453A96" w:rsidP="00453A96">
      <w:pPr>
        <w:rPr>
          <w:rFonts w:asciiTheme="minorHAnsi" w:hAnsiTheme="minorHAnsi" w:cs="Arial"/>
        </w:rPr>
      </w:pPr>
      <w:r>
        <w:rPr>
          <w:rFonts w:asciiTheme="minorHAnsi" w:hAnsiTheme="minorHAnsi" w:cs="Arial"/>
        </w:rPr>
        <w:t xml:space="preserve">Better known as County Lines, groups target vulnerable individuals to distribute drugs from larger cities to more rural areas not only putting the individuals who are drawn in at risk but also the communities that are faced with the growing number of SOC areas that are targeted. This is an extensive network which is spread across different counties with the aim of distributing drugs under the radar of law enforcement. Evidence suggests that higher ranking members of these gangs have no issue in using extreme violence and intimidation of lower ranking members to enforce their duties, resulting in vulnerable individuals continuing to conduct their roles or even death. This identifies the grand scale of concern that these individuals face when recruited into SOC </w:t>
      </w:r>
      <w:sdt>
        <w:sdtPr>
          <w:rPr>
            <w:rFonts w:asciiTheme="minorHAnsi" w:hAnsiTheme="minorHAnsi" w:cs="Arial"/>
          </w:rPr>
          <w:id w:val="-457727944"/>
          <w:citation/>
        </w:sdtPr>
        <w:sdtContent>
          <w:r>
            <w:rPr>
              <w:rFonts w:asciiTheme="minorHAnsi" w:hAnsiTheme="minorHAnsi" w:cs="Arial"/>
            </w:rPr>
            <w:fldChar w:fldCharType="begin"/>
          </w:r>
          <w:r>
            <w:rPr>
              <w:rFonts w:asciiTheme="minorHAnsi" w:hAnsiTheme="minorHAnsi" w:cs="Arial"/>
            </w:rPr>
            <w:instrText xml:space="preserve">CITATION Not21 \l 2057 </w:instrText>
          </w:r>
          <w:r>
            <w:rPr>
              <w:rFonts w:asciiTheme="minorHAnsi" w:hAnsiTheme="minorHAnsi" w:cs="Arial"/>
            </w:rPr>
            <w:fldChar w:fldCharType="separate"/>
          </w:r>
          <w:r w:rsidRPr="00127012">
            <w:rPr>
              <w:rFonts w:asciiTheme="minorHAnsi" w:hAnsiTheme="minorHAnsi" w:cs="Arial"/>
              <w:noProof/>
            </w:rPr>
            <w:t>(O’Hagan and Edmundson, 2021)</w:t>
          </w:r>
          <w:r>
            <w:rPr>
              <w:rFonts w:asciiTheme="minorHAnsi" w:hAnsiTheme="minorHAnsi" w:cs="Arial"/>
            </w:rPr>
            <w:fldChar w:fldCharType="end"/>
          </w:r>
        </w:sdtContent>
      </w:sdt>
      <w:r>
        <w:rPr>
          <w:rFonts w:asciiTheme="minorHAnsi" w:hAnsiTheme="minorHAnsi" w:cs="Arial"/>
        </w:rPr>
        <w:t>.</w:t>
      </w:r>
    </w:p>
    <w:p w14:paraId="0A1CF5FB" w14:textId="40DE80D9" w:rsidR="00453A96" w:rsidRDefault="00453A96" w:rsidP="00453A96">
      <w:pPr>
        <w:rPr>
          <w:rFonts w:asciiTheme="minorHAnsi" w:hAnsiTheme="minorHAnsi" w:cs="Arial"/>
        </w:rPr>
      </w:pPr>
      <w:r>
        <w:rPr>
          <w:rFonts w:asciiTheme="minorHAnsi" w:hAnsiTheme="minorHAnsi" w:cs="Arial"/>
        </w:rPr>
        <w:t xml:space="preserve">Although limited, research shows that individuals who are vulnerable and are likely to be exposed to SOC are male, under eighteen, have a history of being in the care system and are lacking in positive role models. Young males who have come from a life of crime where family members including parents and siblings who have already embedded themselves in a life of SOC are likely to lead a pathway for younger generations of children within their family making their career of crime inevitable. In addition, victims of violence or suffering with mental health and drugs is also a strong factor when drawn in to SOC </w:t>
      </w:r>
      <w:sdt>
        <w:sdtPr>
          <w:rPr>
            <w:rFonts w:asciiTheme="minorHAnsi" w:hAnsiTheme="minorHAnsi" w:cs="Arial"/>
          </w:rPr>
          <w:id w:val="1127204316"/>
          <w:citation/>
        </w:sdtPr>
        <w:sdtContent>
          <w:r>
            <w:rPr>
              <w:rFonts w:asciiTheme="minorHAnsi" w:hAnsiTheme="minorHAnsi" w:cs="Arial"/>
            </w:rPr>
            <w:fldChar w:fldCharType="begin"/>
          </w:r>
          <w:r>
            <w:rPr>
              <w:rFonts w:asciiTheme="minorHAnsi" w:hAnsiTheme="minorHAnsi" w:cs="Arial"/>
            </w:rPr>
            <w:instrText xml:space="preserve">CITATION Uni191 \l 2057 </w:instrText>
          </w:r>
          <w:r>
            <w:rPr>
              <w:rFonts w:asciiTheme="minorHAnsi" w:hAnsiTheme="minorHAnsi" w:cs="Arial"/>
            </w:rPr>
            <w:fldChar w:fldCharType="separate"/>
          </w:r>
          <w:r w:rsidRPr="00127012">
            <w:rPr>
              <w:rFonts w:asciiTheme="minorHAnsi" w:hAnsiTheme="minorHAnsi" w:cs="Arial"/>
              <w:noProof/>
            </w:rPr>
            <w:t>(Boulton, Phythian, and Kirby, 2019)</w:t>
          </w:r>
          <w:r>
            <w:rPr>
              <w:rFonts w:asciiTheme="minorHAnsi" w:hAnsiTheme="minorHAnsi" w:cs="Arial"/>
            </w:rPr>
            <w:fldChar w:fldCharType="end"/>
          </w:r>
        </w:sdtContent>
      </w:sdt>
      <w:r>
        <w:rPr>
          <w:rFonts w:asciiTheme="minorHAnsi" w:hAnsiTheme="minorHAnsi" w:cs="Arial"/>
        </w:rPr>
        <w:t xml:space="preserve">. However, </w:t>
      </w:r>
      <w:r w:rsidR="00F34A2F">
        <w:rPr>
          <w:rFonts w:asciiTheme="minorHAnsi" w:hAnsiTheme="minorHAnsi" w:cs="Arial"/>
        </w:rPr>
        <w:t>a S</w:t>
      </w:r>
      <w:r>
        <w:rPr>
          <w:rFonts w:asciiTheme="minorHAnsi" w:hAnsiTheme="minorHAnsi" w:cs="Arial"/>
        </w:rPr>
        <w:t xml:space="preserve">ystematic Review argues that family environment and social relations is a weak perspective of evidence when it comes to recruitment of individuals, although they do believe </w:t>
      </w:r>
      <w:r>
        <w:rPr>
          <w:rFonts w:asciiTheme="minorHAnsi" w:hAnsiTheme="minorHAnsi" w:cs="Arial"/>
        </w:rPr>
        <w:lastRenderedPageBreak/>
        <w:t xml:space="preserve">that there is strong evidence to suggest that the individual-level factors for recruitment include being male and having a criminal and violent background prior to recruitment, the reason for this weak data was due to the lack of research found in this area which ultimately shows that even in research, there is still more work that is required to be done </w:t>
      </w:r>
      <w:sdt>
        <w:sdtPr>
          <w:rPr>
            <w:rFonts w:asciiTheme="minorHAnsi" w:hAnsiTheme="minorHAnsi" w:cs="Arial"/>
          </w:rPr>
          <w:id w:val="926160299"/>
          <w:citation/>
        </w:sdtPr>
        <w:sdtContent>
          <w:r>
            <w:rPr>
              <w:rFonts w:asciiTheme="minorHAnsi" w:hAnsiTheme="minorHAnsi" w:cs="Arial"/>
            </w:rPr>
            <w:fldChar w:fldCharType="begin"/>
          </w:r>
          <w:r>
            <w:rPr>
              <w:rFonts w:asciiTheme="minorHAnsi" w:hAnsiTheme="minorHAnsi" w:cs="Arial"/>
            </w:rPr>
            <w:instrText xml:space="preserve">CITATION Wil22 \l 2057 </w:instrText>
          </w:r>
          <w:r>
            <w:rPr>
              <w:rFonts w:asciiTheme="minorHAnsi" w:hAnsiTheme="minorHAnsi" w:cs="Arial"/>
            </w:rPr>
            <w:fldChar w:fldCharType="separate"/>
          </w:r>
          <w:r w:rsidRPr="00127012">
            <w:rPr>
              <w:rFonts w:asciiTheme="minorHAnsi" w:hAnsiTheme="minorHAnsi" w:cs="Arial"/>
              <w:noProof/>
            </w:rPr>
            <w:t>(Calderoni et al., 2022)</w:t>
          </w:r>
          <w:r>
            <w:rPr>
              <w:rFonts w:asciiTheme="minorHAnsi" w:hAnsiTheme="minorHAnsi" w:cs="Arial"/>
            </w:rPr>
            <w:fldChar w:fldCharType="end"/>
          </w:r>
        </w:sdtContent>
      </w:sdt>
      <w:r>
        <w:rPr>
          <w:rFonts w:asciiTheme="minorHAnsi" w:hAnsiTheme="minorHAnsi" w:cs="Arial"/>
        </w:rPr>
        <w:t>.</w:t>
      </w:r>
    </w:p>
    <w:p w14:paraId="14155AA7" w14:textId="7A5065BA" w:rsidR="00453A96" w:rsidRDefault="00453A96" w:rsidP="00453A96">
      <w:pPr>
        <w:rPr>
          <w:rFonts w:asciiTheme="minorHAnsi" w:hAnsiTheme="minorHAnsi" w:cs="Arial"/>
        </w:rPr>
      </w:pPr>
      <w:r>
        <w:rPr>
          <w:rFonts w:asciiTheme="minorHAnsi" w:hAnsiTheme="minorHAnsi" w:cs="Arial"/>
        </w:rPr>
        <w:t xml:space="preserve">Although the research is weak, and considering the seriousness of the risk faced to young children who are recruited into SOC, </w:t>
      </w:r>
      <w:r w:rsidR="00F34A2F">
        <w:rPr>
          <w:rFonts w:asciiTheme="minorHAnsi" w:hAnsiTheme="minorHAnsi" w:cs="Arial"/>
        </w:rPr>
        <w:t xml:space="preserve">asking the </w:t>
      </w:r>
      <w:r>
        <w:rPr>
          <w:rFonts w:asciiTheme="minorHAnsi" w:hAnsiTheme="minorHAnsi" w:cs="Arial"/>
        </w:rPr>
        <w:t>question what is actively being done to tackle</w:t>
      </w:r>
      <w:r w:rsidR="00F34A2F">
        <w:rPr>
          <w:rFonts w:asciiTheme="minorHAnsi" w:hAnsiTheme="minorHAnsi" w:cs="Arial"/>
        </w:rPr>
        <w:t xml:space="preserve"> the issue</w:t>
      </w:r>
      <w:r>
        <w:rPr>
          <w:rFonts w:asciiTheme="minorHAnsi" w:hAnsiTheme="minorHAnsi" w:cs="Arial"/>
        </w:rPr>
        <w:t xml:space="preserve"> and support </w:t>
      </w:r>
      <w:r w:rsidR="00F34A2F">
        <w:rPr>
          <w:rFonts w:asciiTheme="minorHAnsi" w:hAnsiTheme="minorHAnsi" w:cs="Arial"/>
        </w:rPr>
        <w:t>individuals</w:t>
      </w:r>
      <w:r>
        <w:rPr>
          <w:rFonts w:asciiTheme="minorHAnsi" w:hAnsiTheme="minorHAnsi" w:cs="Arial"/>
        </w:rPr>
        <w:t xml:space="preserve"> who are recruited. There are many different avenues that can be considered, family support, individual-based needs, encouragement of good relationships, and mentoring. However, it has been identified that the most effective way is by early intervention. The Scottish Police Force’s SOC strategy sets out four main strands of early intervention which include: Divert, Deter, Detect and Disrupt. The aim, to reduce risk and increase awareness. </w:t>
      </w:r>
      <w:r w:rsidR="00F34A2F">
        <w:rPr>
          <w:rFonts w:asciiTheme="minorHAnsi" w:hAnsiTheme="minorHAnsi" w:cs="Arial"/>
        </w:rPr>
        <w:t xml:space="preserve">Identifying the subject will reduce risk for children who may not be aware </w:t>
      </w:r>
      <w:r>
        <w:rPr>
          <w:rFonts w:asciiTheme="minorHAnsi" w:hAnsiTheme="minorHAnsi" w:cs="Arial"/>
        </w:rPr>
        <w:t xml:space="preserve">whether it be due to their lack of education, naivety, mental or physical needs or out of fear. It is not only vital to educate these children but also, the individuals that surround them, may it be friends, family, or professionals, providing them with a basic duty of care </w:t>
      </w:r>
      <w:sdt>
        <w:sdtPr>
          <w:rPr>
            <w:rFonts w:asciiTheme="minorHAnsi" w:hAnsiTheme="minorHAnsi" w:cs="Arial"/>
          </w:rPr>
          <w:id w:val="1413898474"/>
          <w:citation/>
        </w:sdtPr>
        <w:sdtContent>
          <w:r>
            <w:rPr>
              <w:rFonts w:asciiTheme="minorHAnsi" w:hAnsiTheme="minorHAnsi" w:cs="Arial"/>
            </w:rPr>
            <w:fldChar w:fldCharType="begin"/>
          </w:r>
          <w:r>
            <w:rPr>
              <w:rFonts w:asciiTheme="minorHAnsi" w:hAnsiTheme="minorHAnsi" w:cs="Arial"/>
            </w:rPr>
            <w:instrText xml:space="preserve">CITATION Uni181 \l 2057 </w:instrText>
          </w:r>
          <w:r>
            <w:rPr>
              <w:rFonts w:asciiTheme="minorHAnsi" w:hAnsiTheme="minorHAnsi" w:cs="Arial"/>
            </w:rPr>
            <w:fldChar w:fldCharType="separate"/>
          </w:r>
          <w:r w:rsidRPr="00127012">
            <w:rPr>
              <w:rFonts w:asciiTheme="minorHAnsi" w:hAnsiTheme="minorHAnsi" w:cs="Arial"/>
              <w:noProof/>
            </w:rPr>
            <w:t>(McEwan, 2018)</w:t>
          </w:r>
          <w:r>
            <w:rPr>
              <w:rFonts w:asciiTheme="minorHAnsi" w:hAnsiTheme="minorHAnsi" w:cs="Arial"/>
            </w:rPr>
            <w:fldChar w:fldCharType="end"/>
          </w:r>
        </w:sdtContent>
      </w:sdt>
      <w:r>
        <w:rPr>
          <w:rFonts w:asciiTheme="minorHAnsi" w:hAnsiTheme="minorHAnsi" w:cs="Arial"/>
        </w:rPr>
        <w:t>.</w:t>
      </w:r>
    </w:p>
    <w:p w14:paraId="1243828D" w14:textId="0A4C2714" w:rsidR="00453A96" w:rsidRDefault="00453A96" w:rsidP="00453A96">
      <w:pPr>
        <w:rPr>
          <w:rFonts w:asciiTheme="minorHAnsi" w:hAnsiTheme="minorHAnsi" w:cs="Arial"/>
        </w:rPr>
      </w:pPr>
      <w:r>
        <w:rPr>
          <w:rFonts w:asciiTheme="minorHAnsi" w:hAnsiTheme="minorHAnsi" w:cs="Arial"/>
        </w:rPr>
        <w:t xml:space="preserve">Furthermore, a study conducted from communities who are in a high populated area vulnerable to SOC and who find themselves directly affected by it explored how </w:t>
      </w:r>
      <w:r w:rsidR="00F34A2F">
        <w:rPr>
          <w:rFonts w:asciiTheme="minorHAnsi" w:hAnsiTheme="minorHAnsi" w:cs="Arial"/>
        </w:rPr>
        <w:t xml:space="preserve">they </w:t>
      </w:r>
      <w:r>
        <w:rPr>
          <w:rFonts w:asciiTheme="minorHAnsi" w:hAnsiTheme="minorHAnsi" w:cs="Arial"/>
        </w:rPr>
        <w:t xml:space="preserve">live side by side with the SOC in their area. </w:t>
      </w:r>
      <w:r w:rsidR="00F34A2F">
        <w:rPr>
          <w:rFonts w:asciiTheme="minorHAnsi" w:hAnsiTheme="minorHAnsi" w:cs="Arial"/>
        </w:rPr>
        <w:t>T</w:t>
      </w:r>
      <w:r>
        <w:rPr>
          <w:rFonts w:asciiTheme="minorHAnsi" w:hAnsiTheme="minorHAnsi" w:cs="Arial"/>
        </w:rPr>
        <w:t xml:space="preserve">his study gave an insight into the relationship of existence, differences in experience and the impact of community wellbeing, </w:t>
      </w:r>
      <w:r w:rsidR="00F34A2F">
        <w:rPr>
          <w:rFonts w:asciiTheme="minorHAnsi" w:hAnsiTheme="minorHAnsi" w:cs="Arial"/>
        </w:rPr>
        <w:t>giving a possibility to the</w:t>
      </w:r>
      <w:r>
        <w:rPr>
          <w:rFonts w:asciiTheme="minorHAnsi" w:hAnsiTheme="minorHAnsi" w:cs="Arial"/>
        </w:rPr>
        <w:t xml:space="preserve"> mitigation of harm associated with SOC in their community. Addressing these issues concludes that there is a growing risk when it comes to tackling SOC. Given the vast increase in communities being affected by SOC, it is unclear if this will have any impact on tackling these public protection issues within the community </w:t>
      </w:r>
      <w:sdt>
        <w:sdtPr>
          <w:rPr>
            <w:rFonts w:asciiTheme="minorHAnsi" w:hAnsiTheme="minorHAnsi" w:cs="Arial"/>
          </w:rPr>
          <w:id w:val="-778942049"/>
          <w:citation/>
        </w:sdtPr>
        <w:sdtContent>
          <w:r>
            <w:rPr>
              <w:rFonts w:asciiTheme="minorHAnsi" w:hAnsiTheme="minorHAnsi" w:cs="Arial"/>
            </w:rPr>
            <w:fldChar w:fldCharType="begin"/>
          </w:r>
          <w:r>
            <w:rPr>
              <w:rFonts w:asciiTheme="minorHAnsi" w:hAnsiTheme="minorHAnsi" w:cs="Arial"/>
            </w:rPr>
            <w:instrText xml:space="preserve">CITATION Uni18 \l 2057 </w:instrText>
          </w:r>
          <w:r>
            <w:rPr>
              <w:rFonts w:asciiTheme="minorHAnsi" w:hAnsiTheme="minorHAnsi" w:cs="Arial"/>
            </w:rPr>
            <w:fldChar w:fldCharType="separate"/>
          </w:r>
          <w:r w:rsidRPr="00127012">
            <w:rPr>
              <w:rFonts w:asciiTheme="minorHAnsi" w:hAnsiTheme="minorHAnsi" w:cs="Arial"/>
              <w:noProof/>
            </w:rPr>
            <w:t>(Fraser et al, 2019)</w:t>
          </w:r>
          <w:r>
            <w:rPr>
              <w:rFonts w:asciiTheme="minorHAnsi" w:hAnsiTheme="minorHAnsi" w:cs="Arial"/>
            </w:rPr>
            <w:fldChar w:fldCharType="end"/>
          </w:r>
        </w:sdtContent>
      </w:sdt>
      <w:r>
        <w:rPr>
          <w:rFonts w:asciiTheme="minorHAnsi" w:hAnsiTheme="minorHAnsi" w:cs="Arial"/>
        </w:rPr>
        <w:t>.</w:t>
      </w:r>
    </w:p>
    <w:p w14:paraId="54EF936A" w14:textId="432E8C18" w:rsidR="00453A96" w:rsidRDefault="00453A96" w:rsidP="00453A96">
      <w:pPr>
        <w:rPr>
          <w:rFonts w:asciiTheme="minorHAnsi" w:hAnsiTheme="minorHAnsi" w:cs="Arial"/>
        </w:rPr>
      </w:pPr>
      <w:r>
        <w:rPr>
          <w:rFonts w:asciiTheme="minorHAnsi" w:hAnsiTheme="minorHAnsi" w:cs="Arial"/>
        </w:rPr>
        <w:t xml:space="preserve">In conclusion, not only will conducting additional research be a positive factor to ensure the safety and wellbeing of the children who are recruited into SOC. There are now several early intervention services who have an aim to support and deter children from a pathway to SOC. Following the success of the SOC strategy introduced by Scottland’s force - Action for Children have secured funding for four additional sites to assess the model </w:t>
      </w:r>
      <w:sdt>
        <w:sdtPr>
          <w:rPr>
            <w:rFonts w:asciiTheme="minorHAnsi" w:hAnsiTheme="minorHAnsi" w:cs="Arial"/>
          </w:rPr>
          <w:id w:val="-1620064309"/>
          <w:citation/>
        </w:sdtPr>
        <w:sdtContent>
          <w:r>
            <w:rPr>
              <w:rFonts w:asciiTheme="minorHAnsi" w:hAnsiTheme="minorHAnsi" w:cs="Arial"/>
            </w:rPr>
            <w:fldChar w:fldCharType="begin"/>
          </w:r>
          <w:r>
            <w:rPr>
              <w:rFonts w:asciiTheme="minorHAnsi" w:hAnsiTheme="minorHAnsi" w:cs="Arial"/>
            </w:rPr>
            <w:instrText xml:space="preserve">CITATION Car22 \l 2057 </w:instrText>
          </w:r>
          <w:r>
            <w:rPr>
              <w:rFonts w:asciiTheme="minorHAnsi" w:hAnsiTheme="minorHAnsi" w:cs="Arial"/>
            </w:rPr>
            <w:fldChar w:fldCharType="separate"/>
          </w:r>
          <w:r w:rsidRPr="00127012">
            <w:rPr>
              <w:rFonts w:asciiTheme="minorHAnsi" w:hAnsiTheme="minorHAnsi" w:cs="Arial"/>
              <w:noProof/>
            </w:rPr>
            <w:t>(Maxwell et al., 2022)</w:t>
          </w:r>
          <w:r>
            <w:rPr>
              <w:rFonts w:asciiTheme="minorHAnsi" w:hAnsiTheme="minorHAnsi" w:cs="Arial"/>
            </w:rPr>
            <w:fldChar w:fldCharType="end"/>
          </w:r>
        </w:sdtContent>
      </w:sdt>
      <w:r>
        <w:rPr>
          <w:rFonts w:asciiTheme="minorHAnsi" w:hAnsiTheme="minorHAnsi" w:cs="Arial"/>
        </w:rPr>
        <w:t>. By enabling young people from early on in their lives to identify these signs and having a strong support network in professionals surrounding them will at least help to tackle the problem early on</w:t>
      </w:r>
      <w:r w:rsidR="001D1EC5">
        <w:rPr>
          <w:rFonts w:asciiTheme="minorHAnsi" w:hAnsiTheme="minorHAnsi" w:cs="Arial"/>
        </w:rPr>
        <w:t xml:space="preserve"> </w:t>
      </w:r>
      <w:sdt>
        <w:sdtPr>
          <w:rPr>
            <w:rFonts w:asciiTheme="minorHAnsi" w:hAnsiTheme="minorHAnsi" w:cs="Arial"/>
          </w:rPr>
          <w:id w:val="-93405916"/>
          <w:citation/>
        </w:sdtPr>
        <w:sdtContent>
          <w:r>
            <w:rPr>
              <w:rFonts w:asciiTheme="minorHAnsi" w:hAnsiTheme="minorHAnsi" w:cs="Arial"/>
            </w:rPr>
            <w:fldChar w:fldCharType="begin"/>
          </w:r>
          <w:r>
            <w:rPr>
              <w:rFonts w:asciiTheme="minorHAnsi" w:hAnsiTheme="minorHAnsi" w:cs="Arial"/>
            </w:rPr>
            <w:instrText xml:space="preserve"> CITATION Cam242 \l 2057 </w:instrText>
          </w:r>
          <w:r>
            <w:rPr>
              <w:rFonts w:asciiTheme="minorHAnsi" w:hAnsiTheme="minorHAnsi" w:cs="Arial"/>
            </w:rPr>
            <w:fldChar w:fldCharType="separate"/>
          </w:r>
          <w:r w:rsidRPr="00127012">
            <w:rPr>
              <w:rFonts w:asciiTheme="minorHAnsi" w:hAnsiTheme="minorHAnsi" w:cs="Arial"/>
              <w:noProof/>
            </w:rPr>
            <w:t>(Campana and Meneghini, 2024)</w:t>
          </w:r>
          <w:r>
            <w:rPr>
              <w:rFonts w:asciiTheme="minorHAnsi" w:hAnsiTheme="minorHAnsi" w:cs="Arial"/>
            </w:rPr>
            <w:fldChar w:fldCharType="end"/>
          </w:r>
        </w:sdtContent>
      </w:sdt>
      <w:r>
        <w:rPr>
          <w:rFonts w:asciiTheme="minorHAnsi" w:hAnsiTheme="minorHAnsi" w:cs="Arial"/>
        </w:rPr>
        <w:t>.</w:t>
      </w:r>
    </w:p>
    <w:p w14:paraId="3EC86449" w14:textId="1ACE40E5" w:rsidR="00453A96" w:rsidRDefault="00453A96" w:rsidP="00453A96">
      <w:pPr>
        <w:rPr>
          <w:rFonts w:asciiTheme="minorHAnsi" w:hAnsiTheme="minorHAnsi" w:cs="Arial"/>
        </w:rPr>
      </w:pPr>
      <w:r>
        <w:rPr>
          <w:rFonts w:asciiTheme="minorHAnsi" w:hAnsiTheme="minorHAnsi" w:cs="Arial"/>
        </w:rPr>
        <w:t>1</w:t>
      </w:r>
      <w:r w:rsidR="00475124">
        <w:rPr>
          <w:rFonts w:asciiTheme="minorHAnsi" w:hAnsiTheme="minorHAnsi" w:cs="Arial"/>
        </w:rPr>
        <w:t>096</w:t>
      </w:r>
      <w:r>
        <w:rPr>
          <w:rFonts w:asciiTheme="minorHAnsi" w:hAnsiTheme="minorHAnsi" w:cs="Arial"/>
        </w:rPr>
        <w:t xml:space="preserve"> words. </w:t>
      </w:r>
    </w:p>
    <w:p w14:paraId="0B951129" w14:textId="77777777" w:rsidR="00475124" w:rsidRDefault="00475124" w:rsidP="00453A96">
      <w:pPr>
        <w:rPr>
          <w:rFonts w:asciiTheme="minorHAnsi" w:hAnsiTheme="minorHAnsi" w:cs="Arial"/>
        </w:rPr>
      </w:pPr>
    </w:p>
    <w:p w14:paraId="0FCA82CA" w14:textId="77777777" w:rsidR="00475124" w:rsidRDefault="00475124" w:rsidP="00453A96">
      <w:pPr>
        <w:rPr>
          <w:rFonts w:asciiTheme="minorHAnsi" w:hAnsiTheme="minorHAnsi" w:cs="Arial"/>
        </w:rPr>
      </w:pPr>
    </w:p>
    <w:p w14:paraId="3EE4C6FE" w14:textId="77777777" w:rsidR="00475124" w:rsidRDefault="00475124" w:rsidP="00453A96">
      <w:pPr>
        <w:rPr>
          <w:rFonts w:asciiTheme="minorHAnsi" w:hAnsiTheme="minorHAnsi" w:cs="Arial"/>
        </w:rPr>
      </w:pPr>
    </w:p>
    <w:p w14:paraId="23C38033" w14:textId="77777777" w:rsidR="00453A96" w:rsidRDefault="00453A96" w:rsidP="00453A96">
      <w:pPr>
        <w:rPr>
          <w:rFonts w:asciiTheme="minorHAnsi" w:hAnsiTheme="minorHAnsi" w:cs="Arial"/>
        </w:rPr>
      </w:pPr>
    </w:p>
    <w:p w14:paraId="32423B9F" w14:textId="77777777" w:rsidR="00453A96" w:rsidRDefault="00453A96" w:rsidP="00453A96">
      <w:pPr>
        <w:rPr>
          <w:rFonts w:asciiTheme="minorHAnsi" w:hAnsiTheme="minorHAnsi" w:cs="Arial"/>
        </w:rPr>
      </w:pPr>
    </w:p>
    <w:p w14:paraId="4797A9EE" w14:textId="77777777" w:rsidR="00453A96" w:rsidRDefault="00453A96" w:rsidP="00453A96">
      <w:pPr>
        <w:rPr>
          <w:rFonts w:asciiTheme="minorHAnsi" w:hAnsiTheme="minorHAnsi" w:cs="Arial"/>
        </w:rPr>
      </w:pPr>
    </w:p>
    <w:p w14:paraId="7537347C" w14:textId="77777777" w:rsidR="00453A96" w:rsidRDefault="00453A96" w:rsidP="00453A96">
      <w:pPr>
        <w:rPr>
          <w:rFonts w:asciiTheme="minorHAnsi" w:hAnsiTheme="minorHAnsi" w:cs="Arial"/>
        </w:rPr>
      </w:pPr>
    </w:p>
    <w:p w14:paraId="3AC8653D" w14:textId="77777777" w:rsidR="00453A96" w:rsidRDefault="00453A96" w:rsidP="00453A96">
      <w:pPr>
        <w:rPr>
          <w:rFonts w:asciiTheme="minorHAnsi" w:hAnsiTheme="minorHAnsi" w:cs="Arial"/>
        </w:rPr>
      </w:pPr>
    </w:p>
    <w:p w14:paraId="6D865BC4" w14:textId="77777777" w:rsidR="00453A96" w:rsidRDefault="00453A96" w:rsidP="00453A96">
      <w:pPr>
        <w:rPr>
          <w:rFonts w:asciiTheme="minorHAnsi" w:hAnsiTheme="minorHAnsi" w:cs="Arial"/>
          <w:b/>
          <w:bCs/>
        </w:rPr>
      </w:pPr>
      <w:r w:rsidRPr="001F421D">
        <w:rPr>
          <w:rFonts w:asciiTheme="minorHAnsi" w:hAnsiTheme="minorHAnsi" w:cs="Arial"/>
          <w:b/>
          <w:bCs/>
        </w:rPr>
        <w:lastRenderedPageBreak/>
        <w:t xml:space="preserve">Essay Four: How effective is early intervention an effective means of preventing young people from offending or re-offending? Your answer must be based on academic research, but you may </w:t>
      </w:r>
      <w:proofErr w:type="gramStart"/>
      <w:r w:rsidRPr="001F421D">
        <w:rPr>
          <w:rFonts w:asciiTheme="minorHAnsi" w:hAnsiTheme="minorHAnsi" w:cs="Arial"/>
          <w:b/>
          <w:bCs/>
        </w:rPr>
        <w:t>make reference</w:t>
      </w:r>
      <w:proofErr w:type="gramEnd"/>
      <w:r w:rsidRPr="001F421D">
        <w:rPr>
          <w:rFonts w:asciiTheme="minorHAnsi" w:hAnsiTheme="minorHAnsi" w:cs="Arial"/>
          <w:b/>
          <w:bCs/>
        </w:rPr>
        <w:t xml:space="preserve"> to relevant case studies.</w:t>
      </w:r>
    </w:p>
    <w:p w14:paraId="567B67E3" w14:textId="77777777" w:rsidR="00453A96" w:rsidRDefault="00453A96" w:rsidP="00453A96">
      <w:pPr>
        <w:rPr>
          <w:rFonts w:asciiTheme="minorHAnsi" w:hAnsiTheme="minorHAnsi" w:cs="Arial"/>
        </w:rPr>
      </w:pPr>
      <w:r>
        <w:rPr>
          <w:rFonts w:asciiTheme="minorHAnsi" w:hAnsiTheme="minorHAnsi" w:cs="Arial"/>
        </w:rPr>
        <w:t xml:space="preserve">Primary research conducted by practitioners in Northen Ireland explored the assumption that when young people from an early age were assessed, whether it may be via education, health, social care, or youth justice, that because of experiencing risk factors they were more likely to be involved in anti-social and/or criminal behaviours </w:t>
      </w:r>
      <w:sdt>
        <w:sdtPr>
          <w:rPr>
            <w:rFonts w:asciiTheme="minorHAnsi" w:hAnsiTheme="minorHAnsi" w:cs="Arial"/>
          </w:rPr>
          <w:id w:val="-1549831254"/>
          <w:citation/>
        </w:sdtPr>
        <w:sdtContent>
          <w:r>
            <w:rPr>
              <w:rFonts w:asciiTheme="minorHAnsi" w:hAnsiTheme="minorHAnsi" w:cs="Arial"/>
            </w:rPr>
            <w:fldChar w:fldCharType="begin"/>
          </w:r>
          <w:r>
            <w:rPr>
              <w:rFonts w:asciiTheme="minorHAnsi" w:hAnsiTheme="minorHAnsi" w:cs="Arial"/>
            </w:rPr>
            <w:instrText xml:space="preserve">CITATION Sag14 \l 2057 </w:instrText>
          </w:r>
          <w:r>
            <w:rPr>
              <w:rFonts w:asciiTheme="minorHAnsi" w:hAnsiTheme="minorHAnsi" w:cs="Arial"/>
            </w:rPr>
            <w:fldChar w:fldCharType="separate"/>
          </w:r>
          <w:r w:rsidRPr="00127012">
            <w:rPr>
              <w:rFonts w:asciiTheme="minorHAnsi" w:hAnsiTheme="minorHAnsi" w:cs="Arial"/>
              <w:noProof/>
            </w:rPr>
            <w:t>(Haydon, 2014)</w:t>
          </w:r>
          <w:r>
            <w:rPr>
              <w:rFonts w:asciiTheme="minorHAnsi" w:hAnsiTheme="minorHAnsi" w:cs="Arial"/>
            </w:rPr>
            <w:fldChar w:fldCharType="end"/>
          </w:r>
        </w:sdtContent>
      </w:sdt>
      <w:r>
        <w:rPr>
          <w:rFonts w:asciiTheme="minorHAnsi" w:hAnsiTheme="minorHAnsi" w:cs="Arial"/>
        </w:rPr>
        <w:t xml:space="preserve">. This research has been supported by a study conducted on juvenile offenders in Florida, USA, to examine if offenders who suffered Adverse Childhood Experiences (ACE’s) were at higher risk of re-offending Although, historically, research has shown that ACE’s has been linked to significant health risks, </w:t>
      </w:r>
      <w:sdt>
        <w:sdtPr>
          <w:rPr>
            <w:rFonts w:asciiTheme="minorHAnsi" w:hAnsiTheme="minorHAnsi" w:cs="Arial"/>
          </w:rPr>
          <w:id w:val="451682398"/>
          <w:citation/>
        </w:sdtPr>
        <w:sdtContent>
          <w:r>
            <w:rPr>
              <w:rFonts w:asciiTheme="minorHAnsi" w:hAnsiTheme="minorHAnsi" w:cs="Arial"/>
            </w:rPr>
            <w:fldChar w:fldCharType="begin"/>
          </w:r>
          <w:r>
            <w:rPr>
              <w:rFonts w:asciiTheme="minorHAnsi" w:hAnsiTheme="minorHAnsi" w:cs="Arial"/>
            </w:rPr>
            <w:instrText xml:space="preserve">CITATION Sci18 \l 2057 </w:instrText>
          </w:r>
          <w:r>
            <w:rPr>
              <w:rFonts w:asciiTheme="minorHAnsi" w:hAnsiTheme="minorHAnsi" w:cs="Arial"/>
            </w:rPr>
            <w:fldChar w:fldCharType="separate"/>
          </w:r>
          <w:r w:rsidRPr="00127012">
            <w:rPr>
              <w:rFonts w:asciiTheme="minorHAnsi" w:hAnsiTheme="minorHAnsi" w:cs="Arial"/>
              <w:noProof/>
            </w:rPr>
            <w:t>(Boullier and Blair, 2018)</w:t>
          </w:r>
          <w:r>
            <w:rPr>
              <w:rFonts w:asciiTheme="minorHAnsi" w:hAnsiTheme="minorHAnsi" w:cs="Arial"/>
            </w:rPr>
            <w:fldChar w:fldCharType="end"/>
          </w:r>
        </w:sdtContent>
      </w:sdt>
      <w:r>
        <w:rPr>
          <w:rFonts w:asciiTheme="minorHAnsi" w:hAnsiTheme="minorHAnsi" w:cs="Arial"/>
        </w:rPr>
        <w:t xml:space="preserve">. The study conducted in Florida not only concluded the poor health risks following an exposure to ACE’s but found that juveniles would be more than likely to re-offend. In addition, the study found that not only would the juveniles be more than likely to re-offend but the nature of the crime they would go on to commit would be that of serious and violent crimes </w:t>
      </w:r>
      <w:sdt>
        <w:sdtPr>
          <w:rPr>
            <w:rFonts w:asciiTheme="minorHAnsi" w:hAnsiTheme="minorHAnsi" w:cs="Arial"/>
          </w:rPr>
          <w:id w:val="97147373"/>
          <w:citation/>
        </w:sdtPr>
        <w:sdtContent>
          <w:r>
            <w:rPr>
              <w:rFonts w:asciiTheme="minorHAnsi" w:hAnsiTheme="minorHAnsi" w:cs="Arial"/>
            </w:rPr>
            <w:fldChar w:fldCharType="begin"/>
          </w:r>
          <w:r>
            <w:rPr>
              <w:rFonts w:asciiTheme="minorHAnsi" w:hAnsiTheme="minorHAnsi" w:cs="Arial"/>
            </w:rPr>
            <w:instrText xml:space="preserve">CITATION Bry15 \l 2057 </w:instrText>
          </w:r>
          <w:r>
            <w:rPr>
              <w:rFonts w:asciiTheme="minorHAnsi" w:hAnsiTheme="minorHAnsi" w:cs="Arial"/>
            </w:rPr>
            <w:fldChar w:fldCharType="separate"/>
          </w:r>
          <w:r w:rsidRPr="00127012">
            <w:rPr>
              <w:rFonts w:asciiTheme="minorHAnsi" w:hAnsiTheme="minorHAnsi" w:cs="Arial"/>
              <w:noProof/>
            </w:rPr>
            <w:t>(Fox et al., 2015)</w:t>
          </w:r>
          <w:r>
            <w:rPr>
              <w:rFonts w:asciiTheme="minorHAnsi" w:hAnsiTheme="minorHAnsi" w:cs="Arial"/>
            </w:rPr>
            <w:fldChar w:fldCharType="end"/>
          </w:r>
        </w:sdtContent>
      </w:sdt>
      <w:r>
        <w:rPr>
          <w:rFonts w:asciiTheme="minorHAnsi" w:hAnsiTheme="minorHAnsi" w:cs="Arial"/>
        </w:rPr>
        <w:t>.</w:t>
      </w:r>
    </w:p>
    <w:p w14:paraId="574D48B4" w14:textId="340E0BFB" w:rsidR="00453A96" w:rsidRDefault="00453A96" w:rsidP="00453A96">
      <w:pPr>
        <w:rPr>
          <w:rFonts w:asciiTheme="minorHAnsi" w:hAnsiTheme="minorHAnsi" w:cs="Arial"/>
        </w:rPr>
      </w:pPr>
      <w:r>
        <w:rPr>
          <w:rFonts w:asciiTheme="minorHAnsi" w:hAnsiTheme="minorHAnsi" w:cs="Arial"/>
        </w:rPr>
        <w:t xml:space="preserve">An example of effective early intervention is from a Case Study following the actions of a Pupil Referral Unit in a Primary School relating to an 8-year-old child, who was described as having an extremely complex home life, demonstrating the primary signs of ACE’s. This case study stipulated the difficult home life inclusive of physical and mental abuse from both the child’s parents. The experiences that this child would encounter at home would then be demonstrated in his behaviour at school and would frequently be physically violent and verbally abusive towards staff. This child was labelled by other pupils as, “Psycho Kid”. This child was formally diagnosed with ADHD and Autism and would often threaten to stab them following an outburst </w:t>
      </w:r>
      <w:sdt>
        <w:sdtPr>
          <w:rPr>
            <w:rFonts w:asciiTheme="minorHAnsi" w:hAnsiTheme="minorHAnsi" w:cs="Arial"/>
          </w:rPr>
          <w:id w:val="1321154877"/>
          <w:citation/>
        </w:sdtPr>
        <w:sdtContent>
          <w:r>
            <w:rPr>
              <w:rFonts w:asciiTheme="minorHAnsi" w:hAnsiTheme="minorHAnsi" w:cs="Arial"/>
            </w:rPr>
            <w:fldChar w:fldCharType="begin"/>
          </w:r>
          <w:r>
            <w:rPr>
              <w:rFonts w:asciiTheme="minorHAnsi" w:hAnsiTheme="minorHAnsi" w:cs="Arial"/>
            </w:rPr>
            <w:instrText xml:space="preserve">CITATION ACE \l 2057 </w:instrText>
          </w:r>
          <w:r>
            <w:rPr>
              <w:rFonts w:asciiTheme="minorHAnsi" w:hAnsiTheme="minorHAnsi" w:cs="Arial"/>
            </w:rPr>
            <w:fldChar w:fldCharType="separate"/>
          </w:r>
          <w:r w:rsidRPr="00127012">
            <w:rPr>
              <w:rFonts w:asciiTheme="minorHAnsi" w:hAnsiTheme="minorHAnsi" w:cs="Arial"/>
              <w:noProof/>
            </w:rPr>
            <w:t>(ACEs Case Study, 2019)</w:t>
          </w:r>
          <w:r>
            <w:rPr>
              <w:rFonts w:asciiTheme="minorHAnsi" w:hAnsiTheme="minorHAnsi" w:cs="Arial"/>
            </w:rPr>
            <w:fldChar w:fldCharType="end"/>
          </w:r>
        </w:sdtContent>
      </w:sdt>
      <w:r>
        <w:rPr>
          <w:rFonts w:asciiTheme="minorHAnsi" w:hAnsiTheme="minorHAnsi" w:cs="Arial"/>
        </w:rPr>
        <w:t>. This child was quickly referred to a Pupil Referral Unit (PRU). Staff here were able to identify the behavioural factors within the child due to their ACE’s training. They knew how to approach and improve his behaviour by identifying his individual needs and building a coping strategy with him. Over time, the child began to engage with staff and as a result uses the coping strategies in stressful situations. This case study perfectly highlights the positive factors of early intervention, demonstrated by the awareness, training and commitment of staff. It could be argued that if this child was left with no intervention or efforts from the staff</w:t>
      </w:r>
      <w:r w:rsidR="00E80316">
        <w:rPr>
          <w:rFonts w:asciiTheme="minorHAnsi" w:hAnsiTheme="minorHAnsi" w:cs="Arial"/>
        </w:rPr>
        <w:t xml:space="preserve"> </w:t>
      </w:r>
      <w:r>
        <w:rPr>
          <w:rFonts w:asciiTheme="minorHAnsi" w:hAnsiTheme="minorHAnsi" w:cs="Arial"/>
        </w:rPr>
        <w:t>then his behaviour could’ve escalated</w:t>
      </w:r>
      <w:r w:rsidR="00E80316">
        <w:rPr>
          <w:rFonts w:asciiTheme="minorHAnsi" w:hAnsiTheme="minorHAnsi" w:cs="Arial"/>
        </w:rPr>
        <w:t>. T</w:t>
      </w:r>
      <w:r>
        <w:rPr>
          <w:rFonts w:asciiTheme="minorHAnsi" w:hAnsiTheme="minorHAnsi" w:cs="Arial"/>
        </w:rPr>
        <w:t xml:space="preserve">his and many other cases studied, clearly show that early intervention not only gives a child a sense of support, and a better life trajectory, </w:t>
      </w:r>
      <w:r w:rsidR="00E80316">
        <w:rPr>
          <w:rFonts w:asciiTheme="minorHAnsi" w:hAnsiTheme="minorHAnsi" w:cs="Arial"/>
        </w:rPr>
        <w:t xml:space="preserve">and </w:t>
      </w:r>
      <w:r>
        <w:rPr>
          <w:rFonts w:asciiTheme="minorHAnsi" w:hAnsiTheme="minorHAnsi" w:cs="Arial"/>
        </w:rPr>
        <w:t xml:space="preserve">can also negate potential health risks to children who suffer with ACE’s </w:t>
      </w:r>
      <w:sdt>
        <w:sdtPr>
          <w:rPr>
            <w:rFonts w:asciiTheme="minorHAnsi" w:hAnsiTheme="minorHAnsi" w:cs="Arial"/>
          </w:rPr>
          <w:id w:val="-516702267"/>
          <w:citation/>
        </w:sdtPr>
        <w:sdtContent>
          <w:r>
            <w:rPr>
              <w:rFonts w:asciiTheme="minorHAnsi" w:hAnsiTheme="minorHAnsi" w:cs="Arial"/>
            </w:rPr>
            <w:fldChar w:fldCharType="begin"/>
          </w:r>
          <w:r>
            <w:rPr>
              <w:rFonts w:asciiTheme="minorHAnsi" w:hAnsiTheme="minorHAnsi" w:cs="Arial"/>
            </w:rPr>
            <w:instrText xml:space="preserve"> CITATION Chr16 \l 2057 </w:instrText>
          </w:r>
          <w:r>
            <w:rPr>
              <w:rFonts w:asciiTheme="minorHAnsi" w:hAnsiTheme="minorHAnsi" w:cs="Arial"/>
            </w:rPr>
            <w:fldChar w:fldCharType="separate"/>
          </w:r>
          <w:r w:rsidRPr="00127012">
            <w:rPr>
              <w:rFonts w:asciiTheme="minorHAnsi" w:hAnsiTheme="minorHAnsi" w:cs="Arial"/>
              <w:noProof/>
            </w:rPr>
            <w:t>(Christakis, D A, 2016)</w:t>
          </w:r>
          <w:r>
            <w:rPr>
              <w:rFonts w:asciiTheme="minorHAnsi" w:hAnsiTheme="minorHAnsi" w:cs="Arial"/>
            </w:rPr>
            <w:fldChar w:fldCharType="end"/>
          </w:r>
        </w:sdtContent>
      </w:sdt>
      <w:r>
        <w:rPr>
          <w:rFonts w:asciiTheme="minorHAnsi" w:hAnsiTheme="minorHAnsi" w:cs="Arial"/>
        </w:rPr>
        <w:t xml:space="preserve"> </w:t>
      </w:r>
    </w:p>
    <w:p w14:paraId="4AEB080B" w14:textId="77777777" w:rsidR="00453A96" w:rsidRDefault="00453A96" w:rsidP="00453A96">
      <w:pPr>
        <w:rPr>
          <w:rFonts w:asciiTheme="minorHAnsi" w:hAnsiTheme="minorHAnsi" w:cs="Arial"/>
        </w:rPr>
      </w:pPr>
      <w:r>
        <w:rPr>
          <w:rFonts w:asciiTheme="minorHAnsi" w:hAnsiTheme="minorHAnsi" w:cs="Arial"/>
        </w:rPr>
        <w:t>Effective prevention is significant to reduce offending and reoffending in young people, the efficiency of this is outlined in a report highlighting what strategies can be used to do so. F</w:t>
      </w:r>
      <w:r w:rsidRPr="005272D4">
        <w:rPr>
          <w:rFonts w:asciiTheme="minorHAnsi" w:hAnsiTheme="minorHAnsi" w:cs="Arial"/>
        </w:rPr>
        <w:t>our groupings of crime prevention strategies</w:t>
      </w:r>
      <w:r>
        <w:rPr>
          <w:rFonts w:asciiTheme="minorHAnsi" w:hAnsiTheme="minorHAnsi" w:cs="Arial"/>
        </w:rPr>
        <w:t xml:space="preserve"> framework have been identified and described as law enforcement, developmental, community and situational approaches. Consequently, the findings suggest that early intervention approaches are positive and provided that young offenders have the ability of treatment and rehabilitation this will have a significantly promising effect on young offenders. The report outlines how intensive and costly interventions will be most effective but with greater reward which will result in the most cost-effective outcome. In addition, the approach taken will be required to be tailored to the individual as not one size fits all</w:t>
      </w:r>
      <w:sdt>
        <w:sdtPr>
          <w:rPr>
            <w:rFonts w:asciiTheme="minorHAnsi" w:hAnsiTheme="minorHAnsi" w:cs="Arial"/>
          </w:rPr>
          <w:id w:val="751936368"/>
          <w:citation/>
        </w:sdtPr>
        <w:sdtContent>
          <w:r>
            <w:rPr>
              <w:rFonts w:asciiTheme="minorHAnsi" w:hAnsiTheme="minorHAnsi" w:cs="Arial"/>
            </w:rPr>
            <w:fldChar w:fldCharType="begin"/>
          </w:r>
          <w:r>
            <w:rPr>
              <w:rFonts w:asciiTheme="minorHAnsi" w:hAnsiTheme="minorHAnsi" w:cs="Arial"/>
            </w:rPr>
            <w:instrText xml:space="preserve">CITATION Cri95 \l 2057 </w:instrText>
          </w:r>
          <w:r>
            <w:rPr>
              <w:rFonts w:asciiTheme="minorHAnsi" w:hAnsiTheme="minorHAnsi" w:cs="Arial"/>
            </w:rPr>
            <w:fldChar w:fldCharType="separate"/>
          </w:r>
          <w:r>
            <w:rPr>
              <w:rFonts w:asciiTheme="minorHAnsi" w:hAnsiTheme="minorHAnsi" w:cs="Arial"/>
              <w:noProof/>
            </w:rPr>
            <w:t xml:space="preserve"> </w:t>
          </w:r>
          <w:r w:rsidRPr="00127012">
            <w:rPr>
              <w:rFonts w:asciiTheme="minorHAnsi" w:hAnsiTheme="minorHAnsi" w:cs="Arial"/>
              <w:noProof/>
            </w:rPr>
            <w:t>(Wood, Tonry, and Farrington, 1996)</w:t>
          </w:r>
          <w:r>
            <w:rPr>
              <w:rFonts w:asciiTheme="minorHAnsi" w:hAnsiTheme="minorHAnsi" w:cs="Arial"/>
            </w:rPr>
            <w:fldChar w:fldCharType="end"/>
          </w:r>
        </w:sdtContent>
      </w:sdt>
      <w:r>
        <w:rPr>
          <w:rFonts w:asciiTheme="minorHAnsi" w:hAnsiTheme="minorHAnsi" w:cs="Arial"/>
        </w:rPr>
        <w:t>.</w:t>
      </w:r>
    </w:p>
    <w:p w14:paraId="35A061FE" w14:textId="31EAD856" w:rsidR="00453A96" w:rsidRDefault="00453A96" w:rsidP="00453A96">
      <w:pPr>
        <w:rPr>
          <w:rFonts w:asciiTheme="minorHAnsi" w:hAnsiTheme="minorHAnsi" w:cs="Arial"/>
        </w:rPr>
      </w:pPr>
      <w:r>
        <w:rPr>
          <w:rFonts w:asciiTheme="minorHAnsi" w:hAnsiTheme="minorHAnsi" w:cs="Arial"/>
        </w:rPr>
        <w:t xml:space="preserve">A systematic review concluded that the most effective interventions programmes for young offenders include starting at home, collaborating with parents and families providing an education and training. In addition, providing child skills training, enrolment in different youth </w:t>
      </w:r>
      <w:r>
        <w:rPr>
          <w:rFonts w:asciiTheme="minorHAnsi" w:hAnsiTheme="minorHAnsi" w:cs="Arial"/>
        </w:rPr>
        <w:lastRenderedPageBreak/>
        <w:t xml:space="preserve">clubs </w:t>
      </w:r>
      <w:r w:rsidR="00E80316">
        <w:rPr>
          <w:rFonts w:asciiTheme="minorHAnsi" w:hAnsiTheme="minorHAnsi" w:cs="Arial"/>
        </w:rPr>
        <w:t xml:space="preserve">can </w:t>
      </w:r>
      <w:r>
        <w:rPr>
          <w:rFonts w:asciiTheme="minorHAnsi" w:hAnsiTheme="minorHAnsi" w:cs="Arial"/>
        </w:rPr>
        <w:t xml:space="preserve">encourage positive relationships with mentors and peers as well as teach vital skills that the child is passionate about resulting in reduced interest in committing crime and more interest in learning new skills and having a sense of purpose </w:t>
      </w:r>
      <w:sdt>
        <w:sdtPr>
          <w:rPr>
            <w:rFonts w:asciiTheme="minorHAnsi" w:hAnsiTheme="minorHAnsi" w:cs="Arial"/>
          </w:rPr>
          <w:id w:val="2086031243"/>
          <w:citation/>
        </w:sdtPr>
        <w:sdtContent>
          <w:r>
            <w:rPr>
              <w:rFonts w:asciiTheme="minorHAnsi" w:hAnsiTheme="minorHAnsi" w:cs="Arial"/>
            </w:rPr>
            <w:fldChar w:fldCharType="begin"/>
          </w:r>
          <w:r>
            <w:rPr>
              <w:rFonts w:asciiTheme="minorHAnsi" w:hAnsiTheme="minorHAnsi" w:cs="Arial"/>
            </w:rPr>
            <w:instrText xml:space="preserve">CITATION Uni22 \l 2057 </w:instrText>
          </w:r>
          <w:r>
            <w:rPr>
              <w:rFonts w:asciiTheme="minorHAnsi" w:hAnsiTheme="minorHAnsi" w:cs="Arial"/>
            </w:rPr>
            <w:fldChar w:fldCharType="separate"/>
          </w:r>
          <w:r w:rsidRPr="00127012">
            <w:rPr>
              <w:rFonts w:asciiTheme="minorHAnsi" w:hAnsiTheme="minorHAnsi" w:cs="Arial"/>
              <w:noProof/>
            </w:rPr>
            <w:t>(Farrington, Gaffney and White, 2022)</w:t>
          </w:r>
          <w:r>
            <w:rPr>
              <w:rFonts w:asciiTheme="minorHAnsi" w:hAnsiTheme="minorHAnsi" w:cs="Arial"/>
            </w:rPr>
            <w:fldChar w:fldCharType="end"/>
          </w:r>
        </w:sdtContent>
      </w:sdt>
      <w:r>
        <w:rPr>
          <w:rFonts w:asciiTheme="minorHAnsi" w:hAnsiTheme="minorHAnsi" w:cs="Arial"/>
        </w:rPr>
        <w:t>.</w:t>
      </w:r>
    </w:p>
    <w:p w14:paraId="64DC1880" w14:textId="027D8674" w:rsidR="00453A96" w:rsidRDefault="00453A96" w:rsidP="00453A96">
      <w:pPr>
        <w:rPr>
          <w:rFonts w:asciiTheme="minorHAnsi" w:hAnsiTheme="minorHAnsi" w:cs="Arial"/>
        </w:rPr>
      </w:pPr>
      <w:r>
        <w:rPr>
          <w:rFonts w:asciiTheme="minorHAnsi" w:hAnsiTheme="minorHAnsi" w:cs="Arial"/>
        </w:rPr>
        <w:t xml:space="preserve">Similarly, a Promoting Prevention Programme </w:t>
      </w:r>
      <w:r w:rsidR="00E80316">
        <w:rPr>
          <w:rFonts w:asciiTheme="minorHAnsi" w:hAnsiTheme="minorHAnsi" w:cs="Arial"/>
        </w:rPr>
        <w:t>created an interactive computer-based questionnaire for 11–15-year-olds to provide</w:t>
      </w:r>
      <w:r>
        <w:rPr>
          <w:rFonts w:asciiTheme="minorHAnsi" w:hAnsiTheme="minorHAnsi" w:cs="Arial"/>
        </w:rPr>
        <w:t xml:space="preserve"> feedback on the risk they identify </w:t>
      </w:r>
      <w:r w:rsidR="00E80316">
        <w:rPr>
          <w:rFonts w:asciiTheme="minorHAnsi" w:hAnsiTheme="minorHAnsi" w:cs="Arial"/>
        </w:rPr>
        <w:t>for</w:t>
      </w:r>
      <w:r>
        <w:rPr>
          <w:rFonts w:asciiTheme="minorHAnsi" w:hAnsiTheme="minorHAnsi" w:cs="Arial"/>
        </w:rPr>
        <w:t xml:space="preserve"> the topic of youth offending in their local area. As a result of this, a steering group was created reflecting on the feedback provided by the school children and </w:t>
      </w:r>
      <w:r w:rsidR="00E80316">
        <w:rPr>
          <w:rFonts w:asciiTheme="minorHAnsi" w:hAnsiTheme="minorHAnsi" w:cs="Arial"/>
        </w:rPr>
        <w:t xml:space="preserve">subsequently </w:t>
      </w:r>
      <w:r>
        <w:rPr>
          <w:rFonts w:asciiTheme="minorHAnsi" w:hAnsiTheme="minorHAnsi" w:cs="Arial"/>
        </w:rPr>
        <w:t xml:space="preserve">results saw the reduction of crime by young people in their area </w:t>
      </w:r>
      <w:sdt>
        <w:sdtPr>
          <w:rPr>
            <w:rFonts w:asciiTheme="minorHAnsi" w:hAnsiTheme="minorHAnsi" w:cs="Arial"/>
          </w:rPr>
          <w:id w:val="468097505"/>
          <w:citation/>
        </w:sdtPr>
        <w:sdtContent>
          <w:r>
            <w:rPr>
              <w:rFonts w:asciiTheme="minorHAnsi" w:hAnsiTheme="minorHAnsi" w:cs="Arial"/>
            </w:rPr>
            <w:fldChar w:fldCharType="begin"/>
          </w:r>
          <w:r>
            <w:rPr>
              <w:rFonts w:asciiTheme="minorHAnsi" w:hAnsiTheme="minorHAnsi" w:cs="Arial"/>
            </w:rPr>
            <w:instrText xml:space="preserve">CITATION Sag04 \l 2057 </w:instrText>
          </w:r>
          <w:r>
            <w:rPr>
              <w:rFonts w:asciiTheme="minorHAnsi" w:hAnsiTheme="minorHAnsi" w:cs="Arial"/>
            </w:rPr>
            <w:fldChar w:fldCharType="separate"/>
          </w:r>
          <w:r w:rsidRPr="00127012">
            <w:rPr>
              <w:rFonts w:asciiTheme="minorHAnsi" w:hAnsiTheme="minorHAnsi" w:cs="Arial"/>
              <w:noProof/>
            </w:rPr>
            <w:t>(Haines, 2004)</w:t>
          </w:r>
          <w:r>
            <w:rPr>
              <w:rFonts w:asciiTheme="minorHAnsi" w:hAnsiTheme="minorHAnsi" w:cs="Arial"/>
            </w:rPr>
            <w:fldChar w:fldCharType="end"/>
          </w:r>
        </w:sdtContent>
      </w:sdt>
      <w:r>
        <w:rPr>
          <w:rFonts w:asciiTheme="minorHAnsi" w:hAnsiTheme="minorHAnsi" w:cs="Arial"/>
        </w:rPr>
        <w:t xml:space="preserve">. </w:t>
      </w:r>
    </w:p>
    <w:p w14:paraId="6AA4CE6C" w14:textId="6248E707" w:rsidR="00453A96" w:rsidRDefault="00453A96" w:rsidP="00453A96">
      <w:pPr>
        <w:rPr>
          <w:rFonts w:asciiTheme="minorHAnsi" w:hAnsiTheme="minorHAnsi" w:cs="Arial"/>
        </w:rPr>
      </w:pPr>
      <w:r>
        <w:rPr>
          <w:rFonts w:asciiTheme="minorHAnsi" w:hAnsiTheme="minorHAnsi" w:cs="Arial"/>
        </w:rPr>
        <w:t xml:space="preserve">On the other hand, </w:t>
      </w:r>
      <w:r w:rsidR="00E80316">
        <w:rPr>
          <w:rFonts w:asciiTheme="minorHAnsi" w:hAnsiTheme="minorHAnsi" w:cs="Arial"/>
        </w:rPr>
        <w:t xml:space="preserve">an </w:t>
      </w:r>
      <w:r>
        <w:rPr>
          <w:rFonts w:asciiTheme="minorHAnsi" w:hAnsiTheme="minorHAnsi" w:cs="Arial"/>
        </w:rPr>
        <w:t xml:space="preserve">evaluation into the early intervention of a Triage programme introduced to first time young offenders in Newcastle Youth Offending Team. Concerns were raised that this form of early intervention could be perceived as a soft approach or a weaker form of other types of interventions following crimes committed by young offenders which includes, criminal damage, public order, theft and violence against a person. This was viewed by the young offenders as an option to avoid further police contact rather than valuing the opportunity they were being given, choosing this option would result in the crime not being recorded on their criminal record. Furthermore, there is a </w:t>
      </w:r>
      <w:r w:rsidR="00E80316">
        <w:rPr>
          <w:rFonts w:asciiTheme="minorHAnsi" w:hAnsiTheme="minorHAnsi" w:cs="Arial"/>
        </w:rPr>
        <w:t>risk</w:t>
      </w:r>
      <w:r>
        <w:rPr>
          <w:rFonts w:asciiTheme="minorHAnsi" w:hAnsiTheme="minorHAnsi" w:cs="Arial"/>
        </w:rPr>
        <w:t xml:space="preserve"> that young offenders would simply chose this option and neglect to be remorseful or held accountable for the crimes they have committed, however, both the quantitative and qualitative evidence suggested that this form of Triage has a highly effective intervention to reducing serious youth crimes and has been felt as a truly valuable experience from the young offenders who have been involved, some of which who would have only experienced this kind of positive reinforcement for the first time in their lives from adults </w:t>
      </w:r>
      <w:sdt>
        <w:sdtPr>
          <w:rPr>
            <w:rFonts w:asciiTheme="minorHAnsi" w:hAnsiTheme="minorHAnsi" w:cs="Arial"/>
          </w:rPr>
          <w:id w:val="-343009429"/>
          <w:citation/>
        </w:sdtPr>
        <w:sdtContent>
          <w:r>
            <w:rPr>
              <w:rFonts w:asciiTheme="minorHAnsi" w:hAnsiTheme="minorHAnsi" w:cs="Arial"/>
            </w:rPr>
            <w:fldChar w:fldCharType="begin"/>
          </w:r>
          <w:r>
            <w:rPr>
              <w:rFonts w:asciiTheme="minorHAnsi" w:hAnsiTheme="minorHAnsi" w:cs="Arial"/>
            </w:rPr>
            <w:instrText xml:space="preserve"> CITATION Sop11 \l 2057 </w:instrText>
          </w:r>
          <w:r>
            <w:rPr>
              <w:rFonts w:asciiTheme="minorHAnsi" w:hAnsiTheme="minorHAnsi" w:cs="Arial"/>
            </w:rPr>
            <w:fldChar w:fldCharType="separate"/>
          </w:r>
          <w:r w:rsidRPr="00127012">
            <w:rPr>
              <w:rFonts w:asciiTheme="minorHAnsi" w:hAnsiTheme="minorHAnsi" w:cs="Arial"/>
              <w:noProof/>
            </w:rPr>
            <w:t>(Soppitt and Irving, 2011)</w:t>
          </w:r>
          <w:r>
            <w:rPr>
              <w:rFonts w:asciiTheme="minorHAnsi" w:hAnsiTheme="minorHAnsi" w:cs="Arial"/>
            </w:rPr>
            <w:fldChar w:fldCharType="end"/>
          </w:r>
        </w:sdtContent>
      </w:sdt>
      <w:r>
        <w:rPr>
          <w:rFonts w:asciiTheme="minorHAnsi" w:hAnsiTheme="minorHAnsi" w:cs="Arial"/>
        </w:rPr>
        <w:t>.</w:t>
      </w:r>
    </w:p>
    <w:p w14:paraId="2BB77863" w14:textId="73B870A9" w:rsidR="00453A96" w:rsidRDefault="00453A96" w:rsidP="00453A96">
      <w:pPr>
        <w:rPr>
          <w:rFonts w:asciiTheme="minorHAnsi" w:hAnsiTheme="minorHAnsi" w:cs="Arial"/>
        </w:rPr>
      </w:pPr>
      <w:r>
        <w:rPr>
          <w:rFonts w:asciiTheme="minorHAnsi" w:hAnsiTheme="minorHAnsi" w:cs="Arial"/>
        </w:rPr>
        <w:t xml:space="preserve">In conclusion, research shows several positive factors to early intervention and prevention. </w:t>
      </w:r>
      <w:r w:rsidR="00B348BD">
        <w:rPr>
          <w:rFonts w:asciiTheme="minorHAnsi" w:hAnsiTheme="minorHAnsi" w:cs="Arial"/>
        </w:rPr>
        <w:t>Giving a potential</w:t>
      </w:r>
      <w:r>
        <w:rPr>
          <w:rFonts w:asciiTheme="minorHAnsi" w:hAnsiTheme="minorHAnsi" w:cs="Arial"/>
        </w:rPr>
        <w:t xml:space="preserve"> detrimental outcome </w:t>
      </w:r>
      <w:r w:rsidR="00B348BD">
        <w:rPr>
          <w:rFonts w:asciiTheme="minorHAnsi" w:hAnsiTheme="minorHAnsi" w:cs="Arial"/>
        </w:rPr>
        <w:t xml:space="preserve">to a </w:t>
      </w:r>
      <w:r>
        <w:rPr>
          <w:rFonts w:asciiTheme="minorHAnsi" w:hAnsiTheme="minorHAnsi" w:cs="Arial"/>
        </w:rPr>
        <w:t>young offender who is willing to be rehabilitated provided the correct support is offered</w:t>
      </w:r>
      <w:r w:rsidR="00B348BD">
        <w:rPr>
          <w:rFonts w:asciiTheme="minorHAnsi" w:hAnsiTheme="minorHAnsi" w:cs="Arial"/>
        </w:rPr>
        <w:t xml:space="preserve"> and avoiding the Criminal Justice System</w:t>
      </w:r>
      <w:r>
        <w:rPr>
          <w:rFonts w:asciiTheme="minorHAnsi" w:hAnsiTheme="minorHAnsi" w:cs="Arial"/>
        </w:rPr>
        <w:t xml:space="preserve">. </w:t>
      </w:r>
      <w:r w:rsidR="00B348BD">
        <w:rPr>
          <w:rFonts w:asciiTheme="minorHAnsi" w:hAnsiTheme="minorHAnsi" w:cs="Arial"/>
        </w:rPr>
        <w:t>It i</w:t>
      </w:r>
      <w:r>
        <w:rPr>
          <w:rFonts w:asciiTheme="minorHAnsi" w:hAnsiTheme="minorHAnsi" w:cs="Arial"/>
        </w:rPr>
        <w:t xml:space="preserve">s clear from the research conducted that additionally, this outcome can also be cost effective, and a chance at a better future. However, following a descriptive study to examine the perspectives of practitioners collaborating with children in the youth justice system, it was highlighted that practitioners’ feedback provided an insight into the organisational pressures they face that may hinder their ability to offer comprehensive support to young offenders. They concluded that target and performance pressures as well as lack of organisational support created a divide between management and practitioners resulting in obstruction with offering fully comprehensive support. It seems that funding and support for practitioners themselves is just as important in deciding the future of the young people in the youth justice system </w:t>
      </w:r>
      <w:sdt>
        <w:sdtPr>
          <w:rPr>
            <w:rFonts w:asciiTheme="minorHAnsi" w:hAnsiTheme="minorHAnsi" w:cs="Arial"/>
          </w:rPr>
          <w:id w:val="-324752764"/>
          <w:citation/>
        </w:sdtPr>
        <w:sdtContent>
          <w:r>
            <w:rPr>
              <w:rFonts w:asciiTheme="minorHAnsi" w:hAnsiTheme="minorHAnsi" w:cs="Arial"/>
            </w:rPr>
            <w:fldChar w:fldCharType="begin"/>
          </w:r>
          <w:r>
            <w:rPr>
              <w:rFonts w:asciiTheme="minorHAnsi" w:hAnsiTheme="minorHAnsi" w:cs="Arial"/>
            </w:rPr>
            <w:instrText xml:space="preserve">CITATION Uni131 \l 2057 </w:instrText>
          </w:r>
          <w:r>
            <w:rPr>
              <w:rFonts w:asciiTheme="minorHAnsi" w:hAnsiTheme="minorHAnsi" w:cs="Arial"/>
            </w:rPr>
            <w:fldChar w:fldCharType="separate"/>
          </w:r>
          <w:r w:rsidRPr="00127012">
            <w:rPr>
              <w:rFonts w:asciiTheme="minorHAnsi" w:hAnsiTheme="minorHAnsi" w:cs="Arial"/>
              <w:noProof/>
            </w:rPr>
            <w:t>(Marshall, 2013)</w:t>
          </w:r>
          <w:r>
            <w:rPr>
              <w:rFonts w:asciiTheme="minorHAnsi" w:hAnsiTheme="minorHAnsi" w:cs="Arial"/>
            </w:rPr>
            <w:fldChar w:fldCharType="end"/>
          </w:r>
        </w:sdtContent>
      </w:sdt>
      <w:r>
        <w:rPr>
          <w:rFonts w:asciiTheme="minorHAnsi" w:hAnsiTheme="minorHAnsi" w:cs="Arial"/>
        </w:rPr>
        <w:t>.</w:t>
      </w:r>
    </w:p>
    <w:p w14:paraId="125D0BF6" w14:textId="00A87254" w:rsidR="00453A96" w:rsidRDefault="00453A96" w:rsidP="00453A96">
      <w:pPr>
        <w:rPr>
          <w:rFonts w:asciiTheme="minorHAnsi" w:hAnsiTheme="minorHAnsi" w:cs="Arial"/>
        </w:rPr>
      </w:pPr>
      <w:r>
        <w:rPr>
          <w:rFonts w:asciiTheme="minorHAnsi" w:hAnsiTheme="minorHAnsi" w:cs="Arial"/>
        </w:rPr>
        <w:t>1</w:t>
      </w:r>
      <w:r w:rsidR="00B348BD">
        <w:rPr>
          <w:rFonts w:asciiTheme="minorHAnsi" w:hAnsiTheme="minorHAnsi" w:cs="Arial"/>
        </w:rPr>
        <w:t>095</w:t>
      </w:r>
      <w:r>
        <w:rPr>
          <w:rFonts w:asciiTheme="minorHAnsi" w:hAnsiTheme="minorHAnsi" w:cs="Arial"/>
        </w:rPr>
        <w:t xml:space="preserve"> words. </w:t>
      </w:r>
    </w:p>
    <w:p w14:paraId="344B300B" w14:textId="77777777" w:rsidR="005A6F01" w:rsidRDefault="005A6F01" w:rsidP="00453A96">
      <w:pPr>
        <w:rPr>
          <w:rFonts w:asciiTheme="minorHAnsi" w:hAnsiTheme="minorHAnsi" w:cs="Arial"/>
        </w:rPr>
      </w:pPr>
    </w:p>
    <w:p w14:paraId="762B88C6" w14:textId="77777777" w:rsidR="005A6F01" w:rsidRDefault="005A6F01" w:rsidP="00453A96">
      <w:pPr>
        <w:rPr>
          <w:rFonts w:asciiTheme="minorHAnsi" w:hAnsiTheme="minorHAnsi" w:cs="Arial"/>
        </w:rPr>
      </w:pPr>
    </w:p>
    <w:p w14:paraId="34149E10" w14:textId="77777777" w:rsidR="005A6F01" w:rsidRDefault="005A6F01" w:rsidP="00453A96">
      <w:pPr>
        <w:rPr>
          <w:rFonts w:asciiTheme="minorHAnsi" w:hAnsiTheme="minorHAnsi" w:cs="Arial"/>
        </w:rPr>
      </w:pPr>
    </w:p>
    <w:p w14:paraId="3105532B" w14:textId="77777777" w:rsidR="005A6F01" w:rsidRDefault="005A6F01" w:rsidP="00453A96">
      <w:pPr>
        <w:rPr>
          <w:rFonts w:asciiTheme="minorHAnsi" w:hAnsiTheme="minorHAnsi" w:cs="Arial"/>
        </w:rPr>
      </w:pPr>
    </w:p>
    <w:p w14:paraId="27982074" w14:textId="77777777" w:rsidR="005A6F01" w:rsidRDefault="005A6F01" w:rsidP="00453A96">
      <w:pPr>
        <w:rPr>
          <w:rFonts w:asciiTheme="minorHAnsi" w:hAnsiTheme="minorHAnsi" w:cs="Arial"/>
        </w:rPr>
      </w:pPr>
    </w:p>
    <w:p w14:paraId="35C217B9" w14:textId="77777777" w:rsidR="005A6F01" w:rsidRDefault="005A6F01" w:rsidP="00453A96">
      <w:pPr>
        <w:rPr>
          <w:rFonts w:asciiTheme="minorHAnsi" w:hAnsiTheme="minorHAnsi" w:cs="Arial"/>
        </w:rPr>
      </w:pPr>
    </w:p>
    <w:sdt>
      <w:sdtPr>
        <w:id w:val="1554040905"/>
        <w:docPartObj>
          <w:docPartGallery w:val="Bibliographies"/>
          <w:docPartUnique/>
        </w:docPartObj>
      </w:sdtPr>
      <w:sdtEndPr>
        <w:rPr>
          <w:rFonts w:ascii="Aptos" w:eastAsia="Aptos" w:hAnsi="Aptos" w:cs="Times New Roman"/>
          <w:color w:val="auto"/>
          <w:kern w:val="3"/>
          <w:sz w:val="22"/>
          <w:szCs w:val="22"/>
          <w14:ligatures w14:val="none"/>
        </w:rPr>
      </w:sdtEndPr>
      <w:sdtContent>
        <w:p w14:paraId="64B2A1D1" w14:textId="125DAA07" w:rsidR="005A6F01" w:rsidRDefault="005A6F01">
          <w:pPr>
            <w:pStyle w:val="Heading1"/>
          </w:pPr>
          <w:r>
            <w:t>Bibliography</w:t>
          </w:r>
        </w:p>
        <w:sdt>
          <w:sdtPr>
            <w:id w:val="111145805"/>
            <w:bibliography/>
          </w:sdtPr>
          <w:sdtContent>
            <w:p w14:paraId="3DA15DB7" w14:textId="77777777" w:rsidR="005A6F01" w:rsidRDefault="005A6F01" w:rsidP="005A6F01">
              <w:pPr>
                <w:pStyle w:val="Bibliography"/>
                <w:rPr>
                  <w:noProof/>
                  <w:kern w:val="0"/>
                  <w:sz w:val="24"/>
                  <w:szCs w:val="24"/>
                </w:rPr>
              </w:pPr>
              <w:r>
                <w:fldChar w:fldCharType="begin"/>
              </w:r>
              <w:r>
                <w:instrText xml:space="preserve"> BIBLIOGRAPHY </w:instrText>
              </w:r>
              <w:r>
                <w:fldChar w:fldCharType="separate"/>
              </w:r>
              <w:r>
                <w:rPr>
                  <w:noProof/>
                </w:rPr>
                <w:t>ACEs Case Study, 2019. s.l.: s.n.</w:t>
              </w:r>
            </w:p>
            <w:p w14:paraId="72950726" w14:textId="77777777" w:rsidR="005A6F01" w:rsidRDefault="005A6F01" w:rsidP="005A6F01">
              <w:pPr>
                <w:pStyle w:val="Bibliography"/>
                <w:rPr>
                  <w:noProof/>
                </w:rPr>
              </w:pPr>
              <w:r>
                <w:rPr>
                  <w:noProof/>
                </w:rPr>
                <w:t xml:space="preserve">Awan et al., 2018. Understanding the Public Perception and Satisfaction of a UK Police Constabulary. </w:t>
              </w:r>
              <w:r>
                <w:rPr>
                  <w:i/>
                  <w:iCs/>
                  <w:noProof/>
                </w:rPr>
                <w:t xml:space="preserve">Police Practice and Research, </w:t>
              </w:r>
              <w:r>
                <w:rPr>
                  <w:noProof/>
                </w:rPr>
                <w:t>20(2), pp. 172-184.</w:t>
              </w:r>
            </w:p>
            <w:p w14:paraId="5A403C8E" w14:textId="77777777" w:rsidR="005A6F01" w:rsidRDefault="005A6F01" w:rsidP="005A6F01">
              <w:pPr>
                <w:pStyle w:val="Bibliography"/>
                <w:rPr>
                  <w:noProof/>
                </w:rPr>
              </w:pPr>
              <w:r>
                <w:rPr>
                  <w:noProof/>
                </w:rPr>
                <w:t xml:space="preserve">Bennett, J., 2006. Achieving race equality through training: a review of approaches in the UK. </w:t>
              </w:r>
              <w:r>
                <w:rPr>
                  <w:i/>
                  <w:iCs/>
                  <w:noProof/>
                </w:rPr>
                <w:t xml:space="preserve">The Journal of Mental Health Training, Education and Practice, </w:t>
              </w:r>
              <w:r>
                <w:rPr>
                  <w:noProof/>
                </w:rPr>
                <w:t>1(1), pp. 5-11.</w:t>
              </w:r>
            </w:p>
            <w:p w14:paraId="6D60083F" w14:textId="77777777" w:rsidR="005A6F01" w:rsidRDefault="005A6F01" w:rsidP="005A6F01">
              <w:pPr>
                <w:pStyle w:val="Bibliography"/>
                <w:rPr>
                  <w:noProof/>
                </w:rPr>
              </w:pPr>
              <w:r>
                <w:rPr>
                  <w:noProof/>
                </w:rPr>
                <w:t xml:space="preserve">Boullier and Blair, 2018. Adverse Childhood Experiences. </w:t>
              </w:r>
              <w:r>
                <w:rPr>
                  <w:i/>
                  <w:iCs/>
                  <w:noProof/>
                </w:rPr>
                <w:t xml:space="preserve">Paediatrics and Child Health, </w:t>
              </w:r>
              <w:r>
                <w:rPr>
                  <w:noProof/>
                </w:rPr>
                <w:t>28(3), pp. 132-137.</w:t>
              </w:r>
            </w:p>
            <w:p w14:paraId="182951F9" w14:textId="77777777" w:rsidR="005A6F01" w:rsidRDefault="005A6F01" w:rsidP="005A6F01">
              <w:pPr>
                <w:pStyle w:val="Bibliography"/>
                <w:rPr>
                  <w:noProof/>
                </w:rPr>
              </w:pPr>
              <w:r>
                <w:rPr>
                  <w:noProof/>
                </w:rPr>
                <w:t xml:space="preserve">Boulton, Phythian, and Kirby, 2019. Diverting young men from gangs: a qualitative evaluation. </w:t>
              </w:r>
              <w:r>
                <w:rPr>
                  <w:i/>
                  <w:iCs/>
                  <w:noProof/>
                </w:rPr>
                <w:t xml:space="preserve">Policing: An International Journal, </w:t>
              </w:r>
              <w:r>
                <w:rPr>
                  <w:noProof/>
                </w:rPr>
                <w:t>42(5), pp. 887-900.</w:t>
              </w:r>
            </w:p>
            <w:p w14:paraId="043A8551" w14:textId="77777777" w:rsidR="005A6F01" w:rsidRDefault="005A6F01" w:rsidP="005A6F01">
              <w:pPr>
                <w:pStyle w:val="Bibliography"/>
                <w:rPr>
                  <w:noProof/>
                </w:rPr>
              </w:pPr>
              <w:r>
                <w:rPr>
                  <w:noProof/>
                </w:rPr>
                <w:t xml:space="preserve">Bullock et al., 2021. Problem-oriented policing in England and Wales: barriers and facilitators. </w:t>
              </w:r>
              <w:r>
                <w:rPr>
                  <w:i/>
                  <w:iCs/>
                  <w:noProof/>
                </w:rPr>
                <w:t xml:space="preserve">Policing and Society, </w:t>
              </w:r>
              <w:r>
                <w:rPr>
                  <w:noProof/>
                </w:rPr>
                <w:t>32(9), pp. 1-16.</w:t>
              </w:r>
            </w:p>
            <w:p w14:paraId="54192F52" w14:textId="77777777" w:rsidR="005A6F01" w:rsidRDefault="005A6F01" w:rsidP="005A6F01">
              <w:pPr>
                <w:pStyle w:val="Bibliography"/>
                <w:rPr>
                  <w:noProof/>
                </w:rPr>
              </w:pPr>
              <w:r>
                <w:rPr>
                  <w:noProof/>
                </w:rPr>
                <w:t>Calderoni et al., 2022. Organized crime groups: A systematic review of individual</w:t>
              </w:r>
              <w:r>
                <w:rPr>
                  <w:rFonts w:ascii="Cambria Math" w:hAnsi="Cambria Math" w:cs="Cambria Math"/>
                  <w:noProof/>
                </w:rPr>
                <w:t>‐</w:t>
              </w:r>
              <w:r>
                <w:rPr>
                  <w:noProof/>
                </w:rPr>
                <w:t xml:space="preserve">level risk factors related to recruitment. </w:t>
              </w:r>
              <w:r>
                <w:rPr>
                  <w:i/>
                  <w:iCs/>
                  <w:noProof/>
                </w:rPr>
                <w:t xml:space="preserve">Campbell Systematic Reviews, </w:t>
              </w:r>
              <w:r>
                <w:rPr>
                  <w:noProof/>
                </w:rPr>
                <w:t>18(1), pp. 1-87.</w:t>
              </w:r>
            </w:p>
            <w:p w14:paraId="65392DC9" w14:textId="77777777" w:rsidR="005A6F01" w:rsidRDefault="005A6F01" w:rsidP="005A6F01">
              <w:pPr>
                <w:pStyle w:val="Bibliography"/>
                <w:rPr>
                  <w:noProof/>
                </w:rPr>
              </w:pPr>
              <w:r>
                <w:rPr>
                  <w:noProof/>
                </w:rPr>
                <w:t xml:space="preserve">Campana and Meneghini, 2024. Organised crime movement across local communities: A network approach. </w:t>
              </w:r>
              <w:r>
                <w:rPr>
                  <w:i/>
                  <w:iCs/>
                  <w:noProof/>
                </w:rPr>
                <w:t>Trends in organized crime.</w:t>
              </w:r>
            </w:p>
            <w:p w14:paraId="5D9E5F6B" w14:textId="77777777" w:rsidR="005A6F01" w:rsidRDefault="005A6F01" w:rsidP="005A6F01">
              <w:pPr>
                <w:pStyle w:val="Bibliography"/>
                <w:rPr>
                  <w:noProof/>
                </w:rPr>
              </w:pPr>
              <w:r>
                <w:rPr>
                  <w:noProof/>
                </w:rPr>
                <w:t xml:space="preserve">Cartwright and Roach, 2020. The Wellbeing of UK Police: A Study of Recorded Absences from Work of UK Police Employees Due to Psychological Illness and Stress Using Freedom of Information Act Data. </w:t>
              </w:r>
              <w:r>
                <w:rPr>
                  <w:i/>
                  <w:iCs/>
                  <w:noProof/>
                </w:rPr>
                <w:t xml:space="preserve">Policing: A Journal of Policy and Practice, </w:t>
              </w:r>
              <w:r>
                <w:rPr>
                  <w:noProof/>
                </w:rPr>
                <w:t>15(1).</w:t>
              </w:r>
            </w:p>
            <w:p w14:paraId="1FBF7F30" w14:textId="77777777" w:rsidR="005A6F01" w:rsidRDefault="005A6F01" w:rsidP="005A6F01">
              <w:pPr>
                <w:pStyle w:val="Bibliography"/>
                <w:rPr>
                  <w:noProof/>
                </w:rPr>
              </w:pPr>
              <w:r>
                <w:rPr>
                  <w:noProof/>
                </w:rPr>
                <w:t xml:space="preserve">Christakis, D A, 2016. Focusing on the Smaller Adverse Childhood Experiences. </w:t>
              </w:r>
              <w:r>
                <w:rPr>
                  <w:i/>
                  <w:iCs/>
                  <w:noProof/>
                </w:rPr>
                <w:t xml:space="preserve">JAMA Pediatrics, </w:t>
              </w:r>
              <w:r>
                <w:rPr>
                  <w:noProof/>
                </w:rPr>
                <w:t>170(8), p. 725.</w:t>
              </w:r>
            </w:p>
            <w:p w14:paraId="107F1CD2" w14:textId="77777777" w:rsidR="005A6F01" w:rsidRDefault="005A6F01" w:rsidP="005A6F01">
              <w:pPr>
                <w:pStyle w:val="Bibliography"/>
                <w:rPr>
                  <w:noProof/>
                </w:rPr>
              </w:pPr>
              <w:r>
                <w:rPr>
                  <w:noProof/>
                </w:rPr>
                <w:t xml:space="preserve">Craig, Marnoch, and Topping, 2010. Shared leadership with minority ethnic communities: views from the police and the public in the UK. </w:t>
              </w:r>
              <w:r>
                <w:rPr>
                  <w:i/>
                  <w:iCs/>
                  <w:noProof/>
                </w:rPr>
                <w:t xml:space="preserve">Policing and Society, </w:t>
              </w:r>
              <w:r>
                <w:rPr>
                  <w:noProof/>
                </w:rPr>
                <w:t>20(3), pp. 336-357.</w:t>
              </w:r>
            </w:p>
            <w:p w14:paraId="77816998" w14:textId="77777777" w:rsidR="005A6F01" w:rsidRDefault="005A6F01" w:rsidP="005A6F01">
              <w:pPr>
                <w:pStyle w:val="Bibliography"/>
                <w:rPr>
                  <w:noProof/>
                </w:rPr>
              </w:pPr>
              <w:r>
                <w:rPr>
                  <w:noProof/>
                </w:rPr>
                <w:t xml:space="preserve">Farrington, Gaffney and White, 2022. Effectiveness of 12 Types of Interventions in Reducing Juvenile Offending and Antisocial Behaviour. </w:t>
              </w:r>
              <w:r>
                <w:rPr>
                  <w:i/>
                  <w:iCs/>
                  <w:noProof/>
                </w:rPr>
                <w:t xml:space="preserve">Canadian Journal of Criminology and Criminal Justice, </w:t>
              </w:r>
              <w:r>
                <w:rPr>
                  <w:noProof/>
                </w:rPr>
                <w:t>12 October.64(4).</w:t>
              </w:r>
            </w:p>
            <w:p w14:paraId="3ABCED19" w14:textId="77777777" w:rsidR="005A6F01" w:rsidRDefault="005A6F01" w:rsidP="005A6F01">
              <w:pPr>
                <w:pStyle w:val="Bibliography"/>
                <w:rPr>
                  <w:noProof/>
                </w:rPr>
              </w:pPr>
              <w:r>
                <w:rPr>
                  <w:noProof/>
                </w:rPr>
                <w:t xml:space="preserve">Foster, J. N. T. a. S. A., 2005. </w:t>
              </w:r>
              <w:r>
                <w:rPr>
                  <w:i/>
                  <w:iCs/>
                  <w:noProof/>
                </w:rPr>
                <w:t xml:space="preserve">Assessing the impact of the Stephen Lawrence Inquiry, </w:t>
              </w:r>
              <w:r>
                <w:rPr>
                  <w:noProof/>
                </w:rPr>
                <w:t>s.l.: s.n.</w:t>
              </w:r>
            </w:p>
            <w:p w14:paraId="7CE09BBD" w14:textId="77777777" w:rsidR="005A6F01" w:rsidRDefault="005A6F01" w:rsidP="005A6F01">
              <w:pPr>
                <w:pStyle w:val="Bibliography"/>
                <w:rPr>
                  <w:noProof/>
                </w:rPr>
              </w:pPr>
              <w:r>
                <w:rPr>
                  <w:noProof/>
                </w:rPr>
                <w:t xml:space="preserve">Fox et al., 2015. Trauma changes everything: Examining the relationship between adverse childhood experiences and serious, violent and chronic juvenile offenders. </w:t>
              </w:r>
              <w:r>
                <w:rPr>
                  <w:i/>
                  <w:iCs/>
                  <w:noProof/>
                </w:rPr>
                <w:t xml:space="preserve">Child Abuse &amp; Neglect, </w:t>
              </w:r>
              <w:r>
                <w:rPr>
                  <w:noProof/>
                </w:rPr>
                <w:t>46(1), pp. 163-173.</w:t>
              </w:r>
            </w:p>
            <w:p w14:paraId="4FC3A2B0" w14:textId="77777777" w:rsidR="005A6F01" w:rsidRDefault="005A6F01" w:rsidP="005A6F01">
              <w:pPr>
                <w:pStyle w:val="Bibliography"/>
                <w:rPr>
                  <w:noProof/>
                </w:rPr>
              </w:pPr>
              <w:r>
                <w:rPr>
                  <w:noProof/>
                </w:rPr>
                <w:t xml:space="preserve">Fraser et al, 2019. Community Experiences of Serious Organised Crime in Scotland. </w:t>
              </w:r>
              <w:r>
                <w:rPr>
                  <w:i/>
                  <w:iCs/>
                  <w:noProof/>
                </w:rPr>
                <w:t xml:space="preserve">Stir.ac.uk, </w:t>
              </w:r>
              <w:r>
                <w:rPr>
                  <w:noProof/>
                </w:rPr>
                <w:t>p. 96.</w:t>
              </w:r>
            </w:p>
            <w:p w14:paraId="1F450BB0" w14:textId="77777777" w:rsidR="005A6F01" w:rsidRDefault="005A6F01" w:rsidP="005A6F01">
              <w:pPr>
                <w:pStyle w:val="Bibliography"/>
                <w:rPr>
                  <w:noProof/>
                </w:rPr>
              </w:pPr>
              <w:r>
                <w:rPr>
                  <w:noProof/>
                </w:rPr>
                <w:t xml:space="preserve">Gov.UK, 2023. </w:t>
              </w:r>
              <w:r>
                <w:rPr>
                  <w:i/>
                  <w:iCs/>
                  <w:noProof/>
                </w:rPr>
                <w:t xml:space="preserve">New strategy to tackle organised crime, GOV.UK. </w:t>
              </w:r>
              <w:r>
                <w:rPr>
                  <w:noProof/>
                </w:rPr>
                <w:t xml:space="preserve">[Online] </w:t>
              </w:r>
              <w:r>
                <w:rPr>
                  <w:noProof/>
                </w:rPr>
                <w:br/>
                <w:t xml:space="preserve">Available at: </w:t>
              </w:r>
              <w:r>
                <w:rPr>
                  <w:noProof/>
                  <w:u w:val="single"/>
                </w:rPr>
                <w:t>https://www.gov.uk/government/news/new-strategy-to-tackle-organised-crime#:~:text=The%20National%20Crime%20Agency%20(NCA,affordable%20homes%20outside%20of%20London.</w:t>
              </w:r>
              <w:r>
                <w:rPr>
                  <w:noProof/>
                </w:rPr>
                <w:br/>
                <w:t>[Accessed 5 January 2025].</w:t>
              </w:r>
            </w:p>
            <w:p w14:paraId="36DE18EF" w14:textId="77777777" w:rsidR="005A6F01" w:rsidRDefault="005A6F01" w:rsidP="005A6F01">
              <w:pPr>
                <w:pStyle w:val="Bibliography"/>
                <w:rPr>
                  <w:noProof/>
                </w:rPr>
              </w:pPr>
              <w:r>
                <w:rPr>
                  <w:noProof/>
                </w:rPr>
                <w:t xml:space="preserve">Haines, 2004. Promoting Prevention: A Multi-agency Initiative to Prevent Youth Offending Through Consultation in Swansea Schools. </w:t>
              </w:r>
              <w:r>
                <w:rPr>
                  <w:i/>
                  <w:iCs/>
                  <w:noProof/>
                </w:rPr>
                <w:t xml:space="preserve">Youth Justice, </w:t>
              </w:r>
              <w:r>
                <w:rPr>
                  <w:noProof/>
                </w:rPr>
                <w:t>4(2), pp. 117-132.</w:t>
              </w:r>
            </w:p>
            <w:p w14:paraId="016F52EF" w14:textId="77777777" w:rsidR="005A6F01" w:rsidRDefault="005A6F01" w:rsidP="005A6F01">
              <w:pPr>
                <w:pStyle w:val="Bibliography"/>
                <w:rPr>
                  <w:noProof/>
                </w:rPr>
              </w:pPr>
              <w:r>
                <w:rPr>
                  <w:noProof/>
                </w:rPr>
                <w:lastRenderedPageBreak/>
                <w:t xml:space="preserve">Haydon, 2014. Early Intervention for the Prevention of Offending in Northern Ireland. </w:t>
              </w:r>
              <w:r>
                <w:rPr>
                  <w:i/>
                  <w:iCs/>
                  <w:noProof/>
                </w:rPr>
                <w:t xml:space="preserve">Youth Justice, </w:t>
              </w:r>
              <w:r>
                <w:rPr>
                  <w:noProof/>
                </w:rPr>
                <w:t>14(3), pp. 226-240.</w:t>
              </w:r>
            </w:p>
            <w:p w14:paraId="26CD4097" w14:textId="77777777" w:rsidR="005A6F01" w:rsidRDefault="005A6F01" w:rsidP="005A6F01">
              <w:pPr>
                <w:pStyle w:val="Bibliography"/>
                <w:rPr>
                  <w:noProof/>
                </w:rPr>
              </w:pPr>
              <w:r>
                <w:rPr>
                  <w:noProof/>
                </w:rPr>
                <w:t xml:space="preserve">Hunt E et al., 2013. TRiM: an Organizational Response to Traumatic Events in Cumbria Constabulary. </w:t>
              </w:r>
              <w:r>
                <w:rPr>
                  <w:i/>
                  <w:iCs/>
                  <w:noProof/>
                </w:rPr>
                <w:t xml:space="preserve">Occupational Medicine, </w:t>
              </w:r>
              <w:r>
                <w:rPr>
                  <w:noProof/>
                </w:rPr>
                <w:t>63(8), pp. 549-555.</w:t>
              </w:r>
            </w:p>
            <w:p w14:paraId="2B33A950" w14:textId="77777777" w:rsidR="005A6F01" w:rsidRDefault="005A6F01" w:rsidP="005A6F01">
              <w:pPr>
                <w:pStyle w:val="Bibliography"/>
                <w:rPr>
                  <w:noProof/>
                </w:rPr>
              </w:pPr>
              <w:r>
                <w:rPr>
                  <w:noProof/>
                </w:rPr>
                <w:t xml:space="preserve">Jefferson, T, 2012. Policing the riots: from Bristol and Brixton to Tottenham, via Toxteth, Handsworth, Etc. </w:t>
              </w:r>
              <w:r>
                <w:rPr>
                  <w:i/>
                  <w:iCs/>
                  <w:noProof/>
                </w:rPr>
                <w:t xml:space="preserve">Criminal Justice Matters, </w:t>
              </w:r>
              <w:r>
                <w:rPr>
                  <w:noProof/>
                </w:rPr>
                <w:t>87(1), pp. 8-9.</w:t>
              </w:r>
            </w:p>
            <w:p w14:paraId="77F339D7" w14:textId="77777777" w:rsidR="005A6F01" w:rsidRDefault="005A6F01" w:rsidP="005A6F01">
              <w:pPr>
                <w:pStyle w:val="Bibliography"/>
                <w:rPr>
                  <w:noProof/>
                </w:rPr>
              </w:pPr>
              <w:r>
                <w:rPr>
                  <w:noProof/>
                </w:rPr>
                <w:t xml:space="preserve">JOHNSTON, L., 2006. Diversifying Police Recruitment? The Deployment of Police Community Support Officers in London. </w:t>
              </w:r>
              <w:r>
                <w:rPr>
                  <w:i/>
                  <w:iCs/>
                  <w:noProof/>
                </w:rPr>
                <w:t xml:space="preserve">The Howard Journal of Criminal Justice, </w:t>
              </w:r>
              <w:r>
                <w:rPr>
                  <w:noProof/>
                </w:rPr>
                <w:t>45(4), pp. 388-402.</w:t>
              </w:r>
            </w:p>
            <w:p w14:paraId="48FED225" w14:textId="77777777" w:rsidR="005A6F01" w:rsidRDefault="005A6F01" w:rsidP="005A6F01">
              <w:pPr>
                <w:pStyle w:val="Bibliography"/>
                <w:rPr>
                  <w:noProof/>
                </w:rPr>
              </w:pPr>
              <w:r>
                <w:rPr>
                  <w:noProof/>
                </w:rPr>
                <w:t xml:space="preserve">Juniper B, White N and Bellamy P, 2010. A new approach to evaluating the well-being of police. </w:t>
              </w:r>
              <w:r>
                <w:rPr>
                  <w:i/>
                  <w:iCs/>
                  <w:noProof/>
                </w:rPr>
                <w:t xml:space="preserve">Occupational Medicine, </w:t>
              </w:r>
              <w:r>
                <w:rPr>
                  <w:noProof/>
                </w:rPr>
                <w:t>60(7), pp. 560-565.</w:t>
              </w:r>
            </w:p>
            <w:p w14:paraId="72D0C05C" w14:textId="77777777" w:rsidR="005A6F01" w:rsidRDefault="005A6F01" w:rsidP="005A6F01">
              <w:pPr>
                <w:pStyle w:val="Bibliography"/>
                <w:rPr>
                  <w:noProof/>
                </w:rPr>
              </w:pPr>
              <w:r>
                <w:rPr>
                  <w:noProof/>
                </w:rPr>
                <w:t xml:space="preserve">Marshall, 2013. Practitioners in the youth justice system: a case study of the youth offending service. </w:t>
              </w:r>
            </w:p>
            <w:p w14:paraId="4D709157" w14:textId="77777777" w:rsidR="005A6F01" w:rsidRDefault="005A6F01" w:rsidP="005A6F01">
              <w:pPr>
                <w:pStyle w:val="Bibliography"/>
                <w:rPr>
                  <w:noProof/>
                </w:rPr>
              </w:pPr>
              <w:r>
                <w:rPr>
                  <w:noProof/>
                </w:rPr>
                <w:t xml:space="preserve">Maxwell et al., 2022. </w:t>
              </w:r>
              <w:r>
                <w:rPr>
                  <w:i/>
                  <w:iCs/>
                  <w:noProof/>
                </w:rPr>
                <w:t xml:space="preserve">Serious Organised Crime Early Intervention Service. </w:t>
              </w:r>
              <w:r>
                <w:rPr>
                  <w:noProof/>
                </w:rPr>
                <w:t xml:space="preserve">[Online] </w:t>
              </w:r>
              <w:r>
                <w:rPr>
                  <w:noProof/>
                </w:rPr>
                <w:br/>
                <w:t xml:space="preserve">Available at: </w:t>
              </w:r>
              <w:r>
                <w:rPr>
                  <w:noProof/>
                  <w:u w:val="single"/>
                </w:rPr>
                <w:t>https://orca.cardiff.ac.uk/id/eprint/161316/</w:t>
              </w:r>
              <w:r>
                <w:rPr>
                  <w:noProof/>
                </w:rPr>
                <w:br/>
                <w:t>[Accessed 5 January 2025].</w:t>
              </w:r>
            </w:p>
            <w:p w14:paraId="7284A3A0" w14:textId="77777777" w:rsidR="005A6F01" w:rsidRDefault="005A6F01" w:rsidP="005A6F01">
              <w:pPr>
                <w:pStyle w:val="Bibliography"/>
                <w:rPr>
                  <w:noProof/>
                </w:rPr>
              </w:pPr>
              <w:r>
                <w:rPr>
                  <w:noProof/>
                </w:rPr>
                <w:t xml:space="preserve">McEwan, 2018. </w:t>
              </w:r>
              <w:r>
                <w:rPr>
                  <w:i/>
                  <w:iCs/>
                  <w:noProof/>
                </w:rPr>
                <w:t xml:space="preserve">Diverting Children and Young People from Serious and Organised Crime (SOC). </w:t>
              </w:r>
              <w:r>
                <w:rPr>
                  <w:noProof/>
                </w:rPr>
                <w:t xml:space="preserve">[Online] </w:t>
              </w:r>
              <w:r>
                <w:rPr>
                  <w:noProof/>
                </w:rPr>
                <w:br/>
                <w:t xml:space="preserve">Available at: </w:t>
              </w:r>
              <w:r>
                <w:rPr>
                  <w:noProof/>
                  <w:u w:val="single"/>
                </w:rPr>
                <w:t>https://strathprints.strath.ac.uk/68063/</w:t>
              </w:r>
              <w:r>
                <w:rPr>
                  <w:noProof/>
                </w:rPr>
                <w:br/>
                <w:t>[Accessed 5 January 2025].</w:t>
              </w:r>
            </w:p>
            <w:p w14:paraId="658615FA" w14:textId="77777777" w:rsidR="005A6F01" w:rsidRDefault="005A6F01" w:rsidP="005A6F01">
              <w:pPr>
                <w:pStyle w:val="Bibliography"/>
                <w:rPr>
                  <w:noProof/>
                </w:rPr>
              </w:pPr>
              <w:r>
                <w:rPr>
                  <w:noProof/>
                </w:rPr>
                <w:t xml:space="preserve">Mental Health in the Police - PMAC, 2024. </w:t>
              </w:r>
              <w:r>
                <w:rPr>
                  <w:i/>
                  <w:iCs/>
                  <w:noProof/>
                </w:rPr>
                <w:t xml:space="preserve">Mental Health in the Police. </w:t>
              </w:r>
              <w:r>
                <w:rPr>
                  <w:noProof/>
                </w:rPr>
                <w:t xml:space="preserve">[Online] </w:t>
              </w:r>
              <w:r>
                <w:rPr>
                  <w:noProof/>
                </w:rPr>
                <w:br/>
                <w:t xml:space="preserve">Available at: </w:t>
              </w:r>
              <w:r>
                <w:rPr>
                  <w:noProof/>
                  <w:u w:val="single"/>
                </w:rPr>
                <w:t>https://pmac.uk/resources/mental-health/mental-health-in-the-police/</w:t>
              </w:r>
              <w:r>
                <w:rPr>
                  <w:noProof/>
                </w:rPr>
                <w:br/>
                <w:t>[Accessed 5 January 2025].</w:t>
              </w:r>
            </w:p>
            <w:p w14:paraId="6406048A" w14:textId="77777777" w:rsidR="005A6F01" w:rsidRDefault="005A6F01" w:rsidP="005A6F01">
              <w:pPr>
                <w:pStyle w:val="Bibliography"/>
                <w:rPr>
                  <w:noProof/>
                </w:rPr>
              </w:pPr>
              <w:r>
                <w:rPr>
                  <w:noProof/>
                </w:rPr>
                <w:t xml:space="preserve">Miller, J. e. a., 2020. Can Police Training Reduce ethnic/racial Disparities in Stop and search? Evidence from a Multisite UK Trial. </w:t>
              </w:r>
              <w:r>
                <w:rPr>
                  <w:i/>
                  <w:iCs/>
                  <w:noProof/>
                </w:rPr>
                <w:t xml:space="preserve">Criminology &amp; Public Policy, </w:t>
              </w:r>
              <w:r>
                <w:rPr>
                  <w:noProof/>
                </w:rPr>
                <w:t>19(4).</w:t>
              </w:r>
            </w:p>
            <w:p w14:paraId="55E9117A" w14:textId="77777777" w:rsidR="005A6F01" w:rsidRDefault="005A6F01" w:rsidP="005A6F01">
              <w:pPr>
                <w:pStyle w:val="Bibliography"/>
                <w:rPr>
                  <w:noProof/>
                </w:rPr>
              </w:pPr>
              <w:r>
                <w:rPr>
                  <w:noProof/>
                </w:rPr>
                <w:t xml:space="preserve">Murphy, K. a. C. A., 2012. Understanding Cooperation With Police in a Diverse Society. </w:t>
              </w:r>
              <w:r>
                <w:rPr>
                  <w:i/>
                  <w:iCs/>
                  <w:noProof/>
                </w:rPr>
                <w:t xml:space="preserve">The British Journal of Criminology, </w:t>
              </w:r>
              <w:r>
                <w:rPr>
                  <w:noProof/>
                </w:rPr>
                <w:t>52(1), pp. 181-201.</w:t>
              </w:r>
            </w:p>
            <w:p w14:paraId="69504C03" w14:textId="77777777" w:rsidR="005A6F01" w:rsidRDefault="005A6F01" w:rsidP="005A6F01">
              <w:pPr>
                <w:pStyle w:val="Bibliography"/>
                <w:rPr>
                  <w:noProof/>
                </w:rPr>
              </w:pPr>
              <w:r>
                <w:rPr>
                  <w:noProof/>
                </w:rPr>
                <w:t xml:space="preserve">Newell et al., 2021. Police staff and mental health: barriers and recommendations for improving help-seeking. </w:t>
              </w:r>
              <w:r>
                <w:rPr>
                  <w:i/>
                  <w:iCs/>
                  <w:noProof/>
                </w:rPr>
                <w:t xml:space="preserve">Police Practice and Research, </w:t>
              </w:r>
              <w:r>
                <w:rPr>
                  <w:noProof/>
                </w:rPr>
                <w:t>23(1), pp. 1-15.</w:t>
              </w:r>
            </w:p>
            <w:p w14:paraId="4880EEFF" w14:textId="77777777" w:rsidR="005A6F01" w:rsidRDefault="005A6F01" w:rsidP="005A6F01">
              <w:pPr>
                <w:pStyle w:val="Bibliography"/>
                <w:rPr>
                  <w:noProof/>
                </w:rPr>
              </w:pPr>
              <w:r>
                <w:rPr>
                  <w:noProof/>
                </w:rPr>
                <w:t xml:space="preserve">O’Hagan and Edmundson, 2021. County lines: the exploitation of vulnerable members of society. </w:t>
              </w:r>
              <w:r>
                <w:rPr>
                  <w:i/>
                  <w:iCs/>
                  <w:noProof/>
                </w:rPr>
                <w:t xml:space="preserve">Forensic Research &amp; Criminology International Journal, </w:t>
              </w:r>
              <w:r>
                <w:rPr>
                  <w:noProof/>
                </w:rPr>
                <w:t>9(2), pp. 47-57.</w:t>
              </w:r>
            </w:p>
            <w:p w14:paraId="155D99A9" w14:textId="77777777" w:rsidR="005A6F01" w:rsidRDefault="005A6F01" w:rsidP="005A6F01">
              <w:pPr>
                <w:pStyle w:val="Bibliography"/>
                <w:rPr>
                  <w:noProof/>
                </w:rPr>
              </w:pPr>
              <w:r>
                <w:rPr>
                  <w:noProof/>
                </w:rPr>
                <w:t xml:space="preserve">Oscar Kilo, 2024. </w:t>
              </w:r>
              <w:r>
                <w:rPr>
                  <w:i/>
                  <w:iCs/>
                  <w:noProof/>
                </w:rPr>
                <w:t xml:space="preserve">Blue Light Wellbeing Framework (BLWF), Oscar Kilo. </w:t>
              </w:r>
              <w:r>
                <w:rPr>
                  <w:noProof/>
                </w:rPr>
                <w:t xml:space="preserve">[Online] </w:t>
              </w:r>
              <w:r>
                <w:rPr>
                  <w:noProof/>
                </w:rPr>
                <w:br/>
                <w:t xml:space="preserve">Available at: </w:t>
              </w:r>
              <w:r>
                <w:rPr>
                  <w:noProof/>
                  <w:u w:val="single"/>
                </w:rPr>
                <w:t>https://www.oscarkilo.org.uk/blue-light-wellbeing-framework-blwf</w:t>
              </w:r>
              <w:r>
                <w:rPr>
                  <w:noProof/>
                </w:rPr>
                <w:br/>
                <w:t>[Accessed 5 January 2025].</w:t>
              </w:r>
            </w:p>
            <w:p w14:paraId="42DCA6E3" w14:textId="77777777" w:rsidR="005A6F01" w:rsidRDefault="005A6F01" w:rsidP="005A6F01">
              <w:pPr>
                <w:pStyle w:val="Bibliography"/>
                <w:rPr>
                  <w:noProof/>
                </w:rPr>
              </w:pPr>
              <w:r>
                <w:rPr>
                  <w:noProof/>
                </w:rPr>
                <w:t xml:space="preserve">PACE: A Practical Guide to the Police and Criminal Evidence Act 1984, 2019. </w:t>
              </w:r>
              <w:r>
                <w:rPr>
                  <w:i/>
                  <w:iCs/>
                  <w:noProof/>
                </w:rPr>
                <w:t xml:space="preserve">PACE: A Practical Guide to the Police and Criminal Evidence Act 1984. </w:t>
              </w:r>
              <w:r>
                <w:rPr>
                  <w:noProof/>
                </w:rPr>
                <w:t xml:space="preserve">[Online] </w:t>
              </w:r>
              <w:r>
                <w:rPr>
                  <w:noProof/>
                </w:rPr>
                <w:br/>
                <w:t xml:space="preserve">Available at: </w:t>
              </w:r>
              <w:r>
                <w:rPr>
                  <w:noProof/>
                  <w:u w:val="single"/>
                </w:rPr>
                <w:t>https://books.google.co.uk/books?hl=en&amp;lr=&amp;id=WRiMDwAAQBAJ&amp;oi=fnd&amp;pg=PR17&amp;dq=PACE+1984&amp;ots=Eh2stxQiOJ&amp;sig=SjwzqxAmN0jRMk-6IqWbbakMsNg#v=onepage&amp;q=PACE%201984&amp;f=false</w:t>
              </w:r>
              <w:r>
                <w:rPr>
                  <w:noProof/>
                </w:rPr>
                <w:br/>
                <w:t>[Accessed 05 January 2025].</w:t>
              </w:r>
            </w:p>
            <w:p w14:paraId="25FB18AD" w14:textId="77777777" w:rsidR="005A6F01" w:rsidRDefault="005A6F01" w:rsidP="005A6F01">
              <w:pPr>
                <w:pStyle w:val="Bibliography"/>
                <w:rPr>
                  <w:noProof/>
                </w:rPr>
              </w:pPr>
              <w:r>
                <w:rPr>
                  <w:noProof/>
                </w:rPr>
                <w:lastRenderedPageBreak/>
                <w:t xml:space="preserve">Phythian et al., 2021. Organisational and individual perspectives of police wellbeing in England and Wales. </w:t>
              </w:r>
              <w:r>
                <w:rPr>
                  <w:i/>
                  <w:iCs/>
                  <w:noProof/>
                </w:rPr>
                <w:t xml:space="preserve">The Police Journal: Theory, Practice and Principles, </w:t>
              </w:r>
              <w:r>
                <w:rPr>
                  <w:noProof/>
                </w:rPr>
                <w:t>96(1), pp. 3-178.</w:t>
              </w:r>
            </w:p>
            <w:p w14:paraId="2CEE5FE5" w14:textId="77777777" w:rsidR="005A6F01" w:rsidRDefault="005A6F01" w:rsidP="005A6F01">
              <w:pPr>
                <w:pStyle w:val="Bibliography"/>
                <w:rPr>
                  <w:noProof/>
                </w:rPr>
              </w:pPr>
              <w:r>
                <w:rPr>
                  <w:noProof/>
                </w:rPr>
                <w:t xml:space="preserve">Pickles, J., 2022. Diversity in the criminal justice system. </w:t>
              </w:r>
              <w:r>
                <w:rPr>
                  <w:i/>
                  <w:iCs/>
                  <w:noProof/>
                </w:rPr>
                <w:t xml:space="preserve">Routledge eBooks, </w:t>
              </w:r>
              <w:r>
                <w:rPr>
                  <w:noProof/>
                </w:rPr>
                <w:t>pp. 121-140.</w:t>
              </w:r>
            </w:p>
            <w:p w14:paraId="4FE18CC3" w14:textId="77777777" w:rsidR="005A6F01" w:rsidRDefault="005A6F01" w:rsidP="005A6F01">
              <w:pPr>
                <w:pStyle w:val="Bibliography"/>
                <w:rPr>
                  <w:noProof/>
                </w:rPr>
              </w:pPr>
              <w:r>
                <w:rPr>
                  <w:noProof/>
                </w:rPr>
                <w:t xml:space="preserve">Police, Metropolitan, 2023. </w:t>
              </w:r>
              <w:r>
                <w:rPr>
                  <w:i/>
                  <w:iCs/>
                  <w:noProof/>
                </w:rPr>
                <w:t xml:space="preserve">Rates of Police Leavers. </w:t>
              </w:r>
              <w:r>
                <w:rPr>
                  <w:noProof/>
                </w:rPr>
                <w:t xml:space="preserve">[Online] </w:t>
              </w:r>
              <w:r>
                <w:rPr>
                  <w:noProof/>
                </w:rPr>
                <w:br/>
                <w:t xml:space="preserve">Available at: </w:t>
              </w:r>
              <w:r>
                <w:rPr>
                  <w:noProof/>
                  <w:u w:val="single"/>
                </w:rPr>
                <w:t>https://www.met.police.uk/foi-ai/metropolitan-police/disclosure-2023/december-2023/rates-of-police-leavers/</w:t>
              </w:r>
              <w:r>
                <w:rPr>
                  <w:noProof/>
                </w:rPr>
                <w:br/>
                <w:t>[Accessed 25 November 2024].</w:t>
              </w:r>
            </w:p>
            <w:p w14:paraId="1AE1F400" w14:textId="77777777" w:rsidR="005A6F01" w:rsidRDefault="005A6F01" w:rsidP="005A6F01">
              <w:pPr>
                <w:pStyle w:val="Bibliography"/>
                <w:rPr>
                  <w:noProof/>
                </w:rPr>
              </w:pPr>
              <w:r>
                <w:rPr>
                  <w:noProof/>
                </w:rPr>
                <w:t xml:space="preserve">Purba A, and Demou E, 2019. The relationship between organisational stressors and mental wellbeing within police officers: A systematic review. </w:t>
              </w:r>
              <w:r>
                <w:rPr>
                  <w:i/>
                  <w:iCs/>
                  <w:noProof/>
                </w:rPr>
                <w:t xml:space="preserve">BMC Public Health, </w:t>
              </w:r>
              <w:r>
                <w:rPr>
                  <w:noProof/>
                </w:rPr>
                <w:t>19(1), p. 21.</w:t>
              </w:r>
            </w:p>
            <w:p w14:paraId="695A71B3" w14:textId="77777777" w:rsidR="005A6F01" w:rsidRDefault="005A6F01" w:rsidP="005A6F01">
              <w:pPr>
                <w:pStyle w:val="Bibliography"/>
                <w:rPr>
                  <w:noProof/>
                </w:rPr>
              </w:pPr>
              <w:r>
                <w:rPr>
                  <w:noProof/>
                </w:rPr>
                <w:t xml:space="preserve">Skogan, W., 2006. Asymmetry in the Impact of Encounters with Police. </w:t>
              </w:r>
              <w:r>
                <w:rPr>
                  <w:i/>
                  <w:iCs/>
                  <w:noProof/>
                </w:rPr>
                <w:t xml:space="preserve">Policing and Society, </w:t>
              </w:r>
              <w:r>
                <w:rPr>
                  <w:noProof/>
                </w:rPr>
                <w:t>16(2), pp. 99-126.</w:t>
              </w:r>
            </w:p>
            <w:p w14:paraId="4DC8C7BA" w14:textId="77777777" w:rsidR="005A6F01" w:rsidRDefault="005A6F01" w:rsidP="005A6F01">
              <w:pPr>
                <w:pStyle w:val="Bibliography"/>
                <w:rPr>
                  <w:noProof/>
                </w:rPr>
              </w:pPr>
              <w:r>
                <w:rPr>
                  <w:noProof/>
                </w:rPr>
                <w:t xml:space="preserve">Soppitt and Irving, 2011. </w:t>
              </w:r>
              <w:r>
                <w:rPr>
                  <w:i/>
                  <w:iCs/>
                  <w:noProof/>
                </w:rPr>
                <w:t xml:space="preserve">An Evaluation into the Effectiveness of the Early Diversion Intervention ‘Triage’ as a Mechanism for Tackling Youth Offending in Newcastle Upon Tyne, </w:t>
              </w:r>
              <w:r>
                <w:rPr>
                  <w:noProof/>
                </w:rPr>
                <w:t>Northumbria University: School of Arts and Social Sciences.</w:t>
              </w:r>
            </w:p>
            <w:p w14:paraId="2AA31366" w14:textId="77777777" w:rsidR="005A6F01" w:rsidRDefault="005A6F01" w:rsidP="005A6F01">
              <w:pPr>
                <w:pStyle w:val="Bibliography"/>
                <w:rPr>
                  <w:noProof/>
                </w:rPr>
              </w:pPr>
              <w:r>
                <w:rPr>
                  <w:noProof/>
                </w:rPr>
                <w:t xml:space="preserve">Stogner, Miller and McLean, 2020. Police Stress, Mental Health, and Resiliency during the COVID-19 Pandemic. </w:t>
              </w:r>
              <w:r>
                <w:rPr>
                  <w:i/>
                  <w:iCs/>
                  <w:noProof/>
                </w:rPr>
                <w:t xml:space="preserve">American Journal of Criminal Jusitce, </w:t>
              </w:r>
              <w:r>
                <w:rPr>
                  <w:noProof/>
                </w:rPr>
                <w:t>45(4), pp. 718-730.</w:t>
              </w:r>
            </w:p>
            <w:p w14:paraId="4D2BE7F3" w14:textId="77777777" w:rsidR="005A6F01" w:rsidRDefault="005A6F01" w:rsidP="005A6F01">
              <w:pPr>
                <w:pStyle w:val="Bibliography"/>
                <w:rPr>
                  <w:noProof/>
                </w:rPr>
              </w:pPr>
              <w:r>
                <w:rPr>
                  <w:noProof/>
                </w:rPr>
                <w:t xml:space="preserve">van Ewijk, A.R., 2007. Diversity within Police Forces in Europe: A Case for the Comprehensive View. </w:t>
              </w:r>
              <w:r>
                <w:rPr>
                  <w:i/>
                  <w:iCs/>
                  <w:noProof/>
                </w:rPr>
                <w:t xml:space="preserve">Policing, </w:t>
              </w:r>
              <w:r>
                <w:rPr>
                  <w:noProof/>
                </w:rPr>
                <w:t>6(1), pp. 76-92.</w:t>
              </w:r>
            </w:p>
            <w:p w14:paraId="286E4273" w14:textId="77777777" w:rsidR="005A6F01" w:rsidRDefault="005A6F01" w:rsidP="005A6F01">
              <w:pPr>
                <w:pStyle w:val="Bibliography"/>
                <w:rPr>
                  <w:noProof/>
                </w:rPr>
              </w:pPr>
              <w:r>
                <w:rPr>
                  <w:noProof/>
                </w:rPr>
                <w:t xml:space="preserve">Verfaillie and Vander Beken, 2008. Proactive policing and the assessment of organised crime. </w:t>
              </w:r>
              <w:r>
                <w:rPr>
                  <w:i/>
                  <w:iCs/>
                  <w:noProof/>
                </w:rPr>
                <w:t xml:space="preserve">Policing: An International Journal of Police Strategies &amp; Management, </w:t>
              </w:r>
              <w:r>
                <w:rPr>
                  <w:noProof/>
                </w:rPr>
                <w:t>31(4), pp. 534-552.</w:t>
              </w:r>
            </w:p>
            <w:p w14:paraId="28F80235" w14:textId="77777777" w:rsidR="005A6F01" w:rsidRDefault="005A6F01" w:rsidP="005A6F01">
              <w:pPr>
                <w:pStyle w:val="Bibliography"/>
                <w:rPr>
                  <w:noProof/>
                </w:rPr>
              </w:pPr>
              <w:r>
                <w:rPr>
                  <w:noProof/>
                </w:rPr>
                <w:t xml:space="preserve">Waters, I. et al., 2007. Ethnic Minorities and the Challenge of Police Recruitment. </w:t>
              </w:r>
              <w:r>
                <w:rPr>
                  <w:i/>
                  <w:iCs/>
                  <w:noProof/>
                </w:rPr>
                <w:t xml:space="preserve">The Police Journal: Theory, Practice and Principles, </w:t>
              </w:r>
              <w:r>
                <w:rPr>
                  <w:noProof/>
                </w:rPr>
                <w:t>80(3), pp. 191-216.</w:t>
              </w:r>
            </w:p>
            <w:p w14:paraId="4D796938" w14:textId="77777777" w:rsidR="005A6F01" w:rsidRDefault="005A6F01" w:rsidP="005A6F01">
              <w:pPr>
                <w:pStyle w:val="Bibliography"/>
                <w:rPr>
                  <w:noProof/>
                </w:rPr>
              </w:pPr>
              <w:r>
                <w:rPr>
                  <w:noProof/>
                </w:rPr>
                <w:t xml:space="preserve">Wood, Tonry, and Farrington, 1996. Building a Safer Society: Strategic Approaches to Crime Prevention. </w:t>
              </w:r>
              <w:r>
                <w:rPr>
                  <w:i/>
                  <w:iCs/>
                  <w:noProof/>
                </w:rPr>
                <w:t xml:space="preserve">Contemporary Sociology, </w:t>
              </w:r>
              <w:r>
                <w:rPr>
                  <w:noProof/>
                </w:rPr>
                <w:t>25(5).</w:t>
              </w:r>
            </w:p>
            <w:p w14:paraId="33F6AB17" w14:textId="516B09A4" w:rsidR="005A6F01" w:rsidRDefault="005A6F01" w:rsidP="005A6F01">
              <w:r>
                <w:rPr>
                  <w:b/>
                  <w:bCs/>
                  <w:noProof/>
                </w:rPr>
                <w:fldChar w:fldCharType="end"/>
              </w:r>
            </w:p>
          </w:sdtContent>
        </w:sdt>
      </w:sdtContent>
    </w:sdt>
    <w:p w14:paraId="24F4F6F4" w14:textId="77777777" w:rsidR="005A6F01" w:rsidRDefault="005A6F01" w:rsidP="00453A96"/>
    <w:sectPr w:rsidR="005A6F0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E0D02D" w14:textId="77777777" w:rsidR="000F50D5" w:rsidRDefault="000F50D5" w:rsidP="000F50D5">
      <w:pPr>
        <w:spacing w:after="0" w:line="240" w:lineRule="auto"/>
      </w:pPr>
      <w:r>
        <w:separator/>
      </w:r>
    </w:p>
  </w:endnote>
  <w:endnote w:type="continuationSeparator" w:id="0">
    <w:p w14:paraId="75474636" w14:textId="77777777" w:rsidR="000F50D5" w:rsidRDefault="000F50D5" w:rsidP="000F5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2913063"/>
      <w:docPartObj>
        <w:docPartGallery w:val="Page Numbers (Bottom of Page)"/>
        <w:docPartUnique/>
      </w:docPartObj>
    </w:sdtPr>
    <w:sdtEndPr>
      <w:rPr>
        <w:color w:val="7F7F7F" w:themeColor="background1" w:themeShade="7F"/>
        <w:spacing w:val="60"/>
      </w:rPr>
    </w:sdtEndPr>
    <w:sdtContent>
      <w:p w14:paraId="32CF79BB" w14:textId="62D6FBE9" w:rsidR="000F50D5" w:rsidRDefault="000F50D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52ADD29" w14:textId="77777777" w:rsidR="000F50D5" w:rsidRDefault="000F50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869B4" w14:textId="77777777" w:rsidR="000F50D5" w:rsidRDefault="000F50D5" w:rsidP="000F50D5">
      <w:pPr>
        <w:spacing w:after="0" w:line="240" w:lineRule="auto"/>
      </w:pPr>
      <w:r>
        <w:separator/>
      </w:r>
    </w:p>
  </w:footnote>
  <w:footnote w:type="continuationSeparator" w:id="0">
    <w:p w14:paraId="34242B8A" w14:textId="77777777" w:rsidR="000F50D5" w:rsidRDefault="000F50D5" w:rsidP="000F50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B30"/>
    <w:rsid w:val="000F50D5"/>
    <w:rsid w:val="0014471B"/>
    <w:rsid w:val="00176E7A"/>
    <w:rsid w:val="001D1EC5"/>
    <w:rsid w:val="001F0C5D"/>
    <w:rsid w:val="002364D7"/>
    <w:rsid w:val="00241B30"/>
    <w:rsid w:val="00453A96"/>
    <w:rsid w:val="00475124"/>
    <w:rsid w:val="005A6F01"/>
    <w:rsid w:val="007D3FD9"/>
    <w:rsid w:val="0082224F"/>
    <w:rsid w:val="009D58DB"/>
    <w:rsid w:val="00B348BD"/>
    <w:rsid w:val="00CC2092"/>
    <w:rsid w:val="00D54B6E"/>
    <w:rsid w:val="00D664D1"/>
    <w:rsid w:val="00E80316"/>
    <w:rsid w:val="00F34A2F"/>
    <w:rsid w:val="00FD05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10ECF"/>
  <w15:chartTrackingRefBased/>
  <w15:docId w15:val="{8EF3525C-284A-4003-8B33-6555F20E2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B30"/>
    <w:pPr>
      <w:suppressAutoHyphens/>
      <w:autoSpaceDN w:val="0"/>
      <w:spacing w:line="254" w:lineRule="auto"/>
    </w:pPr>
    <w:rPr>
      <w:rFonts w:ascii="Aptos" w:eastAsia="Aptos" w:hAnsi="Aptos" w:cs="Times New Roman"/>
      <w:kern w:val="3"/>
      <w14:ligatures w14:val="none"/>
    </w:rPr>
  </w:style>
  <w:style w:type="paragraph" w:styleId="Heading1">
    <w:name w:val="heading 1"/>
    <w:basedOn w:val="Normal"/>
    <w:next w:val="Normal"/>
    <w:link w:val="Heading1Char"/>
    <w:uiPriority w:val="9"/>
    <w:qFormat/>
    <w:rsid w:val="00241B30"/>
    <w:pPr>
      <w:keepNext/>
      <w:keepLines/>
      <w:suppressAutoHyphens w:val="0"/>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241B30"/>
    <w:pPr>
      <w:keepNext/>
      <w:keepLines/>
      <w:suppressAutoHyphens w:val="0"/>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241B30"/>
    <w:pPr>
      <w:keepNext/>
      <w:keepLines/>
      <w:suppressAutoHyphens w:val="0"/>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241B30"/>
    <w:pPr>
      <w:keepNext/>
      <w:keepLines/>
      <w:suppressAutoHyphens w:val="0"/>
      <w:autoSpaceDN/>
      <w:spacing w:before="80" w:after="40" w:line="259"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241B30"/>
    <w:pPr>
      <w:keepNext/>
      <w:keepLines/>
      <w:suppressAutoHyphens w:val="0"/>
      <w:autoSpaceDN/>
      <w:spacing w:before="80" w:after="40" w:line="259"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241B30"/>
    <w:pPr>
      <w:keepNext/>
      <w:keepLines/>
      <w:suppressAutoHyphens w:val="0"/>
      <w:autoSpaceDN/>
      <w:spacing w:before="40" w:after="0" w:line="259"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241B30"/>
    <w:pPr>
      <w:keepNext/>
      <w:keepLines/>
      <w:suppressAutoHyphens w:val="0"/>
      <w:autoSpaceDN/>
      <w:spacing w:before="40" w:after="0" w:line="259"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241B30"/>
    <w:pPr>
      <w:keepNext/>
      <w:keepLines/>
      <w:suppressAutoHyphens w:val="0"/>
      <w:autoSpaceDN/>
      <w:spacing w:after="0" w:line="259"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241B30"/>
    <w:pPr>
      <w:keepNext/>
      <w:keepLines/>
      <w:suppressAutoHyphens w:val="0"/>
      <w:autoSpaceDN/>
      <w:spacing w:after="0" w:line="259"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1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1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1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1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1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1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1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1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1B30"/>
    <w:rPr>
      <w:rFonts w:eastAsiaTheme="majorEastAsia" w:cstheme="majorBidi"/>
      <w:color w:val="272727" w:themeColor="text1" w:themeTint="D8"/>
    </w:rPr>
  </w:style>
  <w:style w:type="paragraph" w:styleId="Title">
    <w:name w:val="Title"/>
    <w:basedOn w:val="Normal"/>
    <w:next w:val="Normal"/>
    <w:link w:val="TitleChar"/>
    <w:uiPriority w:val="10"/>
    <w:qFormat/>
    <w:rsid w:val="00241B30"/>
    <w:pPr>
      <w:suppressAutoHyphens w:val="0"/>
      <w:autoSpaceDN/>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241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1B30"/>
    <w:pPr>
      <w:numPr>
        <w:ilvl w:val="1"/>
      </w:numPr>
      <w:suppressAutoHyphens w:val="0"/>
      <w:autoSpaceDN/>
      <w:spacing w:line="259"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241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1B30"/>
    <w:pPr>
      <w:suppressAutoHyphens w:val="0"/>
      <w:autoSpaceDN/>
      <w:spacing w:before="160" w:line="259"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241B30"/>
    <w:rPr>
      <w:i/>
      <w:iCs/>
      <w:color w:val="404040" w:themeColor="text1" w:themeTint="BF"/>
    </w:rPr>
  </w:style>
  <w:style w:type="paragraph" w:styleId="ListParagraph">
    <w:name w:val="List Paragraph"/>
    <w:basedOn w:val="Normal"/>
    <w:uiPriority w:val="34"/>
    <w:qFormat/>
    <w:rsid w:val="00241B30"/>
    <w:pPr>
      <w:suppressAutoHyphens w:val="0"/>
      <w:autoSpaceDN/>
      <w:spacing w:line="259"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241B30"/>
    <w:rPr>
      <w:i/>
      <w:iCs/>
      <w:color w:val="0F4761" w:themeColor="accent1" w:themeShade="BF"/>
    </w:rPr>
  </w:style>
  <w:style w:type="paragraph" w:styleId="IntenseQuote">
    <w:name w:val="Intense Quote"/>
    <w:basedOn w:val="Normal"/>
    <w:next w:val="Normal"/>
    <w:link w:val="IntenseQuoteChar"/>
    <w:uiPriority w:val="30"/>
    <w:qFormat/>
    <w:rsid w:val="00241B30"/>
    <w:pPr>
      <w:pBdr>
        <w:top w:val="single" w:sz="4" w:space="10" w:color="0F4761" w:themeColor="accent1" w:themeShade="BF"/>
        <w:bottom w:val="single" w:sz="4" w:space="10" w:color="0F4761" w:themeColor="accent1" w:themeShade="BF"/>
      </w:pBdr>
      <w:suppressAutoHyphens w:val="0"/>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241B30"/>
    <w:rPr>
      <w:i/>
      <w:iCs/>
      <w:color w:val="0F4761" w:themeColor="accent1" w:themeShade="BF"/>
    </w:rPr>
  </w:style>
  <w:style w:type="character" w:styleId="IntenseReference">
    <w:name w:val="Intense Reference"/>
    <w:basedOn w:val="DefaultParagraphFont"/>
    <w:uiPriority w:val="32"/>
    <w:qFormat/>
    <w:rsid w:val="00241B30"/>
    <w:rPr>
      <w:b/>
      <w:bCs/>
      <w:smallCaps/>
      <w:color w:val="0F4761" w:themeColor="accent1" w:themeShade="BF"/>
      <w:spacing w:val="5"/>
    </w:rPr>
  </w:style>
  <w:style w:type="paragraph" w:styleId="Header">
    <w:name w:val="header"/>
    <w:basedOn w:val="Normal"/>
    <w:link w:val="HeaderChar"/>
    <w:uiPriority w:val="99"/>
    <w:unhideWhenUsed/>
    <w:rsid w:val="000F5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0D5"/>
    <w:rPr>
      <w:rFonts w:ascii="Aptos" w:eastAsia="Aptos" w:hAnsi="Aptos" w:cs="Times New Roman"/>
      <w:kern w:val="3"/>
      <w14:ligatures w14:val="none"/>
    </w:rPr>
  </w:style>
  <w:style w:type="paragraph" w:styleId="Footer">
    <w:name w:val="footer"/>
    <w:basedOn w:val="Normal"/>
    <w:link w:val="FooterChar"/>
    <w:uiPriority w:val="99"/>
    <w:unhideWhenUsed/>
    <w:rsid w:val="000F5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0D5"/>
    <w:rPr>
      <w:rFonts w:ascii="Aptos" w:eastAsia="Aptos" w:hAnsi="Aptos" w:cs="Times New Roman"/>
      <w:kern w:val="3"/>
      <w14:ligatures w14:val="none"/>
    </w:rPr>
  </w:style>
  <w:style w:type="paragraph" w:styleId="Bibliography">
    <w:name w:val="Bibliography"/>
    <w:basedOn w:val="Normal"/>
    <w:next w:val="Normal"/>
    <w:uiPriority w:val="37"/>
    <w:unhideWhenUsed/>
    <w:rsid w:val="005A6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451256">
      <w:bodyDiv w:val="1"/>
      <w:marLeft w:val="0"/>
      <w:marRight w:val="0"/>
      <w:marTop w:val="0"/>
      <w:marBottom w:val="0"/>
      <w:divBdr>
        <w:top w:val="none" w:sz="0" w:space="0" w:color="auto"/>
        <w:left w:val="none" w:sz="0" w:space="0" w:color="auto"/>
        <w:bottom w:val="none" w:sz="0" w:space="0" w:color="auto"/>
        <w:right w:val="none" w:sz="0" w:space="0" w:color="auto"/>
      </w:divBdr>
    </w:div>
    <w:div w:id="122385088">
      <w:bodyDiv w:val="1"/>
      <w:marLeft w:val="0"/>
      <w:marRight w:val="0"/>
      <w:marTop w:val="0"/>
      <w:marBottom w:val="0"/>
      <w:divBdr>
        <w:top w:val="none" w:sz="0" w:space="0" w:color="auto"/>
        <w:left w:val="none" w:sz="0" w:space="0" w:color="auto"/>
        <w:bottom w:val="none" w:sz="0" w:space="0" w:color="auto"/>
        <w:right w:val="none" w:sz="0" w:space="0" w:color="auto"/>
      </w:divBdr>
    </w:div>
    <w:div w:id="218639572">
      <w:bodyDiv w:val="1"/>
      <w:marLeft w:val="0"/>
      <w:marRight w:val="0"/>
      <w:marTop w:val="0"/>
      <w:marBottom w:val="0"/>
      <w:divBdr>
        <w:top w:val="none" w:sz="0" w:space="0" w:color="auto"/>
        <w:left w:val="none" w:sz="0" w:space="0" w:color="auto"/>
        <w:bottom w:val="none" w:sz="0" w:space="0" w:color="auto"/>
        <w:right w:val="none" w:sz="0" w:space="0" w:color="auto"/>
      </w:divBdr>
    </w:div>
    <w:div w:id="241068321">
      <w:bodyDiv w:val="1"/>
      <w:marLeft w:val="0"/>
      <w:marRight w:val="0"/>
      <w:marTop w:val="0"/>
      <w:marBottom w:val="0"/>
      <w:divBdr>
        <w:top w:val="none" w:sz="0" w:space="0" w:color="auto"/>
        <w:left w:val="none" w:sz="0" w:space="0" w:color="auto"/>
        <w:bottom w:val="none" w:sz="0" w:space="0" w:color="auto"/>
        <w:right w:val="none" w:sz="0" w:space="0" w:color="auto"/>
      </w:divBdr>
    </w:div>
    <w:div w:id="256212360">
      <w:bodyDiv w:val="1"/>
      <w:marLeft w:val="0"/>
      <w:marRight w:val="0"/>
      <w:marTop w:val="0"/>
      <w:marBottom w:val="0"/>
      <w:divBdr>
        <w:top w:val="none" w:sz="0" w:space="0" w:color="auto"/>
        <w:left w:val="none" w:sz="0" w:space="0" w:color="auto"/>
        <w:bottom w:val="none" w:sz="0" w:space="0" w:color="auto"/>
        <w:right w:val="none" w:sz="0" w:space="0" w:color="auto"/>
      </w:divBdr>
    </w:div>
    <w:div w:id="259217966">
      <w:bodyDiv w:val="1"/>
      <w:marLeft w:val="0"/>
      <w:marRight w:val="0"/>
      <w:marTop w:val="0"/>
      <w:marBottom w:val="0"/>
      <w:divBdr>
        <w:top w:val="none" w:sz="0" w:space="0" w:color="auto"/>
        <w:left w:val="none" w:sz="0" w:space="0" w:color="auto"/>
        <w:bottom w:val="none" w:sz="0" w:space="0" w:color="auto"/>
        <w:right w:val="none" w:sz="0" w:space="0" w:color="auto"/>
      </w:divBdr>
    </w:div>
    <w:div w:id="319818805">
      <w:bodyDiv w:val="1"/>
      <w:marLeft w:val="0"/>
      <w:marRight w:val="0"/>
      <w:marTop w:val="0"/>
      <w:marBottom w:val="0"/>
      <w:divBdr>
        <w:top w:val="none" w:sz="0" w:space="0" w:color="auto"/>
        <w:left w:val="none" w:sz="0" w:space="0" w:color="auto"/>
        <w:bottom w:val="none" w:sz="0" w:space="0" w:color="auto"/>
        <w:right w:val="none" w:sz="0" w:space="0" w:color="auto"/>
      </w:divBdr>
    </w:div>
    <w:div w:id="380371262">
      <w:bodyDiv w:val="1"/>
      <w:marLeft w:val="0"/>
      <w:marRight w:val="0"/>
      <w:marTop w:val="0"/>
      <w:marBottom w:val="0"/>
      <w:divBdr>
        <w:top w:val="none" w:sz="0" w:space="0" w:color="auto"/>
        <w:left w:val="none" w:sz="0" w:space="0" w:color="auto"/>
        <w:bottom w:val="none" w:sz="0" w:space="0" w:color="auto"/>
        <w:right w:val="none" w:sz="0" w:space="0" w:color="auto"/>
      </w:divBdr>
    </w:div>
    <w:div w:id="420369882">
      <w:bodyDiv w:val="1"/>
      <w:marLeft w:val="0"/>
      <w:marRight w:val="0"/>
      <w:marTop w:val="0"/>
      <w:marBottom w:val="0"/>
      <w:divBdr>
        <w:top w:val="none" w:sz="0" w:space="0" w:color="auto"/>
        <w:left w:val="none" w:sz="0" w:space="0" w:color="auto"/>
        <w:bottom w:val="none" w:sz="0" w:space="0" w:color="auto"/>
        <w:right w:val="none" w:sz="0" w:space="0" w:color="auto"/>
      </w:divBdr>
    </w:div>
    <w:div w:id="424309765">
      <w:bodyDiv w:val="1"/>
      <w:marLeft w:val="0"/>
      <w:marRight w:val="0"/>
      <w:marTop w:val="0"/>
      <w:marBottom w:val="0"/>
      <w:divBdr>
        <w:top w:val="none" w:sz="0" w:space="0" w:color="auto"/>
        <w:left w:val="none" w:sz="0" w:space="0" w:color="auto"/>
        <w:bottom w:val="none" w:sz="0" w:space="0" w:color="auto"/>
        <w:right w:val="none" w:sz="0" w:space="0" w:color="auto"/>
      </w:divBdr>
    </w:div>
    <w:div w:id="432171280">
      <w:bodyDiv w:val="1"/>
      <w:marLeft w:val="0"/>
      <w:marRight w:val="0"/>
      <w:marTop w:val="0"/>
      <w:marBottom w:val="0"/>
      <w:divBdr>
        <w:top w:val="none" w:sz="0" w:space="0" w:color="auto"/>
        <w:left w:val="none" w:sz="0" w:space="0" w:color="auto"/>
        <w:bottom w:val="none" w:sz="0" w:space="0" w:color="auto"/>
        <w:right w:val="none" w:sz="0" w:space="0" w:color="auto"/>
      </w:divBdr>
    </w:div>
    <w:div w:id="435515095">
      <w:bodyDiv w:val="1"/>
      <w:marLeft w:val="0"/>
      <w:marRight w:val="0"/>
      <w:marTop w:val="0"/>
      <w:marBottom w:val="0"/>
      <w:divBdr>
        <w:top w:val="none" w:sz="0" w:space="0" w:color="auto"/>
        <w:left w:val="none" w:sz="0" w:space="0" w:color="auto"/>
        <w:bottom w:val="none" w:sz="0" w:space="0" w:color="auto"/>
        <w:right w:val="none" w:sz="0" w:space="0" w:color="auto"/>
      </w:divBdr>
    </w:div>
    <w:div w:id="871922673">
      <w:bodyDiv w:val="1"/>
      <w:marLeft w:val="0"/>
      <w:marRight w:val="0"/>
      <w:marTop w:val="0"/>
      <w:marBottom w:val="0"/>
      <w:divBdr>
        <w:top w:val="none" w:sz="0" w:space="0" w:color="auto"/>
        <w:left w:val="none" w:sz="0" w:space="0" w:color="auto"/>
        <w:bottom w:val="none" w:sz="0" w:space="0" w:color="auto"/>
        <w:right w:val="none" w:sz="0" w:space="0" w:color="auto"/>
      </w:divBdr>
    </w:div>
    <w:div w:id="998072536">
      <w:bodyDiv w:val="1"/>
      <w:marLeft w:val="0"/>
      <w:marRight w:val="0"/>
      <w:marTop w:val="0"/>
      <w:marBottom w:val="0"/>
      <w:divBdr>
        <w:top w:val="none" w:sz="0" w:space="0" w:color="auto"/>
        <w:left w:val="none" w:sz="0" w:space="0" w:color="auto"/>
        <w:bottom w:val="none" w:sz="0" w:space="0" w:color="auto"/>
        <w:right w:val="none" w:sz="0" w:space="0" w:color="auto"/>
      </w:divBdr>
    </w:div>
    <w:div w:id="1147698408">
      <w:bodyDiv w:val="1"/>
      <w:marLeft w:val="0"/>
      <w:marRight w:val="0"/>
      <w:marTop w:val="0"/>
      <w:marBottom w:val="0"/>
      <w:divBdr>
        <w:top w:val="none" w:sz="0" w:space="0" w:color="auto"/>
        <w:left w:val="none" w:sz="0" w:space="0" w:color="auto"/>
        <w:bottom w:val="none" w:sz="0" w:space="0" w:color="auto"/>
        <w:right w:val="none" w:sz="0" w:space="0" w:color="auto"/>
      </w:divBdr>
    </w:div>
    <w:div w:id="1301426644">
      <w:bodyDiv w:val="1"/>
      <w:marLeft w:val="0"/>
      <w:marRight w:val="0"/>
      <w:marTop w:val="0"/>
      <w:marBottom w:val="0"/>
      <w:divBdr>
        <w:top w:val="none" w:sz="0" w:space="0" w:color="auto"/>
        <w:left w:val="none" w:sz="0" w:space="0" w:color="auto"/>
        <w:bottom w:val="none" w:sz="0" w:space="0" w:color="auto"/>
        <w:right w:val="none" w:sz="0" w:space="0" w:color="auto"/>
      </w:divBdr>
    </w:div>
    <w:div w:id="1366905039">
      <w:bodyDiv w:val="1"/>
      <w:marLeft w:val="0"/>
      <w:marRight w:val="0"/>
      <w:marTop w:val="0"/>
      <w:marBottom w:val="0"/>
      <w:divBdr>
        <w:top w:val="none" w:sz="0" w:space="0" w:color="auto"/>
        <w:left w:val="none" w:sz="0" w:space="0" w:color="auto"/>
        <w:bottom w:val="none" w:sz="0" w:space="0" w:color="auto"/>
        <w:right w:val="none" w:sz="0" w:space="0" w:color="auto"/>
      </w:divBdr>
    </w:div>
    <w:div w:id="1600874231">
      <w:bodyDiv w:val="1"/>
      <w:marLeft w:val="0"/>
      <w:marRight w:val="0"/>
      <w:marTop w:val="0"/>
      <w:marBottom w:val="0"/>
      <w:divBdr>
        <w:top w:val="none" w:sz="0" w:space="0" w:color="auto"/>
        <w:left w:val="none" w:sz="0" w:space="0" w:color="auto"/>
        <w:bottom w:val="none" w:sz="0" w:space="0" w:color="auto"/>
        <w:right w:val="none" w:sz="0" w:space="0" w:color="auto"/>
      </w:divBdr>
    </w:div>
    <w:div w:id="1620919004">
      <w:bodyDiv w:val="1"/>
      <w:marLeft w:val="0"/>
      <w:marRight w:val="0"/>
      <w:marTop w:val="0"/>
      <w:marBottom w:val="0"/>
      <w:divBdr>
        <w:top w:val="none" w:sz="0" w:space="0" w:color="auto"/>
        <w:left w:val="none" w:sz="0" w:space="0" w:color="auto"/>
        <w:bottom w:val="none" w:sz="0" w:space="0" w:color="auto"/>
        <w:right w:val="none" w:sz="0" w:space="0" w:color="auto"/>
      </w:divBdr>
    </w:div>
    <w:div w:id="1637952944">
      <w:bodyDiv w:val="1"/>
      <w:marLeft w:val="0"/>
      <w:marRight w:val="0"/>
      <w:marTop w:val="0"/>
      <w:marBottom w:val="0"/>
      <w:divBdr>
        <w:top w:val="none" w:sz="0" w:space="0" w:color="auto"/>
        <w:left w:val="none" w:sz="0" w:space="0" w:color="auto"/>
        <w:bottom w:val="none" w:sz="0" w:space="0" w:color="auto"/>
        <w:right w:val="none" w:sz="0" w:space="0" w:color="auto"/>
      </w:divBdr>
    </w:div>
    <w:div w:id="1649624431">
      <w:bodyDiv w:val="1"/>
      <w:marLeft w:val="0"/>
      <w:marRight w:val="0"/>
      <w:marTop w:val="0"/>
      <w:marBottom w:val="0"/>
      <w:divBdr>
        <w:top w:val="none" w:sz="0" w:space="0" w:color="auto"/>
        <w:left w:val="none" w:sz="0" w:space="0" w:color="auto"/>
        <w:bottom w:val="none" w:sz="0" w:space="0" w:color="auto"/>
        <w:right w:val="none" w:sz="0" w:space="0" w:color="auto"/>
      </w:divBdr>
    </w:div>
    <w:div w:id="1737707850">
      <w:bodyDiv w:val="1"/>
      <w:marLeft w:val="0"/>
      <w:marRight w:val="0"/>
      <w:marTop w:val="0"/>
      <w:marBottom w:val="0"/>
      <w:divBdr>
        <w:top w:val="none" w:sz="0" w:space="0" w:color="auto"/>
        <w:left w:val="none" w:sz="0" w:space="0" w:color="auto"/>
        <w:bottom w:val="none" w:sz="0" w:space="0" w:color="auto"/>
        <w:right w:val="none" w:sz="0" w:space="0" w:color="auto"/>
      </w:divBdr>
    </w:div>
    <w:div w:id="1842428153">
      <w:bodyDiv w:val="1"/>
      <w:marLeft w:val="0"/>
      <w:marRight w:val="0"/>
      <w:marTop w:val="0"/>
      <w:marBottom w:val="0"/>
      <w:divBdr>
        <w:top w:val="none" w:sz="0" w:space="0" w:color="auto"/>
        <w:left w:val="none" w:sz="0" w:space="0" w:color="auto"/>
        <w:bottom w:val="none" w:sz="0" w:space="0" w:color="auto"/>
        <w:right w:val="none" w:sz="0" w:space="0" w:color="auto"/>
      </w:divBdr>
    </w:div>
    <w:div w:id="1968192607">
      <w:bodyDiv w:val="1"/>
      <w:marLeft w:val="0"/>
      <w:marRight w:val="0"/>
      <w:marTop w:val="0"/>
      <w:marBottom w:val="0"/>
      <w:divBdr>
        <w:top w:val="none" w:sz="0" w:space="0" w:color="auto"/>
        <w:left w:val="none" w:sz="0" w:space="0" w:color="auto"/>
        <w:bottom w:val="none" w:sz="0" w:space="0" w:color="auto"/>
        <w:right w:val="none" w:sz="0" w:space="0" w:color="auto"/>
      </w:divBdr>
    </w:div>
    <w:div w:id="2116317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Pic22</b:Tag>
    <b:SourceType>JournalArticle</b:SourceType>
    <b:Guid>{AA7359A5-67E9-4EF1-AFA0-ACF267945F74}</b:Guid>
    <b:Title>Diversity in the criminal justice system</b:Title>
    <b:Year>2022</b:Year>
    <b:JournalName>Routledge eBooks</b:JournalName>
    <b:Pages>121-140</b:Pages>
    <b:Author>
      <b:Author>
        <b:NameList>
          <b:Person>
            <b:Last>Pickles</b:Last>
            <b:First>J.O</b:First>
          </b:Person>
        </b:NameList>
      </b:Author>
    </b:Author>
    <b:YearAccessed>2025</b:YearAccessed>
    <b:MonthAccessed>January</b:MonthAccessed>
    <b:DayAccessed>04</b:DayAccessed>
    <b:URL>https://www.taylorfrancis.com/chapters/edit/10.4324/9781003143321-8/diversity-criminal-justice-system-james-pickles</b:URL>
    <b:DOI>https://doi.org/10.4324/9781003143321-8</b:DOI>
    <b:RefOrder>1</b:RefOrder>
  </b:Source>
  <b:Source>
    <b:Tag>Sko06</b:Tag>
    <b:SourceType>JournalArticle</b:SourceType>
    <b:Guid>{B9503BF9-E180-4CE0-8BD5-4B4263535C29}</b:Guid>
    <b:Author>
      <b:Author>
        <b:NameList>
          <b:Person>
            <b:Last>Skogan</b:Last>
            <b:First>W.G.</b:First>
          </b:Person>
        </b:NameList>
      </b:Author>
    </b:Author>
    <b:Title>Asymmetry in the Impact of Encounters with Police</b:Title>
    <b:JournalName>Policing and Society</b:JournalName>
    <b:Year>2006</b:Year>
    <b:Pages>99-126</b:Pages>
    <b:Volume>16</b:Volume>
    <b:Issue>2</b:Issue>
    <b:YearAccessed>2025</b:YearAccessed>
    <b:MonthAccessed>January</b:MonthAccessed>
    <b:DayAccessed>04</b:DayAccessed>
    <b:URL>https://www.tandfonline.com/doi/abs/10.1080/10439460600662098</b:URL>
    <b:DOI>https://doi.org/10.1080/10439460600662098</b:DOI>
    <b:RefOrder>2</b:RefOrder>
  </b:Source>
  <b:Source>
    <b:Tag>van071</b:Tag>
    <b:SourceType>JournalArticle</b:SourceType>
    <b:Guid>{F1DBB690-115C-4D64-B408-F4254B671B80}</b:Guid>
    <b:Author>
      <b:Author>
        <b:Corporate>van Ewijk, A.R.</b:Corporate>
      </b:Author>
    </b:Author>
    <b:Title>Diversity within Police Forces in Europe: A Case for the Comprehensive View</b:Title>
    <b:JournalName>Policing</b:JournalName>
    <b:Year>2007</b:Year>
    <b:Pages>76-92</b:Pages>
    <b:Volume>6</b:Volume>
    <b:Issue>1</b:Issue>
    <b:YearAccessed>2025</b:YearAccessed>
    <b:MonthAccessed>January</b:MonthAccessed>
    <b:DayAccessed>06</b:DayAccessed>
    <b:URL>https://academic.oup.com/policing/article-abstract/6/1/76/1455009</b:URL>
    <b:DOI>https://doi.org/10.1093/police/par048</b:DOI>
    <b:RefOrder>3</b:RefOrder>
  </b:Source>
  <b:Source>
    <b:Tag>Wat071</b:Tag>
    <b:SourceType>JournalArticle</b:SourceType>
    <b:Guid>{82255275-8BC2-4F94-B0B7-911EBAFCBD7D}</b:Guid>
    <b:Author>
      <b:Author>
        <b:Corporate>Waters, I. et al.</b:Corporate>
      </b:Author>
    </b:Author>
    <b:Title>Ethnic Minorities and the Challenge of Police Recruitment</b:Title>
    <b:JournalName>The Police Journal: Theory, Practice and Principles</b:JournalName>
    <b:Year>2007</b:Year>
    <b:Pages>191-216</b:Pages>
    <b:Volume>80</b:Volume>
    <b:Issue>3</b:Issue>
    <b:YearAccessed>2025</b:YearAccessed>
    <b:MonthAccessed>January</b:MonthAccessed>
    <b:DayAccessed>06</b:DayAccessed>
    <b:URL>https://journals.sagepub.com/doi/abs/10.1350/pojo.2007.80.3.191</b:URL>
    <b:DOI>https://doi.org/10.1350/pojo.2007.80.3.191</b:DOI>
    <b:RefOrder>4</b:RefOrder>
  </b:Source>
  <b:Source>
    <b:Tag>Mur12</b:Tag>
    <b:SourceType>JournalArticle</b:SourceType>
    <b:Guid>{709D0F72-6E71-47EB-98F2-F95E8F0FEE71}</b:Guid>
    <b:Author>
      <b:Author>
        <b:NameList>
          <b:Person>
            <b:Last>Murphy</b:Last>
            <b:First>K.</b:First>
            <b:Middle>and Cherney, A</b:Middle>
          </b:Person>
        </b:NameList>
      </b:Author>
    </b:Author>
    <b:Title>Understanding Cooperation With Police in a Diverse Society</b:Title>
    <b:JournalName>The British Journal of Criminology</b:JournalName>
    <b:Year>2012</b:Year>
    <b:Pages>181-201</b:Pages>
    <b:Volume>52</b:Volume>
    <b:Issue>1</b:Issue>
    <b:YearAccessed>2025</b:YearAccessed>
    <b:MonthAccessed>January</b:MonthAccessed>
    <b:DayAccessed>05</b:DayAccessed>
    <b:URL>https://academic.oup.com/bjc/article-abstract/52/1/181/373099</b:URL>
    <b:DOI>https://doi.org/10.1093/bjc/azr065</b:DOI>
    <b:RefOrder>5</b:RefOrder>
  </b:Source>
  <b:Source>
    <b:Tag>Fos05</b:Tag>
    <b:SourceType>Report</b:SourceType>
    <b:Guid>{7D400CDC-FE0E-4CFC-8B74-F86B76C3FD02}</b:Guid>
    <b:Title>Assessing the impact of the Stephen Lawrence Inquiry</b:Title>
    <b:Year>2005</b:Year>
    <b:Author>
      <b:Author>
        <b:NameList>
          <b:Person>
            <b:Last>Foster</b:Last>
            <b:First>J.,</b:First>
            <b:Middle>Newburn, T. and Souhami, A</b:Middle>
          </b:Person>
        </b:NameList>
      </b:Author>
    </b:Author>
    <b:DOI>https://citeseerx.ist.psu.edu/document?repid=rep1&amp;type=pdf&amp;doi=1d33b18f47baeb3ef37a884112fdd8ad446174f6</b:DOI>
    <b:YearAccessed>2024</b:YearAccessed>
    <b:MonthAccessed>November</b:MonthAccessed>
    <b:DayAccessed>25</b:DayAccessed>
    <b:RefOrder>6</b:RefOrder>
  </b:Source>
  <b:Source>
    <b:Tag>Mil20</b:Tag>
    <b:SourceType>JournalArticle</b:SourceType>
    <b:Guid>{AEE7EA93-62D6-42D5-9C0A-04B4E37F75EA}</b:Guid>
    <b:Author>
      <b:Author>
        <b:NameList>
          <b:Person>
            <b:Last>Miller</b:Last>
            <b:First>J.</b:First>
            <b:Middle>et al.</b:Middle>
          </b:Person>
        </b:NameList>
      </b:Author>
    </b:Author>
    <b:Title>Can Police Training Reduce ethnic/racial Disparities in Stop and search? Evidence from a Multisite UK Trial</b:Title>
    <b:JournalName>Criminology &amp; Public Policy</b:JournalName>
    <b:Year>2020</b:Year>
    <b:Volume>19</b:Volume>
    <b:Issue>4</b:Issue>
    <b:YearAccessed>2025</b:YearAccessed>
    <b:MonthAccessed>January</b:MonthAccessed>
    <b:DayAccessed>05</b:DayAccessed>
    <b:URL>https://onlinelibrary.wiley.com/doi/abs/10.1111/1745-9133.12524</b:URL>
    <b:DOI>https://doi.org/10.1111/1745-9133.12524</b:DOI>
    <b:RefOrder>8</b:RefOrder>
  </b:Source>
  <b:Source>
    <b:Tag>PAC19</b:Tag>
    <b:SourceType>InternetSite</b:SourceType>
    <b:Guid>{93E6966D-D12C-4BF7-A9E2-91EF07ACD8CC}</b:Guid>
    <b:Title>PACE: A Practical Guide to the Police and Criminal Evidence Act 1984</b:Title>
    <b:Year>2019</b:Year>
    <b:Author>
      <b:Author>
        <b:Corporate>PACE: A Practical Guide to the Police and Criminal Evidence Act 1984</b:Corporate>
      </b:Author>
    </b:Author>
    <b:YearAccessed>2025</b:YearAccessed>
    <b:MonthAccessed>January</b:MonthAccessed>
    <b:DayAccessed>05</b:DayAccessed>
    <b:URL>https://books.google.co.uk/books?hl=en&amp;lr=&amp;id=WRiMDwAAQBAJ&amp;oi=fnd&amp;pg=PR17&amp;dq=PACE+1984&amp;ots=Eh2stxQiOJ&amp;sig=SjwzqxAmN0jRMk-6IqWbbakMsNg#v=onepage&amp;q=PACE%201984&amp;f=false</b:URL>
    <b:RefOrder>9</b:RefOrder>
  </b:Source>
  <b:Source>
    <b:Tag>Ben06</b:Tag>
    <b:SourceType>JournalArticle</b:SourceType>
    <b:Guid>{58C317A2-4942-4A40-BF8B-6C51D02CE562}</b:Guid>
    <b:Title>Achieving race equality through training: a review of approaches in the UK</b:Title>
    <b:Year>2006</b:Year>
    <b:YearAccessed>2025</b:YearAccessed>
    <b:MonthAccessed>January</b:MonthAccessed>
    <b:DayAccessed>13</b:DayAccessed>
    <b:URL>https://www.emerald.com/insight/content/doi/10.1108/17556228200600002/full/html</b:URL>
    <b:Author>
      <b:Author>
        <b:NameList>
          <b:Person>
            <b:Last>Bennett</b:Last>
            <b:First>J</b:First>
          </b:Person>
        </b:NameList>
      </b:Author>
    </b:Author>
    <b:JournalName>The Journal of Mental Health Training, Education and Practice</b:JournalName>
    <b:Pages>5-11</b:Pages>
    <b:Volume>1</b:Volume>
    <b:Issue>1</b:Issue>
    <b:DOI>https://doi.org/10.1108/17556228200600002</b:DOI>
    <b:RefOrder>10</b:RefOrder>
  </b:Source>
  <b:Source>
    <b:Tag>Cra10</b:Tag>
    <b:SourceType>JournalArticle</b:SourceType>
    <b:Guid>{73737FC6-557C-4B36-9210-47B3DF5624CD}</b:Guid>
    <b:Title>Shared leadership with minority ethnic communities: views from the police and the public in the UK</b:Title>
    <b:Year>2010</b:Year>
    <b:Author>
      <b:Author>
        <b:Corporate>Craig, Marnoch, and Topping</b:Corporate>
      </b:Author>
    </b:Author>
    <b:JournalName>Policing and Society</b:JournalName>
    <b:Pages>336-357</b:Pages>
    <b:Volume>20</b:Volume>
    <b:Issue>3</b:Issue>
    <b:DOI>https://doi.org/10.1080/10439463.2010.495777</b:DOI>
    <b:YearAccessed>2025</b:YearAccessed>
    <b:MonthAccessed>January</b:MonthAccessed>
    <b:DayAccessed>05</b:DayAccessed>
    <b:RefOrder>11</b:RefOrder>
  </b:Source>
  <b:Source>
    <b:Tag>Jef12</b:Tag>
    <b:SourceType>JournalArticle</b:SourceType>
    <b:Guid>{1B8D9F3B-E671-4961-827E-A0CAF966445B}</b:Guid>
    <b:Author>
      <b:Author>
        <b:Corporate>Jefferson, T</b:Corporate>
      </b:Author>
    </b:Author>
    <b:Title>Policing the riots: from Bristol and Brixton to Tottenham, via Toxteth, Handsworth, Etc</b:Title>
    <b:JournalName>Criminal Justice Matters</b:JournalName>
    <b:Year>2012</b:Year>
    <b:Pages>8-9</b:Pages>
    <b:Volume>87</b:Volume>
    <b:Issue>1</b:Issue>
    <b:YearAccessed>2025</b:YearAccessed>
    <b:MonthAccessed>January</b:MonthAccessed>
    <b:DayAccessed>13</b:DayAccessed>
    <b:URL>https://www.tandfonline.com/doi/full/10.1080/09627251.2012.670995</b:URL>
    <b:DOI>https://doi.org/10.1080/09627251.2012.670995</b:DOI>
    <b:RefOrder>7</b:RefOrder>
  </b:Source>
  <b:Source>
    <b:Tag>Awa18</b:Tag>
    <b:SourceType>JournalArticle</b:SourceType>
    <b:Guid>{2E64F292-C399-4EA2-A5E2-3785E69C4276}</b:Guid>
    <b:Author>
      <b:Author>
        <b:Corporate>Awan et al.</b:Corporate>
      </b:Author>
    </b:Author>
    <b:Title>Understanding the Public Perception and Satisfaction of a UK Police Constabulary</b:Title>
    <b:JournalName>Police Practice and Research</b:JournalName>
    <b:Year>2018</b:Year>
    <b:Pages>172-184</b:Pages>
    <b:Volume>20</b:Volume>
    <b:Issue>2</b:Issue>
    <b:YearAccessed>2025</b:YearAccessed>
    <b:MonthAccessed>January</b:MonthAccessed>
    <b:DayAccessed>13</b:DayAccessed>
    <b:URL>https://www.tandfonline.com/doi/full/10.1080/15614263.2018.1428098</b:URL>
    <b:DOI>https://doi.org/10.1080/15614263.2018.1428098</b:DOI>
    <b:RefOrder>12</b:RefOrder>
  </b:Source>
  <b:Source>
    <b:Tag>JOH06</b:Tag>
    <b:SourceType>JournalArticle</b:SourceType>
    <b:Guid>{A5F01E89-2041-40DF-9DA5-E15BB969D4D8}</b:Guid>
    <b:Author>
      <b:Author>
        <b:NameList>
          <b:Person>
            <b:Last>JOHNSTON</b:Last>
            <b:First>L.</b:First>
          </b:Person>
        </b:NameList>
      </b:Author>
    </b:Author>
    <b:Title>Diversifying Police Recruitment? The Deployment of Police Community Support Officers in London</b:Title>
    <b:JournalName>The Howard Journal of Criminal Justice</b:JournalName>
    <b:Year>2006</b:Year>
    <b:Pages>388-402</b:Pages>
    <b:Volume>45</b:Volume>
    <b:Issue>4</b:Issue>
    <b:YearAccessed>2025</b:YearAccessed>
    <b:MonthAccessed>January</b:MonthAccessed>
    <b:DayAccessed>05</b:DayAccessed>
    <b:URL>https://onlinelibrary.wiley.com/doi/abs/10.1111/j.1468-2311.2006.00430.x</b:URL>
    <b:DOI>https://doi.org/10.1111/j.1468-2311.2006.00430.x</b:DOI>
    <b:RefOrder>13</b:RefOrder>
  </b:Source>
  <b:Source>
    <b:Tag>Jun10</b:Tag>
    <b:SourceType>JournalArticle</b:SourceType>
    <b:Guid>{DD78667A-512E-411C-B88D-F94FFF5D43A6}</b:Guid>
    <b:Author>
      <b:Author>
        <b:Corporate>Juniper B, White N and Bellamy P</b:Corporate>
      </b:Author>
    </b:Author>
    <b:Title>A new approach to evaluating the well-being of police</b:Title>
    <b:JournalName>Occupational Medicine</b:JournalName>
    <b:Year>2010</b:Year>
    <b:Pages>560-565</b:Pages>
    <b:Volume>60</b:Volume>
    <b:Issue>7</b:Issue>
    <b:URL>https://academic.oup.com/occmed/article-abstract/60/7/560/1418493?login=false</b:URL>
    <b:DOI>https://doi.org/10.1093/occmed/kqq130</b:DOI>
    <b:RefOrder>14</b:RefOrder>
  </b:Source>
  <b:Source>
    <b:Tag>Rou22</b:Tag>
    <b:SourceType>JournalArticle</b:SourceType>
    <b:Guid>{42D4F59C-FF3A-463F-86C0-8C307C22DC2C}</b:Guid>
    <b:JournalName>Police Practice and Research</b:JournalName>
    <b:Year>2021</b:Year>
    <b:Pages>1-15</b:Pages>
    <b:Volume>23</b:Volume>
    <b:Issue>1</b:Issue>
    <b:Author>
      <b:Author>
        <b:Corporate>Newell et al.</b:Corporate>
      </b:Author>
    </b:Author>
    <b:YearAccessed>2024</b:YearAccessed>
    <b:MonthAccessed>November</b:MonthAccessed>
    <b:DayAccessed>25</b:DayAccessed>
    <b:Title>Police staff and mental health: barriers and recommendations for improving help-seeking</b:Title>
    <b:URL>https://www.tandfonline.com/doi/pdf/10.1080/15614263.2021.1979398?needAccess=true</b:URL>
    <b:DOI>https://doi.org/10.1080/15614263.2021.1979398</b:DOI>
    <b:RefOrder>15</b:RefOrder>
  </b:Source>
  <b:Source>
    <b:Tag>BMC19</b:Tag>
    <b:SourceType>JournalArticle</b:SourceType>
    <b:Guid>{349FE541-C8C0-451D-8B9C-D2F361534A7B}</b:Guid>
    <b:Title>The relationship between organisational stressors and mental wellbeing within police officers: A systematic review</b:Title>
    <b:Year>2019</b:Year>
    <b:YearAccessed>2025</b:YearAccessed>
    <b:MonthAccessed>January</b:MonthAccessed>
    <b:DayAccessed>5</b:DayAccessed>
    <b:URL>https://link.springer.com/article/10.1186/s12889-019-7609-0</b:URL>
    <b:Pages>21</b:Pages>
    <b:Volume>19</b:Volume>
    <b:Issue>1</b:Issue>
    <b:Author>
      <b:Author>
        <b:Corporate>Purba A, and Demou E</b:Corporate>
      </b:Author>
    </b:Author>
    <b:JournalName>BMC Public Health</b:JournalName>
    <b:DOI>https://doi.org/10.1186/s12889-019-7609-0</b:DOI>
    <b:RefOrder>16</b:RefOrder>
  </b:Source>
  <b:Source>
    <b:Tag>Jou21</b:Tag>
    <b:SourceType>JournalArticle</b:SourceType>
    <b:Guid>{6462C88D-2A66-49B5-A21F-8617BE330C36}</b:Guid>
    <b:Title>Organisational and individual perspectives of police wellbeing in England and Wales</b:Title>
    <b:JournalName>The Police Journal: Theory, Practice and Principles</b:JournalName>
    <b:Year>2021</b:Year>
    <b:Pages>3-178</b:Pages>
    <b:Volume>96</b:Volume>
    <b:Issue>1</b:Issue>
    <b:Author>
      <b:Author>
        <b:NameList>
          <b:Person>
            <b:Last>Phythian et al.</b:Last>
          </b:Person>
        </b:NameList>
      </b:Author>
    </b:Author>
    <b:YearAccessed>2025</b:YearAccessed>
    <b:MonthAccessed>January</b:MonthAccessed>
    <b:DayAccessed>5</b:DayAccessed>
    <b:URL>https://journals.sagepub.com/doi/epub/10.1177/0032258X211052250</b:URL>
    <b:DOI>https://doi.org/10.1177/0032258x211052250</b:DOI>
    <b:RefOrder>17</b:RefOrder>
  </b:Source>
  <b:Source>
    <b:Tag>Car20</b:Tag>
    <b:SourceType>JournalArticle</b:SourceType>
    <b:Guid>{DECF2FCC-922D-4D7D-9E2B-4AB4F23AEAFF}</b:Guid>
    <b:Title>The Wellbeing of UK Police: A Study of Recorded Absences from Work of UK Police Employees Due to Psychological Illness and Stress Using Freedom of Information Act Data</b:Title>
    <b:JournalName>Policing: A Journal of Policy and Practice</b:JournalName>
    <b:Year>2020</b:Year>
    <b:Volume>15</b:Volume>
    <b:Issue>1</b:Issue>
    <b:Author>
      <b:Author>
        <b:Corporate>Cartwright and Roach</b:Corporate>
      </b:Author>
    </b:Author>
    <b:YearAccessed>2025</b:YearAccessed>
    <b:MonthAccessed>January</b:MonthAccessed>
    <b:DayAccessed>6</b:DayAccessed>
    <b:DOI>https://doi.org/10.1093/police/paaa033</b:DOI>
    <b:RefOrder>18</b:RefOrder>
  </b:Source>
  <b:Source>
    <b:Tag>Uni20</b:Tag>
    <b:SourceType>JournalArticle</b:SourceType>
    <b:Guid>{3D601B2C-B54F-4742-B3D8-33E2614B1552}</b:Guid>
    <b:Title>Police Stress, Mental Health, and Resiliency during the COVID-19 Pandemic</b:Title>
    <b:JournalName>American Journal of Criminal Jusitce</b:JournalName>
    <b:Year>2020</b:Year>
    <b:Pages>718-730</b:Pages>
    <b:Volume>45</b:Volume>
    <b:Author>
      <b:Author>
        <b:Corporate>Stogner, Miller and McLean</b:Corporate>
      </b:Author>
    </b:Author>
    <b:URL>https://link.springer.com/article/10.1007/s12103-020-09548-y</b:URL>
    <b:Issue>4</b:Issue>
    <b:DOI>https://doi.org/10.1007/s12103-020-09548-y</b:DOI>
    <b:RefOrder>19</b:RefOrder>
  </b:Source>
  <b:Source>
    <b:Tag>PMA24</b:Tag>
    <b:SourceType>InternetSite</b:SourceType>
    <b:Guid>{2B42E2C8-27A0-4591-ADCE-932D1DF66E3F}</b:Guid>
    <b:Title>Mental Health in the Police</b:Title>
    <b:Author>
      <b:Author>
        <b:Corporate>Mental Health in the Police - PMAC</b:Corporate>
      </b:Author>
    </b:Author>
    <b:YearAccessed>2025</b:YearAccessed>
    <b:MonthAccessed>January</b:MonthAccessed>
    <b:DayAccessed>5</b:DayAccessed>
    <b:URL>https://pmac.uk/resources/mental-health/mental-health-in-the-police/</b:URL>
    <b:Year>2024</b:Year>
    <b:RefOrder>20</b:RefOrder>
  </b:Source>
  <b:Source>
    <b:Tag>Met23</b:Tag>
    <b:SourceType>InternetSite</b:SourceType>
    <b:Guid>{C789D0B2-56EC-4019-BF82-B414DE71788D}</b:Guid>
    <b:Author>
      <b:Author>
        <b:Corporate>Police, Metropolitan</b:Corporate>
      </b:Author>
    </b:Author>
    <b:Title>Rates of Police Leavers</b:Title>
    <b:Year>2023</b:Year>
    <b:YearAccessed>2024</b:YearAccessed>
    <b:MonthAccessed>November</b:MonthAccessed>
    <b:DayAccessed>25</b:DayAccessed>
    <b:URL>https://www.met.police.uk/foi-ai/metropolitan-police/disclosure-2023/december-2023/rates-of-police-leavers/</b:URL>
    <b:RefOrder>21</b:RefOrder>
  </b:Source>
  <b:Source>
    <b:Tag>Oxf13</b:Tag>
    <b:SourceType>JournalArticle</b:SourceType>
    <b:Guid>{4944404E-7561-4810-927C-BF03CCB96E33}</b:Guid>
    <b:Title>TRiM: an Organizational Response to Traumatic Events in Cumbria Constabulary</b:Title>
    <b:Year>2013</b:Year>
    <b:URL>https://academic.oup.com/occmed/article-abstract/63/8/549/1464222?redirectedFrom=fulltext</b:URL>
    <b:JournalName>Occupational Medicine</b:JournalName>
    <b:Pages>549-555</b:Pages>
    <b:Volume>63</b:Volume>
    <b:Issue>8</b:Issue>
    <b:Author>
      <b:Author>
        <b:Corporate>Hunt E et al.</b:Corporate>
      </b:Author>
    </b:Author>
    <b:YearAccessed>2025</b:YearAccessed>
    <b:MonthAccessed>January</b:MonthAccessed>
    <b:DayAccessed>5</b:DayAccessed>
    <b:DOI>https://doi.org/10.1093/occmed/kqt113</b:DOI>
    <b:RefOrder>22</b:RefOrder>
  </b:Source>
  <b:Source>
    <b:Tag>The241</b:Tag>
    <b:SourceType>InternetSite</b:SourceType>
    <b:Guid>{89607974-C8E4-4978-985A-F055C84981B6}</b:Guid>
    <b:Title>Blue Light Wellbeing Framework (BLWF), Oscar Kilo</b:Title>
    <b:Year>2024</b:Year>
    <b:Author>
      <b:Author>
        <b:Corporate>Oscar Kilo</b:Corporate>
      </b:Author>
    </b:Author>
    <b:YearAccessed>2025</b:YearAccessed>
    <b:MonthAccessed>January</b:MonthAccessed>
    <b:DayAccessed>5</b:DayAccessed>
    <b:URL>https://www.oscarkilo.org.uk/blue-light-wellbeing-framework-blwf</b:URL>
    <b:RefOrder>23</b:RefOrder>
  </b:Source>
  <b:Source>
    <b:Tag>Tay22</b:Tag>
    <b:SourceType>JournalArticle</b:SourceType>
    <b:Guid>{0E8763C7-8DFE-4561-AC0D-7C1DD7D75427}</b:Guid>
    <b:Author>
      <b:Author>
        <b:Corporate>Bullock et al.</b:Corporate>
      </b:Author>
    </b:Author>
    <b:Title>Problem-oriented policing in England and Wales: barriers and facilitators</b:Title>
    <b:JournalName>Policing and Society</b:JournalName>
    <b:Year>2021</b:Year>
    <b:Pages>1-16</b:Pages>
    <b:Volume>32</b:Volume>
    <b:Issue>9</b:Issue>
    <b:YearAccessed>2025</b:YearAccessed>
    <b:MonthAccessed>January</b:MonthAccessed>
    <b:DayAccessed>5</b:DayAccessed>
    <b:URL>https://www.tandfonline.com/doi/full/10.1080/10439463.2021.2003361#abstract</b:URL>
    <b:DOI>https://doi.org/10.1080/10439463.2021.2003361</b:DOI>
    <b:RefOrder>24</b:RefOrder>
  </b:Source>
  <b:Source>
    <b:Tag>GOV241</b:Tag>
    <b:SourceType>InternetSite</b:SourceType>
    <b:Guid>{76BAE38B-E774-4EE7-9550-9EBEA4855CF7}</b:Guid>
    <b:Author>
      <b:Author>
        <b:Corporate>Gov.UK</b:Corporate>
      </b:Author>
    </b:Author>
    <b:Title>New strategy to tackle organised crime, GOV.UK</b:Title>
    <b:Year>2023</b:Year>
    <b:YearAccessed>2025</b:YearAccessed>
    <b:MonthAccessed>January</b:MonthAccessed>
    <b:DayAccessed>5</b:DayAccessed>
    <b:URL>https://www.gov.uk/government/news/new-strategy-to-tackle-organised-crime#:~:text=The%20National%20Crime%20Agency%20(NCA,affordable%20homes%20outside%20of%20London.</b:URL>
    <b:RefOrder>25</b:RefOrder>
  </b:Source>
  <b:Source>
    <b:Tag>Eme08</b:Tag>
    <b:SourceType>JournalArticle</b:SourceType>
    <b:Guid>{6AE97B60-A053-4E3B-AD75-24F83B8C0A74}</b:Guid>
    <b:Title>Proactive policing and the assessment of organised crime</b:Title>
    <b:Year>2008</b:Year>
    <b:YearAccessed>2025</b:YearAccessed>
    <b:MonthAccessed>January</b:MonthAccessed>
    <b:DayAccessed>5</b:DayAccessed>
    <b:URL>https://www.emerald.com/insight/content/doi/10.1108/13639510810910553/full/html</b:URL>
    <b:Author>
      <b:Author>
        <b:Corporate>Verfaillie and Vander Beken</b:Corporate>
      </b:Author>
    </b:Author>
    <b:JournalName>Policing: An International Journal of Police Strategies &amp; Management</b:JournalName>
    <b:Pages>534-552</b:Pages>
    <b:Volume>31</b:Volume>
    <b:Issue>4</b:Issue>
    <b:Publisher>Emerald Group Publishing Limited</b:Publisher>
    <b:DOI>https://doi.org/10.1108/13639510810910553</b:DOI>
    <b:RefOrder>26</b:RefOrder>
  </b:Source>
  <b:Source>
    <b:Tag>Not21</b:Tag>
    <b:SourceType>JournalArticle</b:SourceType>
    <b:Guid>{AC5BEE6E-1635-4AC0-875E-D2B213E37479}</b:Guid>
    <b:Author>
      <b:Author>
        <b:Corporate>O’Hagan and Edmundson</b:Corporate>
      </b:Author>
    </b:Author>
    <b:Title>County lines: the exploitation of vulnerable members of society</b:Title>
    <b:JournalName>Forensic Research &amp; Criminology International Journal</b:JournalName>
    <b:Year>2021</b:Year>
    <b:Pages>47-57</b:Pages>
    <b:Volume>9</b:Volume>
    <b:Issue>2</b:Issue>
    <b:YearAccessed>2025</b:YearAccessed>
    <b:MonthAccessed>January</b:MonthAccessed>
    <b:DayAccessed>5</b:DayAccessed>
    <b:URL>https://irep.ntu.ac.uk/id/eprint/44335/</b:URL>
    <b:RefOrder>27</b:RefOrder>
  </b:Source>
  <b:Source>
    <b:Tag>Uni191</b:Tag>
    <b:SourceType>JournalArticle</b:SourceType>
    <b:Guid>{73A4B1D0-AD57-4392-A08C-CBBCC2DB4C32}</b:Guid>
    <b:Title>Diverting young men from gangs: a qualitative evaluation</b:Title>
    <b:Year>2019</b:Year>
    <b:Author>
      <b:Author>
        <b:Corporate>Boulton, Phythian, and Kirby</b:Corporate>
      </b:Author>
    </b:Author>
    <b:YearAccessed>2025</b:YearAccessed>
    <b:MonthAccessed>January</b:MonthAccessed>
    <b:DayAccessed>5</b:DayAccessed>
    <b:URL>https://clok.uclan.ac.uk/29433/1/29433%20Diverting%2520young%2520men%2520from%2520gangs%2520-%2520accepted%2520version.pdf</b:URL>
    <b:JournalName>Policing: An International Journal</b:JournalName>
    <b:Pages>887-900</b:Pages>
    <b:Volume>42</b:Volume>
    <b:Issue>5</b:Issue>
    <b:DOI>https://doi.org/10.1108/pijpsm-04-2019-0043</b:DOI>
    <b:RefOrder>28</b:RefOrder>
  </b:Source>
  <b:Source>
    <b:Tag>Wil22</b:Tag>
    <b:SourceType>JournalArticle</b:SourceType>
    <b:Guid>{2FB01FA2-4227-4CDE-83CB-8D1E05F475D0}</b:Guid>
    <b:Title>Organized crime groups: A systematic review of individual‐level risk factors related to recruitment</b:Title>
    <b:Year>2022</b:Year>
    <b:YearAccessed>2025</b:YearAccessed>
    <b:MonthAccessed>January</b:MonthAccessed>
    <b:DayAccessed>5</b:DayAccessed>
    <b:URL>https://onlinelibrary.wiley.com/doi/full/10.1002/cl2.1218</b:URL>
    <b:JournalName>Campbell Systematic Reviews</b:JournalName>
    <b:Pages>1-87</b:Pages>
    <b:Volume>18</b:Volume>
    <b:Issue>1</b:Issue>
    <b:Author>
      <b:Author>
        <b:Corporate>Calderoni et al.</b:Corporate>
      </b:Author>
    </b:Author>
    <b:DOI>https://doi.org/10.1002/cl2.1218</b:DOI>
    <b:RefOrder>29</b:RefOrder>
  </b:Source>
  <b:Source>
    <b:Tag>Uni181</b:Tag>
    <b:SourceType>InternetSite</b:SourceType>
    <b:Guid>{54B78999-97C2-4700-8A7A-10DA94B38463}</b:Guid>
    <b:Title>Diverting Children and Young People from Serious and Organised Crime (SOC)</b:Title>
    <b:JournalName>Centre of Youth and Criminal Justice</b:JournalName>
    <b:Year>2018</b:Year>
    <b:Pages>1-12</b:Pages>
    <b:Author>
      <b:Author>
        <b:Corporate>McEwan</b:Corporate>
      </b:Author>
    </b:Author>
    <b:Month>March</b:Month>
    <b:YearAccessed>2025</b:YearAccessed>
    <b:MonthAccessed>January</b:MonthAccessed>
    <b:DayAccessed>5</b:DayAccessed>
    <b:URL>https://strathprints.strath.ac.uk/68063/</b:URL>
    <b:RefOrder>30</b:RefOrder>
  </b:Source>
  <b:Source>
    <b:Tag>Uni18</b:Tag>
    <b:SourceType>JournalArticle</b:SourceType>
    <b:Guid>{5D0126B0-CBC8-472A-9DCA-367F3A4F0B4A}</b:Guid>
    <b:Title>Community Experiences of Serious Organised Crime in Scotland</b:Title>
    <b:Year>2019</b:Year>
    <b:Author>
      <b:Author>
        <b:Corporate>Fraser et al</b:Corporate>
      </b:Author>
    </b:Author>
    <b:Publisher>STORRE: Stirling Online Research Repository</b:Publisher>
    <b:YearAccessed>2025</b:YearAccessed>
    <b:MonthAccessed>January</b:MonthAccessed>
    <b:DayAccessed>5</b:DayAccessed>
    <b:URL>https://dspace.stir.ac.uk/handle/1893/29613</b:URL>
    <b:Pages>96</b:Pages>
    <b:DOI>http://hdl.handle.net/1893/29613</b:DOI>
    <b:JournalName>Stir.ac.uk</b:JournalName>
    <b:RefOrder>31</b:RefOrder>
  </b:Source>
  <b:Source>
    <b:Tag>Car22</b:Tag>
    <b:SourceType>InternetSite</b:SourceType>
    <b:Guid>{A71D03FD-5F6A-4E36-A6D3-D0FD4DBE244B}</b:Guid>
    <b:Title>Serious Organised Crime Early Intervention Service</b:Title>
    <b:Year>2022</b:Year>
    <b:URL>https://orca.cardiff.ac.uk/id/eprint/161316/</b:URL>
    <b:Publisher>CASCADE</b:Publisher>
    <b:City>CARDIFF</b:City>
    <b:Author>
      <b:Author>
        <b:Corporate>Maxwell et al.</b:Corporate>
      </b:Author>
    </b:Author>
    <b:YearAccessed>2025</b:YearAccessed>
    <b:MonthAccessed>January</b:MonthAccessed>
    <b:DayAccessed>5</b:DayAccessed>
    <b:InternetSiteTitle>Interim Evaluation Report</b:InternetSiteTitle>
    <b:RefOrder>32</b:RefOrder>
  </b:Source>
  <b:Source>
    <b:Tag>Cam242</b:Tag>
    <b:SourceType>JournalArticle</b:SourceType>
    <b:Guid>{42C0E40B-33BF-4533-8503-53A46A21447A}</b:Guid>
    <b:Title>Organised crime movement across local communities: A network approach</b:Title>
    <b:JournalName>Trends in organized crime</b:JournalName>
    <b:Year>2024</b:Year>
    <b:Author>
      <b:Author>
        <b:Corporate>Campana and Meneghini</b:Corporate>
      </b:Author>
    </b:Author>
    <b:YearAccessed>2024</b:YearAccessed>
    <b:MonthAccessed>January</b:MonthAccessed>
    <b:DayAccessed>9</b:DayAccessed>
    <b:URL>https://link.springer.com/article/10.1007/s12117-024-09531-7</b:URL>
    <b:DOI>https://doi.org/10.1007/s12117-024-09531-7</b:DOI>
    <b:RefOrder>33</b:RefOrder>
  </b:Source>
  <b:Source>
    <b:Tag>Sag14</b:Tag>
    <b:SourceType>JournalArticle</b:SourceType>
    <b:Guid>{659F0AD0-EE6A-4E1A-B235-7CEAB259E0F5}</b:Guid>
    <b:Title>Early Intervention for the Prevention of Offending in Northern Ireland</b:Title>
    <b:Year>2014</b:Year>
    <b:Author>
      <b:Author>
        <b:Corporate>Haydon</b:Corporate>
      </b:Author>
    </b:Author>
    <b:JournalName>Youth Justice</b:JournalName>
    <b:Pages>226-240</b:Pages>
    <b:Volume>14</b:Volume>
    <b:Issue>3</b:Issue>
    <b:YearAccessed>2025</b:YearAccessed>
    <b:MonthAccessed>January</b:MonthAccessed>
    <b:DayAccessed>5</b:DayAccessed>
    <b:URL>https://journals.sagepub.com/doi/abs/10.1177/1473225414549693</b:URL>
    <b:DOI>https://doi.org/10.1177/1473225414549693</b:DOI>
    <b:RefOrder>34</b:RefOrder>
  </b:Source>
  <b:Source>
    <b:Tag>Sci18</b:Tag>
    <b:SourceType>JournalArticle</b:SourceType>
    <b:Guid>{37750122-A86F-4994-A377-4D310E0107F8}</b:Guid>
    <b:Author>
      <b:Author>
        <b:Corporate>Boullier and Blair</b:Corporate>
      </b:Author>
    </b:Author>
    <b:Title>Adverse Childhood Experiences</b:Title>
    <b:JournalName>Paediatrics and Child Health</b:JournalName>
    <b:Year>2018</b:Year>
    <b:Pages>132-137</b:Pages>
    <b:Volume>28</b:Volume>
    <b:Issue>3</b:Issue>
    <b:YearAccessed>2025</b:YearAccessed>
    <b:MonthAccessed>January</b:MonthAccessed>
    <b:DayAccessed>5</b:DayAccessed>
    <b:URL>https://www.sciencedirect.com/science/article/abs/pii/S1751722217302913</b:URL>
    <b:DOI>https://doi.org/10.1016/j.paed.2017.12.008</b:DOI>
    <b:RefOrder>35</b:RefOrder>
  </b:Source>
  <b:Source>
    <b:Tag>Bry15</b:Tag>
    <b:SourceType>JournalArticle</b:SourceType>
    <b:Guid>{04416EB8-5B6A-4CB0-BE8E-2799556301F2}</b:Guid>
    <b:Title>Trauma changes everything: Examining the relationship between adverse childhood experiences and serious, violent and chronic juvenile offenders</b:Title>
    <b:JournalName>Child Abuse &amp; Neglect</b:JournalName>
    <b:Year>2015</b:Year>
    <b:Pages>163-173</b:Pages>
    <b:Volume>46</b:Volume>
    <b:Author>
      <b:Author>
        <b:Corporate>Fox et al.</b:Corporate>
      </b:Author>
    </b:Author>
    <b:BookTitle>Child Abuse &amp; Neglect</b:BookTitle>
    <b:YearAccessed>2025</b:YearAccessed>
    <b:MonthAccessed>January</b:MonthAccessed>
    <b:DayAccessed>5</b:DayAccessed>
    <b:URL>https://www.sciencedirect.com/science/article/abs/pii/S0145213415000356</b:URL>
    <b:Issue>1</b:Issue>
    <b:DOI>https://doi.org/10.1016/j.chiabu.2015.01.011</b:DOI>
    <b:RefOrder>36</b:RefOrder>
  </b:Source>
  <b:Source>
    <b:Tag>ACE</b:Tag>
    <b:SourceType>Report</b:SourceType>
    <b:Guid>{9981DAE1-37CA-409B-B651-A9D3F1A81BDA}</b:Guid>
    <b:Author>
      <b:Author>
        <b:Corporate>ACEs Case Study</b:Corporate>
      </b:Author>
    </b:Author>
    <b:URL>https://bradfordatrpartnership.co.uk/Resources/4%20Trauma%20Informed%20Practice/Guidance%20and%20Case%20Studies/ACEs%20Case%20Study%20-%20Primary%20School.pdf</b:URL>
    <b:Year>2019</b:Year>
    <b:RefOrder>37</b:RefOrder>
  </b:Source>
  <b:Source>
    <b:Tag>Chr16</b:Tag>
    <b:SourceType>JournalArticle</b:SourceType>
    <b:Guid>{FBA8AC90-CC7D-4046-8247-DC9AD5265785}</b:Guid>
    <b:Title>Focusing on the Smaller Adverse Childhood Experiences</b:Title>
    <b:Year>2016</b:Year>
    <b:Author>
      <b:Author>
        <b:Corporate>Christakis, D A</b:Corporate>
      </b:Author>
    </b:Author>
    <b:JournalName>JAMA Pediatrics</b:JournalName>
    <b:Pages>725</b:Pages>
    <b:Volume>170</b:Volume>
    <b:Issue>8</b:Issue>
    <b:YearAccessed>2025</b:YearAccessed>
    <b:MonthAccessed>January</b:MonthAccessed>
    <b:DayAccessed>10</b:DayAccessed>
    <b:URL>https://jamanetwork.com/journals/jamapediatrics/article-abstract/2528518</b:URL>
    <b:DOI>https://doi.org/10.1001/jamapediatrics.2016.0392</b:DOI>
    <b:RefOrder>38</b:RefOrder>
  </b:Source>
  <b:Source>
    <b:Tag>Cri95</b:Tag>
    <b:SourceType>JournalArticle</b:SourceType>
    <b:Guid>{89BE780D-A94F-4807-9E38-967E55719783}</b:Guid>
    <b:Title>Building a Safer Society: Strategic Approaches to Crime Prevention</b:Title>
    <b:Year>1996</b:Year>
    <b:YearAccessed>2025</b:YearAccessed>
    <b:MonthAccessed>January</b:MonthAccessed>
    <b:DayAccessed>5</b:DayAccessed>
    <b:Author>
      <b:Author>
        <b:Corporate>Wood, Tonry, and Farrington</b:Corporate>
      </b:Author>
    </b:Author>
    <b:JournalName>Contemporary Sociology</b:JournalName>
    <b:Volume>25</b:Volume>
    <b:Issue>5</b:Issue>
    <b:DOI>https://doi.org/10.2307/2077584</b:DOI>
    <b:RefOrder>39</b:RefOrder>
  </b:Source>
  <b:Source>
    <b:Tag>Uni22</b:Tag>
    <b:SourceType>JournalArticle</b:SourceType>
    <b:Guid>{2075C840-F578-43A1-9A31-88DDB6479C7D}</b:Guid>
    <b:Author>
      <b:Author>
        <b:Corporate>Farrington, Gaffney and White</b:Corporate>
      </b:Author>
    </b:Author>
    <b:Title>Effectiveness of 12 Types of Interventions in Reducing Juvenile Offending and Antisocial Behaviour</b:Title>
    <b:JournalName>Canadian Journal of Criminology and Criminal Justice</b:JournalName>
    <b:Year>2022</b:Year>
    <b:Volume>64</b:Volume>
    <b:Issue>4</b:Issue>
    <b:Month>October</b:Month>
    <b:Day>12</b:Day>
    <b:YearAccessed>2025</b:YearAccessed>
    <b:MonthAccessed>January</b:MonthAccessed>
    <b:DayAccessed>5</b:DayAccessed>
    <b:URL>https://utppublishing.com/doi/abs/10.3138/cjccj.2022-0022</b:URL>
    <b:DOI>https://doi.org/10.3138/cjccj.2022-0022</b:DOI>
    <b:RefOrder>40</b:RefOrder>
  </b:Source>
  <b:Source>
    <b:Tag>Sag04</b:Tag>
    <b:SourceType>JournalArticle</b:SourceType>
    <b:Guid>{A3BA69FA-8633-4110-B210-BB2ADB33114B}</b:Guid>
    <b:Author>
      <b:Author>
        <b:Corporate>Haines</b:Corporate>
      </b:Author>
    </b:Author>
    <b:Title>Promoting Prevention: A Multi-agency Initiative to Prevent Youth Offending Through Consultation in Swansea Schools</b:Title>
    <b:Year>2004</b:Year>
    <b:Pages>117-132</b:Pages>
    <b:Volume>4</b:Volume>
    <b:Issue>2</b:Issue>
    <b:YearAccessed>2025</b:YearAccessed>
    <b:MonthAccessed>January</b:MonthAccessed>
    <b:DayAccessed>5</b:DayAccessed>
    <b:URL>https://journals.sagepub.com/doi/abs/10.1177/147322540400400204</b:URL>
    <b:JournalName>Youth Justice</b:JournalName>
    <b:DOI>https://doi.org/10.1177/147322540400400204</b:DOI>
    <b:RefOrder>41</b:RefOrder>
  </b:Source>
  <b:Source>
    <b:Tag>Sop11</b:Tag>
    <b:SourceType>Report</b:SourceType>
    <b:Guid>{821E7EBD-2875-4901-9818-1FD0B312DD5A}</b:Guid>
    <b:Title>An Evaluation into the Effectiveness of the Early Diversion Intervention ‘Triage’ as a Mechanism for Tackling Youth Offending in Newcastle Upon Tyne</b:Title>
    <b:Year>2011</b:Year>
    <b:Author>
      <b:Author>
        <b:Corporate>Soppitt and Irving</b:Corporate>
      </b:Author>
    </b:Author>
    <b:Publisher>School of Arts and Social Sciences</b:Publisher>
    <b:City>Northumbria University</b:City>
    <b:YearAccessed>2025</b:YearAccessed>
    <b:MonthAccessed>January</b:MonthAccessed>
    <b:DayAccessed>11</b:DayAccessed>
    <b:URL>https://collab.northumbria.ac.uk/nunccyot/wp-content/uploads/2015/06/Triage-Final-Report-2.pdf</b:URL>
    <b:DOI>https://collab.northumbria.ac.uk/nunccyot/wp-content/uploads/2015/06/Triage-Final-Report-2.pdf</b:DOI>
    <b:RefOrder>42</b:RefOrder>
  </b:Source>
  <b:Source>
    <b:Tag>Uni131</b:Tag>
    <b:SourceType>JournalArticle</b:SourceType>
    <b:Guid>{9AC14EAA-FA06-45FC-8D88-6A2D511168EC}</b:Guid>
    <b:Title>Practitioners in the youth justice system: a case study of the youth offending service</b:Title>
    <b:Year>2013</b:Year>
    <b:Publisher>University of Cambridge</b:Publisher>
    <b:Author>
      <b:Author>
        <b:Corporate>Marshall</b:Corporate>
      </b:Author>
    </b:Author>
    <b:YearAccessed>2025</b:YearAccessed>
    <b:MonthAccessed>January</b:MonthAccessed>
    <b:DayAccessed>5</b:DayAccessed>
    <b:URL>https://www.repository.cam.ac.uk/items/d6f59f69-c1c6-4fc2-9900-3538036ca9cd</b:URL>
    <b:DOI>https://www.repository.cam.ac.uk/items/d6f59f69-c1c6-4fc2-9900-3538036ca9cd</b:DOI>
    <b:RefOrder>43</b:RefOrder>
  </b:Source>
</b:Sources>
</file>

<file path=customXml/itemProps1.xml><?xml version="1.0" encoding="utf-8"?>
<ds:datastoreItem xmlns:ds="http://schemas.openxmlformats.org/officeDocument/2006/customXml" ds:itemID="{022292B2-4349-465B-B36C-00D1B75DE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248</TotalTime>
  <Pages>11</Pages>
  <Words>5510</Words>
  <Characters>31411</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Thomas,Laura swp8702</dc:creator>
  <cp:keywords/>
  <dc:description/>
  <cp:lastModifiedBy>Thomas,Laura swp8702</cp:lastModifiedBy>
  <cp:revision>7</cp:revision>
  <dcterms:created xsi:type="dcterms:W3CDTF">2025-01-13T08:30:00Z</dcterms:created>
  <dcterms:modified xsi:type="dcterms:W3CDTF">2025-01-13T14:48:00Z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2025-01-13T11:05:44Z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1d22b810-8270-4e6c-82ec-fd3e62174b55</vt:lpwstr>
  </property>
  <property fmtid="{D5CDD505-2E9C-101B-9397-08002B2CF9AE}" pid="8" name="MSIP_Label_66cf8fe5-b7b7-4df7-b38d-1c61ac2f6639_ContentBits">
    <vt:lpwstr>0</vt:lpwstr>
  </property>
</Properties>
</file>