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3296" w:rsidRDefault="00B63296">
      <w:pPr>
        <w:widowControl w:val="0"/>
        <w:autoSpaceDE w:val="0"/>
        <w:autoSpaceDN w:val="0"/>
        <w:adjustRightInd w:val="0"/>
        <w:spacing w:after="0" w:line="240" w:lineRule="auto"/>
        <w:jc w:val="both"/>
        <w:rPr>
          <w:rFonts w:ascii="serif" w:hAnsi="serif" w:cs="serif"/>
          <w:color w:val="000000"/>
          <w:sz w:val="20"/>
          <w:szCs w:val="20"/>
        </w:rPr>
      </w:pPr>
      <w:bookmarkStart w:id="0" w:name="_GoBack"/>
      <w:bookmarkEnd w:id="0"/>
    </w:p>
    <w:p w:rsidR="00B63296" w:rsidRDefault="00B932B2">
      <w:pPr>
        <w:widowControl w:val="0"/>
        <w:autoSpaceDE w:val="0"/>
        <w:autoSpaceDN w:val="0"/>
        <w:adjustRightInd w:val="0"/>
        <w:spacing w:before="280" w:after="0" w:line="240" w:lineRule="auto"/>
        <w:jc w:val="both"/>
        <w:rPr>
          <w:rFonts w:ascii="serif" w:hAnsi="serif" w:cs="serif"/>
          <w:b/>
          <w:bCs/>
          <w:color w:val="000000"/>
          <w:sz w:val="28"/>
          <w:szCs w:val="28"/>
        </w:rPr>
      </w:pPr>
      <w:bookmarkStart w:id="1" w:name="co_document_1"/>
      <w:bookmarkStart w:id="2" w:name="Ib5556d42e83211e398db8b09b4f043e0_Target"/>
      <w:bookmarkStart w:id="3" w:name="co_docContentHeader_1"/>
      <w:bookmarkStart w:id="4" w:name="co_docHeaderContainer_1"/>
      <w:bookmarkStart w:id="5" w:name="co_anchor_a324522_1"/>
      <w:bookmarkEnd w:id="1"/>
      <w:bookmarkEnd w:id="2"/>
      <w:bookmarkEnd w:id="3"/>
      <w:bookmarkEnd w:id="4"/>
      <w:bookmarkEnd w:id="5"/>
      <w:r>
        <w:rPr>
          <w:rFonts w:ascii="serif" w:hAnsi="serif" w:cs="serif"/>
          <w:b/>
          <w:bCs/>
          <w:color w:val="000000"/>
          <w:sz w:val="28"/>
          <w:szCs w:val="28"/>
        </w:rPr>
        <w:t>Maternity pay and benefits: the legislation</w:t>
      </w:r>
    </w:p>
    <w:p w:rsidR="00674193" w:rsidRDefault="00674193">
      <w:pPr>
        <w:widowControl w:val="0"/>
        <w:autoSpaceDE w:val="0"/>
        <w:autoSpaceDN w:val="0"/>
        <w:adjustRightInd w:val="0"/>
        <w:spacing w:before="280" w:after="0" w:line="240" w:lineRule="auto"/>
        <w:jc w:val="both"/>
        <w:rPr>
          <w:rFonts w:ascii="serif" w:hAnsi="serif" w:cs="serif"/>
          <w:b/>
          <w:bCs/>
          <w:color w:val="000000"/>
          <w:sz w:val="28"/>
          <w:szCs w:val="28"/>
        </w:rPr>
      </w:pPr>
    </w:p>
    <w:p w:rsidR="00674193" w:rsidRDefault="00674193">
      <w:pPr>
        <w:widowControl w:val="0"/>
        <w:autoSpaceDE w:val="0"/>
        <w:autoSpaceDN w:val="0"/>
        <w:adjustRightInd w:val="0"/>
        <w:spacing w:before="280" w:after="0" w:line="240" w:lineRule="auto"/>
        <w:jc w:val="both"/>
        <w:rPr>
          <w:rFonts w:ascii="serif" w:hAnsi="serif" w:cs="serif"/>
          <w:b/>
          <w:bCs/>
          <w:color w:val="000000"/>
          <w:sz w:val="28"/>
          <w:szCs w:val="28"/>
        </w:rPr>
      </w:pP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The entitlement of an employee on maternity leave to pay and other benefits is governed by a number of different pieces of legislation:</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C308CD">
      <w:pPr>
        <w:widowControl w:val="0"/>
        <w:numPr>
          <w:ilvl w:val="0"/>
          <w:numId w:val="1"/>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 xml:space="preserve">The Equality Act 2010 </w:t>
      </w:r>
      <w:r w:rsidR="00B932B2">
        <w:rPr>
          <w:rFonts w:ascii="serif" w:hAnsi="serif" w:cs="serif"/>
          <w:color w:val="000000"/>
          <w:sz w:val="20"/>
          <w:szCs w:val="20"/>
        </w:rPr>
        <w:t xml:space="preserve">(EqA 2010) </w:t>
      </w:r>
    </w:p>
    <w:p w:rsidR="00B63296" w:rsidRDefault="00B932B2">
      <w:pPr>
        <w:widowControl w:val="0"/>
        <w:numPr>
          <w:ilvl w:val="0"/>
          <w:numId w:val="2"/>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 xml:space="preserve">The </w:t>
      </w:r>
      <w:r w:rsidR="00C308CD">
        <w:t xml:space="preserve">Employment Rights Act </w:t>
      </w:r>
      <w:r>
        <w:rPr>
          <w:rFonts w:ascii="serif" w:hAnsi="serif" w:cs="serif"/>
          <w:color w:val="000000"/>
          <w:sz w:val="20"/>
          <w:szCs w:val="20"/>
        </w:rPr>
        <w:t>(ERA 1996).</w:t>
      </w:r>
    </w:p>
    <w:p w:rsidR="00B63296" w:rsidRDefault="00B932B2">
      <w:pPr>
        <w:widowControl w:val="0"/>
        <w:numPr>
          <w:ilvl w:val="0"/>
          <w:numId w:val="3"/>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 xml:space="preserve">The </w:t>
      </w:r>
      <w:r w:rsidR="00C308CD">
        <w:t>Maternity and Parental Leave Regulations (</w:t>
      </w:r>
      <w:r>
        <w:rPr>
          <w:rFonts w:ascii="serif" w:hAnsi="serif" w:cs="serif"/>
          <w:color w:val="000000"/>
          <w:sz w:val="20"/>
          <w:szCs w:val="20"/>
        </w:rPr>
        <w:t>MPL Regulations).</w:t>
      </w:r>
    </w:p>
    <w:p w:rsidR="00B63296" w:rsidRDefault="00B932B2">
      <w:pPr>
        <w:widowControl w:val="0"/>
        <w:numPr>
          <w:ilvl w:val="0"/>
          <w:numId w:val="5"/>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The</w:t>
      </w:r>
      <w:r w:rsidR="00C308CD">
        <w:t xml:space="preserve"> Statutory Maternity Pay Regulations</w:t>
      </w:r>
      <w:r>
        <w:rPr>
          <w:rFonts w:ascii="serif" w:hAnsi="serif" w:cs="serif"/>
          <w:color w:val="000000"/>
          <w:sz w:val="20"/>
          <w:szCs w:val="20"/>
        </w:rPr>
        <w:t xml:space="preserve"> (SMP Regulations).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6" w:name="co_anchor_a1049703_1"/>
      <w:bookmarkEnd w:id="6"/>
    </w:p>
    <w:p w:rsidR="00B63296" w:rsidRDefault="00B932B2">
      <w:pPr>
        <w:widowControl w:val="0"/>
        <w:autoSpaceDE w:val="0"/>
        <w:autoSpaceDN w:val="0"/>
        <w:adjustRightInd w:val="0"/>
        <w:spacing w:before="280" w:after="0" w:line="240" w:lineRule="auto"/>
        <w:jc w:val="both"/>
        <w:rPr>
          <w:rFonts w:ascii="serif" w:hAnsi="serif" w:cs="serif"/>
          <w:b/>
          <w:bCs/>
          <w:color w:val="000000"/>
          <w:sz w:val="28"/>
          <w:szCs w:val="28"/>
        </w:rPr>
      </w:pPr>
      <w:r>
        <w:rPr>
          <w:rFonts w:ascii="serif" w:hAnsi="serif" w:cs="serif"/>
          <w:b/>
          <w:bCs/>
          <w:color w:val="000000"/>
          <w:sz w:val="28"/>
          <w:szCs w:val="28"/>
        </w:rPr>
        <w:t>Benefit of terms and conditions during maternity leave</w:t>
      </w:r>
    </w:p>
    <w:p w:rsidR="00CC560F" w:rsidRDefault="00CC560F">
      <w:pPr>
        <w:widowControl w:val="0"/>
        <w:autoSpaceDE w:val="0"/>
        <w:autoSpaceDN w:val="0"/>
        <w:adjustRightInd w:val="0"/>
        <w:spacing w:before="280" w:after="0" w:line="240" w:lineRule="auto"/>
        <w:jc w:val="both"/>
        <w:rPr>
          <w:rFonts w:ascii="serif" w:hAnsi="serif" w:cs="serif"/>
          <w:b/>
          <w:bCs/>
          <w:color w:val="000000"/>
          <w:sz w:val="28"/>
          <w:szCs w:val="28"/>
        </w:rPr>
      </w:pP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During</w:t>
      </w:r>
      <w:r w:rsidR="00CC560F">
        <w:t xml:space="preserve"> Ordinary Maternity Leave (OML)</w:t>
      </w:r>
      <w:r>
        <w:rPr>
          <w:rFonts w:ascii="serif" w:hAnsi="serif" w:cs="serif"/>
          <w:color w:val="000000"/>
          <w:sz w:val="20"/>
          <w:szCs w:val="20"/>
        </w:rPr>
        <w:t xml:space="preserve"> an</w:t>
      </w:r>
      <w:r w:rsidR="00CC560F">
        <w:rPr>
          <w:rFonts w:ascii="serif" w:hAnsi="serif" w:cs="serif"/>
          <w:color w:val="000000"/>
          <w:sz w:val="20"/>
          <w:szCs w:val="20"/>
        </w:rPr>
        <w:t>d Additional Maternity Leave (AML)</w:t>
      </w:r>
      <w:r>
        <w:rPr>
          <w:rFonts w:ascii="serif" w:hAnsi="serif" w:cs="serif"/>
          <w:color w:val="000000"/>
          <w:sz w:val="20"/>
          <w:szCs w:val="20"/>
        </w:rPr>
        <w:t>, an employee has a statutory right “to the benefit of all of the terms and conditions of employment which would have applied had she not been absent”, except for the terms and conditions about “remuneration”, which is defined as “</w:t>
      </w:r>
      <w:r w:rsidRPr="00104003">
        <w:rPr>
          <w:rFonts w:ascii="serif" w:hAnsi="serif" w:cs="serif"/>
          <w:b/>
          <w:color w:val="000000"/>
          <w:sz w:val="20"/>
          <w:szCs w:val="20"/>
        </w:rPr>
        <w:t>sums payable to the employee by way of wages or salary</w:t>
      </w:r>
      <w:r>
        <w:rPr>
          <w:rFonts w:ascii="serif" w:hAnsi="serif" w:cs="serif"/>
          <w:color w:val="000000"/>
          <w:sz w:val="20"/>
          <w:szCs w:val="20"/>
        </w:rPr>
        <w:t>” (</w:t>
      </w:r>
      <w:r w:rsidR="00CC560F">
        <w:t>reg 9</w:t>
      </w:r>
      <w:r>
        <w:rPr>
          <w:rFonts w:ascii="serif" w:hAnsi="serif" w:cs="serif"/>
          <w:i/>
          <w:iCs/>
          <w:color w:val="000000"/>
          <w:sz w:val="20"/>
          <w:szCs w:val="20"/>
        </w:rPr>
        <w:t>, MPL Regulations</w:t>
      </w:r>
      <w:r>
        <w:rPr>
          <w:rFonts w:ascii="serif" w:hAnsi="serif" w:cs="serif"/>
          <w:color w:val="000000"/>
          <w:sz w:val="20"/>
          <w:szCs w:val="20"/>
        </w:rPr>
        <w: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CC560F"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Therefore, all contractual benefits other than remuneration (such as annual leave, health club membership, private use of a company car and so on) will continue during both OML and AML.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Terms and conditions of employment in this context include any non-contractual benefits that are “connected with” employment.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before="480" w:after="0" w:line="240" w:lineRule="auto"/>
        <w:jc w:val="both"/>
        <w:rPr>
          <w:rFonts w:ascii="serif" w:hAnsi="serif" w:cs="serif"/>
          <w:b/>
          <w:bCs/>
          <w:color w:val="212121"/>
        </w:rPr>
      </w:pPr>
      <w:bookmarkStart w:id="7" w:name="co_anchor_I6ac94b0dc12711e698dc8b09b4f04"/>
      <w:bookmarkStart w:id="8" w:name="co_anchor_a545694_1"/>
      <w:bookmarkStart w:id="9" w:name="co_anchor_a659094_1"/>
      <w:bookmarkEnd w:id="7"/>
      <w:bookmarkEnd w:id="8"/>
      <w:bookmarkEnd w:id="9"/>
      <w:r w:rsidRPr="00CC560F">
        <w:rPr>
          <w:rFonts w:ascii="serif" w:hAnsi="serif" w:cs="serif"/>
          <w:b/>
          <w:bCs/>
          <w:color w:val="212121"/>
        </w:rPr>
        <w:t>Cars, non-cash benefits and cash allowances</w:t>
      </w:r>
    </w:p>
    <w:p w:rsidR="00CC560F" w:rsidRPr="00CC560F" w:rsidRDefault="00CC560F">
      <w:pPr>
        <w:widowControl w:val="0"/>
        <w:autoSpaceDE w:val="0"/>
        <w:autoSpaceDN w:val="0"/>
        <w:adjustRightInd w:val="0"/>
        <w:spacing w:before="480" w:after="0" w:line="240" w:lineRule="auto"/>
        <w:jc w:val="both"/>
        <w:rPr>
          <w:rFonts w:ascii="serif" w:hAnsi="serif" w:cs="serif"/>
          <w:b/>
          <w:bCs/>
          <w:color w:val="212121"/>
        </w:rPr>
      </w:pP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If an employee is only allowed to use a car (or other perk such as a mobile phone or laptop computer) for </w:t>
      </w:r>
      <w:r>
        <w:rPr>
          <w:rFonts w:ascii="serif" w:hAnsi="serif" w:cs="serif"/>
          <w:b/>
          <w:bCs/>
          <w:color w:val="000000"/>
          <w:sz w:val="20"/>
          <w:szCs w:val="20"/>
        </w:rPr>
        <w:t>business use</w:t>
      </w:r>
      <w:r>
        <w:rPr>
          <w:rFonts w:ascii="serif" w:hAnsi="serif" w:cs="serif"/>
          <w:color w:val="000000"/>
          <w:sz w:val="20"/>
          <w:szCs w:val="20"/>
        </w:rPr>
        <w:t xml:space="preserve"> then it is not considered a benefit, and so there is no obligation to continue to provide it during OML and AML. If an employee is entitled to use the car for </w:t>
      </w:r>
      <w:r>
        <w:rPr>
          <w:rFonts w:ascii="serif" w:hAnsi="serif" w:cs="serif"/>
          <w:b/>
          <w:bCs/>
          <w:color w:val="000000"/>
          <w:sz w:val="20"/>
          <w:szCs w:val="20"/>
        </w:rPr>
        <w:t>personal use</w:t>
      </w:r>
      <w:r>
        <w:rPr>
          <w:rFonts w:ascii="serif" w:hAnsi="serif" w:cs="serif"/>
          <w:color w:val="000000"/>
          <w:sz w:val="20"/>
          <w:szCs w:val="20"/>
        </w:rPr>
        <w:t xml:space="preserve"> it would count as a benefit in kind other than remuneration, and she would be entitled to continue using it during OML and AML.</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If the employee receives a cash allowance in place of a benefit in kind (for example, as part of a flexible benefits package), it will be a question of fact whether that allowance is part of their “remuneration”. A cash allowance will only be payable if it can be construed as a benefit other than wages or salary. Unfortunately, opinion is still divided as to which category car allowances fall into. Car allowances often appear separately to wages on wage slips and are not pensionable. Also, employees often have the choice between a company car and a cash car allowance. These factors could suggest that a car allowance should be treated in the same way as the car itself: as a benefit rather than as part of salary.</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However, many employers treat cash car allowances in the same way as wages or salary, and therefore do not pay them during maternity leave. In support of this view is the fact that car allowances tend to be regarded as uplifts on salary and attract</w:t>
      </w:r>
      <w:r w:rsidR="00CC560F">
        <w:rPr>
          <w:rFonts w:ascii="serif" w:hAnsi="serif" w:cs="serif"/>
          <w:color w:val="000000"/>
          <w:sz w:val="20"/>
          <w:szCs w:val="20"/>
        </w:rPr>
        <w:t xml:space="preserve"> NIC’s </w:t>
      </w:r>
      <w:r>
        <w:rPr>
          <w:rFonts w:ascii="serif" w:hAnsi="serif" w:cs="serif"/>
          <w:color w:val="000000"/>
          <w:sz w:val="20"/>
          <w:szCs w:val="20"/>
        </w:rPr>
        <w:t>suggesting that they should be seen as salary. Furthermore, where an employee qualifies for</w:t>
      </w:r>
      <w:r w:rsidR="00CC560F">
        <w:rPr>
          <w:rFonts w:ascii="serif" w:hAnsi="serif" w:cs="serif"/>
          <w:color w:val="000000"/>
          <w:sz w:val="20"/>
          <w:szCs w:val="20"/>
        </w:rPr>
        <w:t xml:space="preserve"> SMP </w:t>
      </w:r>
      <w:r>
        <w:rPr>
          <w:rFonts w:ascii="serif" w:hAnsi="serif" w:cs="serif"/>
          <w:color w:val="000000"/>
          <w:sz w:val="20"/>
          <w:szCs w:val="20"/>
        </w:rPr>
        <w:t xml:space="preserve">any payment that is liable to NICs must be taken into account in calculating her normal weekly earnings. Since the employee receives 90% of her normal weekly earnings during the first six weeks of maternity leave, she </w:t>
      </w:r>
      <w:r>
        <w:rPr>
          <w:rFonts w:ascii="serif" w:hAnsi="serif" w:cs="serif"/>
          <w:color w:val="000000"/>
          <w:sz w:val="20"/>
          <w:szCs w:val="20"/>
        </w:rPr>
        <w:lastRenderedPageBreak/>
        <w:t>will in effect receive 90% of the car allowance as part of SMP and will therefore receive more SMP than an equivalent employee who has taken the car rather than the allowance. Maintaining the car allowance as a separate benefit would therefore lead to a degree of double-payment. The position of car allowances or other “flexible” benefits has yet to be considered in any reported cases.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before="480" w:after="0" w:line="240" w:lineRule="auto"/>
        <w:jc w:val="both"/>
        <w:rPr>
          <w:rFonts w:ascii="serif" w:hAnsi="serif" w:cs="serif"/>
          <w:b/>
          <w:bCs/>
          <w:color w:val="212121"/>
          <w:sz w:val="20"/>
          <w:szCs w:val="20"/>
        </w:rPr>
      </w:pPr>
      <w:bookmarkStart w:id="10" w:name="co_anchor_a273200_1"/>
      <w:bookmarkEnd w:id="10"/>
      <w:r>
        <w:rPr>
          <w:rFonts w:ascii="serif" w:hAnsi="serif" w:cs="serif"/>
          <w:b/>
          <w:bCs/>
          <w:color w:val="212121"/>
          <w:sz w:val="20"/>
          <w:szCs w:val="20"/>
        </w:rPr>
        <w:t>Childcare vouchers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These vouchers can either be provided to employees on top of their normal salary or by way of salary sacrifice, whereby the employee agrees to a variation to their contract terms, reducing their salary in order to receive the vouchers. The question of whether such vouchers are considered a non-cash benefit or part of the employee’s wages or salary has been hotly debated among employment lawyers, as it has an impact on whether they are </w:t>
      </w:r>
      <w:r w:rsidR="00104003">
        <w:rPr>
          <w:rFonts w:ascii="serif" w:hAnsi="serif" w:cs="serif"/>
          <w:color w:val="000000"/>
          <w:sz w:val="20"/>
          <w:szCs w:val="20"/>
        </w:rPr>
        <w:t>payable during maternity leave.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11" w:name="co_anchor_a698058_1"/>
      <w:bookmarkEnd w:id="11"/>
    </w:p>
    <w:p w:rsidR="00B63296" w:rsidRDefault="00B932B2">
      <w:pPr>
        <w:widowControl w:val="0"/>
        <w:autoSpaceDE w:val="0"/>
        <w:autoSpaceDN w:val="0"/>
        <w:adjustRightInd w:val="0"/>
        <w:spacing w:before="200" w:after="0" w:line="240" w:lineRule="auto"/>
        <w:jc w:val="both"/>
        <w:rPr>
          <w:rFonts w:ascii="serif" w:hAnsi="serif" w:cs="serif"/>
          <w:b/>
          <w:bCs/>
          <w:color w:val="212121"/>
          <w:sz w:val="20"/>
          <w:szCs w:val="20"/>
        </w:rPr>
      </w:pPr>
      <w:r>
        <w:rPr>
          <w:rFonts w:ascii="serif" w:hAnsi="serif" w:cs="serif"/>
          <w:b/>
          <w:bCs/>
          <w:color w:val="212121"/>
          <w:sz w:val="20"/>
          <w:szCs w:val="20"/>
        </w:rPr>
        <w:t>Holiday accrual</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Like other non-cash benefits, annual leave entitlement continues to accrue during OML and AML. There is also a right as a result of EU case law to carry over unused holiday entitlement to the next holiday year if it cannot otherwise be taken because of maternity leave.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12" w:name="co_anchor_a993307_1"/>
      <w:bookmarkEnd w:id="12"/>
    </w:p>
    <w:p w:rsidR="00B63296" w:rsidRDefault="00B932B2">
      <w:pPr>
        <w:widowControl w:val="0"/>
        <w:autoSpaceDE w:val="0"/>
        <w:autoSpaceDN w:val="0"/>
        <w:adjustRightInd w:val="0"/>
        <w:spacing w:before="240" w:after="0" w:line="240" w:lineRule="auto"/>
        <w:jc w:val="both"/>
        <w:rPr>
          <w:rFonts w:ascii="serif" w:hAnsi="serif" w:cs="serif"/>
          <w:b/>
          <w:bCs/>
          <w:color w:val="000000"/>
          <w:sz w:val="24"/>
          <w:szCs w:val="24"/>
        </w:rPr>
      </w:pPr>
      <w:r>
        <w:rPr>
          <w:rFonts w:ascii="serif" w:hAnsi="serif" w:cs="serif"/>
          <w:b/>
          <w:bCs/>
          <w:color w:val="000000"/>
          <w:sz w:val="24"/>
          <w:szCs w:val="24"/>
        </w:rPr>
        <w:t>Enforcement</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13" w:name="co_anchor_a293655_1"/>
      <w:bookmarkEnd w:id="13"/>
    </w:p>
    <w:p w:rsidR="00B63296" w:rsidRDefault="00B932B2">
      <w:pPr>
        <w:widowControl w:val="0"/>
        <w:autoSpaceDE w:val="0"/>
        <w:autoSpaceDN w:val="0"/>
        <w:adjustRightInd w:val="0"/>
        <w:spacing w:before="220" w:line="240" w:lineRule="auto"/>
        <w:jc w:val="both"/>
        <w:rPr>
          <w:rFonts w:ascii="serif" w:hAnsi="serif" w:cs="serif"/>
          <w:b/>
          <w:bCs/>
          <w:color w:val="212121"/>
        </w:rPr>
      </w:pPr>
      <w:r>
        <w:rPr>
          <w:rFonts w:ascii="serif" w:hAnsi="serif" w:cs="serif"/>
          <w:b/>
          <w:bCs/>
          <w:color w:val="212121"/>
        </w:rPr>
        <w:t>Detriment, dismissal and discrimination</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An employee who is deprived of any contractual or discretionary benefits due to having taken OML or AML may (depending on the facts) have one or more of the following claims: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numPr>
          <w:ilvl w:val="0"/>
          <w:numId w:val="15"/>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Deduction from wages (</w:t>
      </w:r>
      <w:r w:rsidR="00FF4B0D">
        <w:rPr>
          <w:rFonts w:ascii="serif" w:hAnsi="serif" w:cs="serif"/>
          <w:color w:val="000000"/>
          <w:sz w:val="20"/>
          <w:szCs w:val="20"/>
        </w:rPr>
        <w:t>s 13</w:t>
      </w:r>
      <w:r>
        <w:rPr>
          <w:rFonts w:ascii="serif" w:hAnsi="serif" w:cs="serif"/>
          <w:i/>
          <w:iCs/>
          <w:color w:val="000000"/>
          <w:sz w:val="20"/>
          <w:szCs w:val="20"/>
        </w:rPr>
        <w:t>, ERA 1996</w:t>
      </w:r>
      <w:r>
        <w:rPr>
          <w:rFonts w:ascii="serif" w:hAnsi="serif" w:cs="serif"/>
          <w:color w:val="000000"/>
          <w:sz w:val="20"/>
          <w:szCs w:val="20"/>
        </w:rPr>
        <w:t xml:space="preserve">). </w:t>
      </w:r>
    </w:p>
    <w:p w:rsidR="00B63296" w:rsidRDefault="00B932B2">
      <w:pPr>
        <w:widowControl w:val="0"/>
        <w:numPr>
          <w:ilvl w:val="0"/>
          <w:numId w:val="16"/>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That she has been subjected to a detriment for a reason connected with any of: pregnancy, giving birth, maternity suspension or taking OML or AML (</w:t>
      </w:r>
      <w:r w:rsidR="00FF4B0D">
        <w:t>reg 19</w:t>
      </w:r>
      <w:r>
        <w:rPr>
          <w:rFonts w:ascii="serif" w:hAnsi="serif" w:cs="serif"/>
          <w:i/>
          <w:iCs/>
          <w:color w:val="000000"/>
          <w:sz w:val="20"/>
          <w:szCs w:val="20"/>
        </w:rPr>
        <w:t>, MPL Regulations</w:t>
      </w:r>
      <w:r>
        <w:rPr>
          <w:rFonts w:ascii="serif" w:hAnsi="serif" w:cs="serif"/>
          <w:color w:val="000000"/>
          <w:sz w:val="20"/>
          <w:szCs w:val="20"/>
        </w:rPr>
        <w:t>).</w:t>
      </w:r>
    </w:p>
    <w:p w:rsidR="00B63296" w:rsidRDefault="00B932B2">
      <w:pPr>
        <w:widowControl w:val="0"/>
        <w:numPr>
          <w:ilvl w:val="0"/>
          <w:numId w:val="17"/>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Breach of contract.</w:t>
      </w:r>
    </w:p>
    <w:p w:rsidR="00B63296" w:rsidRDefault="00B932B2">
      <w:pPr>
        <w:widowControl w:val="0"/>
        <w:numPr>
          <w:ilvl w:val="0"/>
          <w:numId w:val="18"/>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 xml:space="preserve">Automatically unfair dismissal, if there is a serious breach of contract and she treats herself as constructively dismissed </w:t>
      </w:r>
    </w:p>
    <w:p w:rsidR="00B63296" w:rsidRDefault="00B932B2">
      <w:pPr>
        <w:widowControl w:val="0"/>
        <w:numPr>
          <w:ilvl w:val="0"/>
          <w:numId w:val="19"/>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 xml:space="preserve">A claim for pregnancy and maternity discrimination </w:t>
      </w:r>
      <w:r w:rsidR="00104003">
        <w:rPr>
          <w:rFonts w:ascii="serif" w:hAnsi="serif" w:cs="serif"/>
          <w:color w:val="000000"/>
          <w:sz w:val="20"/>
          <w:szCs w:val="20"/>
        </w:rPr>
        <w:t>(</w:t>
      </w:r>
      <w:r>
        <w:rPr>
          <w:rFonts w:ascii="serif" w:hAnsi="serif" w:cs="serif"/>
          <w:color w:val="000000"/>
          <w:sz w:val="20"/>
          <w:szCs w:val="20"/>
        </w:rPr>
        <w:t>and/or sex discrimination).</w:t>
      </w:r>
    </w:p>
    <w:p w:rsidR="00B63296" w:rsidRDefault="00B932B2">
      <w:pPr>
        <w:widowControl w:val="0"/>
        <w:autoSpaceDE w:val="0"/>
        <w:autoSpaceDN w:val="0"/>
        <w:adjustRightInd w:val="0"/>
        <w:spacing w:before="200" w:after="0" w:line="240" w:lineRule="auto"/>
        <w:jc w:val="both"/>
        <w:rPr>
          <w:rFonts w:ascii="serif" w:hAnsi="serif" w:cs="serif"/>
          <w:color w:val="000000"/>
          <w:sz w:val="20"/>
          <w:szCs w:val="20"/>
        </w:rPr>
      </w:pPr>
      <w:r>
        <w:rPr>
          <w:rFonts w:ascii="serif" w:hAnsi="serif" w:cs="serif"/>
          <w:color w:val="000000"/>
          <w:sz w:val="20"/>
          <w:szCs w:val="20"/>
        </w:rPr>
        <w:t>Likewise the dismissal of an employee to avoid the employer’s liability for SMP or other maternity related benefits (or indeed for any reason that relates to maternity leave or associated rights) would be automatically unfair and an act of pregnancy and maternity discrimination.</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w:t>
      </w:r>
    </w:p>
    <w:p w:rsidR="00B63296" w:rsidRDefault="00B932B2" w:rsidP="00FF4B0D">
      <w:pPr>
        <w:widowControl w:val="0"/>
        <w:autoSpaceDE w:val="0"/>
        <w:autoSpaceDN w:val="0"/>
        <w:adjustRightInd w:val="0"/>
        <w:spacing w:after="0" w:line="240" w:lineRule="auto"/>
        <w:jc w:val="both"/>
        <w:rPr>
          <w:rFonts w:ascii="serif" w:hAnsi="serif" w:cs="serif"/>
          <w:b/>
          <w:bCs/>
          <w:color w:val="212121"/>
        </w:rPr>
      </w:pPr>
      <w:r>
        <w:rPr>
          <w:rFonts w:ascii="serif" w:hAnsi="serif" w:cs="serif"/>
          <w:color w:val="000000"/>
          <w:sz w:val="20"/>
          <w:szCs w:val="20"/>
        </w:rPr>
        <w:t> </w:t>
      </w:r>
      <w:bookmarkStart w:id="14" w:name="co_anchor_a216974_1"/>
      <w:bookmarkEnd w:id="14"/>
      <w:r>
        <w:rPr>
          <w:rFonts w:ascii="serif" w:hAnsi="serif" w:cs="serif"/>
          <w:b/>
          <w:bCs/>
          <w:color w:val="212121"/>
        </w:rPr>
        <w:t>Non-payment of SMP</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Since April 2005, HMRC has had overall responsibility for the administration of SMP. Complaints about entitlement to SMP must be submitted to HMRC’s Statutory Payments Disputes Team within six months of the issue arising. </w:t>
      </w:r>
      <w:r w:rsidR="00104003">
        <w:rPr>
          <w:rFonts w:ascii="serif" w:hAnsi="serif" w:cs="serif"/>
          <w:color w:val="000000"/>
          <w:sz w:val="20"/>
          <w:szCs w:val="20"/>
        </w:rPr>
        <w:t>(</w:t>
      </w:r>
      <w:proofErr w:type="gramStart"/>
      <w:r w:rsidR="00104003">
        <w:rPr>
          <w:rFonts w:ascii="serif" w:hAnsi="serif" w:cs="serif"/>
          <w:color w:val="000000"/>
          <w:sz w:val="20"/>
          <w:szCs w:val="20"/>
        </w:rPr>
        <w:t>t</w:t>
      </w:r>
      <w:r>
        <w:rPr>
          <w:rFonts w:ascii="serif" w:hAnsi="serif" w:cs="serif"/>
          <w:color w:val="000000"/>
          <w:sz w:val="20"/>
          <w:szCs w:val="20"/>
        </w:rPr>
        <w:t>hey</w:t>
      </w:r>
      <w:proofErr w:type="gramEnd"/>
      <w:r>
        <w:rPr>
          <w:rFonts w:ascii="serif" w:hAnsi="serif" w:cs="serif"/>
          <w:color w:val="000000"/>
          <w:sz w:val="20"/>
          <w:szCs w:val="20"/>
        </w:rPr>
        <w:t xml:space="preserve"> can be contacted on 0191 22 55221</w:t>
      </w:r>
      <w:r w:rsidR="00104003">
        <w:rPr>
          <w:rFonts w:ascii="serif" w:hAnsi="serif" w:cs="serif"/>
          <w:color w:val="000000"/>
          <w:sz w:val="20"/>
          <w:szCs w:val="20"/>
        </w:rPr>
        <w:t xml:space="preserve">). </w:t>
      </w:r>
      <w:r>
        <w:rPr>
          <w:rFonts w:ascii="serif" w:hAnsi="serif" w:cs="serif"/>
          <w:color w:val="000000"/>
          <w:sz w:val="20"/>
          <w:szCs w:val="20"/>
        </w:rPr>
        <w:t xml:space="preserve"> An employer who refuses to pay SMP, following an HMRC decision that they are obliged to do so, may face a financial penalty up to a current maximum of £</w:t>
      </w:r>
      <w:proofErr w:type="gramStart"/>
      <w:r>
        <w:rPr>
          <w:rFonts w:ascii="serif" w:hAnsi="serif" w:cs="serif"/>
          <w:color w:val="000000"/>
          <w:sz w:val="20"/>
          <w:szCs w:val="20"/>
        </w:rPr>
        <w:t>3,000 .</w:t>
      </w:r>
      <w:proofErr w:type="gramEnd"/>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In theory an unlawful deductions from wages claim could be made for non-payment of SMP, as SMP counts as “wages” under</w:t>
      </w:r>
      <w:r w:rsidR="00FF4B0D">
        <w:rPr>
          <w:rFonts w:ascii="serif" w:hAnsi="serif" w:cs="serif"/>
          <w:color w:val="000000"/>
          <w:sz w:val="20"/>
          <w:szCs w:val="20"/>
        </w:rPr>
        <w:t xml:space="preserve"> s27 </w:t>
      </w:r>
      <w:r>
        <w:rPr>
          <w:rFonts w:ascii="serif" w:hAnsi="serif" w:cs="serif"/>
          <w:color w:val="000000"/>
          <w:sz w:val="20"/>
          <w:szCs w:val="20"/>
        </w:rPr>
        <w:t>of the Employment Rights Act 1996 . However, employment tribunals do not have jurisdiction to decide if an employee is entitled to SMP. In Hair Division Ltd v MacMillan UKEATS/0033/12, the EAT confirmed that the issue of whether or not an employee was entitled to be paid SMP was one over which HMRC has exclusive jurisdiction. The only issue a tribunal could determine was whether or not the employee did in fact receive SMP from her employer (assuming the question of entitlement has been resolved).</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However, there may be little point in the employee making an unlawful deductions claim against the employer once HMRC has made a decision in the employee’s favour, as she will usually be entitled in those circumstances to claim payment directly from HMRC (including any arrears) once the time limit for appeal by the employer has expired. She </w:t>
      </w:r>
      <w:r>
        <w:rPr>
          <w:rFonts w:ascii="serif" w:hAnsi="serif" w:cs="serif"/>
          <w:color w:val="000000"/>
          <w:sz w:val="20"/>
          <w:szCs w:val="20"/>
        </w:rPr>
        <w:lastRenderedPageBreak/>
        <w:t>may also claim payment from HMRC in cases where the employer is insolvent (although this only applies to payments after the date of insolvency).</w:t>
      </w:r>
    </w:p>
    <w:p w:rsidR="00104003" w:rsidRDefault="00104003">
      <w:pPr>
        <w:widowControl w:val="0"/>
        <w:autoSpaceDE w:val="0"/>
        <w:autoSpaceDN w:val="0"/>
        <w:adjustRightInd w:val="0"/>
        <w:spacing w:after="0" w:line="240" w:lineRule="auto"/>
        <w:jc w:val="both"/>
        <w:rPr>
          <w:rFonts w:ascii="serif" w:hAnsi="serif" w:cs="serif"/>
          <w:color w:val="000000"/>
          <w:sz w:val="20"/>
          <w:szCs w:val="20"/>
        </w:rPr>
      </w:pPr>
    </w:p>
    <w:p w:rsidR="00104003" w:rsidRDefault="00104003">
      <w:pPr>
        <w:widowControl w:val="0"/>
        <w:autoSpaceDE w:val="0"/>
        <w:autoSpaceDN w:val="0"/>
        <w:adjustRightInd w:val="0"/>
        <w:spacing w:after="0" w:line="240" w:lineRule="auto"/>
        <w:jc w:val="both"/>
        <w:rPr>
          <w:rFonts w:ascii="serif" w:hAnsi="serif" w:cs="serif"/>
          <w:color w:val="000000"/>
          <w:sz w:val="20"/>
          <w:szCs w:val="20"/>
        </w:rPr>
      </w:pP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15" w:name="co_anchor_a835837_1"/>
      <w:bookmarkEnd w:id="15"/>
    </w:p>
    <w:p w:rsidR="00B63296" w:rsidRDefault="00B932B2">
      <w:pPr>
        <w:widowControl w:val="0"/>
        <w:autoSpaceDE w:val="0"/>
        <w:autoSpaceDN w:val="0"/>
        <w:adjustRightInd w:val="0"/>
        <w:spacing w:before="240" w:after="0" w:line="240" w:lineRule="auto"/>
        <w:jc w:val="both"/>
        <w:rPr>
          <w:rFonts w:ascii="serif" w:hAnsi="serif" w:cs="serif"/>
          <w:b/>
          <w:bCs/>
          <w:color w:val="000000"/>
          <w:sz w:val="24"/>
          <w:szCs w:val="24"/>
        </w:rPr>
      </w:pPr>
      <w:r>
        <w:rPr>
          <w:rFonts w:ascii="serif" w:hAnsi="serif" w:cs="serif"/>
          <w:b/>
          <w:bCs/>
          <w:color w:val="000000"/>
          <w:sz w:val="24"/>
          <w:szCs w:val="24"/>
        </w:rPr>
        <w:t>Discrimination</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Most of the EqA 2010 came into force on 1 October 2010, bringing together and re-stating the existing discrimination legislation concerning sex, race, disability, sexual orientation, religion or belief and age, and seeking to adopt a single approach where appropriate.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16" w:name="co_anchor_a834733_1"/>
      <w:bookmarkEnd w:id="16"/>
    </w:p>
    <w:p w:rsidR="00B63296" w:rsidRDefault="00B932B2">
      <w:pPr>
        <w:widowControl w:val="0"/>
        <w:autoSpaceDE w:val="0"/>
        <w:autoSpaceDN w:val="0"/>
        <w:adjustRightInd w:val="0"/>
        <w:spacing w:before="220" w:line="240" w:lineRule="auto"/>
        <w:jc w:val="both"/>
        <w:rPr>
          <w:rFonts w:ascii="serif" w:hAnsi="serif" w:cs="serif"/>
          <w:b/>
          <w:bCs/>
          <w:color w:val="212121"/>
        </w:rPr>
      </w:pPr>
      <w:r>
        <w:rPr>
          <w:rFonts w:ascii="serif" w:hAnsi="serif" w:cs="serif"/>
          <w:b/>
          <w:bCs/>
          <w:color w:val="212121"/>
        </w:rPr>
        <w:t>Discrimination under the Equality Act 2010</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Pregnancy and maternity is identified as a protected characteristic in </w:t>
      </w:r>
      <w:r w:rsidR="00FF4B0D">
        <w:t>s</w:t>
      </w:r>
      <w:r w:rsidR="00104003">
        <w:t>ection</w:t>
      </w:r>
      <w:r w:rsidR="00FF4B0D">
        <w:t xml:space="preserve"> 4 </w:t>
      </w:r>
      <w:r>
        <w:rPr>
          <w:rFonts w:ascii="serif" w:hAnsi="serif" w:cs="serif"/>
          <w:color w:val="000000"/>
          <w:sz w:val="20"/>
          <w:szCs w:val="20"/>
        </w:rPr>
        <w:t xml:space="preserve">of the EqA 2010, and pregnancy and maternity discrimination in the workplace is prohibited in the specifically identified circumstances set out in </w:t>
      </w:r>
      <w:r w:rsidR="00FF4B0D">
        <w:t>s 18</w:t>
      </w:r>
      <w:r>
        <w:rPr>
          <w:rFonts w:ascii="serif" w:hAnsi="serif" w:cs="serif"/>
          <w:color w:val="000000"/>
          <w:sz w:val="20"/>
          <w:szCs w:val="20"/>
        </w:rPr>
        <w:t xml:space="preserve"> </w:t>
      </w:r>
      <w:r w:rsidR="00D67AA2">
        <w:rPr>
          <w:rFonts w:ascii="serif" w:hAnsi="serif" w:cs="serif"/>
          <w:color w:val="000000"/>
          <w:sz w:val="20"/>
          <w:szCs w:val="20"/>
        </w:rPr>
        <w:t>it</w:t>
      </w:r>
      <w:r>
        <w:rPr>
          <w:rFonts w:ascii="serif" w:hAnsi="serif" w:cs="serif"/>
          <w:color w:val="000000"/>
          <w:sz w:val="20"/>
          <w:szCs w:val="20"/>
        </w:rPr>
        <w:t xml:space="preserve"> is unlawful for an employer to discriminate by treating:</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numPr>
          <w:ilvl w:val="0"/>
          <w:numId w:val="20"/>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A job applicant or employee unfavourably because of her pregnancy or because of an illness she has suffered as a result of her pregnancy during the protected period (</w:t>
      </w:r>
      <w:r>
        <w:rPr>
          <w:rFonts w:ascii="serif" w:hAnsi="serif" w:cs="serif"/>
          <w:i/>
          <w:iCs/>
          <w:color w:val="000000"/>
          <w:sz w:val="20"/>
          <w:szCs w:val="20"/>
        </w:rPr>
        <w:t>section 18(2)</w:t>
      </w:r>
      <w:r>
        <w:rPr>
          <w:rFonts w:ascii="serif" w:hAnsi="serif" w:cs="serif"/>
          <w:color w:val="000000"/>
          <w:sz w:val="20"/>
          <w:szCs w:val="20"/>
        </w:rPr>
        <w:t>); or</w:t>
      </w:r>
    </w:p>
    <w:p w:rsidR="00B63296" w:rsidRDefault="00B932B2">
      <w:pPr>
        <w:widowControl w:val="0"/>
        <w:numPr>
          <w:ilvl w:val="0"/>
          <w:numId w:val="21"/>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An employee unfavourably because she is on compulsory maternity leave or because she is exercising or seeking to exercise, or has exercised or sought to exercise, the right to ordinary or additional maternity leave (</w:t>
      </w:r>
      <w:r>
        <w:rPr>
          <w:rFonts w:ascii="serif" w:hAnsi="serif" w:cs="serif"/>
          <w:i/>
          <w:iCs/>
          <w:color w:val="000000"/>
          <w:sz w:val="20"/>
          <w:szCs w:val="20"/>
        </w:rPr>
        <w:t>section 18(3) and (4)</w:t>
      </w:r>
      <w:r>
        <w:rPr>
          <w:rFonts w:ascii="serif" w:hAnsi="serif" w:cs="serif"/>
          <w:color w:val="000000"/>
          <w:sz w:val="20"/>
          <w:szCs w:val="20"/>
        </w:rPr>
        <w:t>).</w:t>
      </w:r>
    </w:p>
    <w:p w:rsidR="00B63296" w:rsidRDefault="00B932B2">
      <w:pPr>
        <w:widowControl w:val="0"/>
        <w:autoSpaceDE w:val="0"/>
        <w:autoSpaceDN w:val="0"/>
        <w:adjustRightInd w:val="0"/>
        <w:spacing w:before="200" w:after="0" w:line="240" w:lineRule="auto"/>
        <w:jc w:val="both"/>
        <w:rPr>
          <w:rFonts w:ascii="serif" w:hAnsi="serif" w:cs="serif"/>
          <w:color w:val="000000"/>
          <w:sz w:val="20"/>
          <w:szCs w:val="20"/>
        </w:rPr>
      </w:pPr>
      <w:r>
        <w:rPr>
          <w:rFonts w:ascii="serif" w:hAnsi="serif" w:cs="serif"/>
          <w:color w:val="000000"/>
          <w:sz w:val="20"/>
          <w:szCs w:val="20"/>
        </w:rPr>
        <w: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With regard</w:t>
      </w:r>
      <w:r w:rsidR="00104003">
        <w:rPr>
          <w:rFonts w:ascii="serif" w:hAnsi="serif" w:cs="serif"/>
          <w:color w:val="000000"/>
          <w:sz w:val="20"/>
          <w:szCs w:val="20"/>
        </w:rPr>
        <w:t xml:space="preserve"> to the terms of a woman’s work</w:t>
      </w:r>
      <w:r>
        <w:rPr>
          <w:rFonts w:ascii="serif" w:hAnsi="serif" w:cs="serif"/>
          <w:color w:val="000000"/>
          <w:sz w:val="20"/>
          <w:szCs w:val="20"/>
        </w:rPr>
        <w:t xml:space="preserve">, the </w:t>
      </w:r>
      <w:proofErr w:type="spellStart"/>
      <w:r>
        <w:rPr>
          <w:rFonts w:ascii="serif" w:hAnsi="serif" w:cs="serif"/>
          <w:color w:val="000000"/>
          <w:sz w:val="20"/>
          <w:szCs w:val="20"/>
        </w:rPr>
        <w:t>EqA</w:t>
      </w:r>
      <w:proofErr w:type="spellEnd"/>
      <w:r>
        <w:rPr>
          <w:rFonts w:ascii="serif" w:hAnsi="serif" w:cs="serif"/>
          <w:color w:val="000000"/>
          <w:sz w:val="20"/>
          <w:szCs w:val="20"/>
        </w:rPr>
        <w:t xml:space="preserve"> 2010 addresses pregnancy and maternity equality in cas</w:t>
      </w:r>
      <w:r w:rsidR="00104003">
        <w:rPr>
          <w:rFonts w:ascii="serif" w:hAnsi="serif" w:cs="serif"/>
          <w:color w:val="000000"/>
          <w:sz w:val="20"/>
          <w:szCs w:val="20"/>
        </w:rPr>
        <w:t xml:space="preserve">es where a woman is employed, </w:t>
      </w:r>
      <w:r>
        <w:rPr>
          <w:rFonts w:ascii="serif" w:hAnsi="serif" w:cs="serif"/>
          <w:color w:val="000000"/>
          <w:sz w:val="20"/>
          <w:szCs w:val="20"/>
        </w:rPr>
        <w:t>by setting out a “maternity equality clause” (</w:t>
      </w:r>
      <w:r>
        <w:rPr>
          <w:rFonts w:ascii="serif" w:hAnsi="serif" w:cs="serif"/>
          <w:i/>
          <w:iCs/>
          <w:color w:val="000000"/>
          <w:sz w:val="20"/>
          <w:szCs w:val="20"/>
        </w:rPr>
        <w:t>section 73</w:t>
      </w:r>
      <w:r>
        <w:rPr>
          <w:rFonts w:ascii="serif" w:hAnsi="serif" w:cs="serif"/>
          <w:color w:val="000000"/>
          <w:sz w:val="20"/>
          <w:szCs w:val="20"/>
        </w:rPr>
        <w:t>), a “maternity equality clause: pay” (</w:t>
      </w:r>
      <w:r w:rsidR="00FF4B0D">
        <w:rPr>
          <w:rFonts w:ascii="serif" w:hAnsi="serif" w:cs="serif"/>
          <w:color w:val="000000"/>
          <w:sz w:val="20"/>
          <w:szCs w:val="20"/>
        </w:rPr>
        <w:t>s 74</w:t>
      </w:r>
      <w:r>
        <w:rPr>
          <w:rFonts w:ascii="serif" w:hAnsi="serif" w:cs="serif"/>
          <w:color w:val="000000"/>
          <w:sz w:val="20"/>
          <w:szCs w:val="20"/>
        </w:rPr>
        <w:t>) and a “maternity equality rule” (</w:t>
      </w:r>
      <w:r w:rsidR="00FF4B0D">
        <w:rPr>
          <w:rFonts w:ascii="serif" w:hAnsi="serif" w:cs="serif"/>
          <w:color w:val="000000"/>
          <w:sz w:val="20"/>
          <w:szCs w:val="20"/>
        </w:rPr>
        <w:t>s 75</w:t>
      </w:r>
      <w:r>
        <w:rPr>
          <w:rFonts w:ascii="serif" w:hAnsi="serif" w:cs="serif"/>
          <w:color w:val="000000"/>
          <w:sz w:val="20"/>
          <w:szCs w:val="20"/>
        </w:rPr>
        <w: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Section 74 of the EqA 2010 sets out how and when the maternity equality clause affects the calculation of a woman’s pay while she is on maternity leave. As a result: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numPr>
          <w:ilvl w:val="0"/>
          <w:numId w:val="22"/>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Any pay increase a woman receives (or would have received had she not been on statutory maternity leave) is taken into account in the calculation of her maternity-related pay if her contract does not already provide for this.</w:t>
      </w:r>
    </w:p>
    <w:p w:rsidR="00B63296" w:rsidRDefault="00B932B2">
      <w:pPr>
        <w:widowControl w:val="0"/>
        <w:numPr>
          <w:ilvl w:val="0"/>
          <w:numId w:val="23"/>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Pay, including any bonus, is paid to a woman at the time she would have received it if she had not been on statutory maternity leave.</w:t>
      </w:r>
    </w:p>
    <w:p w:rsidR="00B63296" w:rsidRDefault="00B932B2">
      <w:pPr>
        <w:widowControl w:val="0"/>
        <w:numPr>
          <w:ilvl w:val="0"/>
          <w:numId w:val="24"/>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A woman’s pay on her return to work following maternity leave will take into account any pay rise she would have received if she had not been on statutory maternity leave.</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17" w:name="co_anchor_a54997_1"/>
      <w:bookmarkEnd w:id="17"/>
    </w:p>
    <w:p w:rsidR="00B63296" w:rsidRDefault="00B932B2">
      <w:pPr>
        <w:widowControl w:val="0"/>
        <w:autoSpaceDE w:val="0"/>
        <w:autoSpaceDN w:val="0"/>
        <w:adjustRightInd w:val="0"/>
        <w:spacing w:after="0" w:line="240" w:lineRule="auto"/>
        <w:jc w:val="both"/>
        <w:rPr>
          <w:rFonts w:ascii="serif" w:hAnsi="serif" w:cs="serif"/>
          <w:color w:val="0000FF"/>
          <w:sz w:val="20"/>
          <w:szCs w:val="20"/>
        </w:rPr>
      </w:pPr>
      <w:r>
        <w:rPr>
          <w:rFonts w:ascii="serif" w:hAnsi="serif" w:cs="serif"/>
          <w:color w:val="000000"/>
          <w:sz w:val="20"/>
          <w:szCs w:val="20"/>
        </w:rPr>
        <w:t> </w:t>
      </w:r>
      <w:bookmarkStart w:id="18" w:name="co_anchor_a104259_1"/>
      <w:bookmarkEnd w:id="18"/>
    </w:p>
    <w:p w:rsidR="00B63296" w:rsidRDefault="00B932B2">
      <w:pPr>
        <w:widowControl w:val="0"/>
        <w:autoSpaceDE w:val="0"/>
        <w:autoSpaceDN w:val="0"/>
        <w:adjustRightInd w:val="0"/>
        <w:spacing w:before="280" w:after="0" w:line="240" w:lineRule="auto"/>
        <w:jc w:val="both"/>
        <w:rPr>
          <w:rFonts w:ascii="serif" w:hAnsi="serif" w:cs="serif"/>
          <w:b/>
          <w:bCs/>
          <w:color w:val="000000"/>
          <w:sz w:val="28"/>
          <w:szCs w:val="28"/>
        </w:rPr>
      </w:pPr>
      <w:r>
        <w:rPr>
          <w:rFonts w:ascii="serif" w:hAnsi="serif" w:cs="serif"/>
          <w:b/>
          <w:bCs/>
          <w:color w:val="000000"/>
          <w:sz w:val="28"/>
          <w:szCs w:val="28"/>
        </w:rPr>
        <w:t>Statutory maternity pay</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19" w:name="co_anchor_a579364_1"/>
      <w:bookmarkEnd w:id="19"/>
    </w:p>
    <w:p w:rsidR="00B63296" w:rsidRDefault="00B932B2">
      <w:pPr>
        <w:widowControl w:val="0"/>
        <w:autoSpaceDE w:val="0"/>
        <w:autoSpaceDN w:val="0"/>
        <w:adjustRightInd w:val="0"/>
        <w:spacing w:before="240" w:after="0" w:line="240" w:lineRule="auto"/>
        <w:jc w:val="both"/>
        <w:rPr>
          <w:rFonts w:ascii="serif" w:hAnsi="serif" w:cs="serif"/>
          <w:b/>
          <w:bCs/>
          <w:color w:val="000000"/>
          <w:sz w:val="24"/>
          <w:szCs w:val="24"/>
        </w:rPr>
      </w:pPr>
      <w:r>
        <w:rPr>
          <w:rFonts w:ascii="serif" w:hAnsi="serif" w:cs="serif"/>
          <w:b/>
          <w:bCs/>
          <w:color w:val="000000"/>
          <w:sz w:val="24"/>
          <w:szCs w:val="24"/>
        </w:rPr>
        <w:t>Who is eligible?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An employee will be entitled to SMP if:</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D77366" w:rsidRDefault="00B932B2" w:rsidP="00D77366">
      <w:pPr>
        <w:widowControl w:val="0"/>
        <w:numPr>
          <w:ilvl w:val="0"/>
          <w:numId w:val="26"/>
        </w:numPr>
        <w:autoSpaceDE w:val="0"/>
        <w:autoSpaceDN w:val="0"/>
        <w:adjustRightInd w:val="0"/>
        <w:spacing w:after="0" w:line="240" w:lineRule="auto"/>
        <w:ind w:left="480" w:hanging="360"/>
        <w:jc w:val="both"/>
        <w:rPr>
          <w:rFonts w:ascii="serif" w:hAnsi="serif" w:cs="serif"/>
          <w:color w:val="000000"/>
          <w:sz w:val="20"/>
          <w:szCs w:val="20"/>
        </w:rPr>
      </w:pPr>
      <w:r w:rsidRPr="00D77366">
        <w:rPr>
          <w:rFonts w:ascii="serif" w:hAnsi="serif" w:cs="serif"/>
          <w:color w:val="000000"/>
          <w:sz w:val="20"/>
          <w:szCs w:val="20"/>
        </w:rPr>
        <w:t xml:space="preserve">She has been continuously employed for at least 26 weeks by the end of the Qualifying Week, which is the 15th week before the expected week of childbirth (EWC). The 26-week period must include at least one day’s employment in the Qualifying Week. Note, the legislation refers to the “end of the week immediately preceding the 14th week” before the EWC, which is the same thing as the end of the Qualifying Week. </w:t>
      </w:r>
    </w:p>
    <w:p w:rsidR="00B63296" w:rsidRPr="00D77366" w:rsidRDefault="00B932B2" w:rsidP="00D77366">
      <w:pPr>
        <w:widowControl w:val="0"/>
        <w:numPr>
          <w:ilvl w:val="0"/>
          <w:numId w:val="26"/>
        </w:numPr>
        <w:autoSpaceDE w:val="0"/>
        <w:autoSpaceDN w:val="0"/>
        <w:adjustRightInd w:val="0"/>
        <w:spacing w:after="0" w:line="240" w:lineRule="auto"/>
        <w:ind w:left="480" w:hanging="360"/>
        <w:jc w:val="both"/>
        <w:rPr>
          <w:rFonts w:ascii="serif" w:hAnsi="serif" w:cs="serif"/>
          <w:color w:val="000000"/>
          <w:sz w:val="20"/>
          <w:szCs w:val="20"/>
        </w:rPr>
      </w:pPr>
      <w:r w:rsidRPr="00D77366">
        <w:rPr>
          <w:rFonts w:ascii="serif" w:hAnsi="serif" w:cs="serif"/>
          <w:color w:val="000000"/>
          <w:sz w:val="20"/>
          <w:szCs w:val="20"/>
        </w:rPr>
        <w:t>Her normal weekly earnings are not less than the Lower Earnings Limit (LEL) for National Insurance purposes.</w:t>
      </w:r>
    </w:p>
    <w:p w:rsidR="00B63296" w:rsidRDefault="00B932B2">
      <w:pPr>
        <w:widowControl w:val="0"/>
        <w:numPr>
          <w:ilvl w:val="0"/>
          <w:numId w:val="27"/>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She is still pregnant 11 weeks before the start of the EWC (or has already given birth).</w:t>
      </w:r>
    </w:p>
    <w:p w:rsidR="00B63296" w:rsidRDefault="00B932B2">
      <w:pPr>
        <w:widowControl w:val="0"/>
        <w:numPr>
          <w:ilvl w:val="0"/>
          <w:numId w:val="28"/>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She gives the employer at least 28 days’ notice (or, if that is not reasonably practicable, as much notice as is reasonably practicable) of the date she intends SMP to start.</w:t>
      </w:r>
    </w:p>
    <w:p w:rsidR="00B63296" w:rsidRDefault="00B932B2">
      <w:pPr>
        <w:widowControl w:val="0"/>
        <w:numPr>
          <w:ilvl w:val="0"/>
          <w:numId w:val="29"/>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lastRenderedPageBreak/>
        <w:t>She supplies a certificate (usually a MAT B1) from a midwife or doctor, confirming the date of her EWC. This must be given to the employer either before the birth, no more than three weeks after the birth or, if she has good cause for delay, as soon as reasonably practicable.</w:t>
      </w:r>
    </w:p>
    <w:p w:rsidR="00B63296" w:rsidRDefault="00B932B2">
      <w:pPr>
        <w:widowControl w:val="0"/>
        <w:numPr>
          <w:ilvl w:val="0"/>
          <w:numId w:val="30"/>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She has ceased work.</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04003" w:rsidRDefault="00104003">
      <w:pPr>
        <w:widowControl w:val="0"/>
        <w:autoSpaceDE w:val="0"/>
        <w:autoSpaceDN w:val="0"/>
        <w:adjustRightInd w:val="0"/>
        <w:spacing w:after="0" w:line="240" w:lineRule="auto"/>
        <w:jc w:val="both"/>
        <w:rPr>
          <w:rFonts w:ascii="serif" w:hAnsi="serif" w:cs="serif"/>
          <w:b/>
          <w:bCs/>
          <w:color w:val="000000"/>
          <w:sz w:val="20"/>
          <w:szCs w:val="20"/>
        </w:rPr>
      </w:pP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b/>
          <w:bCs/>
          <w:color w:val="000000"/>
          <w:sz w:val="20"/>
          <w:szCs w:val="20"/>
        </w:rPr>
        <w:t>Non-eligible individuals may qualify for Maternity Allowance (MA).</w:t>
      </w:r>
      <w:r>
        <w:rPr>
          <w:rFonts w:ascii="serif" w:hAnsi="serif" w:cs="serif"/>
          <w:color w:val="000000"/>
          <w:sz w:val="20"/>
          <w:szCs w:val="20"/>
        </w:rPr>
        <w:t xml:space="preserve"> Individuals who do not qualify for SMP (for example, because they have left work before qualifying for SMP, have insufficient earnings or continuity of service, or are self-employed) may qualify for MA, which is a social security benefit paid by Jobcentre Plus.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20" w:name="co_anchor_a580687_1"/>
      <w:bookmarkEnd w:id="20"/>
    </w:p>
    <w:p w:rsidR="00B63296" w:rsidRDefault="00B932B2">
      <w:pPr>
        <w:widowControl w:val="0"/>
        <w:autoSpaceDE w:val="0"/>
        <w:autoSpaceDN w:val="0"/>
        <w:adjustRightInd w:val="0"/>
        <w:spacing w:before="500" w:line="240" w:lineRule="auto"/>
        <w:jc w:val="both"/>
        <w:rPr>
          <w:rFonts w:ascii="serif" w:hAnsi="serif" w:cs="serif"/>
          <w:b/>
          <w:bCs/>
          <w:color w:val="212121"/>
        </w:rPr>
      </w:pPr>
      <w:r>
        <w:rPr>
          <w:rFonts w:ascii="serif" w:hAnsi="serif" w:cs="serif"/>
          <w:b/>
          <w:bCs/>
          <w:color w:val="212121"/>
        </w:rPr>
        <w:t>Who is an employee?</w:t>
      </w:r>
    </w:p>
    <w:p w:rsidR="00B63296" w:rsidRDefault="00B932B2" w:rsidP="00D7736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”Employee” for SMP purposes is wider than the standard definition in</w:t>
      </w:r>
      <w:r w:rsidR="00D77366">
        <w:rPr>
          <w:rFonts w:ascii="serif" w:hAnsi="serif" w:cs="serif"/>
          <w:color w:val="000000"/>
          <w:sz w:val="20"/>
          <w:szCs w:val="20"/>
        </w:rPr>
        <w:t xml:space="preserve"> ERA 1996</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21" w:name="co_anchor_a639207_1"/>
      <w:bookmarkEnd w:id="21"/>
    </w:p>
    <w:p w:rsidR="00B63296" w:rsidRDefault="00B932B2">
      <w:pPr>
        <w:widowControl w:val="0"/>
        <w:autoSpaceDE w:val="0"/>
        <w:autoSpaceDN w:val="0"/>
        <w:adjustRightInd w:val="0"/>
        <w:spacing w:before="500" w:line="240" w:lineRule="auto"/>
        <w:jc w:val="both"/>
        <w:rPr>
          <w:rFonts w:ascii="serif" w:hAnsi="serif" w:cs="serif"/>
          <w:b/>
          <w:bCs/>
          <w:color w:val="212121"/>
        </w:rPr>
      </w:pPr>
      <w:r>
        <w:rPr>
          <w:rFonts w:ascii="serif" w:hAnsi="serif" w:cs="serif"/>
          <w:b/>
          <w:bCs/>
          <w:color w:val="212121"/>
        </w:rPr>
        <w:t>Ceasing work</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SMP is available to “a woman who is </w:t>
      </w:r>
      <w:r>
        <w:rPr>
          <w:rFonts w:ascii="serif" w:hAnsi="serif" w:cs="serif"/>
          <w:b/>
          <w:bCs/>
          <w:color w:val="000000"/>
          <w:sz w:val="20"/>
          <w:szCs w:val="20"/>
        </w:rPr>
        <w:t>or has been</w:t>
      </w:r>
      <w:r>
        <w:rPr>
          <w:rFonts w:ascii="serif" w:hAnsi="serif" w:cs="serif"/>
          <w:color w:val="000000"/>
          <w:sz w:val="20"/>
          <w:szCs w:val="20"/>
        </w:rPr>
        <w:t xml:space="preserve"> an employee” . Therefore it does not matter if she takes maternity leave, resigns, or is dismissed for any reason including redundancy, misconduct or even the fact that she has lost the right to work in the UK; provided she has qualified for SMP and has “ceased work”.</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b/>
          <w:bCs/>
          <w:color w:val="000000"/>
          <w:sz w:val="20"/>
          <w:szCs w:val="20"/>
        </w:rPr>
        <w:t>Dismissal or resignation after the qualifying week.</w:t>
      </w:r>
      <w:r>
        <w:rPr>
          <w:rFonts w:ascii="serif" w:hAnsi="serif" w:cs="serif"/>
          <w:color w:val="000000"/>
          <w:sz w:val="20"/>
          <w:szCs w:val="20"/>
        </w:rPr>
        <w:t xml:space="preserve"> An employee who is dismissed or resigns during maternity leave, or indeed at any time after the Qualifying Week (the 15th week before the EWC), will still be entitled to the full SMP entitlement from her former employer. It is more than likely that any contractual maternity pay and benefits will cease on termination, subject to anything contrary in the contract.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b/>
          <w:bCs/>
          <w:color w:val="000000"/>
          <w:sz w:val="20"/>
          <w:szCs w:val="20"/>
        </w:rPr>
        <w:t>Dismissal or resignation before the end of qualifying week.</w:t>
      </w:r>
      <w:r>
        <w:rPr>
          <w:rFonts w:ascii="serif" w:hAnsi="serif" w:cs="serif"/>
          <w:color w:val="000000"/>
          <w:sz w:val="20"/>
          <w:szCs w:val="20"/>
        </w:rPr>
        <w:t xml:space="preserve"> An employee who is no longer employed in the Qualifying Week will not usually qualify for SMP because she will not satisfy the rule on continuity of employment. However, this rule is ignored in the very rare case of extremely premature birth before or during the Qualifying Week. In such a case the employee’s employment is calculated as if she had remained employed up to the end of the Qualifying Week (</w:t>
      </w:r>
      <w:r w:rsidR="00D77366">
        <w:t>reg 4 (1)</w:t>
      </w:r>
      <w:r>
        <w:rPr>
          <w:rFonts w:ascii="serif" w:hAnsi="serif" w:cs="serif"/>
          <w:i/>
          <w:iCs/>
          <w:color w:val="000000"/>
          <w:sz w:val="20"/>
          <w:szCs w:val="20"/>
        </w:rPr>
        <w:t>, SMP Regulations</w:t>
      </w:r>
      <w:r>
        <w:rPr>
          <w:rFonts w:ascii="serif" w:hAnsi="serif" w:cs="serif"/>
          <w:color w:val="000000"/>
          <w:sz w:val="20"/>
          <w:szCs w:val="20"/>
        </w:rPr>
        <w:t>). The rule is also relaxed if the employer dismisses the employee before the Qualifying Week solely or mainly to avoid SMP liability. In such a case she is deemed to have the necessary continuity if she had 8 weeks’ continuous employment at the date of dismissal (</w:t>
      </w:r>
      <w:r w:rsidR="00D77366">
        <w:t>reg 3 (1)</w:t>
      </w:r>
      <w:r>
        <w:rPr>
          <w:rFonts w:ascii="serif" w:hAnsi="serif" w:cs="serif"/>
          <w:i/>
          <w:iCs/>
          <w:color w:val="000000"/>
          <w:sz w:val="20"/>
          <w:szCs w:val="20"/>
        </w:rPr>
        <w:t>, SMP Regulations</w:t>
      </w:r>
      <w:r>
        <w:rPr>
          <w:rFonts w:ascii="serif" w:hAnsi="serif" w:cs="serif"/>
          <w:color w:val="000000"/>
          <w:sz w:val="20"/>
          <w:szCs w:val="20"/>
        </w:rPr>
        <w: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Note that even if work has already ceased, SMP cannot start before the 11th week before the EWC unless birth has occurred earlier</w:t>
      </w:r>
      <w:r w:rsidR="00D77366">
        <w:rPr>
          <w:rFonts w:ascii="serif" w:hAnsi="serif" w:cs="serif"/>
          <w:color w:val="000000"/>
          <w:sz w:val="20"/>
          <w:szCs w:val="20"/>
        </w:rPr>
        <w:t>.</w:t>
      </w: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22" w:name="co_anchor_a614992_1"/>
      <w:bookmarkEnd w:id="22"/>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23" w:name="co_anchor_a713361_1"/>
      <w:bookmarkEnd w:id="23"/>
    </w:p>
    <w:p w:rsidR="00B63296" w:rsidRDefault="00B932B2">
      <w:pPr>
        <w:widowControl w:val="0"/>
        <w:autoSpaceDE w:val="0"/>
        <w:autoSpaceDN w:val="0"/>
        <w:adjustRightInd w:val="0"/>
        <w:spacing w:before="240" w:after="0" w:line="240" w:lineRule="auto"/>
        <w:jc w:val="both"/>
        <w:rPr>
          <w:rFonts w:ascii="serif" w:hAnsi="serif" w:cs="serif"/>
          <w:b/>
          <w:bCs/>
          <w:color w:val="000000"/>
          <w:sz w:val="24"/>
          <w:szCs w:val="24"/>
        </w:rPr>
      </w:pPr>
      <w:r>
        <w:rPr>
          <w:rFonts w:ascii="serif" w:hAnsi="serif" w:cs="serif"/>
          <w:b/>
          <w:bCs/>
          <w:color w:val="000000"/>
          <w:sz w:val="24"/>
          <w:szCs w:val="24"/>
        </w:rPr>
        <w:t>Normal weekly earnings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Both entitlement to SMP and the rate payable depend on the employee’s normal weekly earnings. Normal weekly earnings are calculated as a weekly average of the employee’s total gross earnings from the employer and any associated employers during a reference period (the “relevant period”).</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As a rule of thumb, the earnings taken into account for monthly-paid employees are those set out on the last two pay slips before the end of the Qualifying Week (which is the 15th week before the EWC). For weekly-paid employees, the last eight pay slips are taken into account.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00"/>
          <w:sz w:val="20"/>
          <w:szCs w:val="20"/>
        </w:rPr>
      </w:pPr>
      <w:bookmarkStart w:id="24" w:name="co_anchor_a49705_1"/>
      <w:bookmarkEnd w:id="24"/>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25" w:name="co_anchor_a1029162_1"/>
      <w:bookmarkEnd w:id="25"/>
    </w:p>
    <w:p w:rsidR="00B63296" w:rsidRDefault="00B932B2">
      <w:pPr>
        <w:widowControl w:val="0"/>
        <w:autoSpaceDE w:val="0"/>
        <w:autoSpaceDN w:val="0"/>
        <w:adjustRightInd w:val="0"/>
        <w:spacing w:before="220" w:line="240" w:lineRule="auto"/>
        <w:jc w:val="both"/>
        <w:rPr>
          <w:rFonts w:ascii="serif" w:hAnsi="serif" w:cs="serif"/>
          <w:b/>
          <w:bCs/>
          <w:color w:val="212121"/>
        </w:rPr>
      </w:pPr>
      <w:r>
        <w:rPr>
          <w:rFonts w:ascii="serif" w:hAnsi="serif" w:cs="serif"/>
          <w:b/>
          <w:bCs/>
          <w:color w:val="212121"/>
        </w:rPr>
        <w:lastRenderedPageBreak/>
        <w:t>What counts as earnings?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”Earnings” are calculated gross and include anything that is treated as earnings for national insurance purposes - that is, any remuneration or profit derived from employment (</w:t>
      </w:r>
      <w:proofErr w:type="spellStart"/>
      <w:r w:rsidR="00376449">
        <w:rPr>
          <w:rFonts w:ascii="serif" w:hAnsi="serif" w:cs="serif"/>
          <w:color w:val="000000"/>
          <w:sz w:val="20"/>
          <w:szCs w:val="20"/>
        </w:rPr>
        <w:t>reg</w:t>
      </w:r>
      <w:proofErr w:type="spellEnd"/>
      <w:r w:rsidR="00376449">
        <w:rPr>
          <w:rFonts w:ascii="serif" w:hAnsi="serif" w:cs="serif"/>
          <w:color w:val="000000"/>
          <w:sz w:val="20"/>
          <w:szCs w:val="20"/>
        </w:rPr>
        <w:t xml:space="preserve"> 20 (2)</w:t>
      </w:r>
      <w:hyperlink r:id="rId7" w:history="1"/>
      <w:r>
        <w:rPr>
          <w:rFonts w:ascii="serif" w:hAnsi="serif" w:cs="serif"/>
          <w:i/>
          <w:iCs/>
          <w:color w:val="000000"/>
          <w:sz w:val="20"/>
          <w:szCs w:val="20"/>
        </w:rPr>
        <w:t>, SMP Regulations</w:t>
      </w:r>
      <w:r>
        <w:rPr>
          <w:rFonts w:ascii="serif" w:hAnsi="serif" w:cs="serif"/>
          <w:color w:val="000000"/>
          <w:sz w:val="20"/>
          <w:szCs w:val="20"/>
        </w:rPr>
        <w:t>). This will include any bonus, commission and overtime payments, whether contractual or not. A woman’s SMP entitlement can be significantly increased if an annual bonus is paid during the relevant period for assessing normal weekly earnings.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It will also include: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numPr>
          <w:ilvl w:val="0"/>
          <w:numId w:val="39"/>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Statutory sick pay, maternity pay, paternity pay and adoption pay.</w:t>
      </w:r>
    </w:p>
    <w:p w:rsidR="00B63296" w:rsidRDefault="00B932B2">
      <w:pPr>
        <w:widowControl w:val="0"/>
        <w:numPr>
          <w:ilvl w:val="0"/>
          <w:numId w:val="40"/>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Arrears of pay following a tribunal’s reinstatement order.</w:t>
      </w:r>
    </w:p>
    <w:p w:rsidR="00B63296" w:rsidRDefault="00B932B2">
      <w:pPr>
        <w:widowControl w:val="0"/>
        <w:numPr>
          <w:ilvl w:val="0"/>
          <w:numId w:val="41"/>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Any amount payable following a claim for interim relief where the tribunal has ordered the contract to continue.</w:t>
      </w:r>
    </w:p>
    <w:p w:rsidR="00B63296" w:rsidRDefault="00B932B2">
      <w:pPr>
        <w:widowControl w:val="0"/>
        <w:numPr>
          <w:ilvl w:val="0"/>
          <w:numId w:val="42"/>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Any amount payable under a protective award.</w:t>
      </w:r>
    </w:p>
    <w:p w:rsidR="00B63296" w:rsidRDefault="00B932B2">
      <w:pPr>
        <w:widowControl w:val="0"/>
        <w:autoSpaceDE w:val="0"/>
        <w:autoSpaceDN w:val="0"/>
        <w:adjustRightInd w:val="0"/>
        <w:spacing w:before="200" w:after="0" w:line="240" w:lineRule="auto"/>
        <w:jc w:val="both"/>
        <w:rPr>
          <w:rFonts w:ascii="serif" w:hAnsi="serif" w:cs="serif"/>
          <w:color w:val="000000"/>
          <w:sz w:val="20"/>
          <w:szCs w:val="20"/>
        </w:rPr>
      </w:pPr>
      <w:r>
        <w:rPr>
          <w:rFonts w:ascii="serif" w:hAnsi="serif" w:cs="serif"/>
          <w:color w:val="000000"/>
          <w:sz w:val="20"/>
          <w:szCs w:val="20"/>
        </w:rPr>
        <w:t>(</w:t>
      </w:r>
      <w:r>
        <w:rPr>
          <w:rFonts w:ascii="serif" w:hAnsi="serif" w:cs="serif"/>
          <w:i/>
          <w:iCs/>
          <w:color w:val="000000"/>
          <w:sz w:val="20"/>
          <w:szCs w:val="20"/>
        </w:rPr>
        <w:t>Regulation 20(4), SMP Regulations.</w:t>
      </w:r>
      <w:r>
        <w:rPr>
          <w:rFonts w:ascii="serif" w:hAnsi="serif" w:cs="serif"/>
          <w:color w:val="000000"/>
          <w:sz w:val="20"/>
          <w:szCs w:val="20"/>
        </w:rPr>
        <w: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Certain payments are excluded from the calculation. They fall into a number of broad categories, including:</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numPr>
          <w:ilvl w:val="0"/>
          <w:numId w:val="43"/>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Payments in kind, such as accommodation and services.</w:t>
      </w:r>
    </w:p>
    <w:p w:rsidR="00B63296" w:rsidRDefault="00B932B2">
      <w:pPr>
        <w:widowControl w:val="0"/>
        <w:numPr>
          <w:ilvl w:val="0"/>
          <w:numId w:val="44"/>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Certain non-cash vouchers including luncheon vouchers and childcare vouchers.</w:t>
      </w:r>
    </w:p>
    <w:p w:rsidR="00B63296" w:rsidRDefault="00B932B2">
      <w:pPr>
        <w:widowControl w:val="0"/>
        <w:numPr>
          <w:ilvl w:val="0"/>
          <w:numId w:val="45"/>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Pension contributions.</w:t>
      </w:r>
    </w:p>
    <w:p w:rsidR="00B63296" w:rsidRDefault="00B932B2">
      <w:pPr>
        <w:widowControl w:val="0"/>
        <w:numPr>
          <w:ilvl w:val="0"/>
          <w:numId w:val="46"/>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Payments under share incentive schemes.</w:t>
      </w:r>
    </w:p>
    <w:p w:rsidR="00376449" w:rsidRDefault="00376449">
      <w:pPr>
        <w:widowControl w:val="0"/>
        <w:autoSpaceDE w:val="0"/>
        <w:autoSpaceDN w:val="0"/>
        <w:adjustRightInd w:val="0"/>
        <w:spacing w:before="220" w:line="240" w:lineRule="auto"/>
        <w:jc w:val="both"/>
        <w:rPr>
          <w:rFonts w:ascii="serif" w:hAnsi="serif" w:cs="serif"/>
          <w:b/>
          <w:bCs/>
          <w:color w:val="212121"/>
        </w:rPr>
      </w:pPr>
    </w:p>
    <w:p w:rsidR="00B63296" w:rsidRDefault="00B932B2">
      <w:pPr>
        <w:widowControl w:val="0"/>
        <w:autoSpaceDE w:val="0"/>
        <w:autoSpaceDN w:val="0"/>
        <w:adjustRightInd w:val="0"/>
        <w:spacing w:before="220" w:line="240" w:lineRule="auto"/>
        <w:jc w:val="both"/>
        <w:rPr>
          <w:rFonts w:ascii="serif" w:hAnsi="serif" w:cs="serif"/>
          <w:b/>
          <w:bCs/>
          <w:color w:val="212121"/>
        </w:rPr>
      </w:pPr>
      <w:r>
        <w:rPr>
          <w:rFonts w:ascii="serif" w:hAnsi="serif" w:cs="serif"/>
          <w:b/>
          <w:bCs/>
          <w:color w:val="212121"/>
        </w:rPr>
        <w:t>Calculating normal weekly earnings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The precise method of calculation varies depending on whether the employee is paid weekly, monthly or at other (possibly irregular) intervals.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numPr>
          <w:ilvl w:val="0"/>
          <w:numId w:val="47"/>
        </w:numPr>
        <w:autoSpaceDE w:val="0"/>
        <w:autoSpaceDN w:val="0"/>
        <w:adjustRightInd w:val="0"/>
        <w:spacing w:after="0" w:line="240" w:lineRule="auto"/>
        <w:ind w:left="480" w:hanging="360"/>
        <w:jc w:val="both"/>
        <w:rPr>
          <w:rFonts w:ascii="serif" w:hAnsi="serif" w:cs="serif"/>
          <w:b/>
          <w:bCs/>
          <w:color w:val="000000"/>
          <w:sz w:val="20"/>
          <w:szCs w:val="20"/>
        </w:rPr>
      </w:pPr>
      <w:r>
        <w:rPr>
          <w:rFonts w:ascii="serif" w:hAnsi="serif" w:cs="serif"/>
          <w:b/>
          <w:bCs/>
          <w:color w:val="000000"/>
          <w:sz w:val="20"/>
          <w:szCs w:val="20"/>
        </w:rPr>
        <w:t>If the employee is paid monthly:</w:t>
      </w:r>
    </w:p>
    <w:p w:rsidR="00B63296" w:rsidRDefault="00B932B2">
      <w:pPr>
        <w:widowControl w:val="0"/>
        <w:numPr>
          <w:ilvl w:val="0"/>
          <w:numId w:val="48"/>
        </w:numPr>
        <w:autoSpaceDE w:val="0"/>
        <w:autoSpaceDN w:val="0"/>
        <w:adjustRightInd w:val="0"/>
        <w:spacing w:after="0" w:line="240" w:lineRule="auto"/>
        <w:ind w:left="960" w:hanging="360"/>
        <w:jc w:val="both"/>
        <w:rPr>
          <w:rFonts w:ascii="serif" w:hAnsi="serif" w:cs="serif"/>
          <w:color w:val="000000"/>
          <w:sz w:val="20"/>
          <w:szCs w:val="20"/>
        </w:rPr>
      </w:pPr>
      <w:r>
        <w:rPr>
          <w:rFonts w:ascii="serif" w:hAnsi="serif" w:cs="serif"/>
          <w:color w:val="000000"/>
          <w:sz w:val="20"/>
          <w:szCs w:val="20"/>
        </w:rPr>
        <w:t>The reference period should be two months and the earnings should be the last two pay slips on or before the end of the Qualifying Week.</w:t>
      </w:r>
    </w:p>
    <w:p w:rsidR="00B63296" w:rsidRDefault="00B932B2">
      <w:pPr>
        <w:widowControl w:val="0"/>
        <w:numPr>
          <w:ilvl w:val="0"/>
          <w:numId w:val="49"/>
        </w:numPr>
        <w:autoSpaceDE w:val="0"/>
        <w:autoSpaceDN w:val="0"/>
        <w:adjustRightInd w:val="0"/>
        <w:spacing w:after="0" w:line="240" w:lineRule="auto"/>
        <w:ind w:left="960" w:hanging="360"/>
        <w:jc w:val="both"/>
        <w:rPr>
          <w:rFonts w:ascii="serif" w:hAnsi="serif" w:cs="serif"/>
          <w:color w:val="000000"/>
          <w:sz w:val="20"/>
          <w:szCs w:val="20"/>
        </w:rPr>
      </w:pPr>
      <w:r>
        <w:rPr>
          <w:rFonts w:ascii="serif" w:hAnsi="serif" w:cs="serif"/>
          <w:color w:val="000000"/>
          <w:sz w:val="20"/>
          <w:szCs w:val="20"/>
        </w:rPr>
        <w:t>Divide the total earnings by the number of months.</w:t>
      </w:r>
    </w:p>
    <w:p w:rsidR="00B63296" w:rsidRDefault="00B932B2">
      <w:pPr>
        <w:widowControl w:val="0"/>
        <w:numPr>
          <w:ilvl w:val="0"/>
          <w:numId w:val="50"/>
        </w:numPr>
        <w:autoSpaceDE w:val="0"/>
        <w:autoSpaceDN w:val="0"/>
        <w:adjustRightInd w:val="0"/>
        <w:spacing w:after="0" w:line="240" w:lineRule="auto"/>
        <w:ind w:left="960" w:hanging="360"/>
        <w:jc w:val="both"/>
        <w:rPr>
          <w:rFonts w:ascii="serif" w:hAnsi="serif" w:cs="serif"/>
          <w:color w:val="000000"/>
          <w:sz w:val="20"/>
          <w:szCs w:val="20"/>
        </w:rPr>
      </w:pPr>
      <w:r>
        <w:rPr>
          <w:rFonts w:ascii="serif" w:hAnsi="serif" w:cs="serif"/>
          <w:color w:val="000000"/>
          <w:sz w:val="20"/>
          <w:szCs w:val="20"/>
        </w:rPr>
        <w:t>Multiply that figure by 12 to get a year’s pay.</w:t>
      </w:r>
    </w:p>
    <w:p w:rsidR="00B63296" w:rsidRDefault="00B932B2">
      <w:pPr>
        <w:widowControl w:val="0"/>
        <w:numPr>
          <w:ilvl w:val="0"/>
          <w:numId w:val="51"/>
        </w:numPr>
        <w:autoSpaceDE w:val="0"/>
        <w:autoSpaceDN w:val="0"/>
        <w:adjustRightInd w:val="0"/>
        <w:spacing w:after="0" w:line="240" w:lineRule="auto"/>
        <w:ind w:left="960" w:hanging="360"/>
        <w:jc w:val="both"/>
        <w:rPr>
          <w:rFonts w:ascii="serif" w:hAnsi="serif" w:cs="serif"/>
          <w:color w:val="000000"/>
          <w:sz w:val="20"/>
          <w:szCs w:val="20"/>
        </w:rPr>
      </w:pPr>
      <w:r>
        <w:rPr>
          <w:rFonts w:ascii="serif" w:hAnsi="serif" w:cs="serif"/>
          <w:color w:val="000000"/>
          <w:sz w:val="20"/>
          <w:szCs w:val="20"/>
        </w:rPr>
        <w:t>Divide by 52 to arrive at normal weekly earnings.</w:t>
      </w:r>
    </w:p>
    <w:p w:rsidR="00B63296" w:rsidRDefault="00B932B2">
      <w:pPr>
        <w:widowControl w:val="0"/>
        <w:numPr>
          <w:ilvl w:val="0"/>
          <w:numId w:val="52"/>
        </w:numPr>
        <w:autoSpaceDE w:val="0"/>
        <w:autoSpaceDN w:val="0"/>
        <w:adjustRightInd w:val="0"/>
        <w:spacing w:after="0" w:line="240" w:lineRule="auto"/>
        <w:ind w:left="480" w:hanging="360"/>
        <w:jc w:val="both"/>
        <w:rPr>
          <w:rFonts w:ascii="serif" w:hAnsi="serif" w:cs="serif"/>
          <w:b/>
          <w:bCs/>
          <w:color w:val="000000"/>
          <w:sz w:val="20"/>
          <w:szCs w:val="20"/>
        </w:rPr>
      </w:pPr>
      <w:r>
        <w:rPr>
          <w:rFonts w:ascii="serif" w:hAnsi="serif" w:cs="serif"/>
          <w:b/>
          <w:bCs/>
          <w:color w:val="000000"/>
          <w:sz w:val="20"/>
          <w:szCs w:val="20"/>
        </w:rPr>
        <w:t>If the employee is paid weekly:</w:t>
      </w:r>
    </w:p>
    <w:p w:rsidR="00B63296" w:rsidRDefault="00B932B2">
      <w:pPr>
        <w:widowControl w:val="0"/>
        <w:numPr>
          <w:ilvl w:val="0"/>
          <w:numId w:val="53"/>
        </w:numPr>
        <w:autoSpaceDE w:val="0"/>
        <w:autoSpaceDN w:val="0"/>
        <w:adjustRightInd w:val="0"/>
        <w:spacing w:after="0" w:line="240" w:lineRule="auto"/>
        <w:ind w:left="960" w:hanging="360"/>
        <w:jc w:val="both"/>
        <w:rPr>
          <w:rFonts w:ascii="serif" w:hAnsi="serif" w:cs="serif"/>
          <w:color w:val="000000"/>
          <w:sz w:val="20"/>
          <w:szCs w:val="20"/>
        </w:rPr>
      </w:pPr>
      <w:r>
        <w:rPr>
          <w:rFonts w:ascii="serif" w:hAnsi="serif" w:cs="serif"/>
          <w:color w:val="000000"/>
          <w:sz w:val="20"/>
          <w:szCs w:val="20"/>
        </w:rPr>
        <w:t>The reference period should be eight weeks and the earnings should be the last eight pay slips on or before the end of the Qualifying Week.</w:t>
      </w:r>
    </w:p>
    <w:p w:rsidR="00B63296" w:rsidRDefault="00B932B2">
      <w:pPr>
        <w:widowControl w:val="0"/>
        <w:numPr>
          <w:ilvl w:val="0"/>
          <w:numId w:val="54"/>
        </w:numPr>
        <w:autoSpaceDE w:val="0"/>
        <w:autoSpaceDN w:val="0"/>
        <w:adjustRightInd w:val="0"/>
        <w:spacing w:after="0" w:line="240" w:lineRule="auto"/>
        <w:ind w:left="960" w:hanging="360"/>
        <w:jc w:val="both"/>
        <w:rPr>
          <w:rFonts w:ascii="serif" w:hAnsi="serif" w:cs="serif"/>
          <w:color w:val="000000"/>
          <w:sz w:val="20"/>
          <w:szCs w:val="20"/>
        </w:rPr>
      </w:pPr>
      <w:r>
        <w:rPr>
          <w:rFonts w:ascii="serif" w:hAnsi="serif" w:cs="serif"/>
          <w:color w:val="000000"/>
          <w:sz w:val="20"/>
          <w:szCs w:val="20"/>
        </w:rPr>
        <w:t>Divide the total earnings by the number of weeks to arrive at normal weekly earnings.</w:t>
      </w:r>
    </w:p>
    <w:p w:rsidR="00B63296" w:rsidRDefault="00B932B2">
      <w:pPr>
        <w:widowControl w:val="0"/>
        <w:numPr>
          <w:ilvl w:val="0"/>
          <w:numId w:val="55"/>
        </w:numPr>
        <w:autoSpaceDE w:val="0"/>
        <w:autoSpaceDN w:val="0"/>
        <w:adjustRightInd w:val="0"/>
        <w:spacing w:after="0" w:line="240" w:lineRule="auto"/>
        <w:ind w:left="480" w:hanging="360"/>
        <w:jc w:val="both"/>
        <w:rPr>
          <w:rFonts w:ascii="serif" w:hAnsi="serif" w:cs="serif"/>
          <w:b/>
          <w:bCs/>
          <w:color w:val="000000"/>
          <w:sz w:val="20"/>
          <w:szCs w:val="20"/>
        </w:rPr>
      </w:pPr>
      <w:r>
        <w:rPr>
          <w:rFonts w:ascii="serif" w:hAnsi="serif" w:cs="serif"/>
          <w:b/>
          <w:bCs/>
          <w:color w:val="000000"/>
          <w:sz w:val="20"/>
          <w:szCs w:val="20"/>
        </w:rPr>
        <w:t>If the employee is paid at other intervals:</w:t>
      </w:r>
    </w:p>
    <w:p w:rsidR="00B63296" w:rsidRDefault="00B932B2">
      <w:pPr>
        <w:widowControl w:val="0"/>
        <w:numPr>
          <w:ilvl w:val="0"/>
          <w:numId w:val="56"/>
        </w:numPr>
        <w:autoSpaceDE w:val="0"/>
        <w:autoSpaceDN w:val="0"/>
        <w:adjustRightInd w:val="0"/>
        <w:spacing w:after="0" w:line="240" w:lineRule="auto"/>
        <w:ind w:left="960" w:hanging="360"/>
        <w:jc w:val="both"/>
        <w:rPr>
          <w:rFonts w:ascii="serif" w:hAnsi="serif" w:cs="serif"/>
          <w:color w:val="000000"/>
          <w:sz w:val="20"/>
          <w:szCs w:val="20"/>
        </w:rPr>
      </w:pPr>
      <w:r>
        <w:rPr>
          <w:rFonts w:ascii="serif" w:hAnsi="serif" w:cs="serif"/>
          <w:color w:val="000000"/>
          <w:sz w:val="20"/>
          <w:szCs w:val="20"/>
        </w:rPr>
        <w:t>Count the number of days covered by the reference period.</w:t>
      </w:r>
    </w:p>
    <w:p w:rsidR="00B63296" w:rsidRDefault="00B932B2">
      <w:pPr>
        <w:widowControl w:val="0"/>
        <w:numPr>
          <w:ilvl w:val="0"/>
          <w:numId w:val="57"/>
        </w:numPr>
        <w:autoSpaceDE w:val="0"/>
        <w:autoSpaceDN w:val="0"/>
        <w:adjustRightInd w:val="0"/>
        <w:spacing w:after="0" w:line="240" w:lineRule="auto"/>
        <w:ind w:left="960" w:hanging="360"/>
        <w:jc w:val="both"/>
        <w:rPr>
          <w:rFonts w:ascii="serif" w:hAnsi="serif" w:cs="serif"/>
          <w:color w:val="000000"/>
          <w:sz w:val="20"/>
          <w:szCs w:val="20"/>
        </w:rPr>
      </w:pPr>
      <w:r>
        <w:rPr>
          <w:rFonts w:ascii="serif" w:hAnsi="serif" w:cs="serif"/>
          <w:color w:val="000000"/>
          <w:sz w:val="20"/>
          <w:szCs w:val="20"/>
        </w:rPr>
        <w:t>Divide the total earnings by the number of days.</w:t>
      </w:r>
    </w:p>
    <w:p w:rsidR="00B63296" w:rsidRDefault="00B932B2">
      <w:pPr>
        <w:widowControl w:val="0"/>
        <w:numPr>
          <w:ilvl w:val="0"/>
          <w:numId w:val="58"/>
        </w:numPr>
        <w:autoSpaceDE w:val="0"/>
        <w:autoSpaceDN w:val="0"/>
        <w:adjustRightInd w:val="0"/>
        <w:spacing w:after="0" w:line="240" w:lineRule="auto"/>
        <w:ind w:left="960" w:hanging="360"/>
        <w:jc w:val="both"/>
        <w:rPr>
          <w:rFonts w:ascii="serif" w:hAnsi="serif" w:cs="serif"/>
          <w:color w:val="000000"/>
          <w:sz w:val="20"/>
          <w:szCs w:val="20"/>
        </w:rPr>
      </w:pPr>
      <w:r>
        <w:rPr>
          <w:rFonts w:ascii="serif" w:hAnsi="serif" w:cs="serif"/>
          <w:color w:val="000000"/>
          <w:sz w:val="20"/>
          <w:szCs w:val="20"/>
        </w:rPr>
        <w:t>Multiply by seven to arrive at normal weekly earnings.</w:t>
      </w:r>
    </w:p>
    <w:p w:rsidR="00B63296" w:rsidRDefault="00376449">
      <w:pPr>
        <w:widowControl w:val="0"/>
        <w:autoSpaceDE w:val="0"/>
        <w:autoSpaceDN w:val="0"/>
        <w:adjustRightInd w:val="0"/>
        <w:spacing w:before="200" w:after="0" w:line="240" w:lineRule="auto"/>
        <w:jc w:val="both"/>
        <w:rPr>
          <w:rFonts w:ascii="serif" w:hAnsi="serif" w:cs="serif"/>
          <w:color w:val="000000"/>
          <w:sz w:val="20"/>
          <w:szCs w:val="20"/>
        </w:rPr>
      </w:pPr>
      <w:r>
        <w:rPr>
          <w:rFonts w:ascii="serif" w:hAnsi="serif" w:cs="serif"/>
          <w:color w:val="000000"/>
          <w:sz w:val="20"/>
          <w:szCs w:val="20"/>
        </w:rPr>
        <w:t>(reg 21</w:t>
      </w:r>
      <w:r w:rsidR="00B932B2">
        <w:rPr>
          <w:rFonts w:ascii="serif" w:hAnsi="serif" w:cs="serif"/>
          <w:i/>
          <w:iCs/>
          <w:color w:val="000000"/>
          <w:sz w:val="20"/>
          <w:szCs w:val="20"/>
        </w:rPr>
        <w:t>, SMP Regulations</w:t>
      </w:r>
      <w:r w:rsidR="00B932B2">
        <w:rPr>
          <w:rFonts w:ascii="serif" w:hAnsi="serif" w:cs="serif"/>
          <w:color w:val="000000"/>
          <w:sz w:val="20"/>
          <w:szCs w:val="20"/>
        </w:rPr>
        <w: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If the employee is eligible for a pay rise between the start of the relevant period and the end of her statutory maternity leave, SMP must be recalculated as if the pay rise had taken place at the beginning of the relevant period. This means that her SMP must be increased retrospectively, or that she may qualify for SMP if she did not previously.</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26" w:name="co_anchor_a919450_1"/>
      <w:bookmarkEnd w:id="26"/>
    </w:p>
    <w:p w:rsidR="00B63296" w:rsidRDefault="00B932B2">
      <w:pPr>
        <w:widowControl w:val="0"/>
        <w:autoSpaceDE w:val="0"/>
        <w:autoSpaceDN w:val="0"/>
        <w:adjustRightInd w:val="0"/>
        <w:spacing w:before="240" w:after="0" w:line="240" w:lineRule="auto"/>
        <w:jc w:val="both"/>
        <w:rPr>
          <w:rFonts w:ascii="serif" w:hAnsi="serif" w:cs="serif"/>
          <w:b/>
          <w:bCs/>
          <w:color w:val="000000"/>
          <w:sz w:val="24"/>
          <w:szCs w:val="24"/>
        </w:rPr>
      </w:pPr>
      <w:r>
        <w:rPr>
          <w:rFonts w:ascii="serif" w:hAnsi="serif" w:cs="serif"/>
          <w:b/>
          <w:bCs/>
          <w:color w:val="000000"/>
          <w:sz w:val="24"/>
          <w:szCs w:val="24"/>
        </w:rPr>
        <w:t>When SMP will stop</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SMP will stop being payable if the employee returns permanently to work before the end of the SMP period, although special rules apply for up to 10 keeping-in-touch days (KIT days), where the employee comes back to work temporarily during maternity leave.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lastRenderedPageBreak/>
        <w:t>SMP will also cease to be payable altogether if:</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numPr>
          <w:ilvl w:val="0"/>
          <w:numId w:val="64"/>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The employee is detained in custody or sent to prison (</w:t>
      </w:r>
      <w:r w:rsidR="000965F5">
        <w:rPr>
          <w:rFonts w:ascii="serif" w:hAnsi="serif" w:cs="serif"/>
          <w:color w:val="000000"/>
          <w:sz w:val="20"/>
          <w:szCs w:val="20"/>
        </w:rPr>
        <w:t>reg 9</w:t>
      </w:r>
      <w:r>
        <w:rPr>
          <w:rFonts w:ascii="serif" w:hAnsi="serif" w:cs="serif"/>
          <w:i/>
          <w:iCs/>
          <w:color w:val="000000"/>
          <w:sz w:val="20"/>
          <w:szCs w:val="20"/>
        </w:rPr>
        <w:t>, SMP Regulations</w:t>
      </w:r>
      <w:r>
        <w:rPr>
          <w:rFonts w:ascii="serif" w:hAnsi="serif" w:cs="serif"/>
          <w:color w:val="000000"/>
          <w:sz w:val="20"/>
          <w:szCs w:val="20"/>
        </w:rPr>
        <w:t>).</w:t>
      </w:r>
    </w:p>
    <w:p w:rsidR="00B63296" w:rsidRDefault="00B932B2">
      <w:pPr>
        <w:widowControl w:val="0"/>
        <w:numPr>
          <w:ilvl w:val="0"/>
          <w:numId w:val="65"/>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The employee dies (</w:t>
      </w:r>
      <w:proofErr w:type="spellStart"/>
      <w:r w:rsidR="000965F5">
        <w:rPr>
          <w:rFonts w:ascii="serif" w:hAnsi="serif" w:cs="serif"/>
          <w:color w:val="000000"/>
          <w:sz w:val="20"/>
          <w:szCs w:val="20"/>
        </w:rPr>
        <w:t>reg</w:t>
      </w:r>
      <w:proofErr w:type="spellEnd"/>
      <w:r w:rsidR="000965F5">
        <w:rPr>
          <w:rFonts w:ascii="serif" w:hAnsi="serif" w:cs="serif"/>
          <w:color w:val="000000"/>
          <w:sz w:val="20"/>
          <w:szCs w:val="20"/>
        </w:rPr>
        <w:t xml:space="preserve"> </w:t>
      </w:r>
      <w:proofErr w:type="gramStart"/>
      <w:r w:rsidR="000965F5">
        <w:rPr>
          <w:rFonts w:ascii="serif" w:hAnsi="serif" w:cs="serif"/>
          <w:color w:val="000000"/>
          <w:sz w:val="20"/>
          <w:szCs w:val="20"/>
        </w:rPr>
        <w:t xml:space="preserve">10 </w:t>
      </w:r>
      <w:proofErr w:type="gramEnd"/>
      <w:hyperlink r:id="rId8" w:history="1"/>
      <w:r>
        <w:rPr>
          <w:rFonts w:ascii="serif" w:hAnsi="serif" w:cs="serif"/>
          <w:i/>
          <w:iCs/>
          <w:color w:val="000000"/>
          <w:sz w:val="20"/>
          <w:szCs w:val="20"/>
        </w:rPr>
        <w:t>, SMP Regulations</w:t>
      </w:r>
      <w:r>
        <w:rPr>
          <w:rFonts w:ascii="serif" w:hAnsi="serif" w:cs="serif"/>
          <w:color w:val="000000"/>
          <w:sz w:val="20"/>
          <w:szCs w:val="20"/>
        </w:rPr>
        <w:t>).</w:t>
      </w:r>
    </w:p>
    <w:p w:rsidR="00B63296" w:rsidRDefault="00B932B2">
      <w:pPr>
        <w:widowControl w:val="0"/>
        <w:numPr>
          <w:ilvl w:val="0"/>
          <w:numId w:val="66"/>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The employee works for a new employer after the child is born.</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27" w:name="co_anchor_a148671_1"/>
      <w:bookmarkEnd w:id="27"/>
    </w:p>
    <w:p w:rsidR="00B63296" w:rsidRDefault="00B932B2">
      <w:pPr>
        <w:widowControl w:val="0"/>
        <w:autoSpaceDE w:val="0"/>
        <w:autoSpaceDN w:val="0"/>
        <w:adjustRightInd w:val="0"/>
        <w:spacing w:before="700" w:line="240" w:lineRule="auto"/>
        <w:jc w:val="both"/>
        <w:rPr>
          <w:rFonts w:ascii="serif" w:hAnsi="serif" w:cs="serif"/>
          <w:b/>
          <w:bCs/>
          <w:color w:val="212121"/>
        </w:rPr>
      </w:pPr>
      <w:r>
        <w:rPr>
          <w:rFonts w:ascii="serif" w:hAnsi="serif" w:cs="serif"/>
          <w:b/>
          <w:bCs/>
          <w:color w:val="212121"/>
        </w:rPr>
        <w:t>Employee resigns or is dismissed: SMP continues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If an employee is dismissed or resigns during her maternity leave, the leave will come to an end. However, if she is still entitled to SMP she will continue to receive it for the remainder of the SMP period. This is because SMP entitlement is not dependent on remaining an employee. However, if she starts work for a new employer her SMP will stop.</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28" w:name="co_anchor_a309516_1"/>
      <w:bookmarkEnd w:id="28"/>
    </w:p>
    <w:p w:rsidR="00B63296" w:rsidRDefault="00B932B2">
      <w:pPr>
        <w:widowControl w:val="0"/>
        <w:autoSpaceDE w:val="0"/>
        <w:autoSpaceDN w:val="0"/>
        <w:adjustRightInd w:val="0"/>
        <w:spacing w:before="500" w:line="240" w:lineRule="auto"/>
        <w:jc w:val="both"/>
        <w:rPr>
          <w:rFonts w:ascii="serif" w:hAnsi="serif" w:cs="serif"/>
          <w:b/>
          <w:bCs/>
          <w:color w:val="212121"/>
        </w:rPr>
      </w:pPr>
      <w:r>
        <w:rPr>
          <w:rFonts w:ascii="serif" w:hAnsi="serif" w:cs="serif"/>
          <w:b/>
          <w:bCs/>
          <w:color w:val="212121"/>
        </w:rPr>
        <w:t>Employee returns to work but takes sick leave: SMP resumes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Strictly speaking, SMP liability does not </w:t>
      </w:r>
      <w:r>
        <w:rPr>
          <w:rFonts w:ascii="serif" w:hAnsi="serif" w:cs="serif"/>
          <w:b/>
          <w:bCs/>
          <w:color w:val="000000"/>
          <w:sz w:val="20"/>
          <w:szCs w:val="20"/>
        </w:rPr>
        <w:t>end</w:t>
      </w:r>
      <w:r>
        <w:rPr>
          <w:rFonts w:ascii="serif" w:hAnsi="serif" w:cs="serif"/>
          <w:color w:val="000000"/>
          <w:sz w:val="20"/>
          <w:szCs w:val="20"/>
        </w:rPr>
        <w:t xml:space="preserve"> merely because the employee returns to work. Rather, the SMP period continues to run, </w:t>
      </w:r>
      <w:r w:rsidR="00104003">
        <w:rPr>
          <w:rFonts w:ascii="serif" w:hAnsi="serif" w:cs="serif"/>
          <w:color w:val="000000"/>
          <w:sz w:val="20"/>
          <w:szCs w:val="20"/>
        </w:rPr>
        <w:t xml:space="preserve">but </w:t>
      </w:r>
      <w:r>
        <w:rPr>
          <w:rFonts w:ascii="serif" w:hAnsi="serif" w:cs="serif"/>
          <w:color w:val="000000"/>
          <w:sz w:val="20"/>
          <w:szCs w:val="20"/>
        </w:rPr>
        <w:t xml:space="preserve">SMP being payable during any week in which the employee works. (Note, a week is measured from the day the SMP period started). This is an important distinction. For example, if the employee returns to work early but falls sick before the end of the SMP period, the employee is entitled to SMP again, </w:t>
      </w:r>
      <w:r>
        <w:rPr>
          <w:rFonts w:ascii="serif" w:hAnsi="serif" w:cs="serif"/>
          <w:b/>
          <w:bCs/>
          <w:color w:val="000000"/>
          <w:sz w:val="20"/>
          <w:szCs w:val="20"/>
        </w:rPr>
        <w:t>not statutory sick pay</w:t>
      </w:r>
      <w:r>
        <w:rPr>
          <w:rFonts w:ascii="serif" w:hAnsi="serif" w:cs="serif"/>
          <w:color w:val="000000"/>
          <w:sz w:val="20"/>
          <w:szCs w:val="20"/>
        </w:rPr>
        <w:t>. The same applies if she resigns or is dismissed after returning to work, but before the end of the SMP period.</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29" w:name="co_anchor_a392595_1"/>
      <w:bookmarkStart w:id="30" w:name="co_anchor_a118351_1"/>
      <w:bookmarkEnd w:id="29"/>
      <w:bookmarkEnd w:id="30"/>
    </w:p>
    <w:p w:rsidR="00B63296" w:rsidRDefault="00B932B2">
      <w:pPr>
        <w:widowControl w:val="0"/>
        <w:autoSpaceDE w:val="0"/>
        <w:autoSpaceDN w:val="0"/>
        <w:adjustRightInd w:val="0"/>
        <w:spacing w:before="200" w:after="0" w:line="240" w:lineRule="auto"/>
        <w:jc w:val="both"/>
        <w:rPr>
          <w:rFonts w:ascii="serif" w:hAnsi="serif" w:cs="serif"/>
          <w:b/>
          <w:bCs/>
          <w:color w:val="212121"/>
          <w:sz w:val="20"/>
          <w:szCs w:val="20"/>
        </w:rPr>
      </w:pPr>
      <w:r>
        <w:rPr>
          <w:rFonts w:ascii="serif" w:hAnsi="serif" w:cs="serif"/>
          <w:b/>
          <w:bCs/>
          <w:color w:val="212121"/>
          <w:sz w:val="20"/>
          <w:szCs w:val="20"/>
        </w:rPr>
        <w:t>Payment of SMP</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SMP is payable at two different rates: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numPr>
          <w:ilvl w:val="0"/>
          <w:numId w:val="67"/>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First six weeks: the “earnings-related rate” (90% of the employee’s “normal weekly earnings”).</w:t>
      </w:r>
    </w:p>
    <w:p w:rsidR="00B63296" w:rsidRDefault="00B932B2">
      <w:pPr>
        <w:widowControl w:val="0"/>
        <w:numPr>
          <w:ilvl w:val="0"/>
          <w:numId w:val="68"/>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Remaining 33 weeks: the “prescribed rate” or the earnings-related rate, whichever is lower.</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DC4321"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The prescribed rate is set by the government for each tax year.</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Where the employee’s SMP period straddles two tax years, the prescribed rate of SMP increases from the week (measured from Sunday to Saturday) in which April 6 falls.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31" w:name="co_anchor_a274465_1"/>
      <w:bookmarkEnd w:id="31"/>
    </w:p>
    <w:p w:rsidR="00B63296" w:rsidRDefault="00B932B2">
      <w:pPr>
        <w:widowControl w:val="0"/>
        <w:autoSpaceDE w:val="0"/>
        <w:autoSpaceDN w:val="0"/>
        <w:adjustRightInd w:val="0"/>
        <w:spacing w:before="200" w:after="0" w:line="240" w:lineRule="auto"/>
        <w:jc w:val="both"/>
        <w:rPr>
          <w:rFonts w:ascii="serif" w:hAnsi="serif" w:cs="serif"/>
          <w:b/>
          <w:bCs/>
          <w:color w:val="212121"/>
          <w:sz w:val="20"/>
          <w:szCs w:val="20"/>
        </w:rPr>
      </w:pPr>
      <w:r>
        <w:rPr>
          <w:rFonts w:ascii="serif" w:hAnsi="serif" w:cs="serif"/>
          <w:b/>
          <w:bCs/>
          <w:color w:val="212121"/>
          <w:sz w:val="20"/>
          <w:szCs w:val="20"/>
        </w:rPr>
        <w:t>Recovery of SMP</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Employers are entitled to recover all or most of payable (or paid) SMP from HMRC:</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32" w:name="co_anchor_a325432_1"/>
      <w:bookmarkEnd w:id="32"/>
    </w:p>
    <w:p w:rsidR="00B63296" w:rsidRPr="00DC4321" w:rsidRDefault="00B932B2">
      <w:pPr>
        <w:widowControl w:val="0"/>
        <w:autoSpaceDE w:val="0"/>
        <w:autoSpaceDN w:val="0"/>
        <w:adjustRightInd w:val="0"/>
        <w:spacing w:before="200" w:after="0" w:line="240" w:lineRule="auto"/>
        <w:jc w:val="both"/>
        <w:rPr>
          <w:rFonts w:ascii="serif" w:hAnsi="serif" w:cs="serif"/>
          <w:b/>
          <w:bCs/>
          <w:i/>
          <w:color w:val="212121"/>
          <w:sz w:val="20"/>
          <w:szCs w:val="20"/>
        </w:rPr>
      </w:pPr>
      <w:r w:rsidRPr="00DC4321">
        <w:rPr>
          <w:rFonts w:ascii="serif" w:hAnsi="serif" w:cs="serif"/>
          <w:b/>
          <w:bCs/>
          <w:i/>
          <w:color w:val="212121"/>
          <w:sz w:val="20"/>
          <w:szCs w:val="20"/>
        </w:rPr>
        <w:t>Deductions from SMP</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It is not possible to contract out of the obligation to SMP or limit an employee’s entitlement to SMP (</w:t>
      </w:r>
      <w:r>
        <w:rPr>
          <w:rFonts w:ascii="serif" w:hAnsi="serif" w:cs="serif"/>
          <w:i/>
          <w:iCs/>
          <w:color w:val="000000"/>
          <w:sz w:val="20"/>
          <w:szCs w:val="20"/>
        </w:rPr>
        <w:t>section 164(6), SSCBA 1992</w:t>
      </w:r>
      <w:r>
        <w:rPr>
          <w:rFonts w:ascii="serif" w:hAnsi="serif" w:cs="serif"/>
          <w:color w:val="000000"/>
          <w:sz w:val="20"/>
          <w:szCs w:val="20"/>
        </w:rPr>
        <w: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However employers can make deductions from SMP. An agreement between an employer and an employee authorising any deductions from SMP will not be void by virtue of subsection (6)(a) if the employer:</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numPr>
          <w:ilvl w:val="0"/>
          <w:numId w:val="71"/>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is authorised by that or another agreement to make the same deductions from any contractual remuneration which it is liable to pay in respect of the same period, or</w:t>
      </w:r>
    </w:p>
    <w:p w:rsidR="00B63296" w:rsidRDefault="00B932B2">
      <w:pPr>
        <w:widowControl w:val="0"/>
        <w:numPr>
          <w:ilvl w:val="0"/>
          <w:numId w:val="72"/>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would be so authorised if he were liable to pay contractual remuneration in respect of that period.</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33" w:name="co_anchor_a1009480_1"/>
      <w:bookmarkStart w:id="34" w:name="co_anchor_a789217_1"/>
      <w:bookmarkEnd w:id="33"/>
      <w:bookmarkEnd w:id="34"/>
    </w:p>
    <w:p w:rsidR="00B63296" w:rsidRDefault="00B932B2">
      <w:pPr>
        <w:widowControl w:val="0"/>
        <w:autoSpaceDE w:val="0"/>
        <w:autoSpaceDN w:val="0"/>
        <w:adjustRightInd w:val="0"/>
        <w:spacing w:before="500" w:line="240" w:lineRule="auto"/>
        <w:jc w:val="both"/>
        <w:rPr>
          <w:rFonts w:ascii="serif" w:hAnsi="serif" w:cs="serif"/>
          <w:b/>
          <w:bCs/>
          <w:color w:val="212121"/>
        </w:rPr>
      </w:pPr>
      <w:r>
        <w:rPr>
          <w:rFonts w:ascii="serif" w:hAnsi="serif" w:cs="serif"/>
          <w:b/>
          <w:bCs/>
          <w:color w:val="212121"/>
        </w:rPr>
        <w:lastRenderedPageBreak/>
        <w:t>Insolvency of employer</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If the employer becomes insolvent after the start of the 15th week before the expected week of childbirth and before the start of the employee’s SMP period, HMRC will pay the employee’s SMP. If the employer becomes insolvent during the SMP pay period, HMRC will pay SMP from the week in which</w:t>
      </w:r>
      <w:r w:rsidR="00104003">
        <w:rPr>
          <w:rFonts w:ascii="serif" w:hAnsi="serif" w:cs="serif"/>
          <w:color w:val="000000"/>
          <w:sz w:val="20"/>
          <w:szCs w:val="20"/>
        </w:rPr>
        <w:t xml:space="preserve"> the employer became insolvent (t</w:t>
      </w:r>
      <w:r>
        <w:rPr>
          <w:rFonts w:ascii="serif" w:hAnsi="serif" w:cs="serif"/>
          <w:color w:val="000000"/>
          <w:sz w:val="20"/>
          <w:szCs w:val="20"/>
        </w:rPr>
        <w:t>he employee should contact the HMRC Statutory Payment Disputes Team on 03000 560 630</w:t>
      </w:r>
      <w:r w:rsidR="00104003">
        <w:rPr>
          <w:rFonts w:ascii="serif" w:hAnsi="serif" w:cs="serif"/>
          <w:color w:val="000000"/>
          <w:sz w:val="20"/>
          <w:szCs w:val="20"/>
        </w:rPr>
        <w:t>)</w:t>
      </w:r>
      <w:r>
        <w:rPr>
          <w:rFonts w:ascii="serif" w:hAnsi="serif" w:cs="serif"/>
          <w:color w:val="000000"/>
          <w:sz w:val="20"/>
          <w:szCs w:val="20"/>
        </w:rPr>
        <w:t>. It will help if the employer or the relevant insolvency practitioner, can let HMRC know which employees are affected so that it can pay them as soon as possible.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In England and Wales, an employer is “insolvent” for these purposes if a winding up or administration order is made, a resolution for voluntary winding up is passed, a receiver or manager is appointed, or a voluntary arrangement is approved. An individual employer is insolvent if they are declared bankrupt, has made a composition or arrangement with their creditors, or has died and the estate falls to be administered according to an order under section 421 of the Insolvency Act 1986.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35" w:name="co_anchor_a184427_1"/>
      <w:bookmarkEnd w:id="35"/>
    </w:p>
    <w:p w:rsidR="00B63296" w:rsidRDefault="00B932B2">
      <w:pPr>
        <w:widowControl w:val="0"/>
        <w:autoSpaceDE w:val="0"/>
        <w:autoSpaceDN w:val="0"/>
        <w:adjustRightInd w:val="0"/>
        <w:spacing w:before="500" w:line="240" w:lineRule="auto"/>
        <w:jc w:val="both"/>
        <w:rPr>
          <w:rFonts w:ascii="serif" w:hAnsi="serif" w:cs="serif"/>
          <w:b/>
          <w:bCs/>
          <w:color w:val="212121"/>
        </w:rPr>
      </w:pPr>
      <w:r>
        <w:rPr>
          <w:rFonts w:ascii="serif" w:hAnsi="serif" w:cs="serif"/>
          <w:b/>
          <w:bCs/>
          <w:color w:val="212121"/>
        </w:rPr>
        <w:t>Non-insolvency situations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Where the employer has failed to pay SMP but is not insolvent, HMRC will still take over payment of SMP (including any arrears) if HMRC has made a decision that SMP is payable, the time limit for appeal has passed, and the employer has not appealed or leave to appeal has been refused (</w:t>
      </w:r>
      <w:r w:rsidR="00DC4321">
        <w:t>r 7 (1)</w:t>
      </w:r>
      <w:r>
        <w:rPr>
          <w:rFonts w:ascii="serif" w:hAnsi="serif" w:cs="serif"/>
          <w:i/>
          <w:iCs/>
          <w:color w:val="000000"/>
          <w:sz w:val="20"/>
          <w:szCs w:val="20"/>
        </w:rPr>
        <w:t>, SMP Regulations</w:t>
      </w:r>
      <w:r>
        <w:rPr>
          <w:rFonts w:ascii="serif" w:hAnsi="serif" w:cs="serif"/>
          <w:color w:val="000000"/>
          <w:sz w:val="20"/>
          <w:szCs w:val="20"/>
        </w:rPr>
        <w:t>). Where there has been an appeal, HMRC’s liability will depend on the decision of the First-tier Tribunal or Upper Tribunal as appropriate.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To obtain a decision the employee should contact the HMRC Statutory Payments </w:t>
      </w:r>
      <w:r w:rsidR="000311ED">
        <w:rPr>
          <w:rFonts w:ascii="serif" w:hAnsi="serif" w:cs="serif"/>
          <w:color w:val="000000"/>
          <w:sz w:val="20"/>
          <w:szCs w:val="20"/>
        </w:rPr>
        <w:t>Disputes Team on 03000 560 630.</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36" w:name="co_anchor_a780593_1"/>
      <w:bookmarkEnd w:id="36"/>
    </w:p>
    <w:p w:rsidR="00B63296" w:rsidRDefault="00B932B2">
      <w:pPr>
        <w:widowControl w:val="0"/>
        <w:autoSpaceDE w:val="0"/>
        <w:autoSpaceDN w:val="0"/>
        <w:adjustRightInd w:val="0"/>
        <w:spacing w:before="280" w:after="0" w:line="240" w:lineRule="auto"/>
        <w:jc w:val="both"/>
        <w:rPr>
          <w:rFonts w:ascii="serif" w:hAnsi="serif" w:cs="serif"/>
          <w:b/>
          <w:bCs/>
          <w:color w:val="000000"/>
          <w:sz w:val="28"/>
          <w:szCs w:val="28"/>
        </w:rPr>
      </w:pPr>
      <w:r>
        <w:rPr>
          <w:rFonts w:ascii="serif" w:hAnsi="serif" w:cs="serif"/>
          <w:b/>
          <w:bCs/>
          <w:color w:val="000000"/>
          <w:sz w:val="28"/>
          <w:szCs w:val="28"/>
        </w:rPr>
        <w:t>Enhanced contractual schemes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While it is not possible to contract out of the</w:t>
      </w:r>
      <w:r w:rsidR="000311ED">
        <w:rPr>
          <w:rFonts w:ascii="serif" w:hAnsi="serif" w:cs="serif"/>
          <w:color w:val="000000"/>
          <w:sz w:val="20"/>
          <w:szCs w:val="20"/>
        </w:rPr>
        <w:t xml:space="preserve"> SMP Regulations </w:t>
      </w:r>
      <w:r>
        <w:rPr>
          <w:rFonts w:ascii="serif" w:hAnsi="serif" w:cs="serif"/>
          <w:color w:val="000000"/>
          <w:sz w:val="20"/>
          <w:szCs w:val="20"/>
        </w:rPr>
        <w:t>or limit an employee’s entitlement to SMP, many employers provide a contractual right to maternity pay that exceeds the SMP entitlement. Contractual sums payable in respect of a week in which SMP is due can be counted towards the SMP liability for that week, if they relate to contractual remuneration, contractual maternity pay or contractual sick.</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Ways of enhancing the statutory scheme include: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numPr>
          <w:ilvl w:val="0"/>
          <w:numId w:val="73"/>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Payment of full and/or part salary for some or all of the maternity leave period.</w:t>
      </w:r>
    </w:p>
    <w:p w:rsidR="00B63296" w:rsidRDefault="00B932B2">
      <w:pPr>
        <w:widowControl w:val="0"/>
        <w:numPr>
          <w:ilvl w:val="0"/>
          <w:numId w:val="74"/>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Providing a return-to-work bonus to encourage employees back to work.</w:t>
      </w:r>
    </w:p>
    <w:p w:rsidR="00B63296" w:rsidRDefault="00B932B2">
      <w:pPr>
        <w:widowControl w:val="0"/>
        <w:numPr>
          <w:ilvl w:val="0"/>
          <w:numId w:val="75"/>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An automatic right to take any unused paid annual leave entitlement at the beginning or end of maternity leave, thus delaying the employee’s expected return date by a corresponding amount.</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37" w:name="co_anchor_a702396_1"/>
      <w:bookmarkEnd w:id="37"/>
    </w:p>
    <w:p w:rsidR="00B63296" w:rsidRDefault="00B932B2">
      <w:pPr>
        <w:widowControl w:val="0"/>
        <w:autoSpaceDE w:val="0"/>
        <w:autoSpaceDN w:val="0"/>
        <w:adjustRightInd w:val="0"/>
        <w:spacing w:before="200" w:after="0" w:line="240" w:lineRule="auto"/>
        <w:jc w:val="both"/>
        <w:rPr>
          <w:rFonts w:ascii="serif" w:hAnsi="serif" w:cs="serif"/>
          <w:b/>
          <w:bCs/>
          <w:color w:val="212121"/>
          <w:sz w:val="20"/>
          <w:szCs w:val="20"/>
        </w:rPr>
      </w:pPr>
      <w:r>
        <w:rPr>
          <w:rFonts w:ascii="serif" w:hAnsi="serif" w:cs="serif"/>
          <w:b/>
          <w:bCs/>
          <w:color w:val="212121"/>
          <w:sz w:val="20"/>
          <w:szCs w:val="20"/>
        </w:rPr>
        <w:t>Limiting access to enhanced schemes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An employer that is considering offering contractual maternity benefits in excess of the statutory scheme may wish to consider imposing limits on the contractual scheme, for example: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numPr>
          <w:ilvl w:val="0"/>
          <w:numId w:val="76"/>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Stipulating a longer qualifying period of employment for access to the contractual scheme.</w:t>
      </w:r>
    </w:p>
    <w:p w:rsidR="00B63296" w:rsidRDefault="00B932B2">
      <w:pPr>
        <w:widowControl w:val="0"/>
        <w:numPr>
          <w:ilvl w:val="0"/>
          <w:numId w:val="77"/>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Providing that employees who return from a period of maternity leave will not qualify for the enhanced scheme again unless they complete a further minimum period of service.</w:t>
      </w:r>
    </w:p>
    <w:p w:rsidR="00B63296" w:rsidRDefault="00B932B2">
      <w:pPr>
        <w:widowControl w:val="0"/>
        <w:numPr>
          <w:ilvl w:val="0"/>
          <w:numId w:val="78"/>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Providing that an employee who does not come back to work for a minimum period (for instance, six months or a year) after her maternity leave must repay all or part of the enhanced maternity pay or any return to work bonus.</w:t>
      </w:r>
    </w:p>
    <w:p w:rsidR="00B63296" w:rsidRDefault="00B63296">
      <w:pPr>
        <w:widowControl w:val="0"/>
        <w:autoSpaceDE w:val="0"/>
        <w:autoSpaceDN w:val="0"/>
        <w:adjustRightInd w:val="0"/>
        <w:spacing w:before="200" w:after="0" w:line="240" w:lineRule="auto"/>
        <w:jc w:val="both"/>
        <w:rPr>
          <w:rFonts w:ascii="serif" w:hAnsi="serif" w:cs="serif"/>
          <w:color w:val="000000"/>
          <w:sz w:val="20"/>
          <w:szCs w:val="20"/>
        </w:rPr>
      </w:pPr>
    </w:p>
    <w:p w:rsidR="00674193" w:rsidRDefault="00674193">
      <w:pPr>
        <w:widowControl w:val="0"/>
        <w:autoSpaceDE w:val="0"/>
        <w:autoSpaceDN w:val="0"/>
        <w:adjustRightInd w:val="0"/>
        <w:spacing w:before="200" w:after="0" w:line="240" w:lineRule="auto"/>
        <w:jc w:val="both"/>
        <w:rPr>
          <w:rFonts w:ascii="serif" w:hAnsi="serif" w:cs="serif"/>
          <w:color w:val="000000"/>
          <w:sz w:val="20"/>
          <w:szCs w:val="20"/>
        </w:rPr>
      </w:pPr>
    </w:p>
    <w:p w:rsidR="00674193" w:rsidRDefault="00674193">
      <w:pPr>
        <w:widowControl w:val="0"/>
        <w:autoSpaceDE w:val="0"/>
        <w:autoSpaceDN w:val="0"/>
        <w:adjustRightInd w:val="0"/>
        <w:spacing w:before="200" w:after="0" w:line="240" w:lineRule="auto"/>
        <w:jc w:val="both"/>
        <w:rPr>
          <w:rFonts w:ascii="serif" w:hAnsi="serif" w:cs="serif"/>
          <w:color w:val="000000"/>
          <w:sz w:val="20"/>
          <w:szCs w:val="20"/>
        </w:rPr>
      </w:pP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lastRenderedPageBreak/>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38" w:name="co_anchor_a90790_1"/>
      <w:bookmarkEnd w:id="38"/>
    </w:p>
    <w:p w:rsidR="00B63296" w:rsidRDefault="00B932B2" w:rsidP="00DC4321">
      <w:pPr>
        <w:widowControl w:val="0"/>
        <w:autoSpaceDE w:val="0"/>
        <w:autoSpaceDN w:val="0"/>
        <w:adjustRightInd w:val="0"/>
        <w:spacing w:after="0" w:line="240" w:lineRule="auto"/>
        <w:jc w:val="both"/>
        <w:rPr>
          <w:rFonts w:ascii="serif" w:hAnsi="serif" w:cs="serif"/>
          <w:b/>
          <w:bCs/>
          <w:color w:val="000000"/>
          <w:sz w:val="28"/>
          <w:szCs w:val="28"/>
        </w:rPr>
      </w:pPr>
      <w:r>
        <w:rPr>
          <w:rFonts w:ascii="serif" w:hAnsi="serif" w:cs="serif"/>
          <w:color w:val="000000"/>
          <w:sz w:val="20"/>
          <w:szCs w:val="20"/>
        </w:rPr>
        <w:t> </w:t>
      </w:r>
      <w:bookmarkStart w:id="39" w:name="co_anchor_a89253_1"/>
      <w:bookmarkStart w:id="40" w:name="co_anchor_a981303_1"/>
      <w:bookmarkStart w:id="41" w:name="co_anchor_a720641_1"/>
      <w:bookmarkStart w:id="42" w:name="co_anchor_a534922_1"/>
      <w:bookmarkEnd w:id="39"/>
      <w:bookmarkEnd w:id="40"/>
      <w:bookmarkEnd w:id="41"/>
      <w:bookmarkEnd w:id="42"/>
      <w:r>
        <w:rPr>
          <w:rFonts w:ascii="serif" w:hAnsi="serif" w:cs="serif"/>
          <w:b/>
          <w:bCs/>
          <w:color w:val="000000"/>
          <w:sz w:val="28"/>
          <w:szCs w:val="28"/>
        </w:rPr>
        <w:t>Difficult areas</w:t>
      </w:r>
    </w:p>
    <w:p w:rsidR="00674193" w:rsidRDefault="00674193" w:rsidP="00DC4321">
      <w:pPr>
        <w:widowControl w:val="0"/>
        <w:autoSpaceDE w:val="0"/>
        <w:autoSpaceDN w:val="0"/>
        <w:adjustRightInd w:val="0"/>
        <w:spacing w:after="0" w:line="240" w:lineRule="auto"/>
        <w:jc w:val="both"/>
        <w:rPr>
          <w:rFonts w:ascii="serif" w:hAnsi="serif" w:cs="serif"/>
          <w:b/>
          <w:bCs/>
          <w:color w:val="000000"/>
          <w:sz w:val="28"/>
          <w:szCs w:val="28"/>
        </w:rPr>
      </w:pP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There are a number of key areas of difficulty affecting both contractual and statutory schemes, sometimes arising out of the case law of the ECJ.</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43" w:name="co_anchor_a787229_1"/>
      <w:bookmarkEnd w:id="43"/>
    </w:p>
    <w:p w:rsidR="00B63296" w:rsidRDefault="00B932B2">
      <w:pPr>
        <w:widowControl w:val="0"/>
        <w:autoSpaceDE w:val="0"/>
        <w:autoSpaceDN w:val="0"/>
        <w:adjustRightInd w:val="0"/>
        <w:spacing w:before="240" w:after="0" w:line="240" w:lineRule="auto"/>
        <w:jc w:val="both"/>
        <w:rPr>
          <w:rFonts w:ascii="serif" w:hAnsi="serif" w:cs="serif"/>
          <w:b/>
          <w:bCs/>
          <w:color w:val="000000"/>
          <w:sz w:val="24"/>
          <w:szCs w:val="24"/>
        </w:rPr>
      </w:pPr>
      <w:r>
        <w:rPr>
          <w:rFonts w:ascii="serif" w:hAnsi="serif" w:cs="serif"/>
          <w:b/>
          <w:bCs/>
          <w:color w:val="000000"/>
          <w:sz w:val="24"/>
          <w:szCs w:val="24"/>
        </w:rPr>
        <w:t>The effect of pay rises on SMP</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SMP is based on the employee’s average earnings during an eight-week reference period ending with the Qualifying Week. However, following</w:t>
      </w:r>
      <w:r w:rsidR="00DC4321">
        <w:t xml:space="preserve"> Alabaster v Woolwich Plc [2004] </w:t>
      </w:r>
      <w:r>
        <w:rPr>
          <w:rFonts w:ascii="serif" w:hAnsi="serif" w:cs="serif"/>
          <w:color w:val="000000"/>
          <w:sz w:val="20"/>
          <w:szCs w:val="20"/>
        </w:rPr>
        <w:t xml:space="preserve">), the UK government had to amend the </w:t>
      </w:r>
      <w:r w:rsidR="00DC4321">
        <w:t>SMP Regs t</w:t>
      </w:r>
      <w:r>
        <w:rPr>
          <w:rFonts w:ascii="serif" w:hAnsi="serif" w:cs="serif"/>
          <w:color w:val="000000"/>
          <w:sz w:val="20"/>
          <w:szCs w:val="20"/>
        </w:rPr>
        <w:t>o provide that a pay rise which is (or would have been) awarded after the start of the eight week reference period but before the end of statutory maternity leave must be taken into account in calculating SMP, as if the pay rise had taken effect at the start of the reference period . In effect, this means that the pay rise is backdated for SMP purposes, and the woman on maternity leave will receive it earlier than other employees. Even if the pay rise is awarded in the last week of statutory maternity leave (by which time the woman may have already exhausted her entitlement to SMP), her whole SMP entitlement from day one will have to be recalculated and a top-up payment made.</w:t>
      </w:r>
    </w:p>
    <w:tbl>
      <w:tblPr>
        <w:tblW w:w="0" w:type="auto"/>
        <w:tblInd w:w="600" w:type="dxa"/>
        <w:tblLayout w:type="fixed"/>
        <w:tblCellMar>
          <w:left w:w="0" w:type="dxa"/>
          <w:right w:w="0" w:type="dxa"/>
        </w:tblCellMar>
        <w:tblLook w:val="0000" w:firstRow="0" w:lastRow="0" w:firstColumn="0" w:lastColumn="0" w:noHBand="0" w:noVBand="0"/>
      </w:tblPr>
      <w:tblGrid>
        <w:gridCol w:w="10091"/>
      </w:tblGrid>
      <w:tr w:rsidR="00B63296">
        <w:tc>
          <w:tcPr>
            <w:tcW w:w="10091" w:type="dxa"/>
            <w:tcBorders>
              <w:top w:val="single" w:sz="8" w:space="0" w:color="000000"/>
              <w:left w:val="single" w:sz="8" w:space="0" w:color="000000"/>
              <w:bottom w:val="single" w:sz="8" w:space="0" w:color="000000"/>
              <w:right w:val="single" w:sz="8" w:space="0" w:color="000000"/>
            </w:tcBorders>
            <w:shd w:val="clear" w:color="auto" w:fill="F6F6F6"/>
            <w:tcMar>
              <w:top w:w="600" w:type="dxa"/>
              <w:left w:w="600" w:type="dxa"/>
              <w:bottom w:w="600" w:type="dxa"/>
              <w:right w:w="600" w:type="dxa"/>
            </w:tcMar>
          </w:tcPr>
          <w:p w:rsidR="00B63296" w:rsidRDefault="00B932B2">
            <w:pPr>
              <w:widowControl w:val="0"/>
              <w:autoSpaceDE w:val="0"/>
              <w:autoSpaceDN w:val="0"/>
              <w:adjustRightInd w:val="0"/>
              <w:spacing w:after="0" w:line="240" w:lineRule="auto"/>
              <w:jc w:val="both"/>
              <w:rPr>
                <w:rFonts w:ascii="serif" w:hAnsi="serif" w:cs="serif"/>
                <w:color w:val="0000FF"/>
                <w:sz w:val="20"/>
                <w:szCs w:val="20"/>
              </w:rPr>
            </w:pPr>
            <w:r>
              <w:rPr>
                <w:rFonts w:ascii="serif" w:hAnsi="serif" w:cs="serif"/>
                <w:color w:val="000000"/>
                <w:sz w:val="20"/>
                <w:szCs w:val="20"/>
              </w:rPr>
              <w:t> </w:t>
            </w:r>
            <w:bookmarkStart w:id="44" w:name="co_anchor_a229943_1"/>
            <w:bookmarkEnd w:id="44"/>
          </w:p>
          <w:p w:rsidR="00B63296" w:rsidRDefault="00B932B2">
            <w:pPr>
              <w:widowControl w:val="0"/>
              <w:autoSpaceDE w:val="0"/>
              <w:autoSpaceDN w:val="0"/>
              <w:adjustRightInd w:val="0"/>
              <w:spacing w:before="220" w:line="240" w:lineRule="auto"/>
              <w:jc w:val="both"/>
              <w:rPr>
                <w:rFonts w:ascii="serif" w:hAnsi="serif" w:cs="serif"/>
                <w:b/>
                <w:bCs/>
                <w:color w:val="505050"/>
              </w:rPr>
            </w:pPr>
            <w:r>
              <w:rPr>
                <w:rFonts w:ascii="serif" w:hAnsi="serif" w:cs="serif"/>
                <w:b/>
                <w:bCs/>
                <w:color w:val="505050"/>
              </w:rPr>
              <w:t>Regulation 21(7) of the SMP Regulations</w:t>
            </w:r>
          </w:p>
          <w:p w:rsidR="00B63296" w:rsidRDefault="00DC4321">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xml:space="preserve">Reg 21 (7) </w:t>
            </w:r>
            <w:r w:rsidR="00B932B2">
              <w:rPr>
                <w:rFonts w:ascii="serif" w:hAnsi="serif" w:cs="serif"/>
                <w:color w:val="505050"/>
                <w:sz w:val="20"/>
                <w:szCs w:val="20"/>
              </w:rPr>
              <w:t>of the SMP Regulations provides that:</w:t>
            </w:r>
          </w:p>
          <w:p w:rsidR="00B63296" w:rsidRDefault="00B932B2">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B63296" w:rsidRDefault="00B932B2">
            <w:pPr>
              <w:widowControl w:val="0"/>
              <w:autoSpaceDE w:val="0"/>
              <w:autoSpaceDN w:val="0"/>
              <w:adjustRightInd w:val="0"/>
              <w:spacing w:before="50" w:after="0" w:line="240" w:lineRule="auto"/>
              <w:ind w:left="800" w:right="800"/>
              <w:jc w:val="both"/>
              <w:rPr>
                <w:rFonts w:ascii="serif" w:hAnsi="serif" w:cs="serif"/>
                <w:color w:val="505050"/>
                <w:sz w:val="20"/>
                <w:szCs w:val="20"/>
              </w:rPr>
            </w:pPr>
            <w:r>
              <w:rPr>
                <w:rFonts w:ascii="serif" w:hAnsi="serif" w:cs="serif"/>
                <w:color w:val="505050"/>
                <w:sz w:val="20"/>
                <w:szCs w:val="20"/>
              </w:rPr>
              <w:t>”In any case where:</w:t>
            </w:r>
          </w:p>
          <w:p w:rsidR="00B63296" w:rsidRDefault="00B932B2">
            <w:pPr>
              <w:widowControl w:val="0"/>
              <w:autoSpaceDE w:val="0"/>
              <w:autoSpaceDN w:val="0"/>
              <w:adjustRightInd w:val="0"/>
              <w:spacing w:after="50" w:line="240" w:lineRule="auto"/>
              <w:ind w:left="800" w:right="800"/>
              <w:jc w:val="both"/>
              <w:rPr>
                <w:rFonts w:ascii="serif" w:hAnsi="serif" w:cs="serif"/>
                <w:color w:val="505050"/>
                <w:sz w:val="20"/>
                <w:szCs w:val="20"/>
              </w:rPr>
            </w:pPr>
            <w:r>
              <w:rPr>
                <w:rFonts w:ascii="serif" w:hAnsi="serif" w:cs="serif"/>
                <w:color w:val="505050"/>
                <w:sz w:val="20"/>
                <w:szCs w:val="20"/>
              </w:rPr>
              <w:t> </w:t>
            </w:r>
          </w:p>
          <w:p w:rsidR="00B63296" w:rsidRDefault="00B932B2">
            <w:pPr>
              <w:widowControl w:val="0"/>
              <w:autoSpaceDE w:val="0"/>
              <w:autoSpaceDN w:val="0"/>
              <w:adjustRightInd w:val="0"/>
              <w:spacing w:before="50" w:after="0" w:line="240" w:lineRule="auto"/>
              <w:ind w:left="800" w:right="800"/>
              <w:jc w:val="both"/>
              <w:rPr>
                <w:rFonts w:ascii="serif" w:hAnsi="serif" w:cs="serif"/>
                <w:color w:val="505050"/>
                <w:sz w:val="20"/>
                <w:szCs w:val="20"/>
              </w:rPr>
            </w:pPr>
            <w:r>
              <w:rPr>
                <w:rFonts w:ascii="serif" w:hAnsi="serif" w:cs="serif"/>
                <w:color w:val="505050"/>
                <w:sz w:val="20"/>
                <w:szCs w:val="20"/>
              </w:rPr>
              <w:t>(a) a woman is awarded a pay increase (or would have been awarded such an increase had she not then been absent on statutory maternity leave); and</w:t>
            </w:r>
          </w:p>
          <w:p w:rsidR="00B63296" w:rsidRDefault="00B932B2">
            <w:pPr>
              <w:widowControl w:val="0"/>
              <w:autoSpaceDE w:val="0"/>
              <w:autoSpaceDN w:val="0"/>
              <w:adjustRightInd w:val="0"/>
              <w:spacing w:after="50" w:line="240" w:lineRule="auto"/>
              <w:ind w:left="800" w:right="800"/>
              <w:jc w:val="both"/>
              <w:rPr>
                <w:rFonts w:ascii="serif" w:hAnsi="serif" w:cs="serif"/>
                <w:color w:val="505050"/>
                <w:sz w:val="20"/>
                <w:szCs w:val="20"/>
              </w:rPr>
            </w:pPr>
            <w:r>
              <w:rPr>
                <w:rFonts w:ascii="serif" w:hAnsi="serif" w:cs="serif"/>
                <w:color w:val="505050"/>
                <w:sz w:val="20"/>
                <w:szCs w:val="20"/>
              </w:rPr>
              <w:t> </w:t>
            </w:r>
          </w:p>
          <w:p w:rsidR="00B63296" w:rsidRDefault="00B932B2">
            <w:pPr>
              <w:widowControl w:val="0"/>
              <w:autoSpaceDE w:val="0"/>
              <w:autoSpaceDN w:val="0"/>
              <w:adjustRightInd w:val="0"/>
              <w:spacing w:before="50" w:after="0" w:line="240" w:lineRule="auto"/>
              <w:ind w:left="800" w:right="800"/>
              <w:jc w:val="both"/>
              <w:rPr>
                <w:rFonts w:ascii="serif" w:hAnsi="serif" w:cs="serif"/>
                <w:color w:val="505050"/>
                <w:sz w:val="20"/>
                <w:szCs w:val="20"/>
              </w:rPr>
            </w:pPr>
            <w:r>
              <w:rPr>
                <w:rFonts w:ascii="serif" w:hAnsi="serif" w:cs="serif"/>
                <w:color w:val="505050"/>
                <w:sz w:val="20"/>
                <w:szCs w:val="20"/>
              </w:rPr>
              <w:t>(b) that pay increase applies to the whole or any part of the period between the beginning of the relevant period and the end of her period of statutory maternity leave,</w:t>
            </w:r>
          </w:p>
          <w:p w:rsidR="00B63296" w:rsidRDefault="00B932B2">
            <w:pPr>
              <w:widowControl w:val="0"/>
              <w:autoSpaceDE w:val="0"/>
              <w:autoSpaceDN w:val="0"/>
              <w:adjustRightInd w:val="0"/>
              <w:spacing w:after="50" w:line="240" w:lineRule="auto"/>
              <w:ind w:left="800" w:right="800"/>
              <w:jc w:val="both"/>
              <w:rPr>
                <w:rFonts w:ascii="serif" w:hAnsi="serif" w:cs="serif"/>
                <w:color w:val="505050"/>
                <w:sz w:val="20"/>
                <w:szCs w:val="20"/>
              </w:rPr>
            </w:pPr>
            <w:r>
              <w:rPr>
                <w:rFonts w:ascii="serif" w:hAnsi="serif" w:cs="serif"/>
                <w:color w:val="505050"/>
                <w:sz w:val="20"/>
                <w:szCs w:val="20"/>
              </w:rPr>
              <w:t> </w:t>
            </w:r>
          </w:p>
          <w:p w:rsidR="00B63296" w:rsidRDefault="00B932B2">
            <w:pPr>
              <w:widowControl w:val="0"/>
              <w:autoSpaceDE w:val="0"/>
              <w:autoSpaceDN w:val="0"/>
              <w:adjustRightInd w:val="0"/>
              <w:spacing w:before="50" w:after="0" w:line="240" w:lineRule="auto"/>
              <w:ind w:left="800" w:right="800"/>
              <w:jc w:val="both"/>
              <w:rPr>
                <w:rFonts w:ascii="serif" w:hAnsi="serif" w:cs="serif"/>
                <w:color w:val="505050"/>
                <w:sz w:val="20"/>
                <w:szCs w:val="20"/>
              </w:rPr>
            </w:pPr>
            <w:r>
              <w:rPr>
                <w:rFonts w:ascii="serif" w:hAnsi="serif" w:cs="serif"/>
                <w:color w:val="505050"/>
                <w:sz w:val="20"/>
                <w:szCs w:val="20"/>
              </w:rPr>
              <w:t>her normal weekly earnings shall be calculated as if such an increase applied in each week of the relevant period.”</w:t>
            </w:r>
          </w:p>
          <w:p w:rsidR="00B63296" w:rsidRDefault="00B932B2">
            <w:pPr>
              <w:widowControl w:val="0"/>
              <w:autoSpaceDE w:val="0"/>
              <w:autoSpaceDN w:val="0"/>
              <w:adjustRightInd w:val="0"/>
              <w:spacing w:after="50" w:line="240" w:lineRule="auto"/>
              <w:ind w:left="800" w:right="800"/>
              <w:jc w:val="both"/>
              <w:rPr>
                <w:rFonts w:ascii="serif" w:hAnsi="serif" w:cs="serif"/>
                <w:color w:val="505050"/>
                <w:sz w:val="20"/>
                <w:szCs w:val="20"/>
              </w:rPr>
            </w:pPr>
            <w:r>
              <w:rPr>
                <w:rFonts w:ascii="serif" w:hAnsi="serif" w:cs="serif"/>
                <w:color w:val="505050"/>
                <w:sz w:val="20"/>
                <w:szCs w:val="20"/>
              </w:rPr>
              <w:t> </w:t>
            </w:r>
          </w:p>
          <w:p w:rsidR="00B63296" w:rsidRDefault="00B63296">
            <w:pPr>
              <w:widowControl w:val="0"/>
              <w:autoSpaceDE w:val="0"/>
              <w:autoSpaceDN w:val="0"/>
              <w:adjustRightInd w:val="0"/>
              <w:spacing w:after="0" w:line="240" w:lineRule="auto"/>
              <w:jc w:val="both"/>
              <w:rPr>
                <w:rFonts w:ascii="serif" w:hAnsi="serif" w:cs="serif"/>
                <w:color w:val="505050"/>
                <w:sz w:val="20"/>
                <w:szCs w:val="20"/>
              </w:rPr>
            </w:pPr>
          </w:p>
        </w:tc>
      </w:tr>
    </w:tbl>
    <w:p w:rsidR="00B63296" w:rsidRDefault="00B63296">
      <w:pPr>
        <w:widowControl w:val="0"/>
        <w:autoSpaceDE w:val="0"/>
        <w:autoSpaceDN w:val="0"/>
        <w:adjustRightInd w:val="0"/>
        <w:spacing w:after="0" w:line="240" w:lineRule="auto"/>
        <w:jc w:val="both"/>
        <w:rPr>
          <w:rFonts w:ascii="serif" w:hAnsi="serif" w:cs="serif"/>
          <w:color w:val="000000"/>
          <w:sz w:val="20"/>
          <w:szCs w:val="20"/>
        </w:rPr>
      </w:pP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An employer that anticipates making a pay rise to an employee during maternity leave may adopt either of the following approaches: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numPr>
          <w:ilvl w:val="0"/>
          <w:numId w:val="81"/>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To pro-actively include the pay rise in the calculation of a woman’s SMP from the start. However, there is a risk that, if the employee resigns before the date the pay rise would have taken effect, the employer will have overpaid her and may be liable to make a repayment to HMRC if it has claimed SMP on the basis of the higher figure.</w:t>
      </w:r>
    </w:p>
    <w:p w:rsidR="00B63296" w:rsidRDefault="00B932B2">
      <w:pPr>
        <w:widowControl w:val="0"/>
        <w:numPr>
          <w:ilvl w:val="0"/>
          <w:numId w:val="82"/>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To recalculate SMP when the pay rise is actually awarded, and for previous weeks to be topped-up with a lump sum payment. The Department for Work and Pensions does not recommend that employers wait until the employee has returned to work before making the top-up payment.</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45" w:name="co_anchor_a817452_1"/>
      <w:bookmarkEnd w:id="45"/>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lastRenderedPageBreak/>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As a result of </w:t>
      </w:r>
      <w:r>
        <w:rPr>
          <w:rFonts w:ascii="serif" w:hAnsi="serif" w:cs="serif"/>
          <w:i/>
          <w:iCs/>
          <w:color w:val="000000"/>
          <w:sz w:val="20"/>
          <w:szCs w:val="20"/>
        </w:rPr>
        <w:t>Alabaster</w:t>
      </w:r>
      <w:r>
        <w:rPr>
          <w:rFonts w:ascii="serif" w:hAnsi="serif" w:cs="serif"/>
          <w:color w:val="000000"/>
          <w:sz w:val="20"/>
          <w:szCs w:val="20"/>
        </w:rPr>
        <w:t>, amendments were made to section 1 of the EqPA 1970 on 1 October 2005. In effect, the provisions say little more than that the employee must receive the pay rise at the time it would otherwise have been awarded had she not been on leave, and that her contractual maternity pay must be “subject to” the pay rise. They do not explicitly require pay rises to be backdated in calculating contractual maternity pay (in the way that the SMP Regulations do in respect of SMP).</w:t>
      </w:r>
    </w:p>
    <w:tbl>
      <w:tblPr>
        <w:tblpPr w:leftFromText="180" w:rightFromText="180" w:vertAnchor="page" w:horzAnchor="margin" w:tblpY="9976"/>
        <w:tblW w:w="0" w:type="auto"/>
        <w:tblLayout w:type="fixed"/>
        <w:tblCellMar>
          <w:left w:w="0" w:type="dxa"/>
          <w:right w:w="0" w:type="dxa"/>
        </w:tblCellMar>
        <w:tblLook w:val="0000" w:firstRow="0" w:lastRow="0" w:firstColumn="0" w:lastColumn="0" w:noHBand="0" w:noVBand="0"/>
      </w:tblPr>
      <w:tblGrid>
        <w:gridCol w:w="10091"/>
      </w:tblGrid>
      <w:tr w:rsidR="00674193" w:rsidTr="00674193">
        <w:tc>
          <w:tcPr>
            <w:tcW w:w="10091" w:type="dxa"/>
            <w:tcBorders>
              <w:top w:val="single" w:sz="8" w:space="0" w:color="000000"/>
              <w:left w:val="single" w:sz="8" w:space="0" w:color="000000"/>
              <w:bottom w:val="single" w:sz="8" w:space="0" w:color="000000"/>
              <w:right w:val="single" w:sz="8" w:space="0" w:color="000000"/>
            </w:tcBorders>
            <w:shd w:val="clear" w:color="auto" w:fill="F6F6F6"/>
            <w:tcMar>
              <w:top w:w="600" w:type="dxa"/>
              <w:left w:w="600" w:type="dxa"/>
              <w:bottom w:w="600" w:type="dxa"/>
              <w:right w:w="600" w:type="dxa"/>
            </w:tcMar>
          </w:tcPr>
          <w:p w:rsidR="00674193" w:rsidRDefault="00674193" w:rsidP="00674193">
            <w:pPr>
              <w:widowControl w:val="0"/>
              <w:autoSpaceDE w:val="0"/>
              <w:autoSpaceDN w:val="0"/>
              <w:adjustRightInd w:val="0"/>
              <w:spacing w:after="0" w:line="240" w:lineRule="auto"/>
              <w:jc w:val="both"/>
              <w:rPr>
                <w:rFonts w:ascii="serif" w:hAnsi="serif" w:cs="serif"/>
                <w:color w:val="0000FF"/>
                <w:sz w:val="20"/>
                <w:szCs w:val="20"/>
              </w:rPr>
            </w:pPr>
          </w:p>
          <w:p w:rsidR="00674193" w:rsidRDefault="00674193" w:rsidP="00674193">
            <w:pPr>
              <w:widowControl w:val="0"/>
              <w:autoSpaceDE w:val="0"/>
              <w:autoSpaceDN w:val="0"/>
              <w:adjustRightInd w:val="0"/>
              <w:spacing w:before="220" w:line="240" w:lineRule="auto"/>
              <w:jc w:val="both"/>
              <w:rPr>
                <w:rFonts w:ascii="serif" w:hAnsi="serif" w:cs="serif"/>
                <w:b/>
                <w:bCs/>
                <w:color w:val="505050"/>
              </w:rPr>
            </w:pPr>
            <w:r>
              <w:rPr>
                <w:rFonts w:ascii="serif" w:hAnsi="serif" w:cs="serif"/>
                <w:b/>
                <w:bCs/>
                <w:color w:val="505050"/>
              </w:rPr>
              <w:t>Section 74, EqA 2010</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”(1) A term of the woman’s work that provides for maternity-related pay to be calculated by reference to her pay at a particular time is, if each of the following three conditions is satisfied, modified as mentioned in subsection (5).</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(2) The first condition is that, after the time referred to in subsection (1) but before the end of the protected period:</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(a) her pay increases, or</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(b) it would have increased had she not been on maternity leave.</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(3) The second condition is that the maternity-related pay is not:</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(a) what her pay would have been had she not been on maternity leave, or</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(b) the difference between the amount of statutory maternity pay to which she is entitled and what her pay would have been had she not been on maternity leave.</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(4) The third condition is that the terms of her work do not provide for the maternity-related pay to be subject to:</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(a) an increase as mentioned in subsection (2)(a), or</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(b) an increase that would have occurred as mentioned in subsection (2)(b).</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(5) The modification referred to in subsection (1) is a modification to provide for the maternity-related pay to be subject to:</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(a) any increase as mentioned in subsection (2)(a), or</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(b) any increase that would have occurred as mentioned in subsection (2)(b).</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(6) A term of her work that:</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(a) provides for pay within subsection (7), but</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(b) does not provide for her to be given the pay in circumstances in which she would have been given it had she not been on maternity leave,</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is so modified so as to provide for her to be given it in circumstances in which it would normally be given.</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(7) Pay is within this subsection if it is:</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lastRenderedPageBreak/>
              <w:t>(a) pay (including pay by way of bonus) in respect of times before the woman is on maternity leave,</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(b) pay by way of bonus in respect of times when she is on compulsory maternity leave, or</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(c) pay by way of bonus in respect of times after the end of the protected period.</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(8) A term of the woman’s work that:</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(a) provides for pay after the end of the protected period, but</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(b) does not provide for it to be subject to an increase to which it would have been subject had she not been on maternity leave,</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is modified so as to provide for it to be subject to the increase.</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(9) Maternity-related pay is pay (other than statutory maternity pay) to which a woman is entitled:</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(a) as a result of being pregnant, or</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(b) in respect of times when she is on maternity leave.</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(10) A reference to the protected period is to be construed in accordance with section 18.”</w:t>
            </w: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r>
              <w:rPr>
                <w:rFonts w:ascii="serif" w:hAnsi="serif" w:cs="serif"/>
                <w:color w:val="505050"/>
                <w:sz w:val="20"/>
                <w:szCs w:val="20"/>
              </w:rPr>
              <w:t> </w:t>
            </w:r>
          </w:p>
        </w:tc>
      </w:tr>
    </w:tbl>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lastRenderedPageBreak/>
        <w:t> </w:t>
      </w:r>
    </w:p>
    <w:p w:rsidR="00B63296" w:rsidRDefault="00B63296">
      <w:pPr>
        <w:widowControl w:val="0"/>
        <w:autoSpaceDE w:val="0"/>
        <w:autoSpaceDN w:val="0"/>
        <w:adjustRightInd w:val="0"/>
        <w:spacing w:after="0" w:line="240" w:lineRule="auto"/>
        <w:jc w:val="both"/>
        <w:rPr>
          <w:rFonts w:ascii="serif" w:hAnsi="serif" w:cs="serif"/>
          <w:color w:val="000000"/>
          <w:sz w:val="20"/>
          <w:szCs w:val="20"/>
        </w:rPr>
      </w:pPr>
      <w:bookmarkStart w:id="46" w:name="co_anchor_a942509_1"/>
      <w:bookmarkEnd w:id="46"/>
    </w:p>
    <w:tbl>
      <w:tblPr>
        <w:tblW w:w="0" w:type="auto"/>
        <w:tblInd w:w="600" w:type="dxa"/>
        <w:tblLayout w:type="fixed"/>
        <w:tblCellMar>
          <w:left w:w="0" w:type="dxa"/>
          <w:right w:w="0" w:type="dxa"/>
        </w:tblCellMar>
        <w:tblLook w:val="0000" w:firstRow="0" w:lastRow="0" w:firstColumn="0" w:lastColumn="0" w:noHBand="0" w:noVBand="0"/>
      </w:tblPr>
      <w:tblGrid>
        <w:gridCol w:w="1247"/>
      </w:tblGrid>
      <w:tr w:rsidR="00B63296" w:rsidTr="000311ED">
        <w:trPr>
          <w:trHeight w:val="82"/>
        </w:trPr>
        <w:tc>
          <w:tcPr>
            <w:tcW w:w="1247" w:type="dxa"/>
            <w:tcBorders>
              <w:top w:val="single" w:sz="8" w:space="0" w:color="000000"/>
              <w:left w:val="single" w:sz="8" w:space="0" w:color="000000"/>
              <w:bottom w:val="single" w:sz="8" w:space="0" w:color="000000"/>
              <w:right w:val="single" w:sz="8" w:space="0" w:color="000000"/>
            </w:tcBorders>
            <w:shd w:val="clear" w:color="auto" w:fill="F6F6F6"/>
            <w:tcMar>
              <w:top w:w="600" w:type="dxa"/>
              <w:left w:w="600" w:type="dxa"/>
              <w:bottom w:w="600" w:type="dxa"/>
              <w:right w:w="600" w:type="dxa"/>
            </w:tcMar>
          </w:tcPr>
          <w:p w:rsidR="00B63296" w:rsidRDefault="00B63296" w:rsidP="00F37E5D">
            <w:pPr>
              <w:widowControl w:val="0"/>
              <w:autoSpaceDE w:val="0"/>
              <w:autoSpaceDN w:val="0"/>
              <w:adjustRightInd w:val="0"/>
              <w:spacing w:after="50" w:line="240" w:lineRule="auto"/>
              <w:ind w:left="800" w:right="800"/>
              <w:jc w:val="both"/>
              <w:rPr>
                <w:rFonts w:ascii="serif" w:hAnsi="serif" w:cs="serif"/>
                <w:color w:val="505050"/>
                <w:sz w:val="20"/>
                <w:szCs w:val="20"/>
              </w:rPr>
            </w:pPr>
            <w:bookmarkStart w:id="47" w:name="co_anchor_a518252_1"/>
            <w:bookmarkEnd w:id="47"/>
          </w:p>
        </w:tc>
      </w:tr>
    </w:tbl>
    <w:p w:rsidR="00B63296" w:rsidRDefault="00B63296">
      <w:pPr>
        <w:widowControl w:val="0"/>
        <w:autoSpaceDE w:val="0"/>
        <w:autoSpaceDN w:val="0"/>
        <w:adjustRightInd w:val="0"/>
        <w:spacing w:after="0" w:line="240" w:lineRule="auto"/>
        <w:jc w:val="both"/>
        <w:rPr>
          <w:rFonts w:ascii="serif" w:hAnsi="serif" w:cs="serif"/>
          <w:color w:val="000000"/>
          <w:sz w:val="20"/>
          <w:szCs w:val="20"/>
        </w:rPr>
      </w:pP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48" w:name="co_anchor_a81090_1"/>
      <w:bookmarkEnd w:id="48"/>
    </w:p>
    <w:p w:rsidR="00B63296" w:rsidRDefault="00B932B2">
      <w:pPr>
        <w:widowControl w:val="0"/>
        <w:autoSpaceDE w:val="0"/>
        <w:autoSpaceDN w:val="0"/>
        <w:adjustRightInd w:val="0"/>
        <w:spacing w:before="240" w:after="0" w:line="240" w:lineRule="auto"/>
        <w:jc w:val="both"/>
        <w:rPr>
          <w:rFonts w:ascii="serif" w:hAnsi="serif" w:cs="serif"/>
          <w:b/>
          <w:bCs/>
          <w:color w:val="000000"/>
          <w:sz w:val="24"/>
          <w:szCs w:val="24"/>
        </w:rPr>
      </w:pPr>
      <w:r>
        <w:rPr>
          <w:rFonts w:ascii="serif" w:hAnsi="serif" w:cs="serif"/>
          <w:b/>
          <w:bCs/>
          <w:color w:val="000000"/>
          <w:sz w:val="24"/>
          <w:szCs w:val="24"/>
        </w:rPr>
        <w:t>Bonuses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If a woman takes maternity leave, is she entitled to receive a bonus that would otherwise have been payable had she not taken maternity leave? If so, should she receive the full amount of bonus for the year or only a pro-rated bonus, reflecting the length of time she has been actively at work during the bonus year?</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The protections set out in the </w:t>
      </w:r>
      <w:r w:rsidR="00F37E5D">
        <w:t xml:space="preserve">MPL Regs and ERA 1996 </w:t>
      </w:r>
      <w:r>
        <w:rPr>
          <w:rFonts w:ascii="serif" w:hAnsi="serif" w:cs="serif"/>
          <w:color w:val="000000"/>
          <w:sz w:val="20"/>
          <w:szCs w:val="20"/>
        </w:rPr>
        <w:t>have proved unhelpful in answering these. They have been overtaken by developments in discrimination and equal pay law, arising out of Article 157 of the Treaty on the Functioning of the European Union (formerly Article 141 of the EC Treaty).</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before="500" w:line="240" w:lineRule="auto"/>
        <w:jc w:val="both"/>
        <w:rPr>
          <w:rFonts w:ascii="serif" w:hAnsi="serif" w:cs="serif"/>
          <w:b/>
          <w:bCs/>
          <w:color w:val="212121"/>
        </w:rPr>
      </w:pPr>
      <w:bookmarkStart w:id="49" w:name="co_anchor_a960208_1"/>
      <w:bookmarkEnd w:id="49"/>
      <w:r>
        <w:rPr>
          <w:rFonts w:ascii="serif" w:hAnsi="serif" w:cs="serif"/>
          <w:b/>
          <w:bCs/>
          <w:color w:val="212121"/>
        </w:rPr>
        <w:t>MPL Regulations and ERA 1996</w:t>
      </w:r>
    </w:p>
    <w:p w:rsidR="00B63296" w:rsidRDefault="00B932B2" w:rsidP="00F37E5D">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During statutory maternity leave, all terms and conditions are preserved under </w:t>
      </w:r>
      <w:r w:rsidR="00F37E5D">
        <w:t xml:space="preserve">s 71 (4) and (5) </w:t>
      </w:r>
      <w:r>
        <w:rPr>
          <w:rFonts w:ascii="serif" w:hAnsi="serif" w:cs="serif"/>
          <w:color w:val="000000"/>
          <w:sz w:val="20"/>
          <w:szCs w:val="20"/>
        </w:rPr>
        <w:t>of ERA 1996 and</w:t>
      </w:r>
      <w:r w:rsidR="00F37E5D">
        <w:rPr>
          <w:rFonts w:ascii="serif" w:hAnsi="serif" w:cs="serif"/>
          <w:color w:val="000000"/>
          <w:sz w:val="20"/>
          <w:szCs w:val="20"/>
        </w:rPr>
        <w:t xml:space="preserve"> Reg 9 </w:t>
      </w:r>
      <w:r>
        <w:rPr>
          <w:rFonts w:ascii="serif" w:hAnsi="serif" w:cs="serif"/>
          <w:color w:val="000000"/>
          <w:sz w:val="20"/>
          <w:szCs w:val="20"/>
        </w:rPr>
        <w:t>of the MPL Regulations, except those related to “remuneration”, defined for this purpose as sums payable “</w:t>
      </w:r>
      <w:r w:rsidRPr="000311ED">
        <w:rPr>
          <w:rFonts w:ascii="serif" w:hAnsi="serif" w:cs="serif"/>
          <w:b/>
          <w:color w:val="000000"/>
          <w:sz w:val="20"/>
          <w:szCs w:val="20"/>
        </w:rPr>
        <w:t>by way of wages or salary</w:t>
      </w:r>
      <w:r>
        <w:rPr>
          <w:rFonts w:ascii="serif" w:hAnsi="serif" w:cs="serif"/>
          <w:color w:val="000000"/>
          <w:sz w:val="20"/>
          <w:szCs w:val="20"/>
        </w:rPr>
        <w:t>”</w:t>
      </w:r>
      <w:r w:rsidR="00F37E5D">
        <w:rPr>
          <w:rFonts w:ascii="serif" w:hAnsi="serif" w:cs="serif"/>
          <w:color w:val="000000"/>
          <w:sz w:val="20"/>
          <w:szCs w:val="20"/>
        </w:rPr>
        <w:t>.</w:t>
      </w:r>
    </w:p>
    <w:p w:rsidR="00F37E5D" w:rsidRDefault="00F37E5D" w:rsidP="00F37E5D">
      <w:pPr>
        <w:widowControl w:val="0"/>
        <w:autoSpaceDE w:val="0"/>
        <w:autoSpaceDN w:val="0"/>
        <w:adjustRightInd w:val="0"/>
        <w:spacing w:after="0" w:line="240" w:lineRule="auto"/>
        <w:jc w:val="both"/>
        <w:rPr>
          <w:rFonts w:ascii="serif" w:hAnsi="serif" w:cs="serif"/>
          <w:color w:val="000000"/>
          <w:sz w:val="20"/>
          <w:szCs w:val="20"/>
        </w:rPr>
      </w:pP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In</w:t>
      </w:r>
      <w:r w:rsidR="00F37E5D">
        <w:rPr>
          <w:rFonts w:ascii="serif" w:hAnsi="serif" w:cs="serif"/>
          <w:color w:val="000000"/>
          <w:sz w:val="20"/>
          <w:szCs w:val="20"/>
        </w:rPr>
        <w:t xml:space="preserve"> Hoyland v Asda Stores Ltd [2005</w:t>
      </w:r>
      <w:r>
        <w:rPr>
          <w:rFonts w:ascii="serif" w:hAnsi="serif" w:cs="serif"/>
          <w:color w:val="000000"/>
          <w:sz w:val="20"/>
          <w:szCs w:val="20"/>
        </w:rPr>
        <w:t xml:space="preserve">, a bonus was expressed to be discretionary but, in practice, was paid annually to all eligible employees through the normal payroll, with deductions for tax and national insurance contributions, and was also pensionable. The EAT held that the bonus was “wages or salary” and was therefore excluded by virtue </w:t>
      </w:r>
      <w:r>
        <w:rPr>
          <w:rFonts w:ascii="serif" w:hAnsi="serif" w:cs="serif"/>
          <w:color w:val="000000"/>
          <w:sz w:val="20"/>
          <w:szCs w:val="20"/>
        </w:rPr>
        <w:lastRenderedPageBreak/>
        <w:t>of regulation 9 of the MPL Regulations. A pro rata reduction to reflect the time Ms Hoyland had spent on maternity leave was therefore not a breach of the MPL Regulations. (This aspect of the EAT’s decision was not appealed to the Court of Session).</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An employee would in theory remain entitled (in full) to any bonus that fell outside the definition of “remuneration” although it is hard to imagine such a scenario, and we are not aware of any reported case in which the ERA 1996 or MPL Regulations have enabled an employee to claim a bonus during maternity leave.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50" w:name="co_anchor_a998230_1"/>
      <w:bookmarkEnd w:id="50"/>
    </w:p>
    <w:p w:rsidR="00B63296" w:rsidRDefault="00B932B2">
      <w:pPr>
        <w:widowControl w:val="0"/>
        <w:autoSpaceDE w:val="0"/>
        <w:autoSpaceDN w:val="0"/>
        <w:adjustRightInd w:val="0"/>
        <w:spacing w:before="220" w:line="240" w:lineRule="auto"/>
        <w:jc w:val="both"/>
        <w:rPr>
          <w:rFonts w:ascii="serif" w:hAnsi="serif" w:cs="serif"/>
          <w:b/>
          <w:bCs/>
          <w:color w:val="212121"/>
        </w:rPr>
      </w:pPr>
      <w:r>
        <w:rPr>
          <w:rFonts w:ascii="serif" w:hAnsi="serif" w:cs="serif"/>
          <w:b/>
          <w:bCs/>
          <w:color w:val="212121"/>
        </w:rPr>
        <w:t>Guiding principles: EU equal pay law</w:t>
      </w:r>
    </w:p>
    <w:p w:rsidR="00F37E5D"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Article 157 of the Treaty on the Functioning of the European Union (formerly Article 141 of the EC Treaty) provides for equal pay between men and women. “Pay” under Article 157 includes all consideration received directly or indirectly by a worker in connection with employment, in cash or in kind, whether immediate or future, and whether paid by virtue of a contract, legislative provision or on a voluntary or discretionary basis</w:t>
      </w:r>
      <w:r w:rsidR="00F37E5D">
        <w:rPr>
          <w:rFonts w:ascii="serif" w:hAnsi="serif" w:cs="serif"/>
          <w:color w:val="000000"/>
          <w:sz w:val="20"/>
          <w:szCs w:val="20"/>
        </w:rPr>
        <w: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However, a woman on maternity leave cannot simply claim equal pay with a man at work, since she is “in a special position which requires [her] to be afforded special protection, but which is not comparable either with that of a man or… a woman actually at work” (</w:t>
      </w:r>
      <w:r w:rsidR="00F37E5D">
        <w:rPr>
          <w:rFonts w:ascii="serif" w:hAnsi="serif" w:cs="serif"/>
          <w:color w:val="000000"/>
          <w:sz w:val="20"/>
          <w:szCs w:val="20"/>
        </w:rPr>
        <w:t>Gillespie v Northern Health and Social Services Board [1996]</w:t>
      </w:r>
      <w:r>
        <w:rPr>
          <w:rFonts w:ascii="serif" w:hAnsi="serif" w:cs="serif"/>
          <w:color w:val="000000"/>
          <w:sz w:val="20"/>
          <w:szCs w:val="20"/>
        </w:rPr>
        <w: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In </w:t>
      </w:r>
      <w:proofErr w:type="spellStart"/>
      <w:r>
        <w:rPr>
          <w:rFonts w:ascii="serif" w:hAnsi="serif" w:cs="serif"/>
          <w:i/>
          <w:iCs/>
          <w:color w:val="000000"/>
          <w:sz w:val="20"/>
          <w:szCs w:val="20"/>
        </w:rPr>
        <w:t>Lewen</w:t>
      </w:r>
      <w:proofErr w:type="spellEnd"/>
      <w:r w:rsidR="000311ED">
        <w:rPr>
          <w:rFonts w:ascii="serif" w:hAnsi="serif" w:cs="serif"/>
          <w:color w:val="000000"/>
          <w:sz w:val="20"/>
          <w:szCs w:val="20"/>
        </w:rPr>
        <w:t xml:space="preserve"> v </w:t>
      </w:r>
      <w:proofErr w:type="spellStart"/>
      <w:r w:rsidR="000311ED">
        <w:rPr>
          <w:rFonts w:ascii="serif" w:hAnsi="serif" w:cs="serif"/>
          <w:color w:val="000000"/>
          <w:sz w:val="20"/>
          <w:szCs w:val="20"/>
        </w:rPr>
        <w:t>Denda</w:t>
      </w:r>
      <w:proofErr w:type="spellEnd"/>
      <w:r w:rsidR="000311ED">
        <w:rPr>
          <w:rFonts w:ascii="serif" w:hAnsi="serif" w:cs="serif"/>
          <w:color w:val="000000"/>
          <w:sz w:val="20"/>
          <w:szCs w:val="20"/>
        </w:rPr>
        <w:t xml:space="preserve"> [1999]</w:t>
      </w:r>
      <w:r>
        <w:rPr>
          <w:rFonts w:ascii="serif" w:hAnsi="serif" w:cs="serif"/>
          <w:color w:val="000000"/>
          <w:sz w:val="20"/>
          <w:szCs w:val="20"/>
        </w:rPr>
        <w:t>, the ECJ held that: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numPr>
          <w:ilvl w:val="0"/>
          <w:numId w:val="83"/>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 xml:space="preserve">An employer could not simply refuse to pay a bonus to a woman on maternity leave, where it constitutes retroactive pay for work done. However, it could make a pro rata reduction to take account of the absence, ignoring the period during which the employee is legally prohibited from working (which in UK law means the two-week period of compulsory maternity leave (CML) under </w:t>
      </w:r>
      <w:r w:rsidR="00CB475F">
        <w:t xml:space="preserve">s 72 </w:t>
      </w:r>
      <w:r>
        <w:rPr>
          <w:rFonts w:ascii="serif" w:hAnsi="serif" w:cs="serif"/>
          <w:color w:val="000000"/>
          <w:sz w:val="20"/>
          <w:szCs w:val="20"/>
        </w:rPr>
        <w:t xml:space="preserve">of ERA 1996 - see the EAT’s decision in </w:t>
      </w:r>
      <w:r w:rsidR="00CB475F">
        <w:t xml:space="preserve">Hoyland </w:t>
      </w:r>
      <w:r>
        <w:rPr>
          <w:rFonts w:ascii="serif" w:hAnsi="serif" w:cs="serif"/>
          <w:color w:val="000000"/>
          <w:sz w:val="20"/>
          <w:szCs w:val="20"/>
        </w:rPr>
        <w:t>above). We refer to this pro rata allocation of bonus below as the “</w:t>
      </w:r>
      <w:r>
        <w:rPr>
          <w:rFonts w:ascii="serif" w:hAnsi="serif" w:cs="serif"/>
          <w:i/>
          <w:iCs/>
          <w:color w:val="000000"/>
          <w:sz w:val="20"/>
          <w:szCs w:val="20"/>
        </w:rPr>
        <w:t>Lewen</w:t>
      </w:r>
      <w:r>
        <w:rPr>
          <w:rFonts w:ascii="serif" w:hAnsi="serif" w:cs="serif"/>
          <w:color w:val="000000"/>
          <w:sz w:val="20"/>
          <w:szCs w:val="20"/>
        </w:rPr>
        <w:t xml:space="preserve"> principle”.</w:t>
      </w:r>
    </w:p>
    <w:p w:rsidR="00B63296" w:rsidRDefault="00B932B2">
      <w:pPr>
        <w:widowControl w:val="0"/>
        <w:numPr>
          <w:ilvl w:val="0"/>
          <w:numId w:val="84"/>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 xml:space="preserve">Total non-payment of a bonus during maternity leave would not be a breach of Article 141 (now Article 157) where the </w:t>
      </w:r>
      <w:r>
        <w:rPr>
          <w:rFonts w:ascii="serif" w:hAnsi="serif" w:cs="serif"/>
          <w:b/>
          <w:bCs/>
          <w:color w:val="000000"/>
          <w:sz w:val="20"/>
          <w:szCs w:val="20"/>
        </w:rPr>
        <w:t>only</w:t>
      </w:r>
      <w:r>
        <w:rPr>
          <w:rFonts w:ascii="serif" w:hAnsi="serif" w:cs="serif"/>
          <w:color w:val="000000"/>
          <w:sz w:val="20"/>
          <w:szCs w:val="20"/>
        </w:rPr>
        <w:t xml:space="preserve"> condition is that the employee is in “active service” at the time of payment. (For example, where the employer makes a bonus payment to all employees who are actively working on a particular date, with no reduction for those who had started working for the employer part-way through the year.)</w:t>
      </w:r>
    </w:p>
    <w:p w:rsidR="00B63296" w:rsidRDefault="00B932B2">
      <w:pPr>
        <w:widowControl w:val="0"/>
        <w:autoSpaceDE w:val="0"/>
        <w:autoSpaceDN w:val="0"/>
        <w:adjustRightInd w:val="0"/>
        <w:spacing w:before="200" w:after="0" w:line="240" w:lineRule="auto"/>
        <w:jc w:val="both"/>
        <w:rPr>
          <w:rFonts w:ascii="serif" w:hAnsi="serif" w:cs="serif"/>
          <w:color w:val="000000"/>
          <w:sz w:val="20"/>
          <w:szCs w:val="20"/>
        </w:rPr>
      </w:pPr>
      <w:r>
        <w:rPr>
          <w:rFonts w:ascii="serif" w:hAnsi="serif" w:cs="serif"/>
          <w:color w:val="000000"/>
          <w:sz w:val="20"/>
          <w:szCs w:val="20"/>
        </w:rPr>
        <w:t>The ECJ did not deal in any detail with the possibility that the bonus was an incentive for future work, seemingly conflating this with the “active service at</w:t>
      </w:r>
      <w:r w:rsidR="000311ED">
        <w:rPr>
          <w:rFonts w:ascii="serif" w:hAnsi="serif" w:cs="serif"/>
          <w:color w:val="000000"/>
          <w:sz w:val="20"/>
          <w:szCs w:val="20"/>
        </w:rPr>
        <w:t xml:space="preserve"> the time of payment” condition</w:t>
      </w:r>
      <w:r>
        <w:rPr>
          <w:rFonts w:ascii="serif" w:hAnsi="serif" w:cs="serif"/>
          <w:color w:val="000000"/>
          <w:sz w:val="20"/>
          <w:szCs w:val="20"/>
        </w:rPr>
        <w:t>. No difference would have arisen on the facts of the case, although it was clear from the Advocate General’s opinion that these were two separate issues. He took the view that if the bonus was an incentive for future work over a reference period the employee would not be entitled to the bonus if she was going to be on leave for the whole of that reference period (as would have been the situation in this case). Although it was unnecessary on the facts of the case to express an opinion on this issue, the implication of the Advocate General’s reasoning was seemingly that if the employee was going to return to work before the end of the reference period, she ought to be entitled to a pro rata bonus for the remainder of that period.</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In any event, the Advocate General found it hard to believe that a bonus would be paid </w:t>
      </w:r>
      <w:r>
        <w:rPr>
          <w:rFonts w:ascii="serif" w:hAnsi="serif" w:cs="serif"/>
          <w:b/>
          <w:bCs/>
          <w:color w:val="000000"/>
          <w:sz w:val="20"/>
          <w:szCs w:val="20"/>
        </w:rPr>
        <w:t>only</w:t>
      </w:r>
      <w:r>
        <w:rPr>
          <w:rFonts w:ascii="serif" w:hAnsi="serif" w:cs="serif"/>
          <w:color w:val="000000"/>
          <w:sz w:val="20"/>
          <w:szCs w:val="20"/>
        </w:rPr>
        <w:t xml:space="preserve"> as an incentive for future performance, and thought it more likely it would be at least in part a reward for past services. In deciding whether this was truly the purpose of the bonus, he said that the court would have to consider what the employer’s attitude would be towards an employee who had only just started working for the employer when the bonus is declared, and an employee who starts maternity leave shortly after the bonus is paid.</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51" w:name="co_anchor_a609245_1"/>
      <w:bookmarkEnd w:id="51"/>
    </w:p>
    <w:p w:rsidR="00B63296" w:rsidRDefault="00B932B2">
      <w:pPr>
        <w:widowControl w:val="0"/>
        <w:autoSpaceDE w:val="0"/>
        <w:autoSpaceDN w:val="0"/>
        <w:adjustRightInd w:val="0"/>
        <w:spacing w:before="500" w:line="240" w:lineRule="auto"/>
        <w:jc w:val="both"/>
        <w:rPr>
          <w:rFonts w:ascii="serif" w:hAnsi="serif" w:cs="serif"/>
          <w:b/>
          <w:bCs/>
          <w:color w:val="212121"/>
        </w:rPr>
      </w:pPr>
      <w:r>
        <w:rPr>
          <w:rFonts w:ascii="serif" w:hAnsi="serif" w:cs="serif"/>
          <w:b/>
          <w:bCs/>
          <w:color w:val="212121"/>
        </w:rPr>
        <w:t>UK discrimination law</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Reduction or non-payment of a bonus to a woman who is (or was, or will be) on maternity leave is </w:t>
      </w:r>
      <w:r>
        <w:rPr>
          <w:rFonts w:ascii="serif" w:hAnsi="serif" w:cs="serif"/>
          <w:i/>
          <w:iCs/>
          <w:color w:val="000000"/>
          <w:sz w:val="20"/>
          <w:szCs w:val="20"/>
        </w:rPr>
        <w:t>prima facie</w:t>
      </w:r>
      <w:r>
        <w:rPr>
          <w:rFonts w:ascii="serif" w:hAnsi="serif" w:cs="serif"/>
          <w:color w:val="000000"/>
          <w:sz w:val="20"/>
          <w:szCs w:val="20"/>
        </w:rPr>
        <w:t xml:space="preserve"> a form of pregnancy and maternity discrimination under</w:t>
      </w:r>
      <w:r w:rsidR="00CB475F">
        <w:t xml:space="preserve"> s18 EqA</w:t>
      </w:r>
      <w:r>
        <w:rPr>
          <w:rFonts w:ascii="serif" w:hAnsi="serif" w:cs="serif"/>
          <w:color w:val="000000"/>
          <w:sz w:val="20"/>
          <w:szCs w:val="20"/>
        </w:rPr>
        <w:t xml:space="preserve"> as it amounts to “unfavourable treatment” because of pregnancy or maternity leave. Such discrimination by an employer is generally unlawful (</w:t>
      </w:r>
      <w:r w:rsidR="00D545C0">
        <w:t xml:space="preserve">s 39 </w:t>
      </w:r>
      <w:r>
        <w:rPr>
          <w:rFonts w:ascii="serif" w:hAnsi="serif" w:cs="serif"/>
          <w:i/>
          <w:iCs/>
          <w:color w:val="000000"/>
          <w:sz w:val="20"/>
          <w:szCs w:val="20"/>
        </w:rPr>
        <w:t>EqA 2010</w:t>
      </w:r>
      <w:r>
        <w:rPr>
          <w:rFonts w:ascii="serif" w:hAnsi="serif" w:cs="serif"/>
          <w:color w:val="000000"/>
          <w:sz w:val="20"/>
          <w:szCs w:val="20"/>
        </w:rPr>
        <w:t>), but there are a number of exceptions to this rule, particularly where pay is concerned.</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lastRenderedPageBreak/>
        <w:t>First, pregnancy and maternity discrimination will not be unlawful under section 39 if it relates to “pay” and arises under a term of the employment contract (</w:t>
      </w:r>
      <w:r w:rsidR="00D545C0">
        <w:t xml:space="preserve">s 76 (1) and 1 (A) </w:t>
      </w:r>
      <w:r>
        <w:rPr>
          <w:rFonts w:ascii="serif" w:hAnsi="serif" w:cs="serif"/>
          <w:i/>
          <w:iCs/>
          <w:color w:val="000000"/>
          <w:sz w:val="20"/>
          <w:szCs w:val="20"/>
        </w:rPr>
        <w:t>EqA 2010</w:t>
      </w:r>
      <w:r>
        <w:rPr>
          <w:rFonts w:ascii="serif" w:hAnsi="serif" w:cs="serif"/>
          <w:color w:val="000000"/>
          <w:sz w:val="20"/>
          <w:szCs w:val="20"/>
        </w:rPr>
        <w:t xml:space="preserve">). In such cases, we must look to the “maternity equality clause” in </w:t>
      </w:r>
      <w:r w:rsidR="00D545C0">
        <w:t xml:space="preserve">s 74 </w:t>
      </w:r>
      <w:r>
        <w:rPr>
          <w:rFonts w:ascii="serif" w:hAnsi="serif" w:cs="serif"/>
          <w:color w:val="000000"/>
          <w:sz w:val="20"/>
          <w:szCs w:val="20"/>
        </w:rPr>
        <w:t xml:space="preserve">which implements the </w:t>
      </w:r>
      <w:r>
        <w:rPr>
          <w:rFonts w:ascii="serif" w:hAnsi="serif" w:cs="serif"/>
          <w:i/>
          <w:iCs/>
          <w:color w:val="000000"/>
          <w:sz w:val="20"/>
          <w:szCs w:val="20"/>
        </w:rPr>
        <w:t>Lewen</w:t>
      </w:r>
      <w:r>
        <w:rPr>
          <w:rFonts w:ascii="serif" w:hAnsi="serif" w:cs="serif"/>
          <w:color w:val="000000"/>
          <w:sz w:val="20"/>
          <w:szCs w:val="20"/>
        </w:rPr>
        <w:t xml:space="preserve"> principle.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52" w:name="co_anchor_a77045_1"/>
      <w:bookmarkEnd w:id="52"/>
    </w:p>
    <w:p w:rsidR="00D545C0" w:rsidRDefault="00D545C0">
      <w:pPr>
        <w:widowControl w:val="0"/>
        <w:autoSpaceDE w:val="0"/>
        <w:autoSpaceDN w:val="0"/>
        <w:adjustRightInd w:val="0"/>
        <w:spacing w:after="0" w:line="240" w:lineRule="auto"/>
        <w:jc w:val="both"/>
        <w:rPr>
          <w:rFonts w:ascii="serif" w:hAnsi="serif" w:cs="serif"/>
          <w:color w:val="0000FF"/>
          <w:sz w:val="20"/>
          <w:szCs w:val="20"/>
        </w:rPr>
      </w:pPr>
    </w:p>
    <w:p w:rsidR="00D545C0" w:rsidRDefault="00D545C0">
      <w:pPr>
        <w:widowControl w:val="0"/>
        <w:autoSpaceDE w:val="0"/>
        <w:autoSpaceDN w:val="0"/>
        <w:adjustRightInd w:val="0"/>
        <w:spacing w:after="0" w:line="240" w:lineRule="auto"/>
        <w:jc w:val="both"/>
        <w:rPr>
          <w:rFonts w:ascii="serif" w:hAnsi="serif" w:cs="serif"/>
          <w:color w:val="0000FF"/>
          <w:sz w:val="20"/>
          <w:szCs w:val="20"/>
        </w:rPr>
      </w:pPr>
    </w:p>
    <w:p w:rsidR="00B63296" w:rsidRDefault="00B932B2">
      <w:pPr>
        <w:widowControl w:val="0"/>
        <w:autoSpaceDE w:val="0"/>
        <w:autoSpaceDN w:val="0"/>
        <w:adjustRightInd w:val="0"/>
        <w:spacing w:before="220" w:line="240" w:lineRule="auto"/>
        <w:jc w:val="both"/>
        <w:rPr>
          <w:rFonts w:ascii="serif" w:hAnsi="serif" w:cs="serif"/>
          <w:b/>
          <w:bCs/>
          <w:color w:val="212121"/>
        </w:rPr>
      </w:pPr>
      <w:r>
        <w:rPr>
          <w:rFonts w:ascii="serif" w:hAnsi="serif" w:cs="serif"/>
          <w:b/>
          <w:bCs/>
          <w:color w:val="212121"/>
        </w:rPr>
        <w:t>Bonuses regulated by contract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The maternity equality clause provides that any contractual provisions relating to pay or bonus must be treated as providing for the following to be given to a woman on maternity leave, in the circumstances in which it would normally be given:</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numPr>
          <w:ilvl w:val="0"/>
          <w:numId w:val="85"/>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Pay (including bonus) in respect of the period before statutory maternity leave started.</w:t>
      </w:r>
    </w:p>
    <w:p w:rsidR="00B63296" w:rsidRDefault="00B932B2">
      <w:pPr>
        <w:widowControl w:val="0"/>
        <w:numPr>
          <w:ilvl w:val="0"/>
          <w:numId w:val="86"/>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Bonus in respect of the period of compulsory maternity leave.</w:t>
      </w:r>
    </w:p>
    <w:p w:rsidR="00B63296" w:rsidRDefault="00B932B2">
      <w:pPr>
        <w:widowControl w:val="0"/>
        <w:numPr>
          <w:ilvl w:val="0"/>
          <w:numId w:val="87"/>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Bonus in respect of the period after the end of maternity leave.</w:t>
      </w:r>
    </w:p>
    <w:p w:rsidR="00B63296" w:rsidRDefault="00D545C0">
      <w:pPr>
        <w:widowControl w:val="0"/>
        <w:autoSpaceDE w:val="0"/>
        <w:autoSpaceDN w:val="0"/>
        <w:adjustRightInd w:val="0"/>
        <w:spacing w:before="200" w:after="0" w:line="240" w:lineRule="auto"/>
        <w:jc w:val="both"/>
        <w:rPr>
          <w:rFonts w:ascii="serif" w:hAnsi="serif" w:cs="serif"/>
          <w:color w:val="000000"/>
          <w:sz w:val="20"/>
          <w:szCs w:val="20"/>
        </w:rPr>
      </w:pPr>
      <w:r>
        <w:rPr>
          <w:rFonts w:ascii="serif" w:hAnsi="serif" w:cs="serif"/>
          <w:color w:val="000000"/>
          <w:sz w:val="20"/>
          <w:szCs w:val="20"/>
        </w:rPr>
        <w:t>(s 74 (7)</w:t>
      </w:r>
      <w:r w:rsidR="00B932B2">
        <w:rPr>
          <w:rFonts w:ascii="serif" w:hAnsi="serif" w:cs="serif"/>
          <w:i/>
          <w:iCs/>
          <w:color w:val="000000"/>
          <w:sz w:val="20"/>
          <w:szCs w:val="20"/>
        </w:rPr>
        <w:t>, EqA 2010</w:t>
      </w:r>
      <w:r w:rsidR="00B932B2">
        <w:rPr>
          <w:rFonts w:ascii="serif" w:hAnsi="serif" w:cs="serif"/>
          <w:color w:val="000000"/>
          <w:sz w:val="20"/>
          <w:szCs w:val="20"/>
        </w:rPr>
        <w: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This broadly implements the </w:t>
      </w:r>
      <w:r>
        <w:rPr>
          <w:rFonts w:ascii="serif" w:hAnsi="serif" w:cs="serif"/>
          <w:i/>
          <w:iCs/>
          <w:color w:val="000000"/>
          <w:sz w:val="20"/>
          <w:szCs w:val="20"/>
        </w:rPr>
        <w:t>Lewen</w:t>
      </w:r>
      <w:r>
        <w:rPr>
          <w:rFonts w:ascii="serif" w:hAnsi="serif" w:cs="serif"/>
          <w:color w:val="000000"/>
          <w:sz w:val="20"/>
          <w:szCs w:val="20"/>
        </w:rPr>
        <w:t xml:space="preserve"> principle in relation to contractual terms.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Performance-related bonuses (whether based on individual, team or company targets) and other regular bonuses such as a Christmas bonus can often be seen as deferred pay for past work, and are therefore likely to fall within </w:t>
      </w:r>
      <w:r w:rsidR="00D545C0">
        <w:rPr>
          <w:rFonts w:ascii="serif" w:hAnsi="serif" w:cs="serif"/>
          <w:color w:val="000000"/>
          <w:sz w:val="20"/>
          <w:szCs w:val="20"/>
        </w:rPr>
        <w:t>s 74</w:t>
      </w:r>
      <w:hyperlink r:id="rId9" w:history="1"/>
      <w:r>
        <w:rPr>
          <w:rFonts w:ascii="serif" w:hAnsi="serif" w:cs="serif"/>
          <w:color w:val="000000"/>
          <w:sz w:val="20"/>
          <w:szCs w:val="20"/>
        </w:rPr>
        <w:t>. Employers should therefore include provision in any written scheme for a pro rata apportionment to employees on maternity leave.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There is no definition of what amounts to “pay” (or “bonus”) for the purposes of </w:t>
      </w:r>
      <w:r w:rsidR="00D545C0">
        <w:t xml:space="preserve">s 74 </w:t>
      </w:r>
      <w:r>
        <w:rPr>
          <w:rFonts w:ascii="serif" w:hAnsi="serif" w:cs="serif"/>
          <w:color w:val="000000"/>
          <w:sz w:val="20"/>
          <w:szCs w:val="20"/>
        </w:rPr>
        <w:t>Given that this is intended to implement EU equal pay law which covers the whole remuneration and benefits package, a wide definition is to be expected. The same principles would therefore be likely to apply to other types of deferred remuneration such as awards under share schemes and other long term incentives.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53" w:name="co_anchor_a173177_1"/>
      <w:bookmarkEnd w:id="53"/>
    </w:p>
    <w:p w:rsidR="00B63296" w:rsidRDefault="00B932B2">
      <w:pPr>
        <w:widowControl w:val="0"/>
        <w:autoSpaceDE w:val="0"/>
        <w:autoSpaceDN w:val="0"/>
        <w:adjustRightInd w:val="0"/>
        <w:spacing w:before="500" w:line="240" w:lineRule="auto"/>
        <w:jc w:val="both"/>
        <w:rPr>
          <w:rFonts w:ascii="serif" w:hAnsi="serif" w:cs="serif"/>
          <w:b/>
          <w:bCs/>
          <w:color w:val="212121"/>
        </w:rPr>
      </w:pPr>
      <w:r>
        <w:rPr>
          <w:rFonts w:ascii="serif" w:hAnsi="serif" w:cs="serif"/>
          <w:b/>
          <w:bCs/>
          <w:color w:val="212121"/>
        </w:rPr>
        <w:t>Discretionary bonuses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A similar rule applies to non-contractual payments under</w:t>
      </w:r>
      <w:r w:rsidR="00D545C0">
        <w:t xml:space="preserve"> </w:t>
      </w:r>
      <w:r w:rsidR="00D67AA2">
        <w:t>Para</w:t>
      </w:r>
      <w:r w:rsidR="00D545C0">
        <w:t xml:space="preserve"> 17 sch 9 EqA</w:t>
      </w:r>
      <w:r>
        <w:rPr>
          <w:rFonts w:ascii="serif" w:hAnsi="serif" w:cs="serif"/>
          <w:color w:val="000000"/>
          <w:sz w:val="20"/>
          <w:szCs w:val="20"/>
        </w:rPr>
        <w:t xml:space="preserve"> which applies the </w:t>
      </w:r>
      <w:r>
        <w:rPr>
          <w:rFonts w:ascii="serif" w:hAnsi="serif" w:cs="serif"/>
          <w:i/>
          <w:iCs/>
          <w:color w:val="000000"/>
          <w:sz w:val="20"/>
          <w:szCs w:val="20"/>
        </w:rPr>
        <w:t>Lewen</w:t>
      </w:r>
      <w:r>
        <w:rPr>
          <w:rFonts w:ascii="serif" w:hAnsi="serif" w:cs="serif"/>
          <w:color w:val="000000"/>
          <w:sz w:val="20"/>
          <w:szCs w:val="20"/>
        </w:rPr>
        <w:t xml:space="preserve"> principle. The effect of paragraph 17 on “pay” is that discrimination during maternity leave is only unlawful in so far as the bonus relates to time when the employee is not on maternity leave or (where bonuses, but not other forms of pay, are concerned) is on compulsory maternity leave. Pay in this context means a benefit consisting of the payment of “wages or salary” which is not regulated by the contract (</w:t>
      </w:r>
      <w:r>
        <w:rPr>
          <w:rFonts w:ascii="serif" w:hAnsi="serif" w:cs="serif"/>
          <w:i/>
          <w:iCs/>
          <w:color w:val="000000"/>
          <w:sz w:val="20"/>
          <w:szCs w:val="20"/>
        </w:rPr>
        <w:t>paragraph 17(5), Schedule 9</w:t>
      </w:r>
      <w:r>
        <w:rPr>
          <w:rFonts w:ascii="serif" w:hAnsi="serif" w:cs="serif"/>
          <w:color w:val="000000"/>
          <w:sz w:val="20"/>
          <w:szCs w:val="20"/>
        </w:rPr>
        <w: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A purely discretionary bonus (such as the Christmas bonus in </w:t>
      </w:r>
      <w:r>
        <w:rPr>
          <w:rFonts w:ascii="serif" w:hAnsi="serif" w:cs="serif"/>
          <w:i/>
          <w:iCs/>
          <w:color w:val="000000"/>
          <w:sz w:val="20"/>
          <w:szCs w:val="20"/>
        </w:rPr>
        <w:t>Lewen v Denda</w:t>
      </w:r>
      <w:r>
        <w:rPr>
          <w:rFonts w:ascii="serif" w:hAnsi="serif" w:cs="serif"/>
          <w:color w:val="000000"/>
          <w:sz w:val="20"/>
          <w:szCs w:val="20"/>
        </w:rPr>
        <w:t>) could potentially fall into this category. However, in</w:t>
      </w:r>
      <w:r w:rsidR="005F5759">
        <w:rPr>
          <w:rFonts w:ascii="serif" w:hAnsi="serif" w:cs="serif"/>
          <w:color w:val="000000"/>
          <w:sz w:val="20"/>
          <w:szCs w:val="20"/>
        </w:rPr>
        <w:t xml:space="preserve"> Hoyland </w:t>
      </w:r>
      <w:r>
        <w:rPr>
          <w:rFonts w:ascii="serif" w:hAnsi="serif" w:cs="serif"/>
          <w:color w:val="000000"/>
          <w:sz w:val="20"/>
          <w:szCs w:val="20"/>
        </w:rPr>
        <w:t xml:space="preserve">the Court of Session held (in relation to similar wording provisions in section 6 of the SDA) that a bonus entitlement did not need to be part of the formal contract, provided that it was “regulated” by it in the sense that “but for the existence of the contract of employment the bonus would not be paid”. On this basis it seems likely that even a discretionary bonus would in fact fall to be considered along with contractual bonuses under section 74 rather than under paragraph 17 of schedule 9. The point is of little practical significance as far as most bonus payments are concerned because the </w:t>
      </w:r>
      <w:r>
        <w:rPr>
          <w:rFonts w:ascii="serif" w:hAnsi="serif" w:cs="serif"/>
          <w:i/>
          <w:iCs/>
          <w:color w:val="000000"/>
          <w:sz w:val="20"/>
          <w:szCs w:val="20"/>
        </w:rPr>
        <w:t>Lewen</w:t>
      </w:r>
      <w:r>
        <w:rPr>
          <w:rFonts w:ascii="serif" w:hAnsi="serif" w:cs="serif"/>
          <w:color w:val="000000"/>
          <w:sz w:val="20"/>
          <w:szCs w:val="20"/>
        </w:rPr>
        <w:t xml:space="preserve"> principle would sill apply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674193" w:rsidRDefault="00674193">
      <w:pPr>
        <w:widowControl w:val="0"/>
        <w:autoSpaceDE w:val="0"/>
        <w:autoSpaceDN w:val="0"/>
        <w:adjustRightInd w:val="0"/>
        <w:spacing w:after="0" w:line="240" w:lineRule="auto"/>
        <w:jc w:val="both"/>
        <w:rPr>
          <w:rFonts w:ascii="serif" w:hAnsi="serif" w:cs="serif"/>
          <w:color w:val="000000"/>
          <w:sz w:val="20"/>
          <w:szCs w:val="20"/>
        </w:rPr>
      </w:pPr>
    </w:p>
    <w:p w:rsidR="00674193" w:rsidRDefault="00674193">
      <w:pPr>
        <w:widowControl w:val="0"/>
        <w:autoSpaceDE w:val="0"/>
        <w:autoSpaceDN w:val="0"/>
        <w:adjustRightInd w:val="0"/>
        <w:spacing w:after="0" w:line="240" w:lineRule="auto"/>
        <w:jc w:val="both"/>
        <w:rPr>
          <w:rFonts w:ascii="serif" w:hAnsi="serif" w:cs="serif"/>
          <w:color w:val="000000"/>
          <w:sz w:val="20"/>
          <w:szCs w:val="20"/>
        </w:rPr>
      </w:pPr>
    </w:p>
    <w:p w:rsidR="00674193" w:rsidRDefault="00674193">
      <w:pPr>
        <w:widowControl w:val="0"/>
        <w:autoSpaceDE w:val="0"/>
        <w:autoSpaceDN w:val="0"/>
        <w:adjustRightInd w:val="0"/>
        <w:spacing w:after="0" w:line="240" w:lineRule="auto"/>
        <w:jc w:val="both"/>
        <w:rPr>
          <w:rFonts w:ascii="serif" w:hAnsi="serif" w:cs="serif"/>
          <w:color w:val="000000"/>
          <w:sz w:val="20"/>
          <w:szCs w:val="20"/>
        </w:rPr>
      </w:pPr>
    </w:p>
    <w:p w:rsidR="00674193" w:rsidRDefault="00674193">
      <w:pPr>
        <w:widowControl w:val="0"/>
        <w:autoSpaceDE w:val="0"/>
        <w:autoSpaceDN w:val="0"/>
        <w:adjustRightInd w:val="0"/>
        <w:spacing w:after="0" w:line="240" w:lineRule="auto"/>
        <w:jc w:val="both"/>
        <w:rPr>
          <w:rFonts w:ascii="serif" w:hAnsi="serif" w:cs="serif"/>
          <w:color w:val="000000"/>
          <w:sz w:val="20"/>
          <w:szCs w:val="20"/>
        </w:rPr>
      </w:pPr>
    </w:p>
    <w:p w:rsidR="00674193" w:rsidRDefault="00674193">
      <w:pPr>
        <w:widowControl w:val="0"/>
        <w:autoSpaceDE w:val="0"/>
        <w:autoSpaceDN w:val="0"/>
        <w:adjustRightInd w:val="0"/>
        <w:spacing w:after="0" w:line="240" w:lineRule="auto"/>
        <w:jc w:val="both"/>
        <w:rPr>
          <w:rFonts w:ascii="serif" w:hAnsi="serif" w:cs="serif"/>
          <w:color w:val="000000"/>
          <w:sz w:val="20"/>
          <w:szCs w:val="20"/>
        </w:rPr>
      </w:pP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54" w:name="co_anchor_a515559_1"/>
      <w:bookmarkEnd w:id="54"/>
    </w:p>
    <w:p w:rsidR="00B63296" w:rsidRDefault="00B932B2">
      <w:pPr>
        <w:widowControl w:val="0"/>
        <w:autoSpaceDE w:val="0"/>
        <w:autoSpaceDN w:val="0"/>
        <w:adjustRightInd w:val="0"/>
        <w:spacing w:before="220" w:line="240" w:lineRule="auto"/>
        <w:jc w:val="both"/>
        <w:rPr>
          <w:rFonts w:ascii="serif" w:hAnsi="serif" w:cs="serif"/>
          <w:b/>
          <w:bCs/>
          <w:color w:val="212121"/>
        </w:rPr>
      </w:pPr>
      <w:r>
        <w:rPr>
          <w:rFonts w:ascii="serif" w:hAnsi="serif" w:cs="serif"/>
          <w:b/>
          <w:bCs/>
          <w:color w:val="212121"/>
        </w:rPr>
        <w:lastRenderedPageBreak/>
        <w:t>Scope for further argument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Is there still any scope for an employee to argue that she should be paid a full bonus with no pro rata reduction for maternity leave?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There is an argument based on the EAT’s decision in </w:t>
      </w:r>
      <w:r w:rsidR="00C53401">
        <w:rPr>
          <w:rFonts w:ascii="serif" w:hAnsi="serif" w:cs="serif"/>
          <w:color w:val="000000"/>
          <w:sz w:val="20"/>
          <w:szCs w:val="20"/>
        </w:rPr>
        <w:t xml:space="preserve">Gus Home Shopping Ltd v Green &amp; Ors, </w:t>
      </w:r>
      <w:r>
        <w:rPr>
          <w:rFonts w:ascii="serif" w:hAnsi="serif" w:cs="serif"/>
          <w:color w:val="000000"/>
          <w:sz w:val="20"/>
          <w:szCs w:val="20"/>
        </w:rPr>
        <w:t>a direct discrimination case pre-dating implementation of any specific legislative provisions on pregnancy or maternity discrimination in UK law. When an employer introduced a discretionary loyalty bonus to encourage employees to stay during a difficult period in which it was relocating its premises, two employees who were on maternity leave for all or part of the relevant period suffered total or partial loss of the bonus. The EAT held that it was direct sex discrimination under the SDA to reduce the bonus on grounds that the women were on maternity leave.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However, </w:t>
      </w:r>
      <w:r>
        <w:rPr>
          <w:rFonts w:ascii="serif" w:hAnsi="serif" w:cs="serif"/>
          <w:i/>
          <w:iCs/>
          <w:color w:val="000000"/>
          <w:sz w:val="20"/>
          <w:szCs w:val="20"/>
        </w:rPr>
        <w:t>GUS</w:t>
      </w:r>
      <w:r>
        <w:rPr>
          <w:rFonts w:ascii="serif" w:hAnsi="serif" w:cs="serif"/>
          <w:color w:val="000000"/>
          <w:sz w:val="20"/>
          <w:szCs w:val="20"/>
        </w:rPr>
        <w:t xml:space="preserve"> is now of doubtful authority (indeed the EAT commented as long ago as 2005 in</w:t>
      </w:r>
      <w:r w:rsidR="00C53401">
        <w:rPr>
          <w:rFonts w:ascii="serif" w:hAnsi="serif" w:cs="serif"/>
          <w:color w:val="000000"/>
          <w:sz w:val="20"/>
          <w:szCs w:val="20"/>
        </w:rPr>
        <w:t xml:space="preserve"> Hoyland </w:t>
      </w:r>
      <w:r>
        <w:rPr>
          <w:rFonts w:ascii="serif" w:hAnsi="serif" w:cs="serif"/>
          <w:color w:val="000000"/>
          <w:sz w:val="20"/>
          <w:szCs w:val="20"/>
        </w:rPr>
        <w:t xml:space="preserve">that </w:t>
      </w:r>
      <w:r w:rsidR="00D67AA2">
        <w:rPr>
          <w:rFonts w:ascii="serif" w:hAnsi="serif" w:cs="serif"/>
          <w:color w:val="000000"/>
          <w:sz w:val="20"/>
          <w:szCs w:val="20"/>
        </w:rPr>
        <w:t>it’s</w:t>
      </w:r>
      <w:r>
        <w:rPr>
          <w:rFonts w:ascii="serif" w:hAnsi="serif" w:cs="serif"/>
          <w:color w:val="000000"/>
          <w:sz w:val="20"/>
          <w:szCs w:val="20"/>
        </w:rPr>
        <w:t xml:space="preserve"> “value as a precedent seems ... slight”).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0311ED"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An employee making that argument today under the EqA 2010 would have to show that the bonus is both non-contractual (as </w:t>
      </w:r>
      <w:r>
        <w:rPr>
          <w:rFonts w:ascii="serif" w:hAnsi="serif" w:cs="serif"/>
          <w:i/>
          <w:iCs/>
          <w:color w:val="000000"/>
          <w:sz w:val="20"/>
          <w:szCs w:val="20"/>
        </w:rPr>
        <w:t>section 74</w:t>
      </w:r>
      <w:r>
        <w:rPr>
          <w:rFonts w:ascii="serif" w:hAnsi="serif" w:cs="serif"/>
          <w:color w:val="000000"/>
          <w:sz w:val="20"/>
          <w:szCs w:val="20"/>
        </w:rPr>
        <w:t xml:space="preserve"> enables a pro rata reduction to contractual bonuses), and not within the definition of “pay”. </w:t>
      </w:r>
    </w:p>
    <w:p w:rsidR="000311ED" w:rsidRDefault="000311ED">
      <w:pPr>
        <w:widowControl w:val="0"/>
        <w:autoSpaceDE w:val="0"/>
        <w:autoSpaceDN w:val="0"/>
        <w:adjustRightInd w:val="0"/>
        <w:spacing w:after="0" w:line="240" w:lineRule="auto"/>
        <w:jc w:val="both"/>
        <w:rPr>
          <w:rFonts w:ascii="serif" w:hAnsi="serif" w:cs="serif"/>
          <w:color w:val="000000"/>
          <w:sz w:val="20"/>
          <w:szCs w:val="20"/>
        </w:rPr>
      </w:pPr>
    </w:p>
    <w:p w:rsidR="00B63296" w:rsidRDefault="000311ED">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w:t>
      </w:r>
      <w:r w:rsidR="00B932B2">
        <w:rPr>
          <w:rFonts w:ascii="serif" w:hAnsi="serif" w:cs="serif"/>
          <w:color w:val="000000"/>
          <w:sz w:val="20"/>
          <w:szCs w:val="20"/>
        </w:rPr>
        <w:t>Pay</w:t>
      </w:r>
      <w:r>
        <w:rPr>
          <w:rFonts w:ascii="serif" w:hAnsi="serif" w:cs="serif"/>
          <w:color w:val="000000"/>
          <w:sz w:val="20"/>
          <w:szCs w:val="20"/>
        </w:rPr>
        <w:t>”</w:t>
      </w:r>
      <w:r w:rsidR="00B932B2">
        <w:rPr>
          <w:rFonts w:ascii="serif" w:hAnsi="serif" w:cs="serif"/>
          <w:color w:val="000000"/>
          <w:sz w:val="20"/>
          <w:szCs w:val="20"/>
        </w:rPr>
        <w:t xml:space="preserve"> under paragraph 17 is defined as benefits consisting of “the payment of money... by way of wages or salary” where the provision of those benefits is “not... regulated by the [employment] contract”. Only if the employee were to succeed in arguing that the bonus was neither regulated by the contract nor a form of “pay”, would a reduction of her bonus amount to unlawful discrimination by virtue of section 39. This is a difficult argument to sustain, for two reasons. First, the Court of Session in</w:t>
      </w:r>
      <w:r w:rsidR="00C53401">
        <w:t xml:space="preserve"> Hoyland</w:t>
      </w:r>
      <w:r w:rsidR="00B932B2">
        <w:rPr>
          <w:rFonts w:ascii="serif" w:hAnsi="serif" w:cs="serif"/>
          <w:color w:val="000000"/>
          <w:sz w:val="20"/>
          <w:szCs w:val="20"/>
        </w:rPr>
        <w:t xml:space="preserve"> held that a discretionary bonus was still “regulated by” the contract of employment if “but for the existence of the contract of employment the bonus would not be paid”. . Secondly, the argument that a discretionary bonus is not a payment “by way of wages or salary” seems contrived, especially where the bonus is related at least in part to past or future job performance.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C53401"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Similarly, under</w:t>
      </w:r>
      <w:r w:rsidR="00C53401">
        <w:rPr>
          <w:rFonts w:ascii="serif" w:hAnsi="serif" w:cs="serif"/>
          <w:color w:val="000000"/>
          <w:sz w:val="20"/>
          <w:szCs w:val="20"/>
        </w:rPr>
        <w:t xml:space="preserve"> </w:t>
      </w:r>
      <w:proofErr w:type="spellStart"/>
      <w:r w:rsidR="00C53401">
        <w:rPr>
          <w:rFonts w:ascii="serif" w:hAnsi="serif" w:cs="serif"/>
          <w:color w:val="000000"/>
          <w:sz w:val="20"/>
          <w:szCs w:val="20"/>
        </w:rPr>
        <w:t>reg</w:t>
      </w:r>
      <w:proofErr w:type="spellEnd"/>
      <w:r w:rsidR="00C53401">
        <w:rPr>
          <w:rFonts w:ascii="serif" w:hAnsi="serif" w:cs="serif"/>
          <w:color w:val="000000"/>
          <w:sz w:val="20"/>
          <w:szCs w:val="20"/>
        </w:rPr>
        <w:t xml:space="preserve"> 9</w:t>
      </w:r>
      <w:r w:rsidR="000311ED">
        <w:rPr>
          <w:rFonts w:ascii="serif" w:hAnsi="serif" w:cs="serif"/>
          <w:color w:val="000000"/>
          <w:sz w:val="20"/>
          <w:szCs w:val="20"/>
        </w:rPr>
        <w:t xml:space="preserve"> </w:t>
      </w:r>
      <w:r>
        <w:rPr>
          <w:rFonts w:ascii="serif" w:hAnsi="serif" w:cs="serif"/>
          <w:color w:val="000000"/>
          <w:sz w:val="20"/>
          <w:szCs w:val="20"/>
        </w:rPr>
        <w:t>of the MPL Regulations an employee would be entitled to full payment of any bonus but only if it could be argued that it was not “remuneration” (again, defined as sums payable “by way of wages or salary”).</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Some other areas for future argument in bonus cases where the employee has been on maternity leave are likely to be: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numPr>
          <w:ilvl w:val="0"/>
          <w:numId w:val="88"/>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 xml:space="preserve">The extent to which the bonus represents, on the facts of the case, retroactive pay for past performance, or an incentive for future performance - particularly in relation to the reference period over which the bonus is intended to reward (or incentivise) such performance. For example, if it is a performance bonus, over what reference period is performance assessed? If it is a future incentive, over what reference period is the incentive intended to operate? If it is a year, the employee is likely to be entitled to a larger share than if the reference period is six months. In many cases where a bonus is paid annually (whether on a contractual or discretionary basis) the likely inference is that it is retroactive pay for work done over the year. If the </w:t>
      </w:r>
      <w:r w:rsidR="00D67AA2">
        <w:rPr>
          <w:rFonts w:ascii="serif" w:hAnsi="serif" w:cs="serif"/>
          <w:color w:val="000000"/>
          <w:sz w:val="20"/>
          <w:szCs w:val="20"/>
        </w:rPr>
        <w:t>employers make</w:t>
      </w:r>
      <w:r>
        <w:rPr>
          <w:rFonts w:ascii="serif" w:hAnsi="serif" w:cs="serif"/>
          <w:color w:val="000000"/>
          <w:sz w:val="20"/>
          <w:szCs w:val="20"/>
        </w:rPr>
        <w:t xml:space="preserve"> pro rata reductions for employees who have started work during the year, this is likely to reinforce such a conclusion.</w:t>
      </w:r>
    </w:p>
    <w:p w:rsidR="00B63296" w:rsidRDefault="00B932B2">
      <w:pPr>
        <w:widowControl w:val="0"/>
        <w:numPr>
          <w:ilvl w:val="0"/>
          <w:numId w:val="89"/>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Where a bonus is based on individual measurable performance criteria (such as a sales target), the extent to which those criteria should also be adjusted or pro-rated to take account of the time spent on maternity leave. For example, should a sales target of £100,000 (below which no bonus would be payable) be halved to £50,000 if the employee has spent half the year on maternity leave? It is arguable that failure to do so would amount to pregnancy and maternity discrimination, indirect sex discrimination, and/or detriment under</w:t>
      </w:r>
      <w:r w:rsidR="00C53401">
        <w:rPr>
          <w:rFonts w:ascii="serif" w:hAnsi="serif" w:cs="serif"/>
          <w:color w:val="000000"/>
          <w:sz w:val="20"/>
          <w:szCs w:val="20"/>
        </w:rPr>
        <w:t xml:space="preserve"> reg 19 </w:t>
      </w:r>
      <w:r>
        <w:rPr>
          <w:rFonts w:ascii="serif" w:hAnsi="serif" w:cs="serif"/>
          <w:color w:val="000000"/>
          <w:sz w:val="20"/>
          <w:szCs w:val="20"/>
        </w:rPr>
        <w:t>of the MPL Regulations.</w:t>
      </w:r>
    </w:p>
    <w:p w:rsidR="00C53401" w:rsidRPr="00C53401" w:rsidRDefault="00B932B2" w:rsidP="00C53401">
      <w:pPr>
        <w:widowControl w:val="0"/>
        <w:numPr>
          <w:ilvl w:val="0"/>
          <w:numId w:val="90"/>
        </w:numPr>
        <w:autoSpaceDE w:val="0"/>
        <w:autoSpaceDN w:val="0"/>
        <w:adjustRightInd w:val="0"/>
        <w:spacing w:after="0" w:line="240" w:lineRule="auto"/>
        <w:ind w:left="480"/>
        <w:jc w:val="both"/>
        <w:rPr>
          <w:rFonts w:ascii="serif" w:hAnsi="serif" w:cs="serif"/>
          <w:b/>
          <w:bCs/>
          <w:color w:val="000000"/>
          <w:sz w:val="24"/>
          <w:szCs w:val="24"/>
        </w:rPr>
      </w:pPr>
      <w:r w:rsidRPr="00C53401">
        <w:rPr>
          <w:rFonts w:ascii="serif" w:hAnsi="serif" w:cs="serif"/>
          <w:color w:val="000000"/>
          <w:sz w:val="20"/>
          <w:szCs w:val="20"/>
        </w:rPr>
        <w:t xml:space="preserve">Where a bonus is based purely on a discretionary decision by a manager exercising their subjective judgment (rather than objectively-measurable criteria), the extent to which that subjective judgment may have been negatively influenced by the employee’s maternity leave or stereotypical assumptions about the employee’s future worth or commitment now that she has children. </w:t>
      </w:r>
    </w:p>
    <w:p w:rsidR="00C53401" w:rsidRDefault="00C53401" w:rsidP="00C53401">
      <w:pPr>
        <w:widowControl w:val="0"/>
        <w:autoSpaceDE w:val="0"/>
        <w:autoSpaceDN w:val="0"/>
        <w:adjustRightInd w:val="0"/>
        <w:spacing w:after="0" w:line="240" w:lineRule="auto"/>
        <w:ind w:left="120"/>
        <w:jc w:val="both"/>
        <w:rPr>
          <w:rFonts w:ascii="serif" w:hAnsi="serif" w:cs="serif"/>
          <w:b/>
          <w:bCs/>
          <w:color w:val="000000"/>
          <w:sz w:val="24"/>
          <w:szCs w:val="24"/>
        </w:rPr>
      </w:pPr>
    </w:p>
    <w:p w:rsidR="00674193" w:rsidRDefault="00674193" w:rsidP="00C53401">
      <w:pPr>
        <w:widowControl w:val="0"/>
        <w:autoSpaceDE w:val="0"/>
        <w:autoSpaceDN w:val="0"/>
        <w:adjustRightInd w:val="0"/>
        <w:spacing w:after="0" w:line="240" w:lineRule="auto"/>
        <w:ind w:left="120"/>
        <w:jc w:val="both"/>
        <w:rPr>
          <w:rFonts w:ascii="serif" w:hAnsi="serif" w:cs="serif"/>
          <w:b/>
          <w:bCs/>
          <w:color w:val="000000"/>
          <w:sz w:val="24"/>
          <w:szCs w:val="24"/>
        </w:rPr>
      </w:pPr>
    </w:p>
    <w:p w:rsidR="00674193" w:rsidRDefault="00674193" w:rsidP="00C53401">
      <w:pPr>
        <w:widowControl w:val="0"/>
        <w:autoSpaceDE w:val="0"/>
        <w:autoSpaceDN w:val="0"/>
        <w:adjustRightInd w:val="0"/>
        <w:spacing w:after="0" w:line="240" w:lineRule="auto"/>
        <w:ind w:left="120"/>
        <w:jc w:val="both"/>
        <w:rPr>
          <w:rFonts w:ascii="serif" w:hAnsi="serif" w:cs="serif"/>
          <w:b/>
          <w:bCs/>
          <w:color w:val="000000"/>
          <w:sz w:val="24"/>
          <w:szCs w:val="24"/>
        </w:rPr>
      </w:pPr>
    </w:p>
    <w:p w:rsidR="00674193" w:rsidRDefault="00674193" w:rsidP="00C53401">
      <w:pPr>
        <w:widowControl w:val="0"/>
        <w:autoSpaceDE w:val="0"/>
        <w:autoSpaceDN w:val="0"/>
        <w:adjustRightInd w:val="0"/>
        <w:spacing w:after="0" w:line="240" w:lineRule="auto"/>
        <w:ind w:left="120"/>
        <w:jc w:val="both"/>
        <w:rPr>
          <w:rFonts w:ascii="serif" w:hAnsi="serif" w:cs="serif"/>
          <w:b/>
          <w:bCs/>
          <w:color w:val="000000"/>
          <w:sz w:val="24"/>
          <w:szCs w:val="24"/>
        </w:rPr>
      </w:pPr>
    </w:p>
    <w:p w:rsidR="00674193" w:rsidRPr="00C53401" w:rsidRDefault="00674193" w:rsidP="00C53401">
      <w:pPr>
        <w:widowControl w:val="0"/>
        <w:autoSpaceDE w:val="0"/>
        <w:autoSpaceDN w:val="0"/>
        <w:adjustRightInd w:val="0"/>
        <w:spacing w:after="0" w:line="240" w:lineRule="auto"/>
        <w:ind w:left="120"/>
        <w:jc w:val="both"/>
        <w:rPr>
          <w:rFonts w:ascii="serif" w:hAnsi="serif" w:cs="serif"/>
          <w:b/>
          <w:bCs/>
          <w:color w:val="000000"/>
          <w:sz w:val="24"/>
          <w:szCs w:val="24"/>
        </w:rPr>
      </w:pPr>
    </w:p>
    <w:p w:rsidR="00B63296" w:rsidRDefault="00B932B2" w:rsidP="00C53401">
      <w:pPr>
        <w:widowControl w:val="0"/>
        <w:autoSpaceDE w:val="0"/>
        <w:autoSpaceDN w:val="0"/>
        <w:adjustRightInd w:val="0"/>
        <w:spacing w:after="0" w:line="240" w:lineRule="auto"/>
        <w:ind w:left="120"/>
        <w:jc w:val="both"/>
        <w:rPr>
          <w:rFonts w:ascii="serif" w:hAnsi="serif" w:cs="serif"/>
          <w:b/>
          <w:bCs/>
          <w:color w:val="000000"/>
          <w:sz w:val="24"/>
          <w:szCs w:val="24"/>
        </w:rPr>
      </w:pPr>
      <w:r>
        <w:rPr>
          <w:rFonts w:ascii="serif" w:hAnsi="serif" w:cs="serif"/>
          <w:b/>
          <w:bCs/>
          <w:color w:val="000000"/>
          <w:sz w:val="24"/>
          <w:szCs w:val="24"/>
        </w:rPr>
        <w:lastRenderedPageBreak/>
        <w:t>Childcare vouchers</w:t>
      </w:r>
    </w:p>
    <w:p w:rsidR="00C53401" w:rsidRDefault="00C53401" w:rsidP="00C53401">
      <w:pPr>
        <w:widowControl w:val="0"/>
        <w:autoSpaceDE w:val="0"/>
        <w:autoSpaceDN w:val="0"/>
        <w:adjustRightInd w:val="0"/>
        <w:spacing w:after="0" w:line="240" w:lineRule="auto"/>
        <w:ind w:left="120"/>
        <w:jc w:val="both"/>
        <w:rPr>
          <w:rFonts w:ascii="serif" w:hAnsi="serif" w:cs="serif"/>
          <w:b/>
          <w:bCs/>
          <w:color w:val="000000"/>
          <w:sz w:val="24"/>
          <w:szCs w:val="24"/>
        </w:rPr>
      </w:pP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Many employers provide employees with childcare vouchers as a benefit of their employment, usually by way of a “salary sacrifice” arrangement, which has certain tax and NIC advantages to both the employer and the employee..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During OML (and now AML</w:t>
      </w:r>
      <w:r w:rsidR="00C53401">
        <w:rPr>
          <w:rFonts w:ascii="serif" w:hAnsi="serif" w:cs="serif"/>
          <w:color w:val="000000"/>
          <w:sz w:val="20"/>
          <w:szCs w:val="20"/>
        </w:rPr>
        <w:t>)</w:t>
      </w:r>
      <w:r>
        <w:rPr>
          <w:rFonts w:ascii="serif" w:hAnsi="serif" w:cs="serif"/>
          <w:color w:val="000000"/>
          <w:sz w:val="20"/>
          <w:szCs w:val="20"/>
        </w:rPr>
        <w:t xml:space="preserve">, the employee is entitled to </w:t>
      </w:r>
      <w:r>
        <w:rPr>
          <w:rFonts w:ascii="serif" w:hAnsi="serif" w:cs="serif"/>
          <w:b/>
          <w:bCs/>
          <w:color w:val="000000"/>
          <w:sz w:val="20"/>
          <w:szCs w:val="20"/>
        </w:rPr>
        <w:t>all</w:t>
      </w:r>
      <w:r>
        <w:rPr>
          <w:rFonts w:ascii="serif" w:hAnsi="serif" w:cs="serif"/>
          <w:color w:val="000000"/>
          <w:sz w:val="20"/>
          <w:szCs w:val="20"/>
        </w:rPr>
        <w:t xml:space="preserve"> the usual benefits of her employment, </w:t>
      </w:r>
      <w:r>
        <w:rPr>
          <w:rFonts w:ascii="serif" w:hAnsi="serif" w:cs="serif"/>
          <w:b/>
          <w:bCs/>
          <w:color w:val="000000"/>
          <w:sz w:val="20"/>
          <w:szCs w:val="20"/>
        </w:rPr>
        <w:t>except</w:t>
      </w:r>
      <w:r>
        <w:rPr>
          <w:rFonts w:ascii="serif" w:hAnsi="serif" w:cs="serif"/>
          <w:color w:val="000000"/>
          <w:sz w:val="20"/>
          <w:szCs w:val="20"/>
        </w:rPr>
        <w:t xml:space="preserve"> her remuneration, which may (subject to eligibility) be replaced by SMP or the employer’s own maternity pay scheme, if any. Remuneration is defined as “</w:t>
      </w:r>
      <w:r w:rsidRPr="00674193">
        <w:rPr>
          <w:rFonts w:ascii="serif" w:hAnsi="serif" w:cs="serif"/>
          <w:b/>
          <w:color w:val="000000"/>
          <w:sz w:val="20"/>
          <w:szCs w:val="20"/>
        </w:rPr>
        <w:t>sums payable to the employee by way of wages or salary</w:t>
      </w:r>
      <w:r>
        <w:rPr>
          <w:rFonts w:ascii="serif" w:hAnsi="serif" w:cs="serif"/>
          <w:color w:val="000000"/>
          <w:sz w:val="20"/>
          <w:szCs w:val="20"/>
        </w:rPr>
        <w:t>” (</w:t>
      </w:r>
      <w:r w:rsidR="00C53401">
        <w:t xml:space="preserve">reg 9 </w:t>
      </w:r>
      <w:r>
        <w:rPr>
          <w:rFonts w:ascii="serif" w:hAnsi="serif" w:cs="serif"/>
          <w:i/>
          <w:iCs/>
          <w:color w:val="000000"/>
          <w:sz w:val="20"/>
          <w:szCs w:val="20"/>
        </w:rPr>
        <w:t>MPL Regulations</w:t>
      </w:r>
      <w:r>
        <w:rPr>
          <w:rFonts w:ascii="serif" w:hAnsi="serif" w:cs="serif"/>
          <w:color w:val="000000"/>
          <w:sz w:val="20"/>
          <w:szCs w:val="20"/>
        </w:rPr>
        <w:t xml:space="preserve">).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To date there has been uncertainty over whether an employee’s entitlement to childcare vouchers continues during maternity leave in addition to SMP. This has arisen because of confusion about whether the vouchers should be treated as part of the employee’s “remuneration” (which does not continue during maternity leave) or as a non-cash benefit (which must continue).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C53401" w:rsidRDefault="00C53401">
      <w:pPr>
        <w:widowControl w:val="0"/>
        <w:autoSpaceDE w:val="0"/>
        <w:autoSpaceDN w:val="0"/>
        <w:adjustRightInd w:val="0"/>
        <w:spacing w:after="0" w:line="240" w:lineRule="auto"/>
        <w:jc w:val="both"/>
        <w:rPr>
          <w:rFonts w:ascii="serif" w:hAnsi="serif" w:cs="serif"/>
          <w:color w:val="000000"/>
          <w:sz w:val="20"/>
          <w:szCs w:val="20"/>
        </w:rPr>
      </w:pP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To some extent, this uncertainty has been resolved by the EAT’s decision in </w:t>
      </w:r>
      <w:r w:rsidR="00C53401">
        <w:t xml:space="preserve">Peninsula Business Services Ltd v Donaldson [2016] </w:t>
      </w:r>
      <w:r>
        <w:rPr>
          <w:rFonts w:ascii="serif" w:hAnsi="serif" w:cs="serif"/>
          <w:color w:val="000000"/>
          <w:sz w:val="20"/>
          <w:szCs w:val="20"/>
        </w:rPr>
        <w:t>In that case, the EAT held that childcare vouchers provided under a salary sacrifice scheme are part of the employee’s “remuneration” under regulation 9 of the Maternity and Parental Leave etc Regulations 1999, and therefore do not have to be provided during maternity leave (by contrast, childcare vouchers provided outside a salary sacrifice scheme were held to be a non-cash benefit rather than remuneration, and so should continue to be provided). To hold otherwise would have amounted to a windfall for the employee</w:t>
      </w:r>
      <w:r w:rsidR="003F4CDA">
        <w:rPr>
          <w:rFonts w:ascii="serif" w:hAnsi="serif" w:cs="serif"/>
          <w:color w:val="000000"/>
          <w:sz w:val="20"/>
          <w:szCs w:val="20"/>
        </w:rPr>
        <w:t>. T</w:t>
      </w:r>
      <w:r>
        <w:rPr>
          <w:rFonts w:ascii="serif" w:hAnsi="serif" w:cs="serif"/>
          <w:color w:val="000000"/>
          <w:sz w:val="20"/>
          <w:szCs w:val="20"/>
        </w:rPr>
        <w:t>he EAT expressed its decision “somewhat tentatively”; it is also possible that the decision may be appealed. In light of this, employers may wish to await further developments before deciding to change their policy in relation to childcare vouchers.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55" w:name="co_anchor_a856094_1"/>
      <w:bookmarkEnd w:id="55"/>
    </w:p>
    <w:p w:rsidR="00B63296" w:rsidRDefault="00B932B2">
      <w:pPr>
        <w:widowControl w:val="0"/>
        <w:autoSpaceDE w:val="0"/>
        <w:autoSpaceDN w:val="0"/>
        <w:adjustRightInd w:val="0"/>
        <w:spacing w:before="220" w:line="240" w:lineRule="auto"/>
        <w:jc w:val="both"/>
        <w:rPr>
          <w:rFonts w:ascii="serif" w:hAnsi="serif" w:cs="serif"/>
          <w:b/>
          <w:bCs/>
          <w:color w:val="212121"/>
        </w:rPr>
      </w:pPr>
      <w:r>
        <w:rPr>
          <w:rFonts w:ascii="serif" w:hAnsi="serif" w:cs="serif"/>
          <w:b/>
          <w:bCs/>
          <w:color w:val="212121"/>
        </w:rPr>
        <w:t>Implications of the uncertainty</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In </w:t>
      </w:r>
      <w:r>
        <w:rPr>
          <w:rFonts w:ascii="serif" w:hAnsi="serif" w:cs="serif"/>
          <w:i/>
          <w:iCs/>
          <w:color w:val="000000"/>
          <w:sz w:val="20"/>
          <w:szCs w:val="20"/>
        </w:rPr>
        <w:t>Peninsula</w:t>
      </w:r>
      <w:r>
        <w:rPr>
          <w:rFonts w:ascii="serif" w:hAnsi="serif" w:cs="serif"/>
          <w:color w:val="000000"/>
          <w:sz w:val="20"/>
          <w:szCs w:val="20"/>
        </w:rPr>
        <w:t>, the EAT characterised childcare vouchers provided by way of salary sacrifice as “diverted salary” rather than a non-cash benefit, which meant that they did not have to be maintained during maternity leave. (By contrast, and somewhat anomalously, childcare vouchers provided on top of salary were classed as non-cash benefits rather than remuneration). HMRC’s guidance to the contrary was held to be incorrect.</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HMRC’s view (prior to </w:t>
      </w:r>
      <w:r>
        <w:rPr>
          <w:rFonts w:ascii="serif" w:hAnsi="serif" w:cs="serif"/>
          <w:i/>
          <w:iCs/>
          <w:color w:val="000000"/>
          <w:sz w:val="20"/>
          <w:szCs w:val="20"/>
        </w:rPr>
        <w:t>Peninsula</w:t>
      </w:r>
      <w:r>
        <w:rPr>
          <w:rFonts w:ascii="serif" w:hAnsi="serif" w:cs="serif"/>
          <w:color w:val="000000"/>
          <w:sz w:val="20"/>
          <w:szCs w:val="20"/>
        </w:rPr>
        <w:t xml:space="preserve">) has been that childcare vouchers are non-cash benefits rather than “remuneration”, even if they have been provided by way of salary sacrifice. Accordingly, many employers will have chosen to follow the HMRC guidance to date and may be reluctant to change their approach, notwithstanding the decision in </w:t>
      </w:r>
      <w:r>
        <w:rPr>
          <w:rFonts w:ascii="serif" w:hAnsi="serif" w:cs="serif"/>
          <w:i/>
          <w:iCs/>
          <w:color w:val="000000"/>
          <w:sz w:val="20"/>
          <w:szCs w:val="20"/>
        </w:rPr>
        <w:t>Peninsula</w:t>
      </w:r>
      <w:r>
        <w:rPr>
          <w:rFonts w:ascii="serif" w:hAnsi="serif" w:cs="serif"/>
          <w:color w:val="000000"/>
          <w:sz w:val="20"/>
          <w:szCs w:val="20"/>
        </w:rPr>
        <w:t>. This is because:</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B63296" w:rsidRDefault="00B932B2">
      <w:pPr>
        <w:widowControl w:val="0"/>
        <w:numPr>
          <w:ilvl w:val="0"/>
          <w:numId w:val="91"/>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 xml:space="preserve">It is possible that the </w:t>
      </w:r>
      <w:r>
        <w:rPr>
          <w:rFonts w:ascii="serif" w:hAnsi="serif" w:cs="serif"/>
          <w:i/>
          <w:iCs/>
          <w:color w:val="000000"/>
          <w:sz w:val="20"/>
          <w:szCs w:val="20"/>
        </w:rPr>
        <w:t>Peninsula</w:t>
      </w:r>
      <w:r>
        <w:rPr>
          <w:rFonts w:ascii="serif" w:hAnsi="serif" w:cs="serif"/>
          <w:color w:val="000000"/>
          <w:sz w:val="20"/>
          <w:szCs w:val="20"/>
        </w:rPr>
        <w:t xml:space="preserve"> decision will be appealed.</w:t>
      </w:r>
    </w:p>
    <w:p w:rsidR="00B63296" w:rsidRDefault="00B932B2">
      <w:pPr>
        <w:widowControl w:val="0"/>
        <w:numPr>
          <w:ilvl w:val="0"/>
          <w:numId w:val="92"/>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 xml:space="preserve">There may be policy reasons to continue to incentivise women by offering childcare vouchers during maternity leave, notwithstanding the ruling in </w:t>
      </w:r>
      <w:r>
        <w:rPr>
          <w:rFonts w:ascii="serif" w:hAnsi="serif" w:cs="serif"/>
          <w:i/>
          <w:iCs/>
          <w:color w:val="000000"/>
          <w:sz w:val="20"/>
          <w:szCs w:val="20"/>
        </w:rPr>
        <w:t>Peninsula</w:t>
      </w:r>
      <w:r>
        <w:rPr>
          <w:rFonts w:ascii="serif" w:hAnsi="serif" w:cs="serif"/>
          <w:color w:val="000000"/>
          <w:sz w:val="20"/>
          <w:szCs w:val="20"/>
        </w:rPr>
        <w:t>.</w:t>
      </w:r>
    </w:p>
    <w:p w:rsidR="00B63296" w:rsidRDefault="00B932B2">
      <w:pPr>
        <w:widowControl w:val="0"/>
        <w:numPr>
          <w:ilvl w:val="0"/>
          <w:numId w:val="93"/>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Seeking to vary contracts of employment or salary sacrifice scheme rules may be cumbersome and unattractive to employers, particularly in light of the fact that salary sacrifice schemes are likely to be closed to new entrants from 2018.</w:t>
      </w: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56" w:name="co_anchor_a843291_1"/>
      <w:bookmarkEnd w:id="56"/>
    </w:p>
    <w:p w:rsidR="00B63296" w:rsidRDefault="00B63296">
      <w:pPr>
        <w:widowControl w:val="0"/>
        <w:autoSpaceDE w:val="0"/>
        <w:autoSpaceDN w:val="0"/>
        <w:adjustRightInd w:val="0"/>
        <w:spacing w:after="0" w:line="240" w:lineRule="auto"/>
        <w:jc w:val="both"/>
        <w:rPr>
          <w:rFonts w:ascii="serif" w:hAnsi="serif" w:cs="serif"/>
          <w:color w:val="000000"/>
          <w:sz w:val="20"/>
          <w:szCs w:val="20"/>
        </w:rPr>
      </w:pPr>
      <w:bookmarkStart w:id="57" w:name="co_anchor_a426166_1"/>
      <w:bookmarkEnd w:id="57"/>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58" w:name="co_anchor_a944823_1"/>
      <w:bookmarkEnd w:id="58"/>
    </w:p>
    <w:p w:rsidR="00B63296" w:rsidRDefault="00B932B2">
      <w:pPr>
        <w:widowControl w:val="0"/>
        <w:autoSpaceDE w:val="0"/>
        <w:autoSpaceDN w:val="0"/>
        <w:adjustRightInd w:val="0"/>
        <w:spacing w:before="240" w:after="0" w:line="240" w:lineRule="auto"/>
        <w:jc w:val="both"/>
        <w:rPr>
          <w:rFonts w:ascii="serif" w:hAnsi="serif" w:cs="serif"/>
          <w:b/>
          <w:bCs/>
          <w:color w:val="000000"/>
          <w:sz w:val="24"/>
          <w:szCs w:val="24"/>
        </w:rPr>
      </w:pPr>
      <w:r>
        <w:rPr>
          <w:rFonts w:ascii="serif" w:hAnsi="serif" w:cs="serif"/>
          <w:b/>
          <w:bCs/>
          <w:color w:val="000000"/>
          <w:sz w:val="24"/>
          <w:szCs w:val="24"/>
        </w:rPr>
        <w:t>Pensions</w:t>
      </w:r>
    </w:p>
    <w:p w:rsidR="00B63296" w:rsidRDefault="00B932B2">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Broadly speaking, an employer must continue to make pension contributions during OML and any period of paid AML as if the employee had been working normally and earning full salary. However, any employee contributions will be based on maternity pay, not full salary.</w:t>
      </w:r>
    </w:p>
    <w:p w:rsidR="00B63296" w:rsidRDefault="00B932B2" w:rsidP="003F4CDA">
      <w:pPr>
        <w:widowControl w:val="0"/>
        <w:autoSpaceDE w:val="0"/>
        <w:autoSpaceDN w:val="0"/>
        <w:adjustRightInd w:val="0"/>
        <w:spacing w:after="0" w:line="240" w:lineRule="auto"/>
        <w:jc w:val="both"/>
        <w:rPr>
          <w:rFonts w:ascii="serif" w:hAnsi="serif" w:cs="serif"/>
          <w:b/>
          <w:bCs/>
          <w:color w:val="212121"/>
        </w:rPr>
      </w:pPr>
      <w:r>
        <w:rPr>
          <w:rFonts w:ascii="serif" w:hAnsi="serif" w:cs="serif"/>
          <w:color w:val="000000"/>
          <w:sz w:val="20"/>
          <w:szCs w:val="20"/>
        </w:rPr>
        <w:t> </w:t>
      </w:r>
    </w:p>
    <w:tbl>
      <w:tblPr>
        <w:tblpPr w:leftFromText="180" w:rightFromText="180" w:vertAnchor="text" w:horzAnchor="margin" w:tblpY="666"/>
        <w:tblW w:w="0" w:type="auto"/>
        <w:tblLayout w:type="fixed"/>
        <w:tblCellMar>
          <w:left w:w="0" w:type="dxa"/>
          <w:right w:w="0" w:type="dxa"/>
        </w:tblCellMar>
        <w:tblLook w:val="0000" w:firstRow="0" w:lastRow="0" w:firstColumn="0" w:lastColumn="0" w:noHBand="0" w:noVBand="0"/>
      </w:tblPr>
      <w:tblGrid>
        <w:gridCol w:w="1387"/>
      </w:tblGrid>
      <w:tr w:rsidR="00674193" w:rsidTr="00674193">
        <w:trPr>
          <w:trHeight w:val="19"/>
        </w:trPr>
        <w:tc>
          <w:tcPr>
            <w:tcW w:w="1387" w:type="dxa"/>
            <w:tcBorders>
              <w:top w:val="single" w:sz="8" w:space="0" w:color="000000"/>
              <w:left w:val="single" w:sz="8" w:space="0" w:color="000000"/>
              <w:bottom w:val="single" w:sz="8" w:space="0" w:color="000000"/>
              <w:right w:val="single" w:sz="8" w:space="0" w:color="000000"/>
            </w:tcBorders>
            <w:shd w:val="clear" w:color="auto" w:fill="F6F6F6"/>
            <w:tcMar>
              <w:top w:w="600" w:type="dxa"/>
              <w:left w:w="600" w:type="dxa"/>
              <w:bottom w:w="600" w:type="dxa"/>
              <w:right w:w="600" w:type="dxa"/>
            </w:tcMar>
          </w:tcPr>
          <w:p w:rsidR="00674193" w:rsidRDefault="00674193" w:rsidP="00674193">
            <w:pPr>
              <w:widowControl w:val="0"/>
              <w:autoSpaceDE w:val="0"/>
              <w:autoSpaceDN w:val="0"/>
              <w:adjustRightInd w:val="0"/>
              <w:spacing w:after="0" w:line="240" w:lineRule="auto"/>
              <w:jc w:val="both"/>
              <w:rPr>
                <w:rFonts w:ascii="serif" w:hAnsi="serif" w:cs="serif"/>
                <w:color w:val="0000FF"/>
                <w:sz w:val="20"/>
                <w:szCs w:val="20"/>
              </w:rPr>
            </w:pPr>
          </w:p>
          <w:p w:rsidR="00674193" w:rsidRDefault="00674193" w:rsidP="00674193">
            <w:pPr>
              <w:widowControl w:val="0"/>
              <w:autoSpaceDE w:val="0"/>
              <w:autoSpaceDN w:val="0"/>
              <w:adjustRightInd w:val="0"/>
              <w:spacing w:after="0" w:line="240" w:lineRule="auto"/>
              <w:jc w:val="both"/>
              <w:rPr>
                <w:rFonts w:ascii="serif" w:hAnsi="serif" w:cs="serif"/>
                <w:color w:val="505050"/>
                <w:sz w:val="20"/>
                <w:szCs w:val="20"/>
              </w:rPr>
            </w:pPr>
          </w:p>
        </w:tc>
      </w:tr>
    </w:tbl>
    <w:p w:rsidR="003F4CDA" w:rsidRDefault="003F4CDA">
      <w:pPr>
        <w:widowControl w:val="0"/>
        <w:autoSpaceDE w:val="0"/>
        <w:autoSpaceDN w:val="0"/>
        <w:adjustRightInd w:val="0"/>
        <w:spacing w:before="500" w:line="240" w:lineRule="auto"/>
        <w:jc w:val="both"/>
        <w:rPr>
          <w:rFonts w:ascii="serif" w:hAnsi="serif" w:cs="serif"/>
          <w:b/>
          <w:bCs/>
          <w:color w:val="212121"/>
        </w:rPr>
      </w:pPr>
    </w:p>
    <w:p w:rsidR="003F4CDA" w:rsidRDefault="003F4CDA">
      <w:pPr>
        <w:widowControl w:val="0"/>
        <w:autoSpaceDE w:val="0"/>
        <w:autoSpaceDN w:val="0"/>
        <w:adjustRightInd w:val="0"/>
        <w:spacing w:before="500" w:line="240" w:lineRule="auto"/>
        <w:jc w:val="both"/>
        <w:rPr>
          <w:rFonts w:ascii="serif" w:hAnsi="serif" w:cs="serif"/>
          <w:b/>
          <w:bCs/>
          <w:color w:val="212121"/>
        </w:rPr>
      </w:pPr>
    </w:p>
    <w:p w:rsidR="003F4CDA" w:rsidRDefault="003F4CDA">
      <w:pPr>
        <w:widowControl w:val="0"/>
        <w:autoSpaceDE w:val="0"/>
        <w:autoSpaceDN w:val="0"/>
        <w:adjustRightInd w:val="0"/>
        <w:spacing w:before="500" w:line="240" w:lineRule="auto"/>
        <w:jc w:val="both"/>
        <w:rPr>
          <w:rFonts w:ascii="serif" w:hAnsi="serif" w:cs="serif"/>
          <w:b/>
          <w:bCs/>
          <w:color w:val="212121"/>
        </w:rPr>
      </w:pPr>
    </w:p>
    <w:p w:rsidR="003F4CDA" w:rsidRDefault="003F4CDA">
      <w:pPr>
        <w:widowControl w:val="0"/>
        <w:autoSpaceDE w:val="0"/>
        <w:autoSpaceDN w:val="0"/>
        <w:adjustRightInd w:val="0"/>
        <w:spacing w:before="500" w:line="240" w:lineRule="auto"/>
        <w:jc w:val="both"/>
        <w:rPr>
          <w:rFonts w:ascii="serif" w:hAnsi="serif" w:cs="serif"/>
          <w:b/>
          <w:bCs/>
          <w:color w:val="212121"/>
        </w:rPr>
      </w:pPr>
    </w:p>
    <w:p w:rsidR="00B63296" w:rsidRDefault="00B63296">
      <w:pPr>
        <w:widowControl w:val="0"/>
        <w:autoSpaceDE w:val="0"/>
        <w:autoSpaceDN w:val="0"/>
        <w:adjustRightInd w:val="0"/>
        <w:spacing w:after="0" w:line="240" w:lineRule="auto"/>
        <w:jc w:val="both"/>
        <w:rPr>
          <w:rFonts w:ascii="serif" w:hAnsi="serif" w:cs="serif"/>
          <w:color w:val="000000"/>
          <w:sz w:val="20"/>
          <w:szCs w:val="20"/>
        </w:rPr>
      </w:pPr>
      <w:bookmarkStart w:id="59" w:name="co_anchor_a450411_1"/>
      <w:bookmarkEnd w:id="59"/>
    </w:p>
    <w:tbl>
      <w:tblPr>
        <w:tblW w:w="0" w:type="auto"/>
        <w:tblLayout w:type="fixed"/>
        <w:tblCellMar>
          <w:left w:w="0" w:type="dxa"/>
          <w:right w:w="0" w:type="dxa"/>
        </w:tblCellMar>
        <w:tblLook w:val="0000" w:firstRow="0" w:lastRow="0" w:firstColumn="0" w:lastColumn="0" w:noHBand="0" w:noVBand="0"/>
      </w:tblPr>
      <w:tblGrid>
        <w:gridCol w:w="3911"/>
        <w:gridCol w:w="2267"/>
        <w:gridCol w:w="3911"/>
      </w:tblGrid>
      <w:tr w:rsidR="00B63296">
        <w:trPr>
          <w:cantSplit/>
        </w:trPr>
        <w:tc>
          <w:tcPr>
            <w:tcW w:w="3911" w:type="dxa"/>
            <w:tcBorders>
              <w:top w:val="single" w:sz="8" w:space="0" w:color="979797"/>
              <w:left w:val="nil"/>
              <w:bottom w:val="nil"/>
              <w:right w:val="nil"/>
            </w:tcBorders>
          </w:tcPr>
          <w:p w:rsidR="00B63296" w:rsidRDefault="00B63296">
            <w:pPr>
              <w:widowControl w:val="0"/>
              <w:autoSpaceDE w:val="0"/>
              <w:autoSpaceDN w:val="0"/>
              <w:adjustRightInd w:val="0"/>
              <w:spacing w:after="0" w:line="240" w:lineRule="auto"/>
              <w:jc w:val="center"/>
              <w:rPr>
                <w:rFonts w:ascii="serif" w:hAnsi="serif" w:cs="serif"/>
                <w:b/>
                <w:bCs/>
                <w:color w:val="505050"/>
                <w:sz w:val="20"/>
                <w:szCs w:val="20"/>
              </w:rPr>
            </w:pPr>
            <w:bookmarkStart w:id="60" w:name="co_endOfDocument_1"/>
            <w:bookmarkEnd w:id="60"/>
          </w:p>
        </w:tc>
        <w:tc>
          <w:tcPr>
            <w:tcW w:w="2267" w:type="dxa"/>
            <w:tcBorders>
              <w:top w:val="single" w:sz="8" w:space="0" w:color="979797"/>
              <w:left w:val="single" w:sz="8" w:space="0" w:color="979797"/>
              <w:bottom w:val="single" w:sz="8" w:space="0" w:color="979797"/>
              <w:right w:val="single" w:sz="8" w:space="0" w:color="979797"/>
            </w:tcBorders>
          </w:tcPr>
          <w:p w:rsidR="00B63296" w:rsidRDefault="00B63296">
            <w:pPr>
              <w:widowControl w:val="0"/>
              <w:autoSpaceDE w:val="0"/>
              <w:autoSpaceDN w:val="0"/>
              <w:adjustRightInd w:val="0"/>
              <w:spacing w:after="0" w:line="240" w:lineRule="auto"/>
              <w:jc w:val="center"/>
              <w:rPr>
                <w:rFonts w:ascii="serif" w:hAnsi="serif" w:cs="serif"/>
                <w:b/>
                <w:bCs/>
                <w:color w:val="505050"/>
                <w:sz w:val="20"/>
                <w:szCs w:val="20"/>
              </w:rPr>
            </w:pPr>
          </w:p>
        </w:tc>
        <w:tc>
          <w:tcPr>
            <w:tcW w:w="3911" w:type="dxa"/>
            <w:tcBorders>
              <w:top w:val="single" w:sz="8" w:space="0" w:color="979797"/>
              <w:left w:val="nil"/>
              <w:bottom w:val="nil"/>
              <w:right w:val="nil"/>
            </w:tcBorders>
          </w:tcPr>
          <w:p w:rsidR="00B63296" w:rsidRDefault="00B63296">
            <w:pPr>
              <w:widowControl w:val="0"/>
              <w:autoSpaceDE w:val="0"/>
              <w:autoSpaceDN w:val="0"/>
              <w:adjustRightInd w:val="0"/>
              <w:spacing w:after="0" w:line="240" w:lineRule="auto"/>
              <w:jc w:val="center"/>
              <w:rPr>
                <w:rFonts w:ascii="serif" w:hAnsi="serif" w:cs="serif"/>
                <w:b/>
                <w:bCs/>
                <w:color w:val="505050"/>
                <w:sz w:val="20"/>
                <w:szCs w:val="20"/>
              </w:rPr>
            </w:pPr>
          </w:p>
        </w:tc>
      </w:tr>
    </w:tbl>
    <w:p w:rsidR="00B63296" w:rsidRDefault="00B63296">
      <w:pPr>
        <w:widowControl w:val="0"/>
        <w:autoSpaceDE w:val="0"/>
        <w:autoSpaceDN w:val="0"/>
        <w:adjustRightInd w:val="0"/>
        <w:spacing w:after="0" w:line="240" w:lineRule="auto"/>
        <w:jc w:val="both"/>
        <w:rPr>
          <w:rFonts w:ascii="serif" w:hAnsi="serif" w:cs="serif"/>
          <w:b/>
          <w:bCs/>
          <w:color w:val="505050"/>
          <w:sz w:val="20"/>
          <w:szCs w:val="20"/>
        </w:rPr>
      </w:pPr>
    </w:p>
    <w:p w:rsidR="00B63296" w:rsidRDefault="00B63296">
      <w:pPr>
        <w:widowControl w:val="0"/>
        <w:autoSpaceDE w:val="0"/>
        <w:autoSpaceDN w:val="0"/>
        <w:adjustRightInd w:val="0"/>
        <w:spacing w:after="0" w:line="240" w:lineRule="auto"/>
        <w:jc w:val="both"/>
        <w:rPr>
          <w:rFonts w:ascii="serif" w:hAnsi="serif" w:cs="serif"/>
          <w:color w:val="0000FF"/>
          <w:sz w:val="20"/>
          <w:szCs w:val="20"/>
        </w:rPr>
      </w:pPr>
      <w:bookmarkStart w:id="61" w:name="kh_relatedContentOffset_1"/>
      <w:bookmarkEnd w:id="61"/>
    </w:p>
    <w:sectPr w:rsidR="00B63296" w:rsidSect="00B63296">
      <w:headerReference w:type="default" r:id="rId10"/>
      <w:footerReference w:type="default" r:id="rId11"/>
      <w:type w:val="continuous"/>
      <w:pgSz w:w="12240" w:h="15840"/>
      <w:pgMar w:top="1080" w:right="1080" w:bottom="1080" w:left="1080" w:header="720" w:footer="720" w:gutter="0"/>
      <w:cols w:space="720"/>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17984" w:rsidRDefault="00117984" w:rsidP="00C308CD">
      <w:pPr>
        <w:spacing w:after="0" w:line="240" w:lineRule="auto"/>
      </w:pPr>
      <w:r>
        <w:separator/>
      </w:r>
    </w:p>
  </w:endnote>
  <w:endnote w:type="continuationSeparator" w:id="0">
    <w:p w:rsidR="00117984" w:rsidRDefault="00117984" w:rsidP="00C30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erif">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311ED" w:rsidRDefault="000311ED">
    <w:pPr>
      <w:widowControl w:val="0"/>
      <w:autoSpaceDE w:val="0"/>
      <w:autoSpaceDN w:val="0"/>
      <w:adjustRightInd w:val="0"/>
      <w:spacing w:after="0" w:line="240" w:lineRule="auto"/>
      <w:rPr>
        <w:rFonts w:ascii="Arial" w:hAnsi="Arial" w:cs="Arial"/>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17984" w:rsidRDefault="00117984" w:rsidP="00C308CD">
      <w:pPr>
        <w:spacing w:after="0" w:line="240" w:lineRule="auto"/>
      </w:pPr>
      <w:r>
        <w:separator/>
      </w:r>
    </w:p>
  </w:footnote>
  <w:footnote w:type="continuationSeparator" w:id="0">
    <w:p w:rsidR="00117984" w:rsidRDefault="00117984" w:rsidP="00C308C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311ED" w:rsidRDefault="000311ED">
    <w:pPr>
      <w:widowControl w:val="0"/>
      <w:autoSpaceDE w:val="0"/>
      <w:autoSpaceDN w:val="0"/>
      <w:adjustRightInd w:val="0"/>
      <w:spacing w:after="0" w:line="240" w:lineRule="auto"/>
      <w:rPr>
        <w:rFonts w:ascii="Arial" w:hAnsi="Arial" w:cs="Arial"/>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80217B8E"/>
    <w:multiLevelType w:val="singleLevel"/>
    <w:tmpl w:val="E71B37E8"/>
    <w:lvl w:ilvl="0">
      <w:numFmt w:val="decimal"/>
      <w:lvlText w:val="•"/>
      <w:lvlJc w:val="left"/>
    </w:lvl>
  </w:abstractNum>
  <w:abstractNum w:abstractNumId="1" w15:restartNumberingAfterBreak="0">
    <w:nsid w:val="80FA63CB"/>
    <w:multiLevelType w:val="singleLevel"/>
    <w:tmpl w:val="C49F2BAA"/>
    <w:lvl w:ilvl="0">
      <w:numFmt w:val="decimal"/>
      <w:lvlText w:val="•"/>
      <w:lvlJc w:val="left"/>
    </w:lvl>
  </w:abstractNum>
  <w:abstractNum w:abstractNumId="2" w15:restartNumberingAfterBreak="0">
    <w:nsid w:val="81178105"/>
    <w:multiLevelType w:val="singleLevel"/>
    <w:tmpl w:val="6DF88D24"/>
    <w:lvl w:ilvl="0">
      <w:numFmt w:val="decimal"/>
      <w:lvlText w:val="•"/>
      <w:lvlJc w:val="left"/>
    </w:lvl>
  </w:abstractNum>
  <w:abstractNum w:abstractNumId="3" w15:restartNumberingAfterBreak="0">
    <w:nsid w:val="82CBD465"/>
    <w:multiLevelType w:val="singleLevel"/>
    <w:tmpl w:val="068D8C9C"/>
    <w:lvl w:ilvl="0">
      <w:numFmt w:val="decimal"/>
      <w:lvlText w:val="•"/>
      <w:lvlJc w:val="left"/>
    </w:lvl>
  </w:abstractNum>
  <w:abstractNum w:abstractNumId="4" w15:restartNumberingAfterBreak="0">
    <w:nsid w:val="83969D80"/>
    <w:multiLevelType w:val="singleLevel"/>
    <w:tmpl w:val="C4432725"/>
    <w:lvl w:ilvl="0">
      <w:numFmt w:val="decimal"/>
      <w:lvlText w:val="•"/>
      <w:lvlJc w:val="left"/>
    </w:lvl>
  </w:abstractNum>
  <w:abstractNum w:abstractNumId="5" w15:restartNumberingAfterBreak="0">
    <w:nsid w:val="892AA590"/>
    <w:multiLevelType w:val="singleLevel"/>
    <w:tmpl w:val="C3A07676"/>
    <w:lvl w:ilvl="0">
      <w:numFmt w:val="decimal"/>
      <w:lvlText w:val="•"/>
      <w:lvlJc w:val="left"/>
    </w:lvl>
  </w:abstractNum>
  <w:abstractNum w:abstractNumId="6" w15:restartNumberingAfterBreak="0">
    <w:nsid w:val="89B149D7"/>
    <w:multiLevelType w:val="singleLevel"/>
    <w:tmpl w:val="E32DFA28"/>
    <w:lvl w:ilvl="0">
      <w:numFmt w:val="decimal"/>
      <w:lvlText w:val="•"/>
      <w:lvlJc w:val="left"/>
    </w:lvl>
  </w:abstractNum>
  <w:abstractNum w:abstractNumId="7" w15:restartNumberingAfterBreak="0">
    <w:nsid w:val="8A74A647"/>
    <w:multiLevelType w:val="singleLevel"/>
    <w:tmpl w:val="28F2E99A"/>
    <w:lvl w:ilvl="0">
      <w:numFmt w:val="decimal"/>
      <w:lvlText w:val="•"/>
      <w:lvlJc w:val="left"/>
    </w:lvl>
  </w:abstractNum>
  <w:abstractNum w:abstractNumId="8" w15:restartNumberingAfterBreak="0">
    <w:nsid w:val="8C03621D"/>
    <w:multiLevelType w:val="singleLevel"/>
    <w:tmpl w:val="74A710A6"/>
    <w:lvl w:ilvl="0">
      <w:numFmt w:val="decimal"/>
      <w:lvlText w:val="•"/>
      <w:lvlJc w:val="left"/>
    </w:lvl>
  </w:abstractNum>
  <w:abstractNum w:abstractNumId="9" w15:restartNumberingAfterBreak="0">
    <w:nsid w:val="8D7504E9"/>
    <w:multiLevelType w:val="singleLevel"/>
    <w:tmpl w:val="1E6D5D52"/>
    <w:lvl w:ilvl="0">
      <w:numFmt w:val="decimal"/>
      <w:lvlText w:val="•"/>
      <w:lvlJc w:val="left"/>
    </w:lvl>
  </w:abstractNum>
  <w:abstractNum w:abstractNumId="10" w15:restartNumberingAfterBreak="0">
    <w:nsid w:val="937F0A90"/>
    <w:multiLevelType w:val="singleLevel"/>
    <w:tmpl w:val="9C601E5E"/>
    <w:lvl w:ilvl="0">
      <w:numFmt w:val="decimal"/>
      <w:lvlText w:val="•"/>
      <w:lvlJc w:val="left"/>
    </w:lvl>
  </w:abstractNum>
  <w:abstractNum w:abstractNumId="11" w15:restartNumberingAfterBreak="0">
    <w:nsid w:val="968A27A5"/>
    <w:multiLevelType w:val="singleLevel"/>
    <w:tmpl w:val="2043E4B8"/>
    <w:lvl w:ilvl="0">
      <w:numFmt w:val="decimal"/>
      <w:lvlText w:val="•"/>
      <w:lvlJc w:val="left"/>
    </w:lvl>
  </w:abstractNum>
  <w:abstractNum w:abstractNumId="12" w15:restartNumberingAfterBreak="0">
    <w:nsid w:val="97FE2FE4"/>
    <w:multiLevelType w:val="singleLevel"/>
    <w:tmpl w:val="AF5CF9A3"/>
    <w:lvl w:ilvl="0">
      <w:numFmt w:val="decimal"/>
      <w:lvlText w:val="•"/>
      <w:lvlJc w:val="left"/>
    </w:lvl>
  </w:abstractNum>
  <w:abstractNum w:abstractNumId="13" w15:restartNumberingAfterBreak="0">
    <w:nsid w:val="9BADDFAB"/>
    <w:multiLevelType w:val="singleLevel"/>
    <w:tmpl w:val="7CA48856"/>
    <w:lvl w:ilvl="0">
      <w:numFmt w:val="decimal"/>
      <w:lvlText w:val="•"/>
      <w:lvlJc w:val="left"/>
    </w:lvl>
  </w:abstractNum>
  <w:abstractNum w:abstractNumId="14" w15:restartNumberingAfterBreak="0">
    <w:nsid w:val="9F8BE02E"/>
    <w:multiLevelType w:val="singleLevel"/>
    <w:tmpl w:val="4A0ED1AF"/>
    <w:lvl w:ilvl="0">
      <w:numFmt w:val="decimal"/>
      <w:lvlText w:val="•"/>
      <w:lvlJc w:val="left"/>
    </w:lvl>
  </w:abstractNum>
  <w:abstractNum w:abstractNumId="15" w15:restartNumberingAfterBreak="0">
    <w:nsid w:val="A06A79F2"/>
    <w:multiLevelType w:val="singleLevel"/>
    <w:tmpl w:val="44B451E0"/>
    <w:lvl w:ilvl="0">
      <w:numFmt w:val="decimal"/>
      <w:lvlText w:val="•"/>
      <w:lvlJc w:val="left"/>
    </w:lvl>
  </w:abstractNum>
  <w:abstractNum w:abstractNumId="16" w15:restartNumberingAfterBreak="0">
    <w:nsid w:val="A0AEF61B"/>
    <w:multiLevelType w:val="singleLevel"/>
    <w:tmpl w:val="3D46292C"/>
    <w:lvl w:ilvl="0">
      <w:numFmt w:val="decimal"/>
      <w:lvlText w:val="•"/>
      <w:lvlJc w:val="left"/>
    </w:lvl>
  </w:abstractNum>
  <w:abstractNum w:abstractNumId="17" w15:restartNumberingAfterBreak="0">
    <w:nsid w:val="A252285A"/>
    <w:multiLevelType w:val="singleLevel"/>
    <w:tmpl w:val="5B4EAB12"/>
    <w:lvl w:ilvl="0">
      <w:numFmt w:val="decimal"/>
      <w:lvlText w:val="•"/>
      <w:lvlJc w:val="left"/>
    </w:lvl>
  </w:abstractNum>
  <w:abstractNum w:abstractNumId="18" w15:restartNumberingAfterBreak="0">
    <w:nsid w:val="A2F8D09E"/>
    <w:multiLevelType w:val="singleLevel"/>
    <w:tmpl w:val="7893DFD5"/>
    <w:lvl w:ilvl="0">
      <w:numFmt w:val="decimal"/>
      <w:lvlText w:val="•"/>
      <w:lvlJc w:val="left"/>
    </w:lvl>
  </w:abstractNum>
  <w:abstractNum w:abstractNumId="19" w15:restartNumberingAfterBreak="0">
    <w:nsid w:val="A658ED3D"/>
    <w:multiLevelType w:val="singleLevel"/>
    <w:tmpl w:val="91C0B025"/>
    <w:lvl w:ilvl="0">
      <w:numFmt w:val="decimal"/>
      <w:lvlText w:val="•"/>
      <w:lvlJc w:val="left"/>
    </w:lvl>
  </w:abstractNum>
  <w:abstractNum w:abstractNumId="20" w15:restartNumberingAfterBreak="0">
    <w:nsid w:val="A66D7AF3"/>
    <w:multiLevelType w:val="singleLevel"/>
    <w:tmpl w:val="996839D0"/>
    <w:lvl w:ilvl="0">
      <w:numFmt w:val="decimal"/>
      <w:lvlText w:val="•"/>
      <w:lvlJc w:val="left"/>
    </w:lvl>
  </w:abstractNum>
  <w:abstractNum w:abstractNumId="21" w15:restartNumberingAfterBreak="0">
    <w:nsid w:val="A7C52691"/>
    <w:multiLevelType w:val="singleLevel"/>
    <w:tmpl w:val="9E770739"/>
    <w:lvl w:ilvl="0">
      <w:numFmt w:val="decimal"/>
      <w:lvlText w:val="•"/>
      <w:lvlJc w:val="left"/>
    </w:lvl>
  </w:abstractNum>
  <w:abstractNum w:abstractNumId="22" w15:restartNumberingAfterBreak="0">
    <w:nsid w:val="AC77B6E5"/>
    <w:multiLevelType w:val="singleLevel"/>
    <w:tmpl w:val="84824F0B"/>
    <w:lvl w:ilvl="0">
      <w:numFmt w:val="decimal"/>
      <w:lvlText w:val="•"/>
      <w:lvlJc w:val="left"/>
    </w:lvl>
  </w:abstractNum>
  <w:abstractNum w:abstractNumId="23" w15:restartNumberingAfterBreak="0">
    <w:nsid w:val="B0B24D9B"/>
    <w:multiLevelType w:val="singleLevel"/>
    <w:tmpl w:val="B3AABB4F"/>
    <w:lvl w:ilvl="0">
      <w:numFmt w:val="decimal"/>
      <w:lvlText w:val="•"/>
      <w:lvlJc w:val="left"/>
    </w:lvl>
  </w:abstractNum>
  <w:abstractNum w:abstractNumId="24" w15:restartNumberingAfterBreak="0">
    <w:nsid w:val="B116EC23"/>
    <w:multiLevelType w:val="singleLevel"/>
    <w:tmpl w:val="2E2B5BB2"/>
    <w:lvl w:ilvl="0">
      <w:numFmt w:val="decimal"/>
      <w:lvlText w:val="•"/>
      <w:lvlJc w:val="left"/>
    </w:lvl>
  </w:abstractNum>
  <w:abstractNum w:abstractNumId="25" w15:restartNumberingAfterBreak="0">
    <w:nsid w:val="B427C512"/>
    <w:multiLevelType w:val="singleLevel"/>
    <w:tmpl w:val="BAF11266"/>
    <w:lvl w:ilvl="0">
      <w:numFmt w:val="decimal"/>
      <w:lvlText w:val="•"/>
      <w:lvlJc w:val="left"/>
    </w:lvl>
  </w:abstractNum>
  <w:abstractNum w:abstractNumId="26" w15:restartNumberingAfterBreak="0">
    <w:nsid w:val="B74104E0"/>
    <w:multiLevelType w:val="singleLevel"/>
    <w:tmpl w:val="4A8863A2"/>
    <w:lvl w:ilvl="0">
      <w:numFmt w:val="decimal"/>
      <w:lvlText w:val="•"/>
      <w:lvlJc w:val="left"/>
    </w:lvl>
  </w:abstractNum>
  <w:abstractNum w:abstractNumId="27" w15:restartNumberingAfterBreak="0">
    <w:nsid w:val="B787A53E"/>
    <w:multiLevelType w:val="singleLevel"/>
    <w:tmpl w:val="089F990E"/>
    <w:lvl w:ilvl="0">
      <w:numFmt w:val="decimal"/>
      <w:lvlText w:val="•"/>
      <w:lvlJc w:val="left"/>
    </w:lvl>
  </w:abstractNum>
  <w:abstractNum w:abstractNumId="28" w15:restartNumberingAfterBreak="0">
    <w:nsid w:val="B885A108"/>
    <w:multiLevelType w:val="singleLevel"/>
    <w:tmpl w:val="C91C1ED9"/>
    <w:lvl w:ilvl="0">
      <w:numFmt w:val="decimal"/>
      <w:lvlText w:val="•"/>
      <w:lvlJc w:val="left"/>
    </w:lvl>
  </w:abstractNum>
  <w:abstractNum w:abstractNumId="29" w15:restartNumberingAfterBreak="0">
    <w:nsid w:val="BC1FA6FB"/>
    <w:multiLevelType w:val="singleLevel"/>
    <w:tmpl w:val="F1B8231C"/>
    <w:lvl w:ilvl="0">
      <w:numFmt w:val="decimal"/>
      <w:lvlText w:val="•"/>
      <w:lvlJc w:val="left"/>
    </w:lvl>
  </w:abstractNum>
  <w:abstractNum w:abstractNumId="30" w15:restartNumberingAfterBreak="0">
    <w:nsid w:val="BE8E6B10"/>
    <w:multiLevelType w:val="singleLevel"/>
    <w:tmpl w:val="98A65F6F"/>
    <w:lvl w:ilvl="0">
      <w:numFmt w:val="decimal"/>
      <w:lvlText w:val="•"/>
      <w:lvlJc w:val="left"/>
    </w:lvl>
  </w:abstractNum>
  <w:abstractNum w:abstractNumId="31" w15:restartNumberingAfterBreak="0">
    <w:nsid w:val="C0E7ED22"/>
    <w:multiLevelType w:val="singleLevel"/>
    <w:tmpl w:val="F45E18F6"/>
    <w:lvl w:ilvl="0">
      <w:numFmt w:val="decimal"/>
      <w:lvlText w:val="•"/>
      <w:lvlJc w:val="left"/>
    </w:lvl>
  </w:abstractNum>
  <w:abstractNum w:abstractNumId="32" w15:restartNumberingAfterBreak="0">
    <w:nsid w:val="C45CB5C1"/>
    <w:multiLevelType w:val="singleLevel"/>
    <w:tmpl w:val="1CA56BFB"/>
    <w:lvl w:ilvl="0">
      <w:numFmt w:val="decimal"/>
      <w:lvlText w:val="•"/>
      <w:lvlJc w:val="left"/>
    </w:lvl>
  </w:abstractNum>
  <w:abstractNum w:abstractNumId="33" w15:restartNumberingAfterBreak="0">
    <w:nsid w:val="C493FE51"/>
    <w:multiLevelType w:val="singleLevel"/>
    <w:tmpl w:val="16CB2BF8"/>
    <w:lvl w:ilvl="0">
      <w:numFmt w:val="decimal"/>
      <w:lvlText w:val="•"/>
      <w:lvlJc w:val="left"/>
    </w:lvl>
  </w:abstractNum>
  <w:abstractNum w:abstractNumId="34" w15:restartNumberingAfterBreak="0">
    <w:nsid w:val="C60CFFEB"/>
    <w:multiLevelType w:val="singleLevel"/>
    <w:tmpl w:val="CABDE419"/>
    <w:lvl w:ilvl="0">
      <w:numFmt w:val="decimal"/>
      <w:lvlText w:val="•"/>
      <w:lvlJc w:val="left"/>
    </w:lvl>
  </w:abstractNum>
  <w:abstractNum w:abstractNumId="35" w15:restartNumberingAfterBreak="0">
    <w:nsid w:val="C806C9F3"/>
    <w:multiLevelType w:val="singleLevel"/>
    <w:tmpl w:val="3F5F2177"/>
    <w:lvl w:ilvl="0">
      <w:numFmt w:val="decimal"/>
      <w:lvlText w:val="•"/>
      <w:lvlJc w:val="left"/>
    </w:lvl>
  </w:abstractNum>
  <w:abstractNum w:abstractNumId="36" w15:restartNumberingAfterBreak="0">
    <w:nsid w:val="CB2BD3BD"/>
    <w:multiLevelType w:val="singleLevel"/>
    <w:tmpl w:val="B211F674"/>
    <w:lvl w:ilvl="0">
      <w:numFmt w:val="decimal"/>
      <w:lvlText w:val="•"/>
      <w:lvlJc w:val="left"/>
    </w:lvl>
  </w:abstractNum>
  <w:abstractNum w:abstractNumId="37" w15:restartNumberingAfterBreak="0">
    <w:nsid w:val="CE7A272E"/>
    <w:multiLevelType w:val="singleLevel"/>
    <w:tmpl w:val="CF357ECA"/>
    <w:lvl w:ilvl="0">
      <w:numFmt w:val="decimal"/>
      <w:lvlText w:val="•"/>
      <w:lvlJc w:val="left"/>
    </w:lvl>
  </w:abstractNum>
  <w:abstractNum w:abstractNumId="38" w15:restartNumberingAfterBreak="0">
    <w:nsid w:val="CF057227"/>
    <w:multiLevelType w:val="singleLevel"/>
    <w:tmpl w:val="EBD7F9FC"/>
    <w:lvl w:ilvl="0">
      <w:numFmt w:val="decimal"/>
      <w:lvlText w:val="•"/>
      <w:lvlJc w:val="left"/>
    </w:lvl>
  </w:abstractNum>
  <w:abstractNum w:abstractNumId="39" w15:restartNumberingAfterBreak="0">
    <w:nsid w:val="CF5F5B8A"/>
    <w:multiLevelType w:val="singleLevel"/>
    <w:tmpl w:val="43709D03"/>
    <w:lvl w:ilvl="0">
      <w:numFmt w:val="decimal"/>
      <w:lvlText w:val="•"/>
      <w:lvlJc w:val="left"/>
    </w:lvl>
  </w:abstractNum>
  <w:abstractNum w:abstractNumId="40" w15:restartNumberingAfterBreak="0">
    <w:nsid w:val="CFA7309B"/>
    <w:multiLevelType w:val="singleLevel"/>
    <w:tmpl w:val="0D2AABFF"/>
    <w:lvl w:ilvl="0">
      <w:numFmt w:val="decimal"/>
      <w:lvlText w:val="•"/>
      <w:lvlJc w:val="left"/>
    </w:lvl>
  </w:abstractNum>
  <w:abstractNum w:abstractNumId="41" w15:restartNumberingAfterBreak="0">
    <w:nsid w:val="D2B0D367"/>
    <w:multiLevelType w:val="singleLevel"/>
    <w:tmpl w:val="ADC0735D"/>
    <w:lvl w:ilvl="0">
      <w:numFmt w:val="decimal"/>
      <w:lvlText w:val="•"/>
      <w:lvlJc w:val="left"/>
    </w:lvl>
  </w:abstractNum>
  <w:abstractNum w:abstractNumId="42" w15:restartNumberingAfterBreak="0">
    <w:nsid w:val="D3F6A765"/>
    <w:multiLevelType w:val="singleLevel"/>
    <w:tmpl w:val="941C6C91"/>
    <w:lvl w:ilvl="0">
      <w:numFmt w:val="decimal"/>
      <w:lvlText w:val="•"/>
      <w:lvlJc w:val="left"/>
    </w:lvl>
  </w:abstractNum>
  <w:abstractNum w:abstractNumId="43" w15:restartNumberingAfterBreak="0">
    <w:nsid w:val="D6F68077"/>
    <w:multiLevelType w:val="singleLevel"/>
    <w:tmpl w:val="6E8E5FD1"/>
    <w:lvl w:ilvl="0">
      <w:numFmt w:val="decimal"/>
      <w:lvlText w:val="•"/>
      <w:lvlJc w:val="left"/>
    </w:lvl>
  </w:abstractNum>
  <w:abstractNum w:abstractNumId="44" w15:restartNumberingAfterBreak="0">
    <w:nsid w:val="D9965FFC"/>
    <w:multiLevelType w:val="singleLevel"/>
    <w:tmpl w:val="71552CAF"/>
    <w:lvl w:ilvl="0">
      <w:numFmt w:val="decimal"/>
      <w:lvlText w:val="•"/>
      <w:lvlJc w:val="left"/>
    </w:lvl>
  </w:abstractNum>
  <w:abstractNum w:abstractNumId="45" w15:restartNumberingAfterBreak="0">
    <w:nsid w:val="DB8B8501"/>
    <w:multiLevelType w:val="singleLevel"/>
    <w:tmpl w:val="5BD21AD2"/>
    <w:lvl w:ilvl="0">
      <w:numFmt w:val="decimal"/>
      <w:lvlText w:val="•"/>
      <w:lvlJc w:val="left"/>
    </w:lvl>
  </w:abstractNum>
  <w:abstractNum w:abstractNumId="46" w15:restartNumberingAfterBreak="0">
    <w:nsid w:val="E16EBBFB"/>
    <w:multiLevelType w:val="singleLevel"/>
    <w:tmpl w:val="31A6846C"/>
    <w:lvl w:ilvl="0">
      <w:numFmt w:val="decimal"/>
      <w:lvlText w:val="•"/>
      <w:lvlJc w:val="left"/>
    </w:lvl>
  </w:abstractNum>
  <w:abstractNum w:abstractNumId="47" w15:restartNumberingAfterBreak="0">
    <w:nsid w:val="E4072774"/>
    <w:multiLevelType w:val="singleLevel"/>
    <w:tmpl w:val="A5AB913D"/>
    <w:lvl w:ilvl="0">
      <w:numFmt w:val="decimal"/>
      <w:lvlText w:val="•"/>
      <w:lvlJc w:val="left"/>
    </w:lvl>
  </w:abstractNum>
  <w:abstractNum w:abstractNumId="48" w15:restartNumberingAfterBreak="0">
    <w:nsid w:val="E42DEA95"/>
    <w:multiLevelType w:val="singleLevel"/>
    <w:tmpl w:val="5EF6DEB4"/>
    <w:lvl w:ilvl="0">
      <w:numFmt w:val="decimal"/>
      <w:lvlText w:val="•"/>
      <w:lvlJc w:val="left"/>
    </w:lvl>
  </w:abstractNum>
  <w:abstractNum w:abstractNumId="49" w15:restartNumberingAfterBreak="0">
    <w:nsid w:val="E891E192"/>
    <w:multiLevelType w:val="singleLevel"/>
    <w:tmpl w:val="905BA010"/>
    <w:lvl w:ilvl="0">
      <w:numFmt w:val="decimal"/>
      <w:lvlText w:val="•"/>
      <w:lvlJc w:val="left"/>
    </w:lvl>
  </w:abstractNum>
  <w:abstractNum w:abstractNumId="50" w15:restartNumberingAfterBreak="0">
    <w:nsid w:val="EB0A4D03"/>
    <w:multiLevelType w:val="singleLevel"/>
    <w:tmpl w:val="98DAFB6A"/>
    <w:lvl w:ilvl="0">
      <w:numFmt w:val="decimal"/>
      <w:lvlText w:val="•"/>
      <w:lvlJc w:val="left"/>
    </w:lvl>
  </w:abstractNum>
  <w:abstractNum w:abstractNumId="51" w15:restartNumberingAfterBreak="0">
    <w:nsid w:val="F105C502"/>
    <w:multiLevelType w:val="singleLevel"/>
    <w:tmpl w:val="929D403E"/>
    <w:lvl w:ilvl="0">
      <w:numFmt w:val="decimal"/>
      <w:lvlText w:val="•"/>
      <w:lvlJc w:val="left"/>
    </w:lvl>
  </w:abstractNum>
  <w:abstractNum w:abstractNumId="52" w15:restartNumberingAfterBreak="0">
    <w:nsid w:val="F1BD346A"/>
    <w:multiLevelType w:val="singleLevel"/>
    <w:tmpl w:val="C58C1852"/>
    <w:lvl w:ilvl="0">
      <w:numFmt w:val="decimal"/>
      <w:lvlText w:val="•"/>
      <w:lvlJc w:val="left"/>
    </w:lvl>
  </w:abstractNum>
  <w:abstractNum w:abstractNumId="53" w15:restartNumberingAfterBreak="0">
    <w:nsid w:val="F4A9DA96"/>
    <w:multiLevelType w:val="singleLevel"/>
    <w:tmpl w:val="91F5EBCC"/>
    <w:lvl w:ilvl="0">
      <w:numFmt w:val="decimal"/>
      <w:lvlText w:val="•"/>
      <w:lvlJc w:val="left"/>
    </w:lvl>
  </w:abstractNum>
  <w:abstractNum w:abstractNumId="54" w15:restartNumberingAfterBreak="0">
    <w:nsid w:val="F4E05AF4"/>
    <w:multiLevelType w:val="singleLevel"/>
    <w:tmpl w:val="15A0C141"/>
    <w:lvl w:ilvl="0">
      <w:numFmt w:val="decimal"/>
      <w:lvlText w:val="•"/>
      <w:lvlJc w:val="left"/>
    </w:lvl>
  </w:abstractNum>
  <w:abstractNum w:abstractNumId="55" w15:restartNumberingAfterBreak="0">
    <w:nsid w:val="F567F84B"/>
    <w:multiLevelType w:val="singleLevel"/>
    <w:tmpl w:val="E8CB511C"/>
    <w:lvl w:ilvl="0">
      <w:numFmt w:val="decimal"/>
      <w:lvlText w:val="•"/>
      <w:lvlJc w:val="left"/>
    </w:lvl>
  </w:abstractNum>
  <w:abstractNum w:abstractNumId="56" w15:restartNumberingAfterBreak="0">
    <w:nsid w:val="FA8ECBCA"/>
    <w:multiLevelType w:val="singleLevel"/>
    <w:tmpl w:val="072243B8"/>
    <w:lvl w:ilvl="0">
      <w:numFmt w:val="decimal"/>
      <w:lvlText w:val="•"/>
      <w:lvlJc w:val="left"/>
    </w:lvl>
  </w:abstractNum>
  <w:abstractNum w:abstractNumId="57" w15:restartNumberingAfterBreak="0">
    <w:nsid w:val="FAF33FC0"/>
    <w:multiLevelType w:val="singleLevel"/>
    <w:tmpl w:val="AC813060"/>
    <w:lvl w:ilvl="0">
      <w:numFmt w:val="decimal"/>
      <w:lvlText w:val="•"/>
      <w:lvlJc w:val="left"/>
    </w:lvl>
  </w:abstractNum>
  <w:abstractNum w:abstractNumId="58" w15:restartNumberingAfterBreak="0">
    <w:nsid w:val="FB5D35D9"/>
    <w:multiLevelType w:val="singleLevel"/>
    <w:tmpl w:val="9CBA8888"/>
    <w:lvl w:ilvl="0">
      <w:numFmt w:val="decimal"/>
      <w:lvlText w:val="•"/>
      <w:lvlJc w:val="left"/>
    </w:lvl>
  </w:abstractNum>
  <w:abstractNum w:abstractNumId="59" w15:restartNumberingAfterBreak="0">
    <w:nsid w:val="FC4633C7"/>
    <w:multiLevelType w:val="singleLevel"/>
    <w:tmpl w:val="78BF1B0A"/>
    <w:lvl w:ilvl="0">
      <w:numFmt w:val="decimal"/>
      <w:lvlText w:val="•"/>
      <w:lvlJc w:val="left"/>
    </w:lvl>
  </w:abstractNum>
  <w:abstractNum w:abstractNumId="60" w15:restartNumberingAfterBreak="0">
    <w:nsid w:val="FE272A74"/>
    <w:multiLevelType w:val="singleLevel"/>
    <w:tmpl w:val="C089CB5B"/>
    <w:lvl w:ilvl="0">
      <w:numFmt w:val="decimal"/>
      <w:lvlText w:val="•"/>
      <w:lvlJc w:val="left"/>
    </w:lvl>
  </w:abstractNum>
  <w:abstractNum w:abstractNumId="61" w15:restartNumberingAfterBreak="0">
    <w:nsid w:val="FF2ABEDA"/>
    <w:multiLevelType w:val="singleLevel"/>
    <w:tmpl w:val="98814890"/>
    <w:lvl w:ilvl="0">
      <w:numFmt w:val="decimal"/>
      <w:lvlText w:val="•"/>
      <w:lvlJc w:val="left"/>
    </w:lvl>
  </w:abstractNum>
  <w:abstractNum w:abstractNumId="62" w15:restartNumberingAfterBreak="0">
    <w:nsid w:val="FFC4046E"/>
    <w:multiLevelType w:val="singleLevel"/>
    <w:tmpl w:val="D5134DF3"/>
    <w:lvl w:ilvl="0">
      <w:numFmt w:val="decimal"/>
      <w:lvlText w:val="•"/>
      <w:lvlJc w:val="left"/>
    </w:lvl>
  </w:abstractNum>
  <w:abstractNum w:abstractNumId="63" w15:restartNumberingAfterBreak="0">
    <w:nsid w:val="005BA61B"/>
    <w:multiLevelType w:val="singleLevel"/>
    <w:tmpl w:val="08090001"/>
    <w:lvl w:ilvl="0">
      <w:start w:val="1"/>
      <w:numFmt w:val="bullet"/>
      <w:lvlText w:val=""/>
      <w:lvlJc w:val="left"/>
      <w:pPr>
        <w:ind w:left="360" w:hanging="360"/>
      </w:pPr>
      <w:rPr>
        <w:rFonts w:ascii="Symbol" w:hAnsi="Symbol" w:hint="default"/>
      </w:rPr>
    </w:lvl>
  </w:abstractNum>
  <w:abstractNum w:abstractNumId="64" w15:restartNumberingAfterBreak="0">
    <w:nsid w:val="09499CD3"/>
    <w:multiLevelType w:val="singleLevel"/>
    <w:tmpl w:val="779012C0"/>
    <w:lvl w:ilvl="0">
      <w:numFmt w:val="decimal"/>
      <w:lvlText w:val="•"/>
      <w:lvlJc w:val="left"/>
    </w:lvl>
  </w:abstractNum>
  <w:abstractNum w:abstractNumId="65" w15:restartNumberingAfterBreak="0">
    <w:nsid w:val="0FB80A9D"/>
    <w:multiLevelType w:val="singleLevel"/>
    <w:tmpl w:val="373A14BA"/>
    <w:lvl w:ilvl="0">
      <w:numFmt w:val="decimal"/>
      <w:lvlText w:val=" "/>
      <w:lvlJc w:val="left"/>
    </w:lvl>
  </w:abstractNum>
  <w:abstractNum w:abstractNumId="66" w15:restartNumberingAfterBreak="0">
    <w:nsid w:val="10781D1B"/>
    <w:multiLevelType w:val="singleLevel"/>
    <w:tmpl w:val="AAD5EC21"/>
    <w:lvl w:ilvl="0">
      <w:numFmt w:val="decimal"/>
      <w:lvlText w:val="•"/>
      <w:lvlJc w:val="left"/>
    </w:lvl>
  </w:abstractNum>
  <w:abstractNum w:abstractNumId="67" w15:restartNumberingAfterBreak="0">
    <w:nsid w:val="129DBDB0"/>
    <w:multiLevelType w:val="singleLevel"/>
    <w:tmpl w:val="F58809FE"/>
    <w:lvl w:ilvl="0">
      <w:numFmt w:val="decimal"/>
      <w:lvlText w:val="•"/>
      <w:lvlJc w:val="left"/>
    </w:lvl>
  </w:abstractNum>
  <w:abstractNum w:abstractNumId="68" w15:restartNumberingAfterBreak="0">
    <w:nsid w:val="12CB15A5"/>
    <w:multiLevelType w:val="singleLevel"/>
    <w:tmpl w:val="799A2A6C"/>
    <w:lvl w:ilvl="0">
      <w:numFmt w:val="decimal"/>
      <w:lvlText w:val="•"/>
      <w:lvlJc w:val="left"/>
    </w:lvl>
  </w:abstractNum>
  <w:abstractNum w:abstractNumId="69" w15:restartNumberingAfterBreak="0">
    <w:nsid w:val="1449A2F5"/>
    <w:multiLevelType w:val="singleLevel"/>
    <w:tmpl w:val="1EF7864B"/>
    <w:lvl w:ilvl="0">
      <w:numFmt w:val="decimal"/>
      <w:lvlText w:val="•"/>
      <w:lvlJc w:val="left"/>
    </w:lvl>
  </w:abstractNum>
  <w:abstractNum w:abstractNumId="70" w15:restartNumberingAfterBreak="0">
    <w:nsid w:val="181E1A4D"/>
    <w:multiLevelType w:val="singleLevel"/>
    <w:tmpl w:val="9AFB5A32"/>
    <w:lvl w:ilvl="0">
      <w:numFmt w:val="decimal"/>
      <w:lvlText w:val="•"/>
      <w:lvlJc w:val="left"/>
    </w:lvl>
  </w:abstractNum>
  <w:abstractNum w:abstractNumId="71" w15:restartNumberingAfterBreak="0">
    <w:nsid w:val="185349A3"/>
    <w:multiLevelType w:val="singleLevel"/>
    <w:tmpl w:val="F1AC1FB1"/>
    <w:lvl w:ilvl="0">
      <w:numFmt w:val="decimal"/>
      <w:lvlText w:val="•"/>
      <w:lvlJc w:val="left"/>
    </w:lvl>
  </w:abstractNum>
  <w:abstractNum w:abstractNumId="72" w15:restartNumberingAfterBreak="0">
    <w:nsid w:val="1992D37E"/>
    <w:multiLevelType w:val="singleLevel"/>
    <w:tmpl w:val="AE282DD5"/>
    <w:lvl w:ilvl="0">
      <w:numFmt w:val="decimal"/>
      <w:lvlText w:val="•"/>
      <w:lvlJc w:val="left"/>
    </w:lvl>
  </w:abstractNum>
  <w:abstractNum w:abstractNumId="73" w15:restartNumberingAfterBreak="0">
    <w:nsid w:val="19D1E898"/>
    <w:multiLevelType w:val="singleLevel"/>
    <w:tmpl w:val="80B8551D"/>
    <w:lvl w:ilvl="0">
      <w:numFmt w:val="decimal"/>
      <w:lvlText w:val="•"/>
      <w:lvlJc w:val="left"/>
    </w:lvl>
  </w:abstractNum>
  <w:abstractNum w:abstractNumId="74" w15:restartNumberingAfterBreak="0">
    <w:nsid w:val="1E1CC514"/>
    <w:multiLevelType w:val="singleLevel"/>
    <w:tmpl w:val="287E6D78"/>
    <w:lvl w:ilvl="0">
      <w:numFmt w:val="decimal"/>
      <w:lvlText w:val="•"/>
      <w:lvlJc w:val="left"/>
    </w:lvl>
  </w:abstractNum>
  <w:abstractNum w:abstractNumId="75" w15:restartNumberingAfterBreak="0">
    <w:nsid w:val="1EE2FED5"/>
    <w:multiLevelType w:val="singleLevel"/>
    <w:tmpl w:val="822909EA"/>
    <w:lvl w:ilvl="0">
      <w:numFmt w:val="decimal"/>
      <w:lvlText w:val="•"/>
      <w:lvlJc w:val="left"/>
    </w:lvl>
  </w:abstractNum>
  <w:abstractNum w:abstractNumId="76" w15:restartNumberingAfterBreak="0">
    <w:nsid w:val="247448BB"/>
    <w:multiLevelType w:val="singleLevel"/>
    <w:tmpl w:val="C422C66E"/>
    <w:lvl w:ilvl="0">
      <w:numFmt w:val="decimal"/>
      <w:lvlText w:val="•"/>
      <w:lvlJc w:val="left"/>
    </w:lvl>
  </w:abstractNum>
  <w:abstractNum w:abstractNumId="77" w15:restartNumberingAfterBreak="0">
    <w:nsid w:val="26E5274A"/>
    <w:multiLevelType w:val="singleLevel"/>
    <w:tmpl w:val="FD7DA19B"/>
    <w:lvl w:ilvl="0">
      <w:numFmt w:val="decimal"/>
      <w:lvlText w:val="•"/>
      <w:lvlJc w:val="left"/>
    </w:lvl>
  </w:abstractNum>
  <w:abstractNum w:abstractNumId="78" w15:restartNumberingAfterBreak="0">
    <w:nsid w:val="2F93BF58"/>
    <w:multiLevelType w:val="singleLevel"/>
    <w:tmpl w:val="189577B6"/>
    <w:lvl w:ilvl="0">
      <w:numFmt w:val="decimal"/>
      <w:lvlText w:val="•"/>
      <w:lvlJc w:val="left"/>
    </w:lvl>
  </w:abstractNum>
  <w:abstractNum w:abstractNumId="79" w15:restartNumberingAfterBreak="0">
    <w:nsid w:val="3010460F"/>
    <w:multiLevelType w:val="singleLevel"/>
    <w:tmpl w:val="8E2FE375"/>
    <w:lvl w:ilvl="0">
      <w:numFmt w:val="decimal"/>
      <w:lvlText w:val="•"/>
      <w:lvlJc w:val="left"/>
    </w:lvl>
  </w:abstractNum>
  <w:abstractNum w:abstractNumId="80" w15:restartNumberingAfterBreak="0">
    <w:nsid w:val="31BED598"/>
    <w:multiLevelType w:val="singleLevel"/>
    <w:tmpl w:val="5FEAC9EC"/>
    <w:lvl w:ilvl="0">
      <w:numFmt w:val="decimal"/>
      <w:lvlText w:val="•"/>
      <w:lvlJc w:val="left"/>
    </w:lvl>
  </w:abstractNum>
  <w:abstractNum w:abstractNumId="81" w15:restartNumberingAfterBreak="0">
    <w:nsid w:val="35A8502E"/>
    <w:multiLevelType w:val="singleLevel"/>
    <w:tmpl w:val="40CC9E08"/>
    <w:lvl w:ilvl="0">
      <w:numFmt w:val="decimal"/>
      <w:lvlText w:val="•"/>
      <w:lvlJc w:val="left"/>
    </w:lvl>
  </w:abstractNum>
  <w:abstractNum w:abstractNumId="82" w15:restartNumberingAfterBreak="0">
    <w:nsid w:val="3728541A"/>
    <w:multiLevelType w:val="singleLevel"/>
    <w:tmpl w:val="DC0023B9"/>
    <w:lvl w:ilvl="0">
      <w:numFmt w:val="decimal"/>
      <w:lvlText w:val="•"/>
      <w:lvlJc w:val="left"/>
    </w:lvl>
  </w:abstractNum>
  <w:abstractNum w:abstractNumId="83" w15:restartNumberingAfterBreak="0">
    <w:nsid w:val="376C414B"/>
    <w:multiLevelType w:val="singleLevel"/>
    <w:tmpl w:val="99D6FF32"/>
    <w:lvl w:ilvl="0">
      <w:numFmt w:val="decimal"/>
      <w:lvlText w:val="•"/>
      <w:lvlJc w:val="left"/>
    </w:lvl>
  </w:abstractNum>
  <w:abstractNum w:abstractNumId="84" w15:restartNumberingAfterBreak="0">
    <w:nsid w:val="3BABEB1A"/>
    <w:multiLevelType w:val="singleLevel"/>
    <w:tmpl w:val="786DEF54"/>
    <w:lvl w:ilvl="0">
      <w:numFmt w:val="decimal"/>
      <w:lvlText w:val="•"/>
      <w:lvlJc w:val="left"/>
    </w:lvl>
  </w:abstractNum>
  <w:abstractNum w:abstractNumId="85" w15:restartNumberingAfterBreak="0">
    <w:nsid w:val="3CB9B79D"/>
    <w:multiLevelType w:val="singleLevel"/>
    <w:tmpl w:val="C261137F"/>
    <w:lvl w:ilvl="0">
      <w:numFmt w:val="decimal"/>
      <w:lvlText w:val="•"/>
      <w:lvlJc w:val="left"/>
    </w:lvl>
  </w:abstractNum>
  <w:abstractNum w:abstractNumId="86" w15:restartNumberingAfterBreak="0">
    <w:nsid w:val="3E8CD961"/>
    <w:multiLevelType w:val="singleLevel"/>
    <w:tmpl w:val="E3C9625A"/>
    <w:lvl w:ilvl="0">
      <w:numFmt w:val="decimal"/>
      <w:lvlText w:val="•"/>
      <w:lvlJc w:val="left"/>
    </w:lvl>
  </w:abstractNum>
  <w:abstractNum w:abstractNumId="87" w15:restartNumberingAfterBreak="0">
    <w:nsid w:val="40B16140"/>
    <w:multiLevelType w:val="singleLevel"/>
    <w:tmpl w:val="6DA54787"/>
    <w:lvl w:ilvl="0">
      <w:numFmt w:val="decimal"/>
      <w:lvlText w:val="•"/>
      <w:lvlJc w:val="left"/>
    </w:lvl>
  </w:abstractNum>
  <w:abstractNum w:abstractNumId="88" w15:restartNumberingAfterBreak="0">
    <w:nsid w:val="46B9FDDC"/>
    <w:multiLevelType w:val="singleLevel"/>
    <w:tmpl w:val="DA8D06D6"/>
    <w:lvl w:ilvl="0">
      <w:numFmt w:val="decimal"/>
      <w:lvlText w:val="•"/>
      <w:lvlJc w:val="left"/>
    </w:lvl>
  </w:abstractNum>
  <w:abstractNum w:abstractNumId="89" w15:restartNumberingAfterBreak="0">
    <w:nsid w:val="4848586D"/>
    <w:multiLevelType w:val="singleLevel"/>
    <w:tmpl w:val="D279C2BD"/>
    <w:lvl w:ilvl="0">
      <w:numFmt w:val="decimal"/>
      <w:lvlText w:val="•"/>
      <w:lvlJc w:val="left"/>
    </w:lvl>
  </w:abstractNum>
  <w:abstractNum w:abstractNumId="90" w15:restartNumberingAfterBreak="0">
    <w:nsid w:val="58645436"/>
    <w:multiLevelType w:val="singleLevel"/>
    <w:tmpl w:val="9DB03119"/>
    <w:lvl w:ilvl="0">
      <w:numFmt w:val="decimal"/>
      <w:lvlText w:val="•"/>
      <w:lvlJc w:val="left"/>
    </w:lvl>
  </w:abstractNum>
  <w:abstractNum w:abstractNumId="91" w15:restartNumberingAfterBreak="0">
    <w:nsid w:val="59845A79"/>
    <w:multiLevelType w:val="singleLevel"/>
    <w:tmpl w:val="5DE6D757"/>
    <w:lvl w:ilvl="0">
      <w:numFmt w:val="decimal"/>
      <w:lvlText w:val="•"/>
      <w:lvlJc w:val="left"/>
    </w:lvl>
  </w:abstractNum>
  <w:abstractNum w:abstractNumId="92" w15:restartNumberingAfterBreak="0">
    <w:nsid w:val="59B4F908"/>
    <w:multiLevelType w:val="singleLevel"/>
    <w:tmpl w:val="B32056F9"/>
    <w:lvl w:ilvl="0">
      <w:numFmt w:val="decimal"/>
      <w:lvlText w:val="•"/>
      <w:lvlJc w:val="left"/>
    </w:lvl>
  </w:abstractNum>
  <w:abstractNum w:abstractNumId="93" w15:restartNumberingAfterBreak="0">
    <w:nsid w:val="62DBDE45"/>
    <w:multiLevelType w:val="singleLevel"/>
    <w:tmpl w:val="431F485D"/>
    <w:lvl w:ilvl="0">
      <w:numFmt w:val="decimal"/>
      <w:lvlText w:val="•"/>
      <w:lvlJc w:val="left"/>
    </w:lvl>
  </w:abstractNum>
  <w:abstractNum w:abstractNumId="94" w15:restartNumberingAfterBreak="0">
    <w:nsid w:val="63C9B74D"/>
    <w:multiLevelType w:val="singleLevel"/>
    <w:tmpl w:val="AB6517CB"/>
    <w:lvl w:ilvl="0">
      <w:numFmt w:val="decimal"/>
      <w:lvlText w:val="•"/>
      <w:lvlJc w:val="left"/>
    </w:lvl>
  </w:abstractNum>
  <w:abstractNum w:abstractNumId="95" w15:restartNumberingAfterBreak="0">
    <w:nsid w:val="698B1A20"/>
    <w:multiLevelType w:val="singleLevel"/>
    <w:tmpl w:val="F528A335"/>
    <w:lvl w:ilvl="0">
      <w:numFmt w:val="decimal"/>
      <w:lvlText w:val="•"/>
      <w:lvlJc w:val="left"/>
    </w:lvl>
  </w:abstractNum>
  <w:abstractNum w:abstractNumId="96" w15:restartNumberingAfterBreak="0">
    <w:nsid w:val="72D9BDBF"/>
    <w:multiLevelType w:val="singleLevel"/>
    <w:tmpl w:val="344A5A84"/>
    <w:lvl w:ilvl="0">
      <w:numFmt w:val="decimal"/>
      <w:lvlText w:val="•"/>
      <w:lvlJc w:val="left"/>
    </w:lvl>
  </w:abstractNum>
  <w:abstractNum w:abstractNumId="97" w15:restartNumberingAfterBreak="0">
    <w:nsid w:val="75CA6F25"/>
    <w:multiLevelType w:val="singleLevel"/>
    <w:tmpl w:val="BD379DEB"/>
    <w:lvl w:ilvl="0">
      <w:numFmt w:val="decimal"/>
      <w:lvlText w:val="•"/>
      <w:lvlJc w:val="left"/>
    </w:lvl>
  </w:abstractNum>
  <w:abstractNum w:abstractNumId="98" w15:restartNumberingAfterBreak="0">
    <w:nsid w:val="76306158"/>
    <w:multiLevelType w:val="singleLevel"/>
    <w:tmpl w:val="68FC22AA"/>
    <w:lvl w:ilvl="0">
      <w:numFmt w:val="decimal"/>
      <w:lvlText w:val="•"/>
      <w:lvlJc w:val="left"/>
    </w:lvl>
  </w:abstractNum>
  <w:abstractNum w:abstractNumId="99" w15:restartNumberingAfterBreak="0">
    <w:nsid w:val="76852EDB"/>
    <w:multiLevelType w:val="singleLevel"/>
    <w:tmpl w:val="B9F216A9"/>
    <w:lvl w:ilvl="0">
      <w:numFmt w:val="decimal"/>
      <w:lvlText w:val="•"/>
      <w:lvlJc w:val="left"/>
    </w:lvl>
  </w:abstractNum>
  <w:abstractNum w:abstractNumId="100" w15:restartNumberingAfterBreak="0">
    <w:nsid w:val="7F2B421E"/>
    <w:multiLevelType w:val="singleLevel"/>
    <w:tmpl w:val="AF7B2D95"/>
    <w:lvl w:ilvl="0">
      <w:numFmt w:val="decimal"/>
      <w:lvlText w:val="•"/>
      <w:lvlJc w:val="left"/>
    </w:lvl>
  </w:abstractNum>
  <w:num w:numId="1">
    <w:abstractNumId w:val="15"/>
  </w:num>
  <w:num w:numId="2">
    <w:abstractNumId w:val="58"/>
  </w:num>
  <w:num w:numId="3">
    <w:abstractNumId w:val="56"/>
  </w:num>
  <w:num w:numId="4">
    <w:abstractNumId w:val="97"/>
  </w:num>
  <w:num w:numId="5">
    <w:abstractNumId w:val="3"/>
  </w:num>
  <w:num w:numId="6">
    <w:abstractNumId w:val="82"/>
  </w:num>
  <w:num w:numId="7">
    <w:abstractNumId w:val="25"/>
  </w:num>
  <w:num w:numId="8">
    <w:abstractNumId w:val="22"/>
  </w:num>
  <w:num w:numId="9">
    <w:abstractNumId w:val="33"/>
  </w:num>
  <w:num w:numId="10">
    <w:abstractNumId w:val="29"/>
  </w:num>
  <w:num w:numId="11">
    <w:abstractNumId w:val="48"/>
  </w:num>
  <w:num w:numId="12">
    <w:abstractNumId w:val="72"/>
  </w:num>
  <w:num w:numId="13">
    <w:abstractNumId w:val="83"/>
  </w:num>
  <w:num w:numId="14">
    <w:abstractNumId w:val="12"/>
  </w:num>
  <w:num w:numId="15">
    <w:abstractNumId w:val="16"/>
  </w:num>
  <w:num w:numId="16">
    <w:abstractNumId w:val="61"/>
  </w:num>
  <w:num w:numId="17">
    <w:abstractNumId w:val="89"/>
  </w:num>
  <w:num w:numId="18">
    <w:abstractNumId w:val="42"/>
  </w:num>
  <w:num w:numId="19">
    <w:abstractNumId w:val="37"/>
  </w:num>
  <w:num w:numId="20">
    <w:abstractNumId w:val="55"/>
  </w:num>
  <w:num w:numId="21">
    <w:abstractNumId w:val="64"/>
  </w:num>
  <w:num w:numId="22">
    <w:abstractNumId w:val="67"/>
  </w:num>
  <w:num w:numId="23">
    <w:abstractNumId w:val="85"/>
  </w:num>
  <w:num w:numId="24">
    <w:abstractNumId w:val="50"/>
  </w:num>
  <w:num w:numId="25">
    <w:abstractNumId w:val="100"/>
  </w:num>
  <w:num w:numId="26">
    <w:abstractNumId w:val="84"/>
  </w:num>
  <w:num w:numId="27">
    <w:abstractNumId w:val="44"/>
  </w:num>
  <w:num w:numId="28">
    <w:abstractNumId w:val="40"/>
  </w:num>
  <w:num w:numId="29">
    <w:abstractNumId w:val="69"/>
  </w:num>
  <w:num w:numId="30">
    <w:abstractNumId w:val="18"/>
  </w:num>
  <w:num w:numId="31">
    <w:abstractNumId w:val="24"/>
  </w:num>
  <w:num w:numId="32">
    <w:abstractNumId w:val="5"/>
  </w:num>
  <w:num w:numId="33">
    <w:abstractNumId w:val="4"/>
  </w:num>
  <w:num w:numId="34">
    <w:abstractNumId w:val="17"/>
  </w:num>
  <w:num w:numId="35">
    <w:abstractNumId w:val="13"/>
  </w:num>
  <w:num w:numId="36">
    <w:abstractNumId w:val="32"/>
  </w:num>
  <w:num w:numId="37">
    <w:abstractNumId w:val="34"/>
  </w:num>
  <w:num w:numId="38">
    <w:abstractNumId w:val="79"/>
  </w:num>
  <w:num w:numId="39">
    <w:abstractNumId w:val="60"/>
  </w:num>
  <w:num w:numId="40">
    <w:abstractNumId w:val="20"/>
  </w:num>
  <w:num w:numId="41">
    <w:abstractNumId w:val="9"/>
  </w:num>
  <w:num w:numId="42">
    <w:abstractNumId w:val="11"/>
  </w:num>
  <w:num w:numId="43">
    <w:abstractNumId w:val="31"/>
  </w:num>
  <w:num w:numId="44">
    <w:abstractNumId w:val="94"/>
  </w:num>
  <w:num w:numId="45">
    <w:abstractNumId w:val="14"/>
  </w:num>
  <w:num w:numId="46">
    <w:abstractNumId w:val="68"/>
  </w:num>
  <w:num w:numId="47">
    <w:abstractNumId w:val="23"/>
  </w:num>
  <w:num w:numId="48">
    <w:abstractNumId w:val="88"/>
  </w:num>
  <w:num w:numId="49">
    <w:abstractNumId w:val="54"/>
  </w:num>
  <w:num w:numId="50">
    <w:abstractNumId w:val="36"/>
  </w:num>
  <w:num w:numId="51">
    <w:abstractNumId w:val="39"/>
  </w:num>
  <w:num w:numId="52">
    <w:abstractNumId w:val="30"/>
  </w:num>
  <w:num w:numId="53">
    <w:abstractNumId w:val="43"/>
  </w:num>
  <w:num w:numId="54">
    <w:abstractNumId w:val="87"/>
  </w:num>
  <w:num w:numId="55">
    <w:abstractNumId w:val="26"/>
  </w:num>
  <w:num w:numId="56">
    <w:abstractNumId w:val="19"/>
  </w:num>
  <w:num w:numId="57">
    <w:abstractNumId w:val="91"/>
  </w:num>
  <w:num w:numId="58">
    <w:abstractNumId w:val="71"/>
  </w:num>
  <w:num w:numId="59">
    <w:abstractNumId w:val="70"/>
  </w:num>
  <w:num w:numId="60">
    <w:abstractNumId w:val="66"/>
  </w:num>
  <w:num w:numId="61">
    <w:abstractNumId w:val="96"/>
  </w:num>
  <w:num w:numId="62">
    <w:abstractNumId w:val="45"/>
  </w:num>
  <w:num w:numId="63">
    <w:abstractNumId w:val="1"/>
  </w:num>
  <w:num w:numId="64">
    <w:abstractNumId w:val="7"/>
  </w:num>
  <w:num w:numId="65">
    <w:abstractNumId w:val="21"/>
  </w:num>
  <w:num w:numId="66">
    <w:abstractNumId w:val="73"/>
  </w:num>
  <w:num w:numId="67">
    <w:abstractNumId w:val="74"/>
  </w:num>
  <w:num w:numId="68">
    <w:abstractNumId w:val="57"/>
  </w:num>
  <w:num w:numId="69">
    <w:abstractNumId w:val="27"/>
  </w:num>
  <w:num w:numId="70">
    <w:abstractNumId w:val="77"/>
  </w:num>
  <w:num w:numId="71">
    <w:abstractNumId w:val="38"/>
  </w:num>
  <w:num w:numId="72">
    <w:abstractNumId w:val="52"/>
  </w:num>
  <w:num w:numId="73">
    <w:abstractNumId w:val="53"/>
  </w:num>
  <w:num w:numId="74">
    <w:abstractNumId w:val="8"/>
  </w:num>
  <w:num w:numId="75">
    <w:abstractNumId w:val="59"/>
  </w:num>
  <w:num w:numId="76">
    <w:abstractNumId w:val="0"/>
  </w:num>
  <w:num w:numId="77">
    <w:abstractNumId w:val="62"/>
  </w:num>
  <w:num w:numId="78">
    <w:abstractNumId w:val="76"/>
  </w:num>
  <w:num w:numId="79">
    <w:abstractNumId w:val="46"/>
  </w:num>
  <w:num w:numId="80">
    <w:abstractNumId w:val="98"/>
  </w:num>
  <w:num w:numId="81">
    <w:abstractNumId w:val="95"/>
  </w:num>
  <w:num w:numId="82">
    <w:abstractNumId w:val="35"/>
  </w:num>
  <w:num w:numId="83">
    <w:abstractNumId w:val="10"/>
  </w:num>
  <w:num w:numId="84">
    <w:abstractNumId w:val="78"/>
  </w:num>
  <w:num w:numId="85">
    <w:abstractNumId w:val="92"/>
  </w:num>
  <w:num w:numId="86">
    <w:abstractNumId w:val="90"/>
  </w:num>
  <w:num w:numId="87">
    <w:abstractNumId w:val="49"/>
  </w:num>
  <w:num w:numId="88">
    <w:abstractNumId w:val="51"/>
  </w:num>
  <w:num w:numId="89">
    <w:abstractNumId w:val="28"/>
  </w:num>
  <w:num w:numId="90">
    <w:abstractNumId w:val="63"/>
  </w:num>
  <w:num w:numId="91">
    <w:abstractNumId w:val="6"/>
  </w:num>
  <w:num w:numId="92">
    <w:abstractNumId w:val="81"/>
  </w:num>
  <w:num w:numId="93">
    <w:abstractNumId w:val="2"/>
  </w:num>
  <w:num w:numId="94">
    <w:abstractNumId w:val="99"/>
  </w:num>
  <w:num w:numId="95">
    <w:abstractNumId w:val="47"/>
  </w:num>
  <w:num w:numId="96">
    <w:abstractNumId w:val="80"/>
  </w:num>
  <w:num w:numId="97">
    <w:abstractNumId w:val="41"/>
  </w:num>
  <w:num w:numId="98">
    <w:abstractNumId w:val="75"/>
  </w:num>
  <w:num w:numId="99">
    <w:abstractNumId w:val="93"/>
  </w:num>
  <w:num w:numId="100">
    <w:abstractNumId w:val="86"/>
  </w:num>
  <w:num w:numId="101">
    <w:abstractNumId w:val="65"/>
  </w:num>
  <w:num w:numId="102">
    <w:abstractNumId w:val="65"/>
  </w:num>
  <w:num w:numId="103">
    <w:abstractNumId w:val="65"/>
  </w:num>
  <w:num w:numId="104">
    <w:abstractNumId w:val="65"/>
  </w:num>
  <w:numIdMacAtCleanup w:val="10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ForceOverwriteVersion" w:val="False"/>
  </w:docVars>
  <w:rsids>
    <w:rsidRoot w:val="00B932B2"/>
    <w:rsid w:val="000311ED"/>
    <w:rsid w:val="000965F5"/>
    <w:rsid w:val="00104003"/>
    <w:rsid w:val="00117984"/>
    <w:rsid w:val="002A57A4"/>
    <w:rsid w:val="00376449"/>
    <w:rsid w:val="003A40E4"/>
    <w:rsid w:val="003F4CDA"/>
    <w:rsid w:val="005D61AF"/>
    <w:rsid w:val="005F5759"/>
    <w:rsid w:val="00674193"/>
    <w:rsid w:val="00A87F13"/>
    <w:rsid w:val="00B63296"/>
    <w:rsid w:val="00B932B2"/>
    <w:rsid w:val="00C308CD"/>
    <w:rsid w:val="00C53401"/>
    <w:rsid w:val="00CB475F"/>
    <w:rsid w:val="00CC560F"/>
    <w:rsid w:val="00D545C0"/>
    <w:rsid w:val="00D67AA2"/>
    <w:rsid w:val="00D77366"/>
    <w:rsid w:val="00DC4321"/>
    <w:rsid w:val="00E056DC"/>
    <w:rsid w:val="00F37E5D"/>
    <w:rsid w:val="00F572C3"/>
    <w:rsid w:val="00FF4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4C04604A-9FA2-4ED9-8BE4-2E00C0FCB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632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0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8CD"/>
  </w:style>
  <w:style w:type="paragraph" w:styleId="Footer">
    <w:name w:val="footer"/>
    <w:basedOn w:val="Normal"/>
    <w:link w:val="FooterChar"/>
    <w:uiPriority w:val="99"/>
    <w:unhideWhenUsed/>
    <w:rsid w:val="00C30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8CD"/>
  </w:style>
  <w:style w:type="paragraph" w:styleId="BalloonText">
    <w:name w:val="Balloon Text"/>
    <w:basedOn w:val="Normal"/>
    <w:link w:val="BalloonTextChar"/>
    <w:uiPriority w:val="99"/>
    <w:semiHidden/>
    <w:unhideWhenUsed/>
    <w:rsid w:val="00C308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08C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uk.practicallaw.thomsonreuters.com/8-509-0949?originationContext=document&amp;vr=3.0&amp;rs=PLUK1.0&amp;transitionType=PLDocumentLink&amp;contextData=(sc.Defaul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uk.practicallaw.thomsonreuters.com/4-509-0932?originationContext=document&amp;vr=3.0&amp;rs=PLUK1.0&amp;transitionType=PLDocumentLink&amp;contextData=(sc.Defaul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uk.practicallaw.thomsonreuters.com/9-509-0901?originationContext=document&amp;vr=3.0&amp;rs=PLUK1.0&amp;transitionType=PLDocumentLink&amp;contextData=(sc.Defau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6444</Words>
  <Characters>36731</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JCP Solicitors</Company>
  <LinksUpToDate>false</LinksUpToDate>
  <CharactersWithSpaces>43089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Paul.Shuttleworth</dc:creator>
  <cp:lastModifiedBy>Julie Potter</cp:lastModifiedBy>
  <cp:revision>2</cp:revision>
  <cp:lastPrinted>2017-03-13T13:40:00Z</cp:lastPrinted>
  <dcterms:created xsi:type="dcterms:W3CDTF">2017-09-20T13:05:00Z</dcterms:created>
  <dcterms:modified xsi:type="dcterms:W3CDTF">2017-09-20T13:05:00Z</dcterms:modified>
</cp:coreProperties>
</file>