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01450393"/>
        <w:docPartObj>
          <w:docPartGallery w:val="Cover Pages"/>
          <w:docPartUnique/>
        </w:docPartObj>
      </w:sdtPr>
      <w:sdtEndPr>
        <w:rPr>
          <w:b/>
          <w:bCs/>
        </w:rPr>
      </w:sdtEndPr>
      <w:sdtContent>
        <w:p w14:paraId="261EA88F" w14:textId="77777777" w:rsidR="00FE7787" w:rsidRDefault="00FE7787" w:rsidP="00FE7787">
          <w:pPr>
            <w:jc w:val="center"/>
          </w:pPr>
        </w:p>
        <w:p w14:paraId="711E19C6" w14:textId="77777777" w:rsidR="00FE7787" w:rsidRDefault="00FE7787" w:rsidP="00FE7787">
          <w:pPr>
            <w:jc w:val="center"/>
          </w:pPr>
        </w:p>
        <w:p w14:paraId="7D0C0B43" w14:textId="77777777" w:rsidR="00FE7787" w:rsidRDefault="00FE7787" w:rsidP="00FE7787">
          <w:pPr>
            <w:jc w:val="center"/>
          </w:pPr>
        </w:p>
        <w:p w14:paraId="22906DB3" w14:textId="77777777" w:rsidR="00FE7787" w:rsidRDefault="00FE7787" w:rsidP="00FE7787">
          <w:pPr>
            <w:jc w:val="center"/>
          </w:pPr>
        </w:p>
        <w:p w14:paraId="71185D2C" w14:textId="77777777" w:rsidR="00FE7787" w:rsidRDefault="00FE7787" w:rsidP="00FE7787">
          <w:pPr>
            <w:jc w:val="center"/>
          </w:pPr>
        </w:p>
        <w:p w14:paraId="6F25B820" w14:textId="4EBB66A8" w:rsidR="00FE7787" w:rsidRPr="00FE7787" w:rsidRDefault="00FE7787" w:rsidP="00FE7787">
          <w:pPr>
            <w:jc w:val="center"/>
            <w:rPr>
              <w:sz w:val="48"/>
              <w:szCs w:val="44"/>
            </w:rPr>
          </w:pPr>
          <w:r w:rsidRPr="00FE7787">
            <w:rPr>
              <w:b/>
              <w:bCs/>
              <w:sz w:val="48"/>
              <w:szCs w:val="44"/>
            </w:rPr>
            <w:t>Module:</w:t>
          </w:r>
          <w:r w:rsidRPr="00FE7787">
            <w:rPr>
              <w:sz w:val="48"/>
              <w:szCs w:val="44"/>
            </w:rPr>
            <w:t xml:space="preserve"> International Meetings Management for the Hotel Industry</w:t>
          </w:r>
        </w:p>
        <w:p w14:paraId="30B60D92" w14:textId="1515A268" w:rsidR="00FE7787" w:rsidRDefault="00FE7787" w:rsidP="00FE7787">
          <w:pPr>
            <w:jc w:val="center"/>
            <w:rPr>
              <w:sz w:val="48"/>
              <w:szCs w:val="44"/>
            </w:rPr>
          </w:pPr>
          <w:r w:rsidRPr="00FE7787">
            <w:rPr>
              <w:b/>
              <w:bCs/>
              <w:sz w:val="48"/>
              <w:szCs w:val="44"/>
            </w:rPr>
            <w:t>Module code:</w:t>
          </w:r>
          <w:r w:rsidRPr="00FE7787">
            <w:rPr>
              <w:sz w:val="48"/>
              <w:szCs w:val="44"/>
            </w:rPr>
            <w:t xml:space="preserve"> BMIH6007</w:t>
          </w:r>
        </w:p>
        <w:p w14:paraId="156C50F7" w14:textId="7388255B" w:rsidR="006929C9" w:rsidRDefault="006929C9" w:rsidP="00FE7787">
          <w:pPr>
            <w:jc w:val="center"/>
            <w:rPr>
              <w:sz w:val="48"/>
              <w:szCs w:val="44"/>
            </w:rPr>
          </w:pPr>
          <w:r>
            <w:rPr>
              <w:sz w:val="48"/>
              <w:szCs w:val="44"/>
            </w:rPr>
            <w:t>AS1</w:t>
          </w:r>
        </w:p>
        <w:p w14:paraId="15B08CE0" w14:textId="1E704E07" w:rsidR="00986882" w:rsidRDefault="00986882" w:rsidP="00FE7787">
          <w:pPr>
            <w:jc w:val="center"/>
            <w:rPr>
              <w:sz w:val="48"/>
              <w:szCs w:val="44"/>
            </w:rPr>
          </w:pPr>
          <w:r>
            <w:rPr>
              <w:b/>
              <w:bCs/>
              <w:sz w:val="48"/>
              <w:szCs w:val="44"/>
            </w:rPr>
            <w:t xml:space="preserve">Lecturer Name: </w:t>
          </w:r>
          <w:r>
            <w:rPr>
              <w:sz w:val="48"/>
              <w:szCs w:val="44"/>
            </w:rPr>
            <w:t>Kathryn Flynn</w:t>
          </w:r>
        </w:p>
        <w:p w14:paraId="7CC25ECD" w14:textId="5CB11E6B" w:rsidR="00986882" w:rsidRDefault="00986882" w:rsidP="00FE7787">
          <w:pPr>
            <w:jc w:val="center"/>
            <w:rPr>
              <w:sz w:val="48"/>
              <w:szCs w:val="44"/>
            </w:rPr>
          </w:pPr>
          <w:r>
            <w:rPr>
              <w:b/>
              <w:bCs/>
              <w:sz w:val="48"/>
              <w:szCs w:val="44"/>
            </w:rPr>
            <w:t>Student name:</w:t>
          </w:r>
          <w:r>
            <w:rPr>
              <w:sz w:val="48"/>
              <w:szCs w:val="44"/>
            </w:rPr>
            <w:t xml:space="preserve"> Alexandra Gjoka</w:t>
          </w:r>
        </w:p>
        <w:p w14:paraId="2ECF8D18" w14:textId="69BC1743" w:rsidR="00986882" w:rsidRPr="00986882" w:rsidRDefault="00986882" w:rsidP="00FE7787">
          <w:pPr>
            <w:jc w:val="center"/>
            <w:rPr>
              <w:sz w:val="48"/>
              <w:szCs w:val="44"/>
            </w:rPr>
          </w:pPr>
          <w:r>
            <w:rPr>
              <w:b/>
              <w:bCs/>
              <w:sz w:val="48"/>
              <w:szCs w:val="44"/>
            </w:rPr>
            <w:t xml:space="preserve">Student number: </w:t>
          </w:r>
          <w:r>
            <w:rPr>
              <w:sz w:val="48"/>
              <w:szCs w:val="44"/>
            </w:rPr>
            <w:t>2224325</w:t>
          </w:r>
        </w:p>
        <w:p w14:paraId="62EB3511" w14:textId="15604D13" w:rsidR="00986882" w:rsidRPr="00FE7787" w:rsidRDefault="00986882" w:rsidP="00FE7787">
          <w:pPr>
            <w:jc w:val="center"/>
            <w:rPr>
              <w:sz w:val="48"/>
              <w:szCs w:val="44"/>
            </w:rPr>
          </w:pPr>
        </w:p>
        <w:p w14:paraId="71C22CD4" w14:textId="70BC90CA" w:rsidR="00FE7787" w:rsidRPr="00FE7787" w:rsidRDefault="00FE7787" w:rsidP="00FE7787">
          <w:pPr>
            <w:jc w:val="center"/>
            <w:rPr>
              <w:sz w:val="40"/>
              <w:szCs w:val="36"/>
            </w:rPr>
          </w:pPr>
          <w:r w:rsidRPr="00FE7787">
            <w:rPr>
              <w:sz w:val="40"/>
              <w:szCs w:val="36"/>
            </w:rPr>
            <w:lastRenderedPageBreak/>
            <w:t>“Equality, Diversity, and Inclusion in Industry: Feasibility Study for a MICE Event”</w:t>
          </w:r>
        </w:p>
        <w:p w14:paraId="1BB45569" w14:textId="2C0435CA" w:rsidR="00FE7787" w:rsidRDefault="00FE7787">
          <w:pPr>
            <w:spacing w:before="0" w:after="0" w:line="240" w:lineRule="auto"/>
            <w:jc w:val="left"/>
          </w:pPr>
          <w:r>
            <w:rPr>
              <w:b/>
              <w:bCs/>
            </w:rPr>
            <w:br w:type="page"/>
          </w:r>
        </w:p>
      </w:sdtContent>
    </w:sdt>
    <w:sdt>
      <w:sdtPr>
        <w:rPr>
          <w:rFonts w:ascii="Times New Roman" w:eastAsiaTheme="minorEastAsia" w:hAnsi="Times New Roman" w:cstheme="minorBidi"/>
          <w:b w:val="0"/>
          <w:bCs w:val="0"/>
          <w:color w:val="auto"/>
          <w:kern w:val="2"/>
          <w:sz w:val="24"/>
          <w:szCs w:val="22"/>
          <w:lang w:val="en-GB"/>
          <w14:ligatures w14:val="standardContextual"/>
        </w:rPr>
        <w:id w:val="1663889165"/>
        <w:docPartObj>
          <w:docPartGallery w:val="Table of Contents"/>
          <w:docPartUnique/>
        </w:docPartObj>
      </w:sdtPr>
      <w:sdtEndPr>
        <w:rPr>
          <w:noProof/>
        </w:rPr>
      </w:sdtEndPr>
      <w:sdtContent>
        <w:p w14:paraId="0B26CF95" w14:textId="6C412EFB" w:rsidR="00FE7787" w:rsidRPr="00FE7787" w:rsidRDefault="00FE7787">
          <w:pPr>
            <w:pStyle w:val="TOCHeading"/>
            <w:rPr>
              <w:rFonts w:ascii="Times New Roman" w:hAnsi="Times New Roman" w:cs="Times New Roman"/>
            </w:rPr>
          </w:pPr>
          <w:r w:rsidRPr="00FE7787">
            <w:rPr>
              <w:rFonts w:ascii="Times New Roman" w:hAnsi="Times New Roman" w:cs="Times New Roman"/>
            </w:rPr>
            <w:t>Table of Contents</w:t>
          </w:r>
        </w:p>
        <w:p w14:paraId="02D54F96" w14:textId="06CC1F86" w:rsidR="002D3489" w:rsidRDefault="00FE7787">
          <w:pPr>
            <w:pStyle w:val="TOC1"/>
            <w:tabs>
              <w:tab w:val="right" w:leader="dot" w:pos="9350"/>
            </w:tabs>
            <w:rPr>
              <w:rFonts w:cstheme="minorBidi"/>
              <w:b w:val="0"/>
              <w:bCs w:val="0"/>
              <w:i w:val="0"/>
              <w:iCs w:val="0"/>
              <w:noProof/>
              <w:szCs w:val="24"/>
              <w:lang w:val="en-US"/>
            </w:rPr>
          </w:pPr>
          <w:r w:rsidRPr="00FE7787">
            <w:rPr>
              <w:rFonts w:ascii="Times New Roman" w:hAnsi="Times New Roman"/>
              <w:b w:val="0"/>
              <w:bCs w:val="0"/>
              <w:i w:val="0"/>
              <w:iCs w:val="0"/>
            </w:rPr>
            <w:fldChar w:fldCharType="begin"/>
          </w:r>
          <w:r w:rsidRPr="00FE7787">
            <w:rPr>
              <w:rFonts w:ascii="Times New Roman" w:hAnsi="Times New Roman"/>
              <w:i w:val="0"/>
              <w:iCs w:val="0"/>
            </w:rPr>
            <w:instrText xml:space="preserve"> TOC \o "1-3" \h \z \u </w:instrText>
          </w:r>
          <w:r w:rsidRPr="00FE7787">
            <w:rPr>
              <w:rFonts w:ascii="Times New Roman" w:hAnsi="Times New Roman"/>
              <w:b w:val="0"/>
              <w:bCs w:val="0"/>
              <w:i w:val="0"/>
              <w:iCs w:val="0"/>
            </w:rPr>
            <w:fldChar w:fldCharType="separate"/>
          </w:r>
          <w:hyperlink w:anchor="_Toc189133160" w:history="1">
            <w:r w:rsidR="002D3489" w:rsidRPr="00A64B2E">
              <w:rPr>
                <w:rStyle w:val="Hyperlink"/>
                <w:noProof/>
                <w:lang w:bidi="bn-IN"/>
              </w:rPr>
              <w:t>Introduction</w:t>
            </w:r>
            <w:r w:rsidR="002D3489">
              <w:rPr>
                <w:noProof/>
                <w:webHidden/>
              </w:rPr>
              <w:tab/>
            </w:r>
            <w:r w:rsidR="002D3489">
              <w:rPr>
                <w:noProof/>
                <w:webHidden/>
              </w:rPr>
              <w:fldChar w:fldCharType="begin"/>
            </w:r>
            <w:r w:rsidR="002D3489">
              <w:rPr>
                <w:noProof/>
                <w:webHidden/>
              </w:rPr>
              <w:instrText xml:space="preserve"> PAGEREF _Toc189133160 \h </w:instrText>
            </w:r>
            <w:r w:rsidR="002D3489">
              <w:rPr>
                <w:noProof/>
                <w:webHidden/>
              </w:rPr>
            </w:r>
            <w:r w:rsidR="002D3489">
              <w:rPr>
                <w:noProof/>
                <w:webHidden/>
              </w:rPr>
              <w:fldChar w:fldCharType="separate"/>
            </w:r>
            <w:r w:rsidR="002D3489">
              <w:rPr>
                <w:noProof/>
                <w:webHidden/>
              </w:rPr>
              <w:t>2</w:t>
            </w:r>
            <w:r w:rsidR="002D3489">
              <w:rPr>
                <w:noProof/>
                <w:webHidden/>
              </w:rPr>
              <w:fldChar w:fldCharType="end"/>
            </w:r>
          </w:hyperlink>
        </w:p>
        <w:p w14:paraId="4C5AEEC1" w14:textId="50525F65" w:rsidR="002D3489" w:rsidRDefault="002D3489">
          <w:pPr>
            <w:pStyle w:val="TOC1"/>
            <w:tabs>
              <w:tab w:val="right" w:leader="dot" w:pos="9350"/>
            </w:tabs>
            <w:rPr>
              <w:rFonts w:cstheme="minorBidi"/>
              <w:b w:val="0"/>
              <w:bCs w:val="0"/>
              <w:i w:val="0"/>
              <w:iCs w:val="0"/>
              <w:noProof/>
              <w:szCs w:val="24"/>
              <w:lang w:val="en-US"/>
            </w:rPr>
          </w:pPr>
          <w:hyperlink w:anchor="_Toc189133161" w:history="1">
            <w:r w:rsidRPr="00A64B2E">
              <w:rPr>
                <w:rStyle w:val="Hyperlink"/>
                <w:noProof/>
                <w:lang w:bidi="bn-IN"/>
              </w:rPr>
              <w:t>Event Content and Context</w:t>
            </w:r>
            <w:r>
              <w:rPr>
                <w:noProof/>
                <w:webHidden/>
              </w:rPr>
              <w:tab/>
            </w:r>
            <w:r>
              <w:rPr>
                <w:noProof/>
                <w:webHidden/>
              </w:rPr>
              <w:fldChar w:fldCharType="begin"/>
            </w:r>
            <w:r>
              <w:rPr>
                <w:noProof/>
                <w:webHidden/>
              </w:rPr>
              <w:instrText xml:space="preserve"> PAGEREF _Toc189133161 \h </w:instrText>
            </w:r>
            <w:r>
              <w:rPr>
                <w:noProof/>
                <w:webHidden/>
              </w:rPr>
            </w:r>
            <w:r>
              <w:rPr>
                <w:noProof/>
                <w:webHidden/>
              </w:rPr>
              <w:fldChar w:fldCharType="separate"/>
            </w:r>
            <w:r>
              <w:rPr>
                <w:noProof/>
                <w:webHidden/>
              </w:rPr>
              <w:t>3</w:t>
            </w:r>
            <w:r>
              <w:rPr>
                <w:noProof/>
                <w:webHidden/>
              </w:rPr>
              <w:fldChar w:fldCharType="end"/>
            </w:r>
          </w:hyperlink>
        </w:p>
        <w:p w14:paraId="578643F9" w14:textId="49BCDA28" w:rsidR="002D3489" w:rsidRDefault="002D3489">
          <w:pPr>
            <w:pStyle w:val="TOC1"/>
            <w:tabs>
              <w:tab w:val="right" w:leader="dot" w:pos="9350"/>
            </w:tabs>
            <w:rPr>
              <w:rFonts w:cstheme="minorBidi"/>
              <w:b w:val="0"/>
              <w:bCs w:val="0"/>
              <w:i w:val="0"/>
              <w:iCs w:val="0"/>
              <w:noProof/>
              <w:szCs w:val="24"/>
              <w:lang w:val="en-US"/>
            </w:rPr>
          </w:pPr>
          <w:hyperlink w:anchor="_Toc189133162" w:history="1">
            <w:r w:rsidRPr="00A64B2E">
              <w:rPr>
                <w:rStyle w:val="Hyperlink"/>
                <w:noProof/>
                <w:lang w:bidi="bn-IN"/>
              </w:rPr>
              <w:t>Market Factors</w:t>
            </w:r>
            <w:r>
              <w:rPr>
                <w:noProof/>
                <w:webHidden/>
              </w:rPr>
              <w:tab/>
            </w:r>
            <w:r>
              <w:rPr>
                <w:noProof/>
                <w:webHidden/>
              </w:rPr>
              <w:fldChar w:fldCharType="begin"/>
            </w:r>
            <w:r>
              <w:rPr>
                <w:noProof/>
                <w:webHidden/>
              </w:rPr>
              <w:instrText xml:space="preserve"> PAGEREF _Toc189133162 \h </w:instrText>
            </w:r>
            <w:r>
              <w:rPr>
                <w:noProof/>
                <w:webHidden/>
              </w:rPr>
            </w:r>
            <w:r>
              <w:rPr>
                <w:noProof/>
                <w:webHidden/>
              </w:rPr>
              <w:fldChar w:fldCharType="separate"/>
            </w:r>
            <w:r>
              <w:rPr>
                <w:noProof/>
                <w:webHidden/>
              </w:rPr>
              <w:t>5</w:t>
            </w:r>
            <w:r>
              <w:rPr>
                <w:noProof/>
                <w:webHidden/>
              </w:rPr>
              <w:fldChar w:fldCharType="end"/>
            </w:r>
          </w:hyperlink>
        </w:p>
        <w:p w14:paraId="54EA7A7A" w14:textId="020C857E" w:rsidR="002D3489" w:rsidRDefault="002D3489">
          <w:pPr>
            <w:pStyle w:val="TOC2"/>
            <w:tabs>
              <w:tab w:val="right" w:leader="dot" w:pos="9350"/>
            </w:tabs>
            <w:rPr>
              <w:rFonts w:cstheme="minorBidi"/>
              <w:b w:val="0"/>
              <w:bCs w:val="0"/>
              <w:noProof/>
              <w:sz w:val="24"/>
              <w:szCs w:val="24"/>
              <w:lang w:val="en-US"/>
            </w:rPr>
          </w:pPr>
          <w:hyperlink w:anchor="_Toc189133163" w:history="1">
            <w:r w:rsidRPr="00A64B2E">
              <w:rPr>
                <w:rStyle w:val="Hyperlink"/>
                <w:noProof/>
              </w:rPr>
              <w:t>Target Market</w:t>
            </w:r>
            <w:r>
              <w:rPr>
                <w:noProof/>
                <w:webHidden/>
              </w:rPr>
              <w:tab/>
            </w:r>
            <w:r>
              <w:rPr>
                <w:noProof/>
                <w:webHidden/>
              </w:rPr>
              <w:fldChar w:fldCharType="begin"/>
            </w:r>
            <w:r>
              <w:rPr>
                <w:noProof/>
                <w:webHidden/>
              </w:rPr>
              <w:instrText xml:space="preserve"> PAGEREF _Toc189133163 \h </w:instrText>
            </w:r>
            <w:r>
              <w:rPr>
                <w:noProof/>
                <w:webHidden/>
              </w:rPr>
            </w:r>
            <w:r>
              <w:rPr>
                <w:noProof/>
                <w:webHidden/>
              </w:rPr>
              <w:fldChar w:fldCharType="separate"/>
            </w:r>
            <w:r>
              <w:rPr>
                <w:noProof/>
                <w:webHidden/>
              </w:rPr>
              <w:t>5</w:t>
            </w:r>
            <w:r>
              <w:rPr>
                <w:noProof/>
                <w:webHidden/>
              </w:rPr>
              <w:fldChar w:fldCharType="end"/>
            </w:r>
          </w:hyperlink>
        </w:p>
        <w:p w14:paraId="42697E0D" w14:textId="1E3DF31D" w:rsidR="002D3489" w:rsidRDefault="002D3489">
          <w:pPr>
            <w:pStyle w:val="TOC2"/>
            <w:tabs>
              <w:tab w:val="right" w:leader="dot" w:pos="9350"/>
            </w:tabs>
            <w:rPr>
              <w:rFonts w:cstheme="minorBidi"/>
              <w:b w:val="0"/>
              <w:bCs w:val="0"/>
              <w:noProof/>
              <w:sz w:val="24"/>
              <w:szCs w:val="24"/>
              <w:lang w:val="en-US"/>
            </w:rPr>
          </w:pPr>
          <w:hyperlink w:anchor="_Toc189133164" w:history="1">
            <w:r w:rsidRPr="00A64B2E">
              <w:rPr>
                <w:rStyle w:val="Hyperlink"/>
                <w:noProof/>
              </w:rPr>
              <w:t>Demand and Supply</w:t>
            </w:r>
            <w:r>
              <w:rPr>
                <w:noProof/>
                <w:webHidden/>
              </w:rPr>
              <w:tab/>
            </w:r>
            <w:r>
              <w:rPr>
                <w:noProof/>
                <w:webHidden/>
              </w:rPr>
              <w:fldChar w:fldCharType="begin"/>
            </w:r>
            <w:r>
              <w:rPr>
                <w:noProof/>
                <w:webHidden/>
              </w:rPr>
              <w:instrText xml:space="preserve"> PAGEREF _Toc189133164 \h </w:instrText>
            </w:r>
            <w:r>
              <w:rPr>
                <w:noProof/>
                <w:webHidden/>
              </w:rPr>
            </w:r>
            <w:r>
              <w:rPr>
                <w:noProof/>
                <w:webHidden/>
              </w:rPr>
              <w:fldChar w:fldCharType="separate"/>
            </w:r>
            <w:r>
              <w:rPr>
                <w:noProof/>
                <w:webHidden/>
              </w:rPr>
              <w:t>5</w:t>
            </w:r>
            <w:r>
              <w:rPr>
                <w:noProof/>
                <w:webHidden/>
              </w:rPr>
              <w:fldChar w:fldCharType="end"/>
            </w:r>
          </w:hyperlink>
        </w:p>
        <w:p w14:paraId="6415897E" w14:textId="3DE8F259" w:rsidR="002D3489" w:rsidRDefault="002D3489">
          <w:pPr>
            <w:pStyle w:val="TOC2"/>
            <w:tabs>
              <w:tab w:val="right" w:leader="dot" w:pos="9350"/>
            </w:tabs>
            <w:rPr>
              <w:rFonts w:cstheme="minorBidi"/>
              <w:b w:val="0"/>
              <w:bCs w:val="0"/>
              <w:noProof/>
              <w:sz w:val="24"/>
              <w:szCs w:val="24"/>
              <w:lang w:val="en-US"/>
            </w:rPr>
          </w:pPr>
          <w:hyperlink w:anchor="_Toc189133165" w:history="1">
            <w:r w:rsidRPr="00A64B2E">
              <w:rPr>
                <w:rStyle w:val="Hyperlink"/>
                <w:noProof/>
              </w:rPr>
              <w:t>Competition</w:t>
            </w:r>
            <w:r>
              <w:rPr>
                <w:noProof/>
                <w:webHidden/>
              </w:rPr>
              <w:tab/>
            </w:r>
            <w:r>
              <w:rPr>
                <w:noProof/>
                <w:webHidden/>
              </w:rPr>
              <w:fldChar w:fldCharType="begin"/>
            </w:r>
            <w:r>
              <w:rPr>
                <w:noProof/>
                <w:webHidden/>
              </w:rPr>
              <w:instrText xml:space="preserve"> PAGEREF _Toc189133165 \h </w:instrText>
            </w:r>
            <w:r>
              <w:rPr>
                <w:noProof/>
                <w:webHidden/>
              </w:rPr>
            </w:r>
            <w:r>
              <w:rPr>
                <w:noProof/>
                <w:webHidden/>
              </w:rPr>
              <w:fldChar w:fldCharType="separate"/>
            </w:r>
            <w:r>
              <w:rPr>
                <w:noProof/>
                <w:webHidden/>
              </w:rPr>
              <w:t>6</w:t>
            </w:r>
            <w:r>
              <w:rPr>
                <w:noProof/>
                <w:webHidden/>
              </w:rPr>
              <w:fldChar w:fldCharType="end"/>
            </w:r>
          </w:hyperlink>
        </w:p>
        <w:p w14:paraId="29489FA2" w14:textId="6AC8EDE9" w:rsidR="002D3489" w:rsidRDefault="002D3489">
          <w:pPr>
            <w:pStyle w:val="TOC2"/>
            <w:tabs>
              <w:tab w:val="right" w:leader="dot" w:pos="9350"/>
            </w:tabs>
            <w:rPr>
              <w:rFonts w:cstheme="minorBidi"/>
              <w:b w:val="0"/>
              <w:bCs w:val="0"/>
              <w:noProof/>
              <w:sz w:val="24"/>
              <w:szCs w:val="24"/>
              <w:lang w:val="en-US"/>
            </w:rPr>
          </w:pPr>
          <w:hyperlink w:anchor="_Toc189133166" w:history="1">
            <w:r w:rsidRPr="00A64B2E">
              <w:rPr>
                <w:rStyle w:val="Hyperlink"/>
                <w:noProof/>
              </w:rPr>
              <w:t>Marketing Strategy</w:t>
            </w:r>
            <w:r>
              <w:rPr>
                <w:noProof/>
                <w:webHidden/>
              </w:rPr>
              <w:tab/>
            </w:r>
            <w:r>
              <w:rPr>
                <w:noProof/>
                <w:webHidden/>
              </w:rPr>
              <w:fldChar w:fldCharType="begin"/>
            </w:r>
            <w:r>
              <w:rPr>
                <w:noProof/>
                <w:webHidden/>
              </w:rPr>
              <w:instrText xml:space="preserve"> PAGEREF _Toc189133166 \h </w:instrText>
            </w:r>
            <w:r>
              <w:rPr>
                <w:noProof/>
                <w:webHidden/>
              </w:rPr>
            </w:r>
            <w:r>
              <w:rPr>
                <w:noProof/>
                <w:webHidden/>
              </w:rPr>
              <w:fldChar w:fldCharType="separate"/>
            </w:r>
            <w:r>
              <w:rPr>
                <w:noProof/>
                <w:webHidden/>
              </w:rPr>
              <w:t>6</w:t>
            </w:r>
            <w:r>
              <w:rPr>
                <w:noProof/>
                <w:webHidden/>
              </w:rPr>
              <w:fldChar w:fldCharType="end"/>
            </w:r>
          </w:hyperlink>
        </w:p>
        <w:p w14:paraId="6220E32A" w14:textId="39113E75" w:rsidR="002D3489" w:rsidRDefault="002D3489">
          <w:pPr>
            <w:pStyle w:val="TOC1"/>
            <w:tabs>
              <w:tab w:val="right" w:leader="dot" w:pos="9350"/>
            </w:tabs>
            <w:rPr>
              <w:rFonts w:cstheme="minorBidi"/>
              <w:b w:val="0"/>
              <w:bCs w:val="0"/>
              <w:i w:val="0"/>
              <w:iCs w:val="0"/>
              <w:noProof/>
              <w:szCs w:val="24"/>
              <w:lang w:val="en-US"/>
            </w:rPr>
          </w:pPr>
          <w:hyperlink w:anchor="_Toc189133167" w:history="1">
            <w:r w:rsidRPr="00A64B2E">
              <w:rPr>
                <w:rStyle w:val="Hyperlink"/>
                <w:noProof/>
                <w:lang w:bidi="bn-IN"/>
              </w:rPr>
              <w:t>Operational Factors</w:t>
            </w:r>
            <w:r>
              <w:rPr>
                <w:noProof/>
                <w:webHidden/>
              </w:rPr>
              <w:tab/>
            </w:r>
            <w:r>
              <w:rPr>
                <w:noProof/>
                <w:webHidden/>
              </w:rPr>
              <w:fldChar w:fldCharType="begin"/>
            </w:r>
            <w:r>
              <w:rPr>
                <w:noProof/>
                <w:webHidden/>
              </w:rPr>
              <w:instrText xml:space="preserve"> PAGEREF _Toc189133167 \h </w:instrText>
            </w:r>
            <w:r>
              <w:rPr>
                <w:noProof/>
                <w:webHidden/>
              </w:rPr>
            </w:r>
            <w:r>
              <w:rPr>
                <w:noProof/>
                <w:webHidden/>
              </w:rPr>
              <w:fldChar w:fldCharType="separate"/>
            </w:r>
            <w:r>
              <w:rPr>
                <w:noProof/>
                <w:webHidden/>
              </w:rPr>
              <w:t>6</w:t>
            </w:r>
            <w:r>
              <w:rPr>
                <w:noProof/>
                <w:webHidden/>
              </w:rPr>
              <w:fldChar w:fldCharType="end"/>
            </w:r>
          </w:hyperlink>
        </w:p>
        <w:p w14:paraId="22B7AFE1" w14:textId="13A061A9" w:rsidR="002D3489" w:rsidRDefault="002D3489">
          <w:pPr>
            <w:pStyle w:val="TOC2"/>
            <w:tabs>
              <w:tab w:val="right" w:leader="dot" w:pos="9350"/>
            </w:tabs>
            <w:rPr>
              <w:rFonts w:cstheme="minorBidi"/>
              <w:b w:val="0"/>
              <w:bCs w:val="0"/>
              <w:noProof/>
              <w:sz w:val="24"/>
              <w:szCs w:val="24"/>
              <w:lang w:val="en-US"/>
            </w:rPr>
          </w:pPr>
          <w:hyperlink w:anchor="_Toc189133168" w:history="1">
            <w:r w:rsidRPr="00A64B2E">
              <w:rPr>
                <w:rStyle w:val="Hyperlink"/>
                <w:noProof/>
              </w:rPr>
              <w:t>Venue and Location</w:t>
            </w:r>
            <w:r>
              <w:rPr>
                <w:noProof/>
                <w:webHidden/>
              </w:rPr>
              <w:tab/>
            </w:r>
            <w:r>
              <w:rPr>
                <w:noProof/>
                <w:webHidden/>
              </w:rPr>
              <w:fldChar w:fldCharType="begin"/>
            </w:r>
            <w:r>
              <w:rPr>
                <w:noProof/>
                <w:webHidden/>
              </w:rPr>
              <w:instrText xml:space="preserve"> PAGEREF _Toc189133168 \h </w:instrText>
            </w:r>
            <w:r>
              <w:rPr>
                <w:noProof/>
                <w:webHidden/>
              </w:rPr>
            </w:r>
            <w:r>
              <w:rPr>
                <w:noProof/>
                <w:webHidden/>
              </w:rPr>
              <w:fldChar w:fldCharType="separate"/>
            </w:r>
            <w:r>
              <w:rPr>
                <w:noProof/>
                <w:webHidden/>
              </w:rPr>
              <w:t>7</w:t>
            </w:r>
            <w:r>
              <w:rPr>
                <w:noProof/>
                <w:webHidden/>
              </w:rPr>
              <w:fldChar w:fldCharType="end"/>
            </w:r>
          </w:hyperlink>
        </w:p>
        <w:p w14:paraId="7BE31A9C" w14:textId="41F08B5D" w:rsidR="002D3489" w:rsidRDefault="002D3489">
          <w:pPr>
            <w:pStyle w:val="TOC2"/>
            <w:tabs>
              <w:tab w:val="right" w:leader="dot" w:pos="9350"/>
            </w:tabs>
            <w:rPr>
              <w:rFonts w:cstheme="minorBidi"/>
              <w:b w:val="0"/>
              <w:bCs w:val="0"/>
              <w:noProof/>
              <w:sz w:val="24"/>
              <w:szCs w:val="24"/>
              <w:lang w:val="en-US"/>
            </w:rPr>
          </w:pPr>
          <w:hyperlink w:anchor="_Toc189133169" w:history="1">
            <w:r w:rsidRPr="00A64B2E">
              <w:rPr>
                <w:rStyle w:val="Hyperlink"/>
                <w:noProof/>
              </w:rPr>
              <w:t>Staffing and Resources</w:t>
            </w:r>
            <w:r>
              <w:rPr>
                <w:noProof/>
                <w:webHidden/>
              </w:rPr>
              <w:tab/>
            </w:r>
            <w:r>
              <w:rPr>
                <w:noProof/>
                <w:webHidden/>
              </w:rPr>
              <w:fldChar w:fldCharType="begin"/>
            </w:r>
            <w:r>
              <w:rPr>
                <w:noProof/>
                <w:webHidden/>
              </w:rPr>
              <w:instrText xml:space="preserve"> PAGEREF _Toc189133169 \h </w:instrText>
            </w:r>
            <w:r>
              <w:rPr>
                <w:noProof/>
                <w:webHidden/>
              </w:rPr>
            </w:r>
            <w:r>
              <w:rPr>
                <w:noProof/>
                <w:webHidden/>
              </w:rPr>
              <w:fldChar w:fldCharType="separate"/>
            </w:r>
            <w:r>
              <w:rPr>
                <w:noProof/>
                <w:webHidden/>
              </w:rPr>
              <w:t>7</w:t>
            </w:r>
            <w:r>
              <w:rPr>
                <w:noProof/>
                <w:webHidden/>
              </w:rPr>
              <w:fldChar w:fldCharType="end"/>
            </w:r>
          </w:hyperlink>
        </w:p>
        <w:p w14:paraId="5280C4A3" w14:textId="77885C66" w:rsidR="002D3489" w:rsidRDefault="002D3489">
          <w:pPr>
            <w:pStyle w:val="TOC2"/>
            <w:tabs>
              <w:tab w:val="right" w:leader="dot" w:pos="9350"/>
            </w:tabs>
            <w:rPr>
              <w:rFonts w:cstheme="minorBidi"/>
              <w:b w:val="0"/>
              <w:bCs w:val="0"/>
              <w:noProof/>
              <w:sz w:val="24"/>
              <w:szCs w:val="24"/>
              <w:lang w:val="en-US"/>
            </w:rPr>
          </w:pPr>
          <w:hyperlink w:anchor="_Toc189133170" w:history="1">
            <w:r w:rsidRPr="00A64B2E">
              <w:rPr>
                <w:rStyle w:val="Hyperlink"/>
                <w:noProof/>
              </w:rPr>
              <w:t>Logistics</w:t>
            </w:r>
            <w:r>
              <w:rPr>
                <w:noProof/>
                <w:webHidden/>
              </w:rPr>
              <w:tab/>
            </w:r>
            <w:r>
              <w:rPr>
                <w:noProof/>
                <w:webHidden/>
              </w:rPr>
              <w:fldChar w:fldCharType="begin"/>
            </w:r>
            <w:r>
              <w:rPr>
                <w:noProof/>
                <w:webHidden/>
              </w:rPr>
              <w:instrText xml:space="preserve"> PAGEREF _Toc189133170 \h </w:instrText>
            </w:r>
            <w:r>
              <w:rPr>
                <w:noProof/>
                <w:webHidden/>
              </w:rPr>
            </w:r>
            <w:r>
              <w:rPr>
                <w:noProof/>
                <w:webHidden/>
              </w:rPr>
              <w:fldChar w:fldCharType="separate"/>
            </w:r>
            <w:r>
              <w:rPr>
                <w:noProof/>
                <w:webHidden/>
              </w:rPr>
              <w:t>7</w:t>
            </w:r>
            <w:r>
              <w:rPr>
                <w:noProof/>
                <w:webHidden/>
              </w:rPr>
              <w:fldChar w:fldCharType="end"/>
            </w:r>
          </w:hyperlink>
        </w:p>
        <w:p w14:paraId="310485B2" w14:textId="0D1EDDF2" w:rsidR="002D3489" w:rsidRDefault="002D3489">
          <w:pPr>
            <w:pStyle w:val="TOC1"/>
            <w:tabs>
              <w:tab w:val="right" w:leader="dot" w:pos="9350"/>
            </w:tabs>
            <w:rPr>
              <w:rFonts w:cstheme="minorBidi"/>
              <w:b w:val="0"/>
              <w:bCs w:val="0"/>
              <w:i w:val="0"/>
              <w:iCs w:val="0"/>
              <w:noProof/>
              <w:szCs w:val="24"/>
              <w:lang w:val="en-US"/>
            </w:rPr>
          </w:pPr>
          <w:hyperlink w:anchor="_Toc189133171" w:history="1">
            <w:r w:rsidRPr="00A64B2E">
              <w:rPr>
                <w:rStyle w:val="Hyperlink"/>
                <w:noProof/>
                <w:lang w:bidi="bn-IN"/>
              </w:rPr>
              <w:t>Financial Factors</w:t>
            </w:r>
            <w:r>
              <w:rPr>
                <w:noProof/>
                <w:webHidden/>
              </w:rPr>
              <w:tab/>
            </w:r>
            <w:r>
              <w:rPr>
                <w:noProof/>
                <w:webHidden/>
              </w:rPr>
              <w:fldChar w:fldCharType="begin"/>
            </w:r>
            <w:r>
              <w:rPr>
                <w:noProof/>
                <w:webHidden/>
              </w:rPr>
              <w:instrText xml:space="preserve"> PAGEREF _Toc189133171 \h </w:instrText>
            </w:r>
            <w:r>
              <w:rPr>
                <w:noProof/>
                <w:webHidden/>
              </w:rPr>
            </w:r>
            <w:r>
              <w:rPr>
                <w:noProof/>
                <w:webHidden/>
              </w:rPr>
              <w:fldChar w:fldCharType="separate"/>
            </w:r>
            <w:r>
              <w:rPr>
                <w:noProof/>
                <w:webHidden/>
              </w:rPr>
              <w:t>8</w:t>
            </w:r>
            <w:r>
              <w:rPr>
                <w:noProof/>
                <w:webHidden/>
              </w:rPr>
              <w:fldChar w:fldCharType="end"/>
            </w:r>
          </w:hyperlink>
        </w:p>
        <w:p w14:paraId="1589C765" w14:textId="760D123D" w:rsidR="002D3489" w:rsidRDefault="002D3489">
          <w:pPr>
            <w:pStyle w:val="TOC2"/>
            <w:tabs>
              <w:tab w:val="right" w:leader="dot" w:pos="9350"/>
            </w:tabs>
            <w:rPr>
              <w:rFonts w:cstheme="minorBidi"/>
              <w:b w:val="0"/>
              <w:bCs w:val="0"/>
              <w:noProof/>
              <w:sz w:val="24"/>
              <w:szCs w:val="24"/>
              <w:lang w:val="en-US"/>
            </w:rPr>
          </w:pPr>
          <w:hyperlink w:anchor="_Toc189133172" w:history="1">
            <w:r w:rsidRPr="00A64B2E">
              <w:rPr>
                <w:rStyle w:val="Hyperlink"/>
                <w:noProof/>
              </w:rPr>
              <w:t>Predicted Costs and Revenue</w:t>
            </w:r>
            <w:r>
              <w:rPr>
                <w:noProof/>
                <w:webHidden/>
              </w:rPr>
              <w:tab/>
            </w:r>
            <w:r>
              <w:rPr>
                <w:noProof/>
                <w:webHidden/>
              </w:rPr>
              <w:fldChar w:fldCharType="begin"/>
            </w:r>
            <w:r>
              <w:rPr>
                <w:noProof/>
                <w:webHidden/>
              </w:rPr>
              <w:instrText xml:space="preserve"> PAGEREF _Toc189133172 \h </w:instrText>
            </w:r>
            <w:r>
              <w:rPr>
                <w:noProof/>
                <w:webHidden/>
              </w:rPr>
            </w:r>
            <w:r>
              <w:rPr>
                <w:noProof/>
                <w:webHidden/>
              </w:rPr>
              <w:fldChar w:fldCharType="separate"/>
            </w:r>
            <w:r>
              <w:rPr>
                <w:noProof/>
                <w:webHidden/>
              </w:rPr>
              <w:t>8</w:t>
            </w:r>
            <w:r>
              <w:rPr>
                <w:noProof/>
                <w:webHidden/>
              </w:rPr>
              <w:fldChar w:fldCharType="end"/>
            </w:r>
          </w:hyperlink>
        </w:p>
        <w:p w14:paraId="61B33D57" w14:textId="41CFDDE1" w:rsidR="002D3489" w:rsidRDefault="002D3489">
          <w:pPr>
            <w:pStyle w:val="TOC1"/>
            <w:tabs>
              <w:tab w:val="right" w:leader="dot" w:pos="9350"/>
            </w:tabs>
            <w:rPr>
              <w:rFonts w:cstheme="minorBidi"/>
              <w:b w:val="0"/>
              <w:bCs w:val="0"/>
              <w:i w:val="0"/>
              <w:iCs w:val="0"/>
              <w:noProof/>
              <w:szCs w:val="24"/>
              <w:lang w:val="en-US"/>
            </w:rPr>
          </w:pPr>
          <w:hyperlink w:anchor="_Toc189133173" w:history="1">
            <w:r w:rsidRPr="00A64B2E">
              <w:rPr>
                <w:rStyle w:val="Hyperlink"/>
                <w:noProof/>
                <w:lang w:bidi="bn-IN"/>
              </w:rPr>
              <w:t>Critical Feasibility Analysis</w:t>
            </w:r>
            <w:r>
              <w:rPr>
                <w:noProof/>
                <w:webHidden/>
              </w:rPr>
              <w:tab/>
            </w:r>
            <w:r>
              <w:rPr>
                <w:noProof/>
                <w:webHidden/>
              </w:rPr>
              <w:fldChar w:fldCharType="begin"/>
            </w:r>
            <w:r>
              <w:rPr>
                <w:noProof/>
                <w:webHidden/>
              </w:rPr>
              <w:instrText xml:space="preserve"> PAGEREF _Toc189133173 \h </w:instrText>
            </w:r>
            <w:r>
              <w:rPr>
                <w:noProof/>
                <w:webHidden/>
              </w:rPr>
            </w:r>
            <w:r>
              <w:rPr>
                <w:noProof/>
                <w:webHidden/>
              </w:rPr>
              <w:fldChar w:fldCharType="separate"/>
            </w:r>
            <w:r>
              <w:rPr>
                <w:noProof/>
                <w:webHidden/>
              </w:rPr>
              <w:t>10</w:t>
            </w:r>
            <w:r>
              <w:rPr>
                <w:noProof/>
                <w:webHidden/>
              </w:rPr>
              <w:fldChar w:fldCharType="end"/>
            </w:r>
          </w:hyperlink>
        </w:p>
        <w:p w14:paraId="34450FAB" w14:textId="52EB81A5" w:rsidR="002D3489" w:rsidRDefault="002D3489">
          <w:pPr>
            <w:pStyle w:val="TOC1"/>
            <w:tabs>
              <w:tab w:val="right" w:leader="dot" w:pos="9350"/>
            </w:tabs>
            <w:rPr>
              <w:rFonts w:cstheme="minorBidi"/>
              <w:b w:val="0"/>
              <w:bCs w:val="0"/>
              <w:i w:val="0"/>
              <w:iCs w:val="0"/>
              <w:noProof/>
              <w:szCs w:val="24"/>
              <w:lang w:val="en-US"/>
            </w:rPr>
          </w:pPr>
          <w:hyperlink w:anchor="_Toc189133174" w:history="1">
            <w:r w:rsidRPr="00A64B2E">
              <w:rPr>
                <w:rStyle w:val="Hyperlink"/>
                <w:noProof/>
              </w:rPr>
              <w:t>Conclusion</w:t>
            </w:r>
            <w:r>
              <w:rPr>
                <w:noProof/>
                <w:webHidden/>
              </w:rPr>
              <w:tab/>
            </w:r>
            <w:r>
              <w:rPr>
                <w:noProof/>
                <w:webHidden/>
              </w:rPr>
              <w:fldChar w:fldCharType="begin"/>
            </w:r>
            <w:r>
              <w:rPr>
                <w:noProof/>
                <w:webHidden/>
              </w:rPr>
              <w:instrText xml:space="preserve"> PAGEREF _Toc189133174 \h </w:instrText>
            </w:r>
            <w:r>
              <w:rPr>
                <w:noProof/>
                <w:webHidden/>
              </w:rPr>
            </w:r>
            <w:r>
              <w:rPr>
                <w:noProof/>
                <w:webHidden/>
              </w:rPr>
              <w:fldChar w:fldCharType="separate"/>
            </w:r>
            <w:r>
              <w:rPr>
                <w:noProof/>
                <w:webHidden/>
              </w:rPr>
              <w:t>11</w:t>
            </w:r>
            <w:r>
              <w:rPr>
                <w:noProof/>
                <w:webHidden/>
              </w:rPr>
              <w:fldChar w:fldCharType="end"/>
            </w:r>
          </w:hyperlink>
        </w:p>
        <w:p w14:paraId="5876DD86" w14:textId="3F67A393" w:rsidR="002D3489" w:rsidRDefault="002D3489">
          <w:pPr>
            <w:pStyle w:val="TOC1"/>
            <w:tabs>
              <w:tab w:val="right" w:leader="dot" w:pos="9350"/>
            </w:tabs>
            <w:rPr>
              <w:rFonts w:cstheme="minorBidi"/>
              <w:b w:val="0"/>
              <w:bCs w:val="0"/>
              <w:i w:val="0"/>
              <w:iCs w:val="0"/>
              <w:noProof/>
              <w:szCs w:val="24"/>
              <w:lang w:val="en-US"/>
            </w:rPr>
          </w:pPr>
          <w:hyperlink w:anchor="_Toc189133175" w:history="1">
            <w:r w:rsidRPr="00A64B2E">
              <w:rPr>
                <w:rStyle w:val="Hyperlink"/>
                <w:noProof/>
              </w:rPr>
              <w:t>References:</w:t>
            </w:r>
            <w:r>
              <w:rPr>
                <w:noProof/>
                <w:webHidden/>
              </w:rPr>
              <w:tab/>
            </w:r>
            <w:r>
              <w:rPr>
                <w:noProof/>
                <w:webHidden/>
              </w:rPr>
              <w:fldChar w:fldCharType="begin"/>
            </w:r>
            <w:r>
              <w:rPr>
                <w:noProof/>
                <w:webHidden/>
              </w:rPr>
              <w:instrText xml:space="preserve"> PAGEREF _Toc189133175 \h </w:instrText>
            </w:r>
            <w:r>
              <w:rPr>
                <w:noProof/>
                <w:webHidden/>
              </w:rPr>
            </w:r>
            <w:r>
              <w:rPr>
                <w:noProof/>
                <w:webHidden/>
              </w:rPr>
              <w:fldChar w:fldCharType="separate"/>
            </w:r>
            <w:r>
              <w:rPr>
                <w:noProof/>
                <w:webHidden/>
              </w:rPr>
              <w:t>12</w:t>
            </w:r>
            <w:r>
              <w:rPr>
                <w:noProof/>
                <w:webHidden/>
              </w:rPr>
              <w:fldChar w:fldCharType="end"/>
            </w:r>
          </w:hyperlink>
        </w:p>
        <w:p w14:paraId="6AF63D99" w14:textId="631D45AE" w:rsidR="00FE7787" w:rsidRDefault="00FE7787">
          <w:r w:rsidRPr="00FE7787">
            <w:rPr>
              <w:rFonts w:cs="Times New Roman"/>
              <w:b/>
              <w:bCs/>
              <w:noProof/>
            </w:rPr>
            <w:fldChar w:fldCharType="end"/>
          </w:r>
        </w:p>
      </w:sdtContent>
    </w:sdt>
    <w:p w14:paraId="1A4035EB" w14:textId="77777777" w:rsidR="00842F7C" w:rsidRDefault="00842F7C" w:rsidP="005F79E5">
      <w:pPr>
        <w:pStyle w:val="Heading1"/>
      </w:pPr>
    </w:p>
    <w:p w14:paraId="2903E82D" w14:textId="77777777" w:rsidR="00842F7C" w:rsidRDefault="00842F7C">
      <w:pPr>
        <w:spacing w:before="0" w:after="0" w:line="240" w:lineRule="auto"/>
        <w:jc w:val="left"/>
        <w:rPr>
          <w:rFonts w:eastAsiaTheme="majorEastAsia" w:cstheme="majorBidi"/>
          <w:color w:val="000000" w:themeColor="text1"/>
          <w:sz w:val="32"/>
          <w:szCs w:val="32"/>
          <w:lang w:val="en-US" w:bidi="bn-IN"/>
        </w:rPr>
      </w:pPr>
      <w:r>
        <w:br w:type="page"/>
      </w:r>
    </w:p>
    <w:p w14:paraId="609392C6" w14:textId="50ABEBBD" w:rsidR="00842F7C" w:rsidRDefault="00FE7787" w:rsidP="00FE7787">
      <w:r w:rsidRPr="00FE7787">
        <w:rPr>
          <w:noProof/>
        </w:rPr>
        <w:lastRenderedPageBreak/>
        <w:drawing>
          <wp:inline distT="0" distB="0" distL="0" distR="0" wp14:anchorId="6E7F8CB2" wp14:editId="31DEE96A">
            <wp:extent cx="5943600" cy="3343275"/>
            <wp:effectExtent l="0" t="0" r="0" b="0"/>
            <wp:docPr id="1486900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900856" name=""/>
                    <pic:cNvPicPr/>
                  </pic:nvPicPr>
                  <pic:blipFill>
                    <a:blip r:embed="rId8"/>
                    <a:stretch>
                      <a:fillRect/>
                    </a:stretch>
                  </pic:blipFill>
                  <pic:spPr>
                    <a:xfrm>
                      <a:off x="0" y="0"/>
                      <a:ext cx="5943600" cy="3343275"/>
                    </a:xfrm>
                    <a:prstGeom prst="rect">
                      <a:avLst/>
                    </a:prstGeom>
                  </pic:spPr>
                </pic:pic>
              </a:graphicData>
            </a:graphic>
          </wp:inline>
        </w:drawing>
      </w:r>
    </w:p>
    <w:p w14:paraId="7ADD5E0B" w14:textId="2A06C3D5" w:rsidR="005F79E5" w:rsidRDefault="005F79E5" w:rsidP="005F79E5">
      <w:pPr>
        <w:pStyle w:val="Heading1"/>
      </w:pPr>
      <w:bookmarkStart w:id="0" w:name="_Toc189133160"/>
      <w:r>
        <w:t>Introduction</w:t>
      </w:r>
      <w:bookmarkEnd w:id="0"/>
    </w:p>
    <w:p w14:paraId="11A1387F" w14:textId="7148F2AE" w:rsidR="00842F7C" w:rsidRPr="00842F7C" w:rsidRDefault="00FE7787" w:rsidP="00842F7C">
      <w:pPr>
        <w:rPr>
          <w:lang w:val="en-US" w:bidi="bn-IN"/>
        </w:rPr>
      </w:pPr>
      <w:r w:rsidRPr="00FE7787">
        <w:rPr>
          <w:noProof/>
          <w:lang w:val="en-US" w:bidi="bn-IN"/>
        </w:rPr>
        <w:drawing>
          <wp:inline distT="0" distB="0" distL="0" distR="0" wp14:anchorId="1693043C" wp14:editId="2734BF4F">
            <wp:extent cx="5943600" cy="3343275"/>
            <wp:effectExtent l="0" t="0" r="0" b="0"/>
            <wp:docPr id="2056399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399187" name=""/>
                    <pic:cNvPicPr/>
                  </pic:nvPicPr>
                  <pic:blipFill>
                    <a:blip r:embed="rId9"/>
                    <a:stretch>
                      <a:fillRect/>
                    </a:stretch>
                  </pic:blipFill>
                  <pic:spPr>
                    <a:xfrm>
                      <a:off x="0" y="0"/>
                      <a:ext cx="5943600" cy="3343275"/>
                    </a:xfrm>
                    <a:prstGeom prst="rect">
                      <a:avLst/>
                    </a:prstGeom>
                  </pic:spPr>
                </pic:pic>
              </a:graphicData>
            </a:graphic>
          </wp:inline>
        </w:drawing>
      </w:r>
    </w:p>
    <w:p w14:paraId="248D2EDC" w14:textId="5A3AC59B" w:rsidR="005F79E5" w:rsidRDefault="005F79E5" w:rsidP="005F79E5">
      <w:r>
        <w:t xml:space="preserve">The Meetings, Incentives, Conferences and Exhibitions (MICE) industry is a pillar of the hospitality sector and is a place where collaborative ideas and innovations are generated, as well </w:t>
      </w:r>
      <w:r>
        <w:lastRenderedPageBreak/>
        <w:t>as a place for knowledge dissemination (Rogers and Wynn-Moylan, 2022). Against the backdrop of the worldwide fight for equal, diverse, and inclusive (EDI) rights, events must now respond to these issues and establish safe places for discussion. This feasibility study proposes an original MICE event titled "Empowering Futures: EDI in Professional Sectors: Equality, Diversity and Inclusion in Industry, a project seeking to address EDI challenges and potential across professional sectors.</w:t>
      </w:r>
    </w:p>
    <w:p w14:paraId="047C59DB" w14:textId="64CAF79D" w:rsidR="005F79E5" w:rsidRDefault="005F79E5" w:rsidP="005F79E5">
      <w:r>
        <w:t>It will be a two-day conference in London, which will bring together a group of key stakeholders including HR professionals, business leaders, policymakers and academics. By applying critical analysis, this paper evaluates the feasibility of the event in terms of the market, operational, and financial factors with strategic preplanning research. According to Getz and Page (2019), good event planning involves elements of creative design and rigorous research to make the event fit the purpose and audience expectation.</w:t>
      </w:r>
    </w:p>
    <w:p w14:paraId="318FE0B4" w14:textId="09B5893B" w:rsidR="005F79E5" w:rsidRDefault="005F79E5" w:rsidP="005F79E5">
      <w:pPr>
        <w:pStyle w:val="Heading1"/>
      </w:pPr>
      <w:bookmarkStart w:id="1" w:name="_Toc189133161"/>
      <w:r>
        <w:t>Event Content and Context</w:t>
      </w:r>
      <w:bookmarkEnd w:id="1"/>
    </w:p>
    <w:p w14:paraId="732164B4" w14:textId="286D06F3" w:rsidR="00842F7C" w:rsidRPr="00842F7C" w:rsidRDefault="00FE7787" w:rsidP="00842F7C">
      <w:pPr>
        <w:rPr>
          <w:lang w:val="en-US" w:bidi="bn-IN"/>
        </w:rPr>
      </w:pPr>
      <w:r w:rsidRPr="00FE7787">
        <w:rPr>
          <w:noProof/>
          <w:lang w:val="en-US" w:bidi="bn-IN"/>
        </w:rPr>
        <w:drawing>
          <wp:inline distT="0" distB="0" distL="0" distR="0" wp14:anchorId="79B05C89" wp14:editId="49BB6805">
            <wp:extent cx="5943600" cy="3343275"/>
            <wp:effectExtent l="0" t="0" r="0" b="0"/>
            <wp:docPr id="1693336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336818" name=""/>
                    <pic:cNvPicPr/>
                  </pic:nvPicPr>
                  <pic:blipFill>
                    <a:blip r:embed="rId10"/>
                    <a:stretch>
                      <a:fillRect/>
                    </a:stretch>
                  </pic:blipFill>
                  <pic:spPr>
                    <a:xfrm>
                      <a:off x="0" y="0"/>
                      <a:ext cx="5943600" cy="3343275"/>
                    </a:xfrm>
                    <a:prstGeom prst="rect">
                      <a:avLst/>
                    </a:prstGeom>
                  </pic:spPr>
                </pic:pic>
              </a:graphicData>
            </a:graphic>
          </wp:inline>
        </w:drawing>
      </w:r>
    </w:p>
    <w:p w14:paraId="23F13336" w14:textId="145E4233" w:rsidR="005F79E5" w:rsidRDefault="005F79E5" w:rsidP="005F79E5">
      <w:r>
        <w:lastRenderedPageBreak/>
        <w:t>The event, "Empowering Futures: The focus of this session will be on developing the dialogue with actionable strategies to promote EDI in different industries with the title 'Fostering Equality, Diversity and Inclusion in Industry.' Its objectives include:</w:t>
      </w:r>
    </w:p>
    <w:p w14:paraId="774667F8" w14:textId="20EE68F3" w:rsidR="005F79E5" w:rsidRDefault="005F79E5" w:rsidP="005F79E5">
      <w:pPr>
        <w:pStyle w:val="ListParagraph"/>
        <w:numPr>
          <w:ilvl w:val="0"/>
          <w:numId w:val="1"/>
        </w:numPr>
      </w:pPr>
      <w:r>
        <w:t>Keynote speeches, workshops and case studies to educate attendees on EDI's importance.</w:t>
      </w:r>
    </w:p>
    <w:p w14:paraId="630F8EA0" w14:textId="77777777" w:rsidR="005F79E5" w:rsidRDefault="005F79E5" w:rsidP="005F79E5">
      <w:pPr>
        <w:pStyle w:val="ListParagraph"/>
        <w:numPr>
          <w:ilvl w:val="0"/>
          <w:numId w:val="1"/>
        </w:numPr>
      </w:pPr>
      <w:r>
        <w:t>Discussing best practices for including more inclusive policies.</w:t>
      </w:r>
    </w:p>
    <w:p w14:paraId="66DF81F0" w14:textId="494F1770" w:rsidR="005F79E5" w:rsidRDefault="005F79E5" w:rsidP="005F79E5">
      <w:pPr>
        <w:pStyle w:val="ListParagraph"/>
        <w:numPr>
          <w:ilvl w:val="0"/>
          <w:numId w:val="1"/>
        </w:numPr>
      </w:pPr>
      <w:r>
        <w:t>It also facilitates opportunities to network, and inspire collaboration around EDI initiatives.</w:t>
      </w:r>
    </w:p>
    <w:p w14:paraId="2788D105" w14:textId="7DF41D1E" w:rsidR="005F79E5" w:rsidRDefault="005F79E5" w:rsidP="005F79E5">
      <w:r>
        <w:t xml:space="preserve">The selected theme of the event is very timely to contemporary social and business contexts. Deloitte (2023) reports that 74% of </w:t>
      </w:r>
      <w:r w:rsidR="00680360">
        <w:t>organisa</w:t>
      </w:r>
      <w:r>
        <w:t>tions believe diversity and inclusion is critical to success. Systemic barriers to equality, such as unconscious bias, unequal representation and discriminatory practices in workplaces, will be the topic of this conference.</w:t>
      </w:r>
    </w:p>
    <w:p w14:paraId="6D4C864F" w14:textId="674FDCFE" w:rsidR="005F79E5" w:rsidRDefault="005F79E5" w:rsidP="005F79E5">
      <w:r>
        <w:t xml:space="preserve">Sessions for the event will be led by renowned experts including HR leaders, academics and diversity advocates to add credibility and professional engagement. As Thomas and Ely (2019) point out, conferences like this have an important role in driving social and </w:t>
      </w:r>
      <w:r w:rsidR="00680360">
        <w:t>organisa</w:t>
      </w:r>
      <w:r>
        <w:t xml:space="preserve">tional change as diversity is a source of innovation and improves </w:t>
      </w:r>
      <w:r w:rsidR="00680360">
        <w:t>organisa</w:t>
      </w:r>
      <w:r>
        <w:t>tional performance.</w:t>
      </w:r>
    </w:p>
    <w:p w14:paraId="68B814CE" w14:textId="77777777" w:rsidR="005F79E5" w:rsidRDefault="005F79E5" w:rsidP="005F79E5">
      <w:r>
        <w:t>The uniqueness of the conference is that it is devoted to EDI only, as opposed to HR or business events. As Shore et al. (2018) state, while many companies make a commitment to diversity, they lack the framework to make it happen. This event will close that gap with solutions.</w:t>
      </w:r>
    </w:p>
    <w:p w14:paraId="0855A8F4" w14:textId="467630B4" w:rsidR="005F79E5" w:rsidRDefault="005F79E5" w:rsidP="005F79E5">
      <w:pPr>
        <w:pStyle w:val="Heading1"/>
      </w:pPr>
      <w:bookmarkStart w:id="2" w:name="_Toc189133162"/>
      <w:r>
        <w:lastRenderedPageBreak/>
        <w:t>Market Factors</w:t>
      </w:r>
      <w:bookmarkEnd w:id="2"/>
    </w:p>
    <w:p w14:paraId="5B340F9D" w14:textId="6D4104E7" w:rsidR="00842F7C" w:rsidRPr="00842F7C" w:rsidRDefault="00FE7787" w:rsidP="00842F7C">
      <w:pPr>
        <w:rPr>
          <w:lang w:val="en-US" w:bidi="bn-IN"/>
        </w:rPr>
      </w:pPr>
      <w:r w:rsidRPr="00FE7787">
        <w:rPr>
          <w:noProof/>
          <w:lang w:val="en-US" w:bidi="bn-IN"/>
        </w:rPr>
        <w:drawing>
          <wp:inline distT="0" distB="0" distL="0" distR="0" wp14:anchorId="726605D4" wp14:editId="13AB8A5D">
            <wp:extent cx="5943600" cy="3343275"/>
            <wp:effectExtent l="0" t="0" r="0" b="0"/>
            <wp:docPr id="1238882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882304" name=""/>
                    <pic:cNvPicPr/>
                  </pic:nvPicPr>
                  <pic:blipFill>
                    <a:blip r:embed="rId11"/>
                    <a:stretch>
                      <a:fillRect/>
                    </a:stretch>
                  </pic:blipFill>
                  <pic:spPr>
                    <a:xfrm>
                      <a:off x="0" y="0"/>
                      <a:ext cx="5943600" cy="3343275"/>
                    </a:xfrm>
                    <a:prstGeom prst="rect">
                      <a:avLst/>
                    </a:prstGeom>
                  </pic:spPr>
                </pic:pic>
              </a:graphicData>
            </a:graphic>
          </wp:inline>
        </w:drawing>
      </w:r>
    </w:p>
    <w:p w14:paraId="593F6059" w14:textId="77777777" w:rsidR="005F79E5" w:rsidRDefault="005F79E5" w:rsidP="005F79E5">
      <w:pPr>
        <w:pStyle w:val="Heading2"/>
      </w:pPr>
      <w:bookmarkStart w:id="3" w:name="_Toc189133163"/>
      <w:r>
        <w:t>Target Market</w:t>
      </w:r>
      <w:bookmarkEnd w:id="3"/>
    </w:p>
    <w:p w14:paraId="525F24E8" w14:textId="11F7DAA6" w:rsidR="005F79E5" w:rsidRDefault="005F79E5" w:rsidP="005F79E5">
      <w:r>
        <w:t xml:space="preserve">This event is targeted to a primary audience made up of HR professionals, diversity officers, senior executives, policymakers and academics. The secondary audiences are non-governmental </w:t>
      </w:r>
      <w:r w:rsidR="00680360">
        <w:t>organisa</w:t>
      </w:r>
      <w:r>
        <w:t xml:space="preserve">tions (NGOs), advocacy groups and students interested in EDI. If these groups aren’t included in the kind of work you want to lead in 2020 and beyond, you need to revisit your plan. Frost et al. (2020) research shows that </w:t>
      </w:r>
      <w:r w:rsidR="00680360">
        <w:t>organisa</w:t>
      </w:r>
      <w:r>
        <w:t>tions that have a strong EDI policy attract top talent and enhance employee retention which is the reason to have this event for the target audience or.</w:t>
      </w:r>
    </w:p>
    <w:p w14:paraId="2717BF03" w14:textId="77777777" w:rsidR="005F79E5" w:rsidRDefault="005F79E5" w:rsidP="005F79E5">
      <w:pPr>
        <w:pStyle w:val="Heading2"/>
      </w:pPr>
      <w:bookmarkStart w:id="4" w:name="_Toc189133164"/>
      <w:r>
        <w:t>Demand and Supply</w:t>
      </w:r>
      <w:bookmarkEnd w:id="4"/>
    </w:p>
    <w:p w14:paraId="1D606F69" w14:textId="4B90BFE9" w:rsidR="005F79E5" w:rsidRDefault="005F79E5" w:rsidP="005F79E5">
      <w:r>
        <w:t xml:space="preserve">Increasing number of </w:t>
      </w:r>
      <w:r w:rsidR="00680360">
        <w:t>organisa</w:t>
      </w:r>
      <w:r>
        <w:t>tions adopting diversity targets is indicative of the growing demand for EDI focused initiatives. But there aren't a lot of EDI-specific industry events, in general. This is a large gap in the market. Berridge (2021) points out that niche events often get highly engaged audiences, more impacting than broader conferences.</w:t>
      </w:r>
    </w:p>
    <w:p w14:paraId="179ED116" w14:textId="77777777" w:rsidR="005F79E5" w:rsidRDefault="005F79E5" w:rsidP="005F79E5">
      <w:pPr>
        <w:pStyle w:val="Heading2"/>
      </w:pPr>
      <w:bookmarkStart w:id="5" w:name="_Toc189133165"/>
      <w:r>
        <w:lastRenderedPageBreak/>
        <w:t>Competition</w:t>
      </w:r>
      <w:bookmarkEnd w:id="5"/>
    </w:p>
    <w:p w14:paraId="09E1939E" w14:textId="6C8A42FD" w:rsidR="005F79E5" w:rsidRDefault="005F79E5" w:rsidP="005F79E5">
      <w:r>
        <w:t>However, the event has little direct competition since most existing conferences only consider EDI as a subtopic. For instance, the CIPD Annual Conference is devoted to HR but does not have a sharp focus on EDI, and diversity is touched upon in its remit. According to O’Toole (2011), differentiation through a unique value proposition is critical to differentiating yourself in the MICE industry. This strong competitive advantage is achieved because of this event’s exclusive focus on EDI.</w:t>
      </w:r>
    </w:p>
    <w:p w14:paraId="2DE8B7D7" w14:textId="77777777" w:rsidR="005F79E5" w:rsidRDefault="005F79E5" w:rsidP="005F79E5">
      <w:pPr>
        <w:pStyle w:val="Heading2"/>
      </w:pPr>
      <w:bookmarkStart w:id="6" w:name="_Toc189133166"/>
      <w:r>
        <w:t>Marketing Strategy</w:t>
      </w:r>
      <w:bookmarkEnd w:id="6"/>
    </w:p>
    <w:p w14:paraId="0E6D5726" w14:textId="467C833C" w:rsidR="005F79E5" w:rsidRDefault="005F79E5" w:rsidP="005F79E5">
      <w:r>
        <w:t xml:space="preserve">To achieve this, the company will run social media campaigns, email marketing, partnerships with professional </w:t>
      </w:r>
      <w:r w:rsidR="00680360">
        <w:t>organisa</w:t>
      </w:r>
      <w:r>
        <w:t>tions and so on to make it a multi-channel marketing strategy. The event will be raised awareness about the event through content marketing such as blogs and webinars. Fox et al. (2014) also note that digital platforms are inexpensive ways to get to niche audiences while encouraging pre-event engagement.</w:t>
      </w:r>
    </w:p>
    <w:p w14:paraId="13B51796" w14:textId="1661F8DF" w:rsidR="005F79E5" w:rsidRDefault="005F79E5" w:rsidP="005F79E5">
      <w:pPr>
        <w:pStyle w:val="Heading1"/>
      </w:pPr>
      <w:bookmarkStart w:id="7" w:name="_Toc189133167"/>
      <w:r>
        <w:t>Operational Factors</w:t>
      </w:r>
      <w:bookmarkEnd w:id="7"/>
    </w:p>
    <w:p w14:paraId="00CE7BD4" w14:textId="26161905" w:rsidR="00842F7C" w:rsidRPr="00842F7C" w:rsidRDefault="00FE7787" w:rsidP="00842F7C">
      <w:pPr>
        <w:rPr>
          <w:lang w:val="en-US" w:bidi="bn-IN"/>
        </w:rPr>
      </w:pPr>
      <w:r w:rsidRPr="00FE7787">
        <w:rPr>
          <w:noProof/>
          <w:lang w:val="en-US" w:bidi="bn-IN"/>
        </w:rPr>
        <w:drawing>
          <wp:inline distT="0" distB="0" distL="0" distR="0" wp14:anchorId="38CA9003" wp14:editId="7C1501AB">
            <wp:extent cx="5943600" cy="3343275"/>
            <wp:effectExtent l="0" t="0" r="0" b="0"/>
            <wp:docPr id="1781991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991400" name=""/>
                    <pic:cNvPicPr/>
                  </pic:nvPicPr>
                  <pic:blipFill>
                    <a:blip r:embed="rId12"/>
                    <a:stretch>
                      <a:fillRect/>
                    </a:stretch>
                  </pic:blipFill>
                  <pic:spPr>
                    <a:xfrm>
                      <a:off x="0" y="0"/>
                      <a:ext cx="5943600" cy="3343275"/>
                    </a:xfrm>
                    <a:prstGeom prst="rect">
                      <a:avLst/>
                    </a:prstGeom>
                  </pic:spPr>
                </pic:pic>
              </a:graphicData>
            </a:graphic>
          </wp:inline>
        </w:drawing>
      </w:r>
    </w:p>
    <w:p w14:paraId="2556939C" w14:textId="77777777" w:rsidR="005F79E5" w:rsidRDefault="005F79E5" w:rsidP="005F79E5">
      <w:pPr>
        <w:pStyle w:val="Heading2"/>
      </w:pPr>
      <w:bookmarkStart w:id="8" w:name="_Toc189133168"/>
      <w:r>
        <w:lastRenderedPageBreak/>
        <w:t>Venue and Location</w:t>
      </w:r>
      <w:bookmarkEnd w:id="8"/>
    </w:p>
    <w:p w14:paraId="3DFBEC11" w14:textId="29299A67" w:rsidR="005F79E5" w:rsidRDefault="005F79E5" w:rsidP="005F79E5">
      <w:r>
        <w:t>The ExCeL London is a leading conference venue, well known for its accessibility and cutting-edge facilities, and will be the host venue for the event. It is close to public transport and accommodation and is a good location for a professional audience. The proposed dates are available for the venue, and it provides the flexibility of spaces to run workshops, panel discussions as well as networking sessions.</w:t>
      </w:r>
    </w:p>
    <w:p w14:paraId="049C253E" w14:textId="77777777" w:rsidR="005F79E5" w:rsidRDefault="005F79E5" w:rsidP="005F79E5">
      <w:pPr>
        <w:pStyle w:val="Heading2"/>
      </w:pPr>
      <w:bookmarkStart w:id="9" w:name="_Toc189133169"/>
      <w:r>
        <w:t>Staffing and Resources</w:t>
      </w:r>
      <w:bookmarkEnd w:id="9"/>
    </w:p>
    <w:p w14:paraId="3457FF50" w14:textId="7FC7AEF5" w:rsidR="005F79E5" w:rsidRDefault="005F79E5" w:rsidP="005F79E5">
      <w:r>
        <w:t>The event will need a staff, which includes event managers, technical staff and volunteers. We will provide training for our staff to be up to speed on the mission and EDI principles of the event. According to Meredith (2022), smooth event operations require a well-trained team.</w:t>
      </w:r>
    </w:p>
    <w:p w14:paraId="2EEA7E66" w14:textId="77777777" w:rsidR="005F79E5" w:rsidRDefault="005F79E5" w:rsidP="005F79E5">
      <w:pPr>
        <w:pStyle w:val="Heading2"/>
      </w:pPr>
      <w:bookmarkStart w:id="10" w:name="_Toc189133170"/>
      <w:r>
        <w:t>Logistics</w:t>
      </w:r>
      <w:bookmarkEnd w:id="10"/>
    </w:p>
    <w:p w14:paraId="7CB741A5" w14:textId="77777777" w:rsidR="005F79E5" w:rsidRDefault="005F79E5" w:rsidP="005F79E5">
      <w:r>
        <w:t>Important logistical considerations in a food market are registration processes, accessibility features, and on site catering. Access bars and ramps, sign language interpreters, and inclusive dietary options will be part of the event. To improve the scheduling of patients, updates will be provided, and networking will be facilitated, a mobile app will be developed. Wood (2015) indicates that such events provide the greatest satisfaction if they focus on attendee experience and accessibility.</w:t>
      </w:r>
    </w:p>
    <w:p w14:paraId="027BC40F" w14:textId="6E2D0637" w:rsidR="005F79E5" w:rsidRDefault="005F79E5" w:rsidP="005F79E5">
      <w:pPr>
        <w:pStyle w:val="Heading1"/>
      </w:pPr>
      <w:bookmarkStart w:id="11" w:name="_Toc189133171"/>
      <w:r>
        <w:lastRenderedPageBreak/>
        <w:t>Financial Factors</w:t>
      </w:r>
      <w:bookmarkEnd w:id="11"/>
    </w:p>
    <w:p w14:paraId="28DA6A14" w14:textId="1BA19E14" w:rsidR="00842F7C" w:rsidRPr="00842F7C" w:rsidRDefault="00FE7787" w:rsidP="00842F7C">
      <w:pPr>
        <w:rPr>
          <w:lang w:val="en-US" w:bidi="bn-IN"/>
        </w:rPr>
      </w:pPr>
      <w:r w:rsidRPr="00FE7787">
        <w:rPr>
          <w:noProof/>
          <w:lang w:val="en-US" w:bidi="bn-IN"/>
        </w:rPr>
        <w:drawing>
          <wp:inline distT="0" distB="0" distL="0" distR="0" wp14:anchorId="223A2B8D" wp14:editId="42B7FE92">
            <wp:extent cx="5943600" cy="3343275"/>
            <wp:effectExtent l="0" t="0" r="0" b="0"/>
            <wp:docPr id="8364471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447117" name=""/>
                    <pic:cNvPicPr/>
                  </pic:nvPicPr>
                  <pic:blipFill>
                    <a:blip r:embed="rId13"/>
                    <a:stretch>
                      <a:fillRect/>
                    </a:stretch>
                  </pic:blipFill>
                  <pic:spPr>
                    <a:xfrm>
                      <a:off x="0" y="0"/>
                      <a:ext cx="5943600" cy="3343275"/>
                    </a:xfrm>
                    <a:prstGeom prst="rect">
                      <a:avLst/>
                    </a:prstGeom>
                  </pic:spPr>
                </pic:pic>
              </a:graphicData>
            </a:graphic>
          </wp:inline>
        </w:drawing>
      </w:r>
    </w:p>
    <w:p w14:paraId="10EDE3C6" w14:textId="0744E000" w:rsidR="005F79E5" w:rsidRDefault="005F79E5" w:rsidP="005F79E5">
      <w:pPr>
        <w:pStyle w:val="Heading2"/>
      </w:pPr>
      <w:bookmarkStart w:id="12" w:name="_Toc189133172"/>
      <w:r>
        <w:t>Predicted Costs and Revenue</w:t>
      </w:r>
      <w:bookmarkEnd w:id="12"/>
    </w:p>
    <w:tbl>
      <w:tblPr>
        <w:tblStyle w:val="GridTable5Dark"/>
        <w:tblW w:w="0" w:type="auto"/>
        <w:tblLook w:val="04A0" w:firstRow="1" w:lastRow="0" w:firstColumn="1" w:lastColumn="0" w:noHBand="0" w:noVBand="1"/>
      </w:tblPr>
      <w:tblGrid>
        <w:gridCol w:w="3116"/>
        <w:gridCol w:w="3117"/>
        <w:gridCol w:w="3117"/>
      </w:tblGrid>
      <w:tr w:rsidR="005F79E5" w:rsidRPr="005F79E5" w14:paraId="24B5797E" w14:textId="77777777" w:rsidTr="005F79E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63D859E9" w14:textId="77777777" w:rsidR="005F79E5" w:rsidRPr="005F79E5" w:rsidRDefault="005F79E5" w:rsidP="00292FAB">
            <w:r w:rsidRPr="005F79E5">
              <w:t>Item</w:t>
            </w:r>
          </w:p>
        </w:tc>
        <w:tc>
          <w:tcPr>
            <w:tcW w:w="3117" w:type="dxa"/>
          </w:tcPr>
          <w:p w14:paraId="7DFE2F49" w14:textId="77777777" w:rsidR="005F79E5" w:rsidRPr="005F79E5" w:rsidRDefault="005F79E5" w:rsidP="00292FAB">
            <w:pPr>
              <w:cnfStyle w:val="100000000000" w:firstRow="1" w:lastRow="0" w:firstColumn="0" w:lastColumn="0" w:oddVBand="0" w:evenVBand="0" w:oddHBand="0" w:evenHBand="0" w:firstRowFirstColumn="0" w:firstRowLastColumn="0" w:lastRowFirstColumn="0" w:lastRowLastColumn="0"/>
            </w:pPr>
            <w:r w:rsidRPr="005F79E5">
              <w:t>Cost (£)</w:t>
            </w:r>
          </w:p>
        </w:tc>
        <w:tc>
          <w:tcPr>
            <w:tcW w:w="3117" w:type="dxa"/>
          </w:tcPr>
          <w:p w14:paraId="1B68F616" w14:textId="77777777" w:rsidR="005F79E5" w:rsidRPr="005F79E5" w:rsidRDefault="005F79E5" w:rsidP="00292FAB">
            <w:pPr>
              <w:cnfStyle w:val="100000000000" w:firstRow="1" w:lastRow="0" w:firstColumn="0" w:lastColumn="0" w:oddVBand="0" w:evenVBand="0" w:oddHBand="0" w:evenHBand="0" w:firstRowFirstColumn="0" w:firstRowLastColumn="0" w:lastRowFirstColumn="0" w:lastRowLastColumn="0"/>
            </w:pPr>
            <w:r w:rsidRPr="005F79E5">
              <w:t>Funding/Revenue (£)</w:t>
            </w:r>
          </w:p>
        </w:tc>
      </w:tr>
      <w:tr w:rsidR="005F79E5" w:rsidRPr="005F79E5" w14:paraId="6AFB89AB" w14:textId="77777777" w:rsidTr="005F79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6102A5E5" w14:textId="77777777" w:rsidR="005F79E5" w:rsidRPr="005F79E5" w:rsidRDefault="005F79E5" w:rsidP="00292FAB">
            <w:r w:rsidRPr="005F79E5">
              <w:t>Venue Rental</w:t>
            </w:r>
          </w:p>
        </w:tc>
        <w:tc>
          <w:tcPr>
            <w:tcW w:w="3117" w:type="dxa"/>
          </w:tcPr>
          <w:p w14:paraId="3DA33B33" w14:textId="77777777" w:rsidR="005F79E5" w:rsidRPr="005F79E5" w:rsidRDefault="005F79E5" w:rsidP="00292FAB">
            <w:pPr>
              <w:cnfStyle w:val="000000100000" w:firstRow="0" w:lastRow="0" w:firstColumn="0" w:lastColumn="0" w:oddVBand="0" w:evenVBand="0" w:oddHBand="1" w:evenHBand="0" w:firstRowFirstColumn="0" w:firstRowLastColumn="0" w:lastRowFirstColumn="0" w:lastRowLastColumn="0"/>
            </w:pPr>
            <w:r w:rsidRPr="005F79E5">
              <w:t>20,000</w:t>
            </w:r>
          </w:p>
        </w:tc>
        <w:tc>
          <w:tcPr>
            <w:tcW w:w="3117" w:type="dxa"/>
          </w:tcPr>
          <w:p w14:paraId="3A22FAC7" w14:textId="77777777" w:rsidR="005F79E5" w:rsidRPr="005F79E5" w:rsidRDefault="005F79E5" w:rsidP="00292FAB">
            <w:pPr>
              <w:cnfStyle w:val="000000100000" w:firstRow="0" w:lastRow="0" w:firstColumn="0" w:lastColumn="0" w:oddVBand="0" w:evenVBand="0" w:oddHBand="1" w:evenHBand="0" w:firstRowFirstColumn="0" w:firstRowLastColumn="0" w:lastRowFirstColumn="0" w:lastRowLastColumn="0"/>
            </w:pPr>
          </w:p>
        </w:tc>
      </w:tr>
      <w:tr w:rsidR="005F79E5" w:rsidRPr="005F79E5" w14:paraId="29678548" w14:textId="77777777" w:rsidTr="005F79E5">
        <w:tc>
          <w:tcPr>
            <w:cnfStyle w:val="001000000000" w:firstRow="0" w:lastRow="0" w:firstColumn="1" w:lastColumn="0" w:oddVBand="0" w:evenVBand="0" w:oddHBand="0" w:evenHBand="0" w:firstRowFirstColumn="0" w:firstRowLastColumn="0" w:lastRowFirstColumn="0" w:lastRowLastColumn="0"/>
            <w:tcW w:w="3116" w:type="dxa"/>
          </w:tcPr>
          <w:p w14:paraId="4EDD5C1B" w14:textId="77777777" w:rsidR="005F79E5" w:rsidRPr="005F79E5" w:rsidRDefault="005F79E5" w:rsidP="00292FAB">
            <w:r w:rsidRPr="005F79E5">
              <w:t>Catering</w:t>
            </w:r>
          </w:p>
        </w:tc>
        <w:tc>
          <w:tcPr>
            <w:tcW w:w="3117" w:type="dxa"/>
          </w:tcPr>
          <w:p w14:paraId="1D2362BC" w14:textId="77777777" w:rsidR="005F79E5" w:rsidRPr="005F79E5" w:rsidRDefault="005F79E5" w:rsidP="00292FAB">
            <w:pPr>
              <w:cnfStyle w:val="000000000000" w:firstRow="0" w:lastRow="0" w:firstColumn="0" w:lastColumn="0" w:oddVBand="0" w:evenVBand="0" w:oddHBand="0" w:evenHBand="0" w:firstRowFirstColumn="0" w:firstRowLastColumn="0" w:lastRowFirstColumn="0" w:lastRowLastColumn="0"/>
            </w:pPr>
            <w:r w:rsidRPr="005F79E5">
              <w:t>10,000</w:t>
            </w:r>
          </w:p>
        </w:tc>
        <w:tc>
          <w:tcPr>
            <w:tcW w:w="3117" w:type="dxa"/>
          </w:tcPr>
          <w:p w14:paraId="718F817D" w14:textId="77777777" w:rsidR="005F79E5" w:rsidRPr="005F79E5" w:rsidRDefault="005F79E5" w:rsidP="00292FAB">
            <w:pPr>
              <w:cnfStyle w:val="000000000000" w:firstRow="0" w:lastRow="0" w:firstColumn="0" w:lastColumn="0" w:oddVBand="0" w:evenVBand="0" w:oddHBand="0" w:evenHBand="0" w:firstRowFirstColumn="0" w:firstRowLastColumn="0" w:lastRowFirstColumn="0" w:lastRowLastColumn="0"/>
            </w:pPr>
          </w:p>
        </w:tc>
      </w:tr>
      <w:tr w:rsidR="005F79E5" w:rsidRPr="005F79E5" w14:paraId="0BA254E1" w14:textId="77777777" w:rsidTr="005F79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0370F227" w14:textId="77777777" w:rsidR="005F79E5" w:rsidRPr="005F79E5" w:rsidRDefault="005F79E5" w:rsidP="00292FAB">
            <w:r w:rsidRPr="005F79E5">
              <w:t>Marketing</w:t>
            </w:r>
          </w:p>
        </w:tc>
        <w:tc>
          <w:tcPr>
            <w:tcW w:w="3117" w:type="dxa"/>
          </w:tcPr>
          <w:p w14:paraId="1F06713A" w14:textId="77777777" w:rsidR="005F79E5" w:rsidRPr="005F79E5" w:rsidRDefault="005F79E5" w:rsidP="00292FAB">
            <w:pPr>
              <w:cnfStyle w:val="000000100000" w:firstRow="0" w:lastRow="0" w:firstColumn="0" w:lastColumn="0" w:oddVBand="0" w:evenVBand="0" w:oddHBand="1" w:evenHBand="0" w:firstRowFirstColumn="0" w:firstRowLastColumn="0" w:lastRowFirstColumn="0" w:lastRowLastColumn="0"/>
            </w:pPr>
            <w:r w:rsidRPr="005F79E5">
              <w:t>8,000</w:t>
            </w:r>
          </w:p>
        </w:tc>
        <w:tc>
          <w:tcPr>
            <w:tcW w:w="3117" w:type="dxa"/>
          </w:tcPr>
          <w:p w14:paraId="5532743E" w14:textId="77777777" w:rsidR="005F79E5" w:rsidRPr="005F79E5" w:rsidRDefault="005F79E5" w:rsidP="00292FAB">
            <w:pPr>
              <w:cnfStyle w:val="000000100000" w:firstRow="0" w:lastRow="0" w:firstColumn="0" w:lastColumn="0" w:oddVBand="0" w:evenVBand="0" w:oddHBand="1" w:evenHBand="0" w:firstRowFirstColumn="0" w:firstRowLastColumn="0" w:lastRowFirstColumn="0" w:lastRowLastColumn="0"/>
            </w:pPr>
          </w:p>
        </w:tc>
      </w:tr>
      <w:tr w:rsidR="005F79E5" w:rsidRPr="005F79E5" w14:paraId="2FFB4C3F" w14:textId="77777777" w:rsidTr="005F79E5">
        <w:tc>
          <w:tcPr>
            <w:cnfStyle w:val="001000000000" w:firstRow="0" w:lastRow="0" w:firstColumn="1" w:lastColumn="0" w:oddVBand="0" w:evenVBand="0" w:oddHBand="0" w:evenHBand="0" w:firstRowFirstColumn="0" w:firstRowLastColumn="0" w:lastRowFirstColumn="0" w:lastRowLastColumn="0"/>
            <w:tcW w:w="3116" w:type="dxa"/>
          </w:tcPr>
          <w:p w14:paraId="6D9EF3DB" w14:textId="77777777" w:rsidR="005F79E5" w:rsidRPr="005F79E5" w:rsidRDefault="005F79E5" w:rsidP="00292FAB">
            <w:r w:rsidRPr="005F79E5">
              <w:t>Speaker Fees</w:t>
            </w:r>
          </w:p>
        </w:tc>
        <w:tc>
          <w:tcPr>
            <w:tcW w:w="3117" w:type="dxa"/>
          </w:tcPr>
          <w:p w14:paraId="05FE1AA3" w14:textId="77777777" w:rsidR="005F79E5" w:rsidRPr="005F79E5" w:rsidRDefault="005F79E5" w:rsidP="00292FAB">
            <w:pPr>
              <w:cnfStyle w:val="000000000000" w:firstRow="0" w:lastRow="0" w:firstColumn="0" w:lastColumn="0" w:oddVBand="0" w:evenVBand="0" w:oddHBand="0" w:evenHBand="0" w:firstRowFirstColumn="0" w:firstRowLastColumn="0" w:lastRowFirstColumn="0" w:lastRowLastColumn="0"/>
            </w:pPr>
            <w:r w:rsidRPr="005F79E5">
              <w:t>15,000</w:t>
            </w:r>
          </w:p>
        </w:tc>
        <w:tc>
          <w:tcPr>
            <w:tcW w:w="3117" w:type="dxa"/>
          </w:tcPr>
          <w:p w14:paraId="00509F48" w14:textId="77777777" w:rsidR="005F79E5" w:rsidRPr="005F79E5" w:rsidRDefault="005F79E5" w:rsidP="00292FAB">
            <w:pPr>
              <w:cnfStyle w:val="000000000000" w:firstRow="0" w:lastRow="0" w:firstColumn="0" w:lastColumn="0" w:oddVBand="0" w:evenVBand="0" w:oddHBand="0" w:evenHBand="0" w:firstRowFirstColumn="0" w:firstRowLastColumn="0" w:lastRowFirstColumn="0" w:lastRowLastColumn="0"/>
            </w:pPr>
          </w:p>
        </w:tc>
      </w:tr>
      <w:tr w:rsidR="005F79E5" w:rsidRPr="005F79E5" w14:paraId="30E71229" w14:textId="77777777" w:rsidTr="005F79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56A8E47A" w14:textId="77777777" w:rsidR="005F79E5" w:rsidRPr="005F79E5" w:rsidRDefault="005F79E5" w:rsidP="00292FAB">
            <w:r w:rsidRPr="005F79E5">
              <w:t>Staff Wages</w:t>
            </w:r>
          </w:p>
        </w:tc>
        <w:tc>
          <w:tcPr>
            <w:tcW w:w="3117" w:type="dxa"/>
          </w:tcPr>
          <w:p w14:paraId="28521183" w14:textId="77777777" w:rsidR="005F79E5" w:rsidRPr="005F79E5" w:rsidRDefault="005F79E5" w:rsidP="00292FAB">
            <w:pPr>
              <w:cnfStyle w:val="000000100000" w:firstRow="0" w:lastRow="0" w:firstColumn="0" w:lastColumn="0" w:oddVBand="0" w:evenVBand="0" w:oddHBand="1" w:evenHBand="0" w:firstRowFirstColumn="0" w:firstRowLastColumn="0" w:lastRowFirstColumn="0" w:lastRowLastColumn="0"/>
            </w:pPr>
            <w:r w:rsidRPr="005F79E5">
              <w:t>7,000</w:t>
            </w:r>
          </w:p>
        </w:tc>
        <w:tc>
          <w:tcPr>
            <w:tcW w:w="3117" w:type="dxa"/>
          </w:tcPr>
          <w:p w14:paraId="6F76855C" w14:textId="77777777" w:rsidR="005F79E5" w:rsidRPr="005F79E5" w:rsidRDefault="005F79E5" w:rsidP="00292FAB">
            <w:pPr>
              <w:cnfStyle w:val="000000100000" w:firstRow="0" w:lastRow="0" w:firstColumn="0" w:lastColumn="0" w:oddVBand="0" w:evenVBand="0" w:oddHBand="1" w:evenHBand="0" w:firstRowFirstColumn="0" w:firstRowLastColumn="0" w:lastRowFirstColumn="0" w:lastRowLastColumn="0"/>
            </w:pPr>
          </w:p>
        </w:tc>
      </w:tr>
      <w:tr w:rsidR="005F79E5" w:rsidRPr="005F79E5" w14:paraId="4650FB08" w14:textId="77777777" w:rsidTr="005F79E5">
        <w:tc>
          <w:tcPr>
            <w:cnfStyle w:val="001000000000" w:firstRow="0" w:lastRow="0" w:firstColumn="1" w:lastColumn="0" w:oddVBand="0" w:evenVBand="0" w:oddHBand="0" w:evenHBand="0" w:firstRowFirstColumn="0" w:firstRowLastColumn="0" w:lastRowFirstColumn="0" w:lastRowLastColumn="0"/>
            <w:tcW w:w="3116" w:type="dxa"/>
          </w:tcPr>
          <w:p w14:paraId="2BB06C90" w14:textId="77777777" w:rsidR="005F79E5" w:rsidRPr="005F79E5" w:rsidRDefault="005F79E5" w:rsidP="00292FAB">
            <w:r w:rsidRPr="005F79E5">
              <w:t>Miscellaneous</w:t>
            </w:r>
          </w:p>
        </w:tc>
        <w:tc>
          <w:tcPr>
            <w:tcW w:w="3117" w:type="dxa"/>
          </w:tcPr>
          <w:p w14:paraId="2A419699" w14:textId="77777777" w:rsidR="005F79E5" w:rsidRPr="005F79E5" w:rsidRDefault="005F79E5" w:rsidP="00292FAB">
            <w:pPr>
              <w:cnfStyle w:val="000000000000" w:firstRow="0" w:lastRow="0" w:firstColumn="0" w:lastColumn="0" w:oddVBand="0" w:evenVBand="0" w:oddHBand="0" w:evenHBand="0" w:firstRowFirstColumn="0" w:firstRowLastColumn="0" w:lastRowFirstColumn="0" w:lastRowLastColumn="0"/>
            </w:pPr>
            <w:r w:rsidRPr="005F79E5">
              <w:t>5,000</w:t>
            </w:r>
          </w:p>
        </w:tc>
        <w:tc>
          <w:tcPr>
            <w:tcW w:w="3117" w:type="dxa"/>
          </w:tcPr>
          <w:p w14:paraId="313B2D98" w14:textId="77777777" w:rsidR="005F79E5" w:rsidRPr="005F79E5" w:rsidRDefault="005F79E5" w:rsidP="00292FAB">
            <w:pPr>
              <w:cnfStyle w:val="000000000000" w:firstRow="0" w:lastRow="0" w:firstColumn="0" w:lastColumn="0" w:oddVBand="0" w:evenVBand="0" w:oddHBand="0" w:evenHBand="0" w:firstRowFirstColumn="0" w:firstRowLastColumn="0" w:lastRowFirstColumn="0" w:lastRowLastColumn="0"/>
            </w:pPr>
          </w:p>
        </w:tc>
      </w:tr>
      <w:tr w:rsidR="005F79E5" w:rsidRPr="005F79E5" w14:paraId="24976DBE" w14:textId="77777777" w:rsidTr="005F79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2BBB4171" w14:textId="77777777" w:rsidR="005F79E5" w:rsidRPr="005F79E5" w:rsidRDefault="005F79E5" w:rsidP="00292FAB">
            <w:r w:rsidRPr="005F79E5">
              <w:lastRenderedPageBreak/>
              <w:t>Total Costs</w:t>
            </w:r>
          </w:p>
        </w:tc>
        <w:tc>
          <w:tcPr>
            <w:tcW w:w="3117" w:type="dxa"/>
          </w:tcPr>
          <w:p w14:paraId="49CA563B" w14:textId="77777777" w:rsidR="005F79E5" w:rsidRPr="005F79E5" w:rsidRDefault="005F79E5" w:rsidP="00292FAB">
            <w:pPr>
              <w:cnfStyle w:val="000000100000" w:firstRow="0" w:lastRow="0" w:firstColumn="0" w:lastColumn="0" w:oddVBand="0" w:evenVBand="0" w:oddHBand="1" w:evenHBand="0" w:firstRowFirstColumn="0" w:firstRowLastColumn="0" w:lastRowFirstColumn="0" w:lastRowLastColumn="0"/>
            </w:pPr>
            <w:r w:rsidRPr="005F79E5">
              <w:t>65,000</w:t>
            </w:r>
          </w:p>
        </w:tc>
        <w:tc>
          <w:tcPr>
            <w:tcW w:w="3117" w:type="dxa"/>
          </w:tcPr>
          <w:p w14:paraId="725AE887" w14:textId="77777777" w:rsidR="005F79E5" w:rsidRPr="005F79E5" w:rsidRDefault="005F79E5" w:rsidP="00292FAB">
            <w:pPr>
              <w:cnfStyle w:val="000000100000" w:firstRow="0" w:lastRow="0" w:firstColumn="0" w:lastColumn="0" w:oddVBand="0" w:evenVBand="0" w:oddHBand="1" w:evenHBand="0" w:firstRowFirstColumn="0" w:firstRowLastColumn="0" w:lastRowFirstColumn="0" w:lastRowLastColumn="0"/>
            </w:pPr>
          </w:p>
        </w:tc>
      </w:tr>
      <w:tr w:rsidR="005F79E5" w:rsidRPr="005F79E5" w14:paraId="76E35B4D" w14:textId="77777777" w:rsidTr="005F79E5">
        <w:tc>
          <w:tcPr>
            <w:cnfStyle w:val="001000000000" w:firstRow="0" w:lastRow="0" w:firstColumn="1" w:lastColumn="0" w:oddVBand="0" w:evenVBand="0" w:oddHBand="0" w:evenHBand="0" w:firstRowFirstColumn="0" w:firstRowLastColumn="0" w:lastRowFirstColumn="0" w:lastRowLastColumn="0"/>
            <w:tcW w:w="3116" w:type="dxa"/>
          </w:tcPr>
          <w:p w14:paraId="6059DEAC" w14:textId="77777777" w:rsidR="005F79E5" w:rsidRPr="005F79E5" w:rsidRDefault="005F79E5" w:rsidP="00292FAB">
            <w:r w:rsidRPr="005F79E5">
              <w:t>Sponsorship Revenue</w:t>
            </w:r>
          </w:p>
        </w:tc>
        <w:tc>
          <w:tcPr>
            <w:tcW w:w="3117" w:type="dxa"/>
          </w:tcPr>
          <w:p w14:paraId="72C065B7" w14:textId="77777777" w:rsidR="005F79E5" w:rsidRPr="005F79E5" w:rsidRDefault="005F79E5" w:rsidP="00292FAB">
            <w:pPr>
              <w:cnfStyle w:val="000000000000" w:firstRow="0" w:lastRow="0" w:firstColumn="0" w:lastColumn="0" w:oddVBand="0" w:evenVBand="0" w:oddHBand="0" w:evenHBand="0" w:firstRowFirstColumn="0" w:firstRowLastColumn="0" w:lastRowFirstColumn="0" w:lastRowLastColumn="0"/>
            </w:pPr>
          </w:p>
        </w:tc>
        <w:tc>
          <w:tcPr>
            <w:tcW w:w="3117" w:type="dxa"/>
          </w:tcPr>
          <w:p w14:paraId="5A0B19A3" w14:textId="77777777" w:rsidR="005F79E5" w:rsidRPr="005F79E5" w:rsidRDefault="005F79E5" w:rsidP="00292FAB">
            <w:pPr>
              <w:cnfStyle w:val="000000000000" w:firstRow="0" w:lastRow="0" w:firstColumn="0" w:lastColumn="0" w:oddVBand="0" w:evenVBand="0" w:oddHBand="0" w:evenHBand="0" w:firstRowFirstColumn="0" w:firstRowLastColumn="0" w:lastRowFirstColumn="0" w:lastRowLastColumn="0"/>
            </w:pPr>
            <w:r w:rsidRPr="005F79E5">
              <w:t>30,000</w:t>
            </w:r>
          </w:p>
        </w:tc>
      </w:tr>
      <w:tr w:rsidR="005F79E5" w:rsidRPr="005F79E5" w14:paraId="4073AE70" w14:textId="77777777" w:rsidTr="005F79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0B32980E" w14:textId="77777777" w:rsidR="005F79E5" w:rsidRPr="005F79E5" w:rsidRDefault="005F79E5" w:rsidP="00292FAB">
            <w:r w:rsidRPr="005F79E5">
              <w:t>Ticket Sales (500 x £80)</w:t>
            </w:r>
          </w:p>
        </w:tc>
        <w:tc>
          <w:tcPr>
            <w:tcW w:w="3117" w:type="dxa"/>
          </w:tcPr>
          <w:p w14:paraId="2F0006F6" w14:textId="77777777" w:rsidR="005F79E5" w:rsidRPr="005F79E5" w:rsidRDefault="005F79E5" w:rsidP="00292FAB">
            <w:pPr>
              <w:cnfStyle w:val="000000100000" w:firstRow="0" w:lastRow="0" w:firstColumn="0" w:lastColumn="0" w:oddVBand="0" w:evenVBand="0" w:oddHBand="1" w:evenHBand="0" w:firstRowFirstColumn="0" w:firstRowLastColumn="0" w:lastRowFirstColumn="0" w:lastRowLastColumn="0"/>
            </w:pPr>
          </w:p>
        </w:tc>
        <w:tc>
          <w:tcPr>
            <w:tcW w:w="3117" w:type="dxa"/>
          </w:tcPr>
          <w:p w14:paraId="2F17D5D9" w14:textId="77777777" w:rsidR="005F79E5" w:rsidRPr="005F79E5" w:rsidRDefault="005F79E5" w:rsidP="00292FAB">
            <w:pPr>
              <w:cnfStyle w:val="000000100000" w:firstRow="0" w:lastRow="0" w:firstColumn="0" w:lastColumn="0" w:oddVBand="0" w:evenVBand="0" w:oddHBand="1" w:evenHBand="0" w:firstRowFirstColumn="0" w:firstRowLastColumn="0" w:lastRowFirstColumn="0" w:lastRowLastColumn="0"/>
            </w:pPr>
            <w:r w:rsidRPr="005F79E5">
              <w:t>40,000</w:t>
            </w:r>
          </w:p>
        </w:tc>
      </w:tr>
      <w:tr w:rsidR="005F79E5" w:rsidRPr="005F79E5" w14:paraId="47F07F40" w14:textId="77777777" w:rsidTr="005F79E5">
        <w:tc>
          <w:tcPr>
            <w:cnfStyle w:val="001000000000" w:firstRow="0" w:lastRow="0" w:firstColumn="1" w:lastColumn="0" w:oddVBand="0" w:evenVBand="0" w:oddHBand="0" w:evenHBand="0" w:firstRowFirstColumn="0" w:firstRowLastColumn="0" w:lastRowFirstColumn="0" w:lastRowLastColumn="0"/>
            <w:tcW w:w="3116" w:type="dxa"/>
          </w:tcPr>
          <w:p w14:paraId="30F7D8E7" w14:textId="77777777" w:rsidR="005F79E5" w:rsidRPr="005F79E5" w:rsidRDefault="005F79E5" w:rsidP="00292FAB">
            <w:r w:rsidRPr="005F79E5">
              <w:t>Total Revenue</w:t>
            </w:r>
          </w:p>
        </w:tc>
        <w:tc>
          <w:tcPr>
            <w:tcW w:w="3117" w:type="dxa"/>
          </w:tcPr>
          <w:p w14:paraId="2F48E412" w14:textId="77777777" w:rsidR="005F79E5" w:rsidRPr="005F79E5" w:rsidRDefault="005F79E5" w:rsidP="00292FAB">
            <w:pPr>
              <w:cnfStyle w:val="000000000000" w:firstRow="0" w:lastRow="0" w:firstColumn="0" w:lastColumn="0" w:oddVBand="0" w:evenVBand="0" w:oddHBand="0" w:evenHBand="0" w:firstRowFirstColumn="0" w:firstRowLastColumn="0" w:lastRowFirstColumn="0" w:lastRowLastColumn="0"/>
            </w:pPr>
          </w:p>
        </w:tc>
        <w:tc>
          <w:tcPr>
            <w:tcW w:w="3117" w:type="dxa"/>
          </w:tcPr>
          <w:p w14:paraId="1A624B53" w14:textId="77777777" w:rsidR="005F79E5" w:rsidRPr="005F79E5" w:rsidRDefault="005F79E5" w:rsidP="00292FAB">
            <w:pPr>
              <w:cnfStyle w:val="000000000000" w:firstRow="0" w:lastRow="0" w:firstColumn="0" w:lastColumn="0" w:oddVBand="0" w:evenVBand="0" w:oddHBand="0" w:evenHBand="0" w:firstRowFirstColumn="0" w:firstRowLastColumn="0" w:lastRowFirstColumn="0" w:lastRowLastColumn="0"/>
            </w:pPr>
            <w:r w:rsidRPr="005F79E5">
              <w:t>70,000</w:t>
            </w:r>
          </w:p>
        </w:tc>
      </w:tr>
    </w:tbl>
    <w:p w14:paraId="75714AA6" w14:textId="77777777" w:rsidR="005F79E5" w:rsidRDefault="005F79E5" w:rsidP="005F79E5"/>
    <w:p w14:paraId="6B687005" w14:textId="3138F7BC" w:rsidR="005F79E5" w:rsidRDefault="005F79E5" w:rsidP="005F79E5">
      <w:r>
        <w:t xml:space="preserve">The financial feasibility of "Empowering Futures: 'The Equality Diversity and Inclusion in Industry' is led by a balanced and well researched budget plan that allows the event to remain profitable and provides value to attendees and stakeholders. But the total cost which will be spent in the event is £65,000 that includes venue hire (£20,000), catering (£10,000), marketing (£8,000), speaker fees (£15,000), staff wages (£7,000) and miscellaneous costs (£5,000). The ExCeL London venue was chosen for its smaller sized cost compared to the capacity, facilities and location of the venue. The event will be funded by ticket and sponsorship revenue, with ticket prices set at £80 per ticket. If they are 500 attendees, ticket revenue is expected to bring in £40,000. The total revenue is expected to be £70,000, with money from sponsorships from </w:t>
      </w:r>
      <w:r w:rsidR="00680360">
        <w:t>organisa</w:t>
      </w:r>
      <w:r>
        <w:t>tions that are invested in equality, diversity and inclusion bringing that total to £30,000.</w:t>
      </w:r>
    </w:p>
    <w:p w14:paraId="5983F505" w14:textId="33A8C526" w:rsidR="005F79E5" w:rsidRDefault="005F79E5" w:rsidP="005F79E5">
      <w:r>
        <w:t xml:space="preserve">The coming out of £5,000 so easily means that on the one hand the event will not run in the loss, thus meeting the financial sustainability (O’Toole, 2011). The event will have tailored packages for businesses and institutions already working on EDI initiatives that will include sponsorship, branding, speaking and exhibit opportunities. Moreover, early bird discounts, group ticketing, will be offered to increase the crowd size towards the target. Consequently, negotiating deals with competitive suppliers for catering and technical equipment will be effective in keeping costs down as will allocating resources efficiently for marketing and logistics. According to Getz and Page (2019), event planning is successful when events take a diversified revenue stream and minimise risks to make the event profitable. The financial model overall shows that the event is feasible using sponsorships and ticket sales to pay for the event while providing a small profit. The </w:t>
      </w:r>
      <w:r>
        <w:lastRenderedPageBreak/>
        <w:t>alignment with best practices in the MICE industry leads to financial sustainability as well as social and professional impact.</w:t>
      </w:r>
    </w:p>
    <w:p w14:paraId="0345E15B" w14:textId="4CC26AB1" w:rsidR="005F79E5" w:rsidRDefault="005F79E5" w:rsidP="005F79E5">
      <w:pPr>
        <w:pStyle w:val="Heading1"/>
      </w:pPr>
      <w:bookmarkStart w:id="13" w:name="_Toc189133173"/>
      <w:r>
        <w:t>Critical Feasibility Analysis</w:t>
      </w:r>
      <w:bookmarkEnd w:id="13"/>
    </w:p>
    <w:p w14:paraId="12FAF973" w14:textId="31660DCC" w:rsidR="00842F7C" w:rsidRPr="00842F7C" w:rsidRDefault="00FE7787" w:rsidP="00842F7C">
      <w:pPr>
        <w:rPr>
          <w:lang w:val="en-US" w:bidi="bn-IN"/>
        </w:rPr>
      </w:pPr>
      <w:r w:rsidRPr="00FE7787">
        <w:rPr>
          <w:noProof/>
          <w:lang w:val="en-US" w:bidi="bn-IN"/>
        </w:rPr>
        <w:drawing>
          <wp:inline distT="0" distB="0" distL="0" distR="0" wp14:anchorId="332C20FA" wp14:editId="7B5AC413">
            <wp:extent cx="5943600" cy="3343275"/>
            <wp:effectExtent l="0" t="0" r="0" b="0"/>
            <wp:docPr id="1473083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083758" name=""/>
                    <pic:cNvPicPr/>
                  </pic:nvPicPr>
                  <pic:blipFill>
                    <a:blip r:embed="rId14"/>
                    <a:stretch>
                      <a:fillRect/>
                    </a:stretch>
                  </pic:blipFill>
                  <pic:spPr>
                    <a:xfrm>
                      <a:off x="0" y="0"/>
                      <a:ext cx="5943600" cy="3343275"/>
                    </a:xfrm>
                    <a:prstGeom prst="rect">
                      <a:avLst/>
                    </a:prstGeom>
                  </pic:spPr>
                </pic:pic>
              </a:graphicData>
            </a:graphic>
          </wp:inline>
        </w:drawing>
      </w:r>
    </w:p>
    <w:p w14:paraId="66348C23" w14:textId="7C622224" w:rsidR="005F79E5" w:rsidRDefault="005F79E5" w:rsidP="005F79E5">
      <w:r>
        <w:t>The feasibility of the event is supported by:</w:t>
      </w:r>
    </w:p>
    <w:p w14:paraId="08F11048" w14:textId="77777777" w:rsidR="005F79E5" w:rsidRDefault="005F79E5" w:rsidP="005F79E5">
      <w:pPr>
        <w:pStyle w:val="ListParagraph"/>
        <w:numPr>
          <w:ilvl w:val="0"/>
          <w:numId w:val="2"/>
        </w:numPr>
      </w:pPr>
      <w:r w:rsidRPr="005F79E5">
        <w:rPr>
          <w:b/>
          <w:bCs/>
        </w:rPr>
        <w:t>Strategic Relevance:</w:t>
      </w:r>
      <w:r>
        <w:t xml:space="preserve"> The timing of the conference lines up with global priorities for EDI, there is demand and engagement.</w:t>
      </w:r>
    </w:p>
    <w:p w14:paraId="230A4D69" w14:textId="77777777" w:rsidR="005F79E5" w:rsidRDefault="005F79E5" w:rsidP="005F79E5">
      <w:pPr>
        <w:pStyle w:val="ListParagraph"/>
        <w:numPr>
          <w:ilvl w:val="0"/>
          <w:numId w:val="2"/>
        </w:numPr>
      </w:pPr>
      <w:r w:rsidRPr="005F79E5">
        <w:rPr>
          <w:b/>
          <w:bCs/>
        </w:rPr>
        <w:t>Operational Capacity:</w:t>
      </w:r>
      <w:r>
        <w:t xml:space="preserve"> With the selected venue and the experienced team, the necessary infrastructure for a successful delivery is available.</w:t>
      </w:r>
    </w:p>
    <w:p w14:paraId="5D4871E9" w14:textId="77777777" w:rsidR="005F79E5" w:rsidRDefault="005F79E5" w:rsidP="005F79E5">
      <w:pPr>
        <w:pStyle w:val="ListParagraph"/>
        <w:numPr>
          <w:ilvl w:val="0"/>
          <w:numId w:val="2"/>
        </w:numPr>
      </w:pPr>
      <w:r w:rsidRPr="005F79E5">
        <w:rPr>
          <w:b/>
          <w:bCs/>
        </w:rPr>
        <w:t>Financial Viability:</w:t>
      </w:r>
      <w:r>
        <w:t xml:space="preserve"> Profitability is demonstrated by the projected budget through diverse funding streams.</w:t>
      </w:r>
    </w:p>
    <w:p w14:paraId="3F46DD66" w14:textId="77777777" w:rsidR="005F79E5" w:rsidRDefault="005F79E5" w:rsidP="005F79E5">
      <w:pPr>
        <w:pStyle w:val="ListParagraph"/>
        <w:numPr>
          <w:ilvl w:val="0"/>
          <w:numId w:val="2"/>
        </w:numPr>
      </w:pPr>
      <w:r w:rsidRPr="005F79E5">
        <w:rPr>
          <w:b/>
          <w:bCs/>
        </w:rPr>
        <w:t>Market Differentiation:</w:t>
      </w:r>
      <w:r>
        <w:t xml:space="preserve"> EDI provides an exclusive focus on which creates an exclusive value proposition and risks of competition.</w:t>
      </w:r>
    </w:p>
    <w:p w14:paraId="025757DA" w14:textId="6DB2D657" w:rsidR="005F79E5" w:rsidRDefault="005F79E5" w:rsidP="005F79E5">
      <w:r>
        <w:t>The main problems would be getting sponsorships and being able to draw a decent attendance. One mitigation strategy involves engaging the sponsor early and others involve targeted marketing campaigns. Fox et al. (2014) emphasize that event success requires proactive risk management.</w:t>
      </w:r>
    </w:p>
    <w:p w14:paraId="6BD20342" w14:textId="694133BD" w:rsidR="005F79E5" w:rsidRDefault="005F79E5" w:rsidP="00FE7787">
      <w:bookmarkStart w:id="14" w:name="_Toc189133174"/>
      <w:r w:rsidRPr="002D3489">
        <w:rPr>
          <w:rStyle w:val="Heading1Char"/>
        </w:rPr>
        <w:lastRenderedPageBreak/>
        <w:t>Conclusion</w:t>
      </w:r>
      <w:bookmarkEnd w:id="14"/>
      <w:r w:rsidR="00FE7787" w:rsidRPr="00FE7787">
        <w:rPr>
          <w:noProof/>
        </w:rPr>
        <w:drawing>
          <wp:inline distT="0" distB="0" distL="0" distR="0" wp14:anchorId="2C273DD0" wp14:editId="66DF2412">
            <wp:extent cx="5943600" cy="3343275"/>
            <wp:effectExtent l="0" t="0" r="0" b="0"/>
            <wp:docPr id="730885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885477" name=""/>
                    <pic:cNvPicPr/>
                  </pic:nvPicPr>
                  <pic:blipFill>
                    <a:blip r:embed="rId15"/>
                    <a:stretch>
                      <a:fillRect/>
                    </a:stretch>
                  </pic:blipFill>
                  <pic:spPr>
                    <a:xfrm>
                      <a:off x="0" y="0"/>
                      <a:ext cx="5943600" cy="3343275"/>
                    </a:xfrm>
                    <a:prstGeom prst="rect">
                      <a:avLst/>
                    </a:prstGeom>
                  </pic:spPr>
                </pic:pic>
              </a:graphicData>
            </a:graphic>
          </wp:inline>
        </w:drawing>
      </w:r>
    </w:p>
    <w:p w14:paraId="6DF47727" w14:textId="272AE0EF" w:rsidR="00680360" w:rsidRDefault="005F79E5" w:rsidP="005F79E5">
      <w:r>
        <w:t>In conclusion, "Empowering Futures: Equality, Diversity and Inclusion in Industry is a strategically planned and financially viable event that delivers on a critical global issue. An industry changing event can foster dialogue and give actionable solutions to change the industry. As emphasized by Meredith (2022), this study emphasizes that the event should prove to be impactful and sustainable based on this study of thorough research and planning. The features of the proposed conference not only satisfy the interests of the target audience but also helps to advance the issue of equality, diversity, and inclusion in the professional world.</w:t>
      </w:r>
    </w:p>
    <w:p w14:paraId="330409B1" w14:textId="77777777" w:rsidR="00680360" w:rsidRDefault="00680360">
      <w:pPr>
        <w:spacing w:before="0" w:after="0" w:line="240" w:lineRule="auto"/>
        <w:jc w:val="left"/>
      </w:pPr>
      <w:r>
        <w:br w:type="page"/>
      </w:r>
    </w:p>
    <w:p w14:paraId="38AEDB96" w14:textId="2D2CE87C" w:rsidR="00254A51" w:rsidRPr="00986882" w:rsidRDefault="00680360" w:rsidP="00FE7787">
      <w:pPr>
        <w:rPr>
          <w:lang w:val="nl-NL"/>
        </w:rPr>
      </w:pPr>
      <w:bookmarkStart w:id="15" w:name="_Toc189133175"/>
      <w:r w:rsidRPr="00986882">
        <w:rPr>
          <w:rStyle w:val="Heading1Char"/>
          <w:lang w:val="nl-NL"/>
        </w:rPr>
        <w:lastRenderedPageBreak/>
        <w:t>References:</w:t>
      </w:r>
      <w:bookmarkEnd w:id="15"/>
      <w:r w:rsidR="00FE7787" w:rsidRPr="00986882">
        <w:rPr>
          <w:noProof/>
          <w:lang w:val="nl-NL"/>
        </w:rPr>
        <w:t xml:space="preserve"> </w:t>
      </w:r>
      <w:r w:rsidR="00FE7787" w:rsidRPr="00FE7787">
        <w:rPr>
          <w:noProof/>
        </w:rPr>
        <w:drawing>
          <wp:inline distT="0" distB="0" distL="0" distR="0" wp14:anchorId="6F01977E" wp14:editId="03B4183B">
            <wp:extent cx="5943600" cy="3343275"/>
            <wp:effectExtent l="0" t="0" r="0" b="0"/>
            <wp:docPr id="1744566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566794" name=""/>
                    <pic:cNvPicPr/>
                  </pic:nvPicPr>
                  <pic:blipFill>
                    <a:blip r:embed="rId16"/>
                    <a:stretch>
                      <a:fillRect/>
                    </a:stretch>
                  </pic:blipFill>
                  <pic:spPr>
                    <a:xfrm>
                      <a:off x="0" y="0"/>
                      <a:ext cx="5943600" cy="3343275"/>
                    </a:xfrm>
                    <a:prstGeom prst="rect">
                      <a:avLst/>
                    </a:prstGeom>
                  </pic:spPr>
                </pic:pic>
              </a:graphicData>
            </a:graphic>
          </wp:inline>
        </w:drawing>
      </w:r>
    </w:p>
    <w:p w14:paraId="47AB7A0F" w14:textId="77777777" w:rsidR="00680360" w:rsidRPr="00680360" w:rsidRDefault="00680360" w:rsidP="00680360">
      <w:pPr>
        <w:rPr>
          <w:lang w:val="en-US" w:bidi="bn-IN"/>
        </w:rPr>
      </w:pPr>
      <w:r w:rsidRPr="00986882">
        <w:rPr>
          <w:lang w:val="nl-NL" w:bidi="bn-IN"/>
        </w:rPr>
        <w:t xml:space="preserve">Allen, J. et al. </w:t>
      </w:r>
      <w:r w:rsidRPr="00680360">
        <w:rPr>
          <w:lang w:val="en-US" w:bidi="bn-IN"/>
        </w:rPr>
        <w:t>(2020). Festival and Special Event Management. 7th Edition. Wiley.</w:t>
      </w:r>
    </w:p>
    <w:p w14:paraId="18766D17" w14:textId="77777777" w:rsidR="00680360" w:rsidRPr="00680360" w:rsidRDefault="00680360" w:rsidP="00680360">
      <w:pPr>
        <w:rPr>
          <w:lang w:val="en-US" w:bidi="bn-IN"/>
        </w:rPr>
      </w:pPr>
      <w:r w:rsidRPr="00680360">
        <w:rPr>
          <w:lang w:val="en-US" w:bidi="bn-IN"/>
        </w:rPr>
        <w:t>Berridge, G. (2021). Event design and experience. 2nd Edition. Routledge: London.</w:t>
      </w:r>
    </w:p>
    <w:p w14:paraId="1243C474" w14:textId="77777777" w:rsidR="00680360" w:rsidRPr="00680360" w:rsidRDefault="00680360" w:rsidP="00680360">
      <w:pPr>
        <w:rPr>
          <w:lang w:val="en-US" w:bidi="bn-IN"/>
        </w:rPr>
      </w:pPr>
      <w:r w:rsidRPr="00680360">
        <w:rPr>
          <w:lang w:val="en-US" w:bidi="bn-IN"/>
        </w:rPr>
        <w:t>Brown, S. and James, K. (2016). Event sustainability: Critical insights for the future. International Journal of Event Management Research, 11(2), pp. 85-99.</w:t>
      </w:r>
    </w:p>
    <w:p w14:paraId="4CD4595A" w14:textId="77777777" w:rsidR="00680360" w:rsidRPr="00680360" w:rsidRDefault="00680360" w:rsidP="00680360">
      <w:pPr>
        <w:rPr>
          <w:lang w:val="en-US" w:bidi="bn-IN"/>
        </w:rPr>
      </w:pPr>
      <w:r w:rsidRPr="00680360">
        <w:rPr>
          <w:lang w:val="en-US" w:bidi="bn-IN"/>
        </w:rPr>
        <w:t xml:space="preserve">Deloitte (2023). Diversity and Inclusion Report. Available at: </w:t>
      </w:r>
      <w:hyperlink r:id="rId17" w:history="1">
        <w:r w:rsidRPr="00680360">
          <w:rPr>
            <w:rStyle w:val="Hyperlink"/>
            <w:lang w:val="en-US" w:bidi="bn-IN"/>
          </w:rPr>
          <w:t xml:space="preserve">https://www2.deloitte.com/content/dam/Deloitte/us/Documents/about-deloitte/us-23-dei-tr-diversity-equity-and-inclusion.pdf </w:t>
        </w:r>
      </w:hyperlink>
      <w:r>
        <w:rPr>
          <w:lang w:val="en-US" w:bidi="bn-IN"/>
        </w:rPr>
        <w:t xml:space="preserve"> [</w:t>
      </w:r>
      <w:r w:rsidRPr="00680360">
        <w:rPr>
          <w:lang w:val="en-US" w:bidi="bn-IN"/>
        </w:rPr>
        <w:t xml:space="preserve">Accessed </w:t>
      </w:r>
      <w:r>
        <w:rPr>
          <w:lang w:val="en-US" w:bidi="bn-IN"/>
        </w:rPr>
        <w:t>29</w:t>
      </w:r>
      <w:r w:rsidRPr="00680360">
        <w:rPr>
          <w:lang w:val="en-US" w:bidi="bn-IN"/>
        </w:rPr>
        <w:t xml:space="preserve"> Jan</w:t>
      </w:r>
      <w:r>
        <w:rPr>
          <w:lang w:val="en-US" w:bidi="bn-IN"/>
        </w:rPr>
        <w:t>.</w:t>
      </w:r>
      <w:r w:rsidRPr="00680360">
        <w:rPr>
          <w:lang w:val="en-US" w:bidi="bn-IN"/>
        </w:rPr>
        <w:t xml:space="preserve"> 2025).</w:t>
      </w:r>
    </w:p>
    <w:p w14:paraId="0974A8EA" w14:textId="77777777" w:rsidR="00680360" w:rsidRPr="00680360" w:rsidRDefault="00680360" w:rsidP="00680360">
      <w:pPr>
        <w:rPr>
          <w:lang w:val="en-US" w:bidi="bn-IN"/>
        </w:rPr>
      </w:pPr>
      <w:r w:rsidRPr="00680360">
        <w:rPr>
          <w:lang w:val="en-US" w:bidi="bn-IN"/>
        </w:rPr>
        <w:t>Fox, D. et al. (2014). Doing events research: from theory to practice. Routledge: Oxford.</w:t>
      </w:r>
    </w:p>
    <w:p w14:paraId="5B80DCF7" w14:textId="4F8A2905" w:rsidR="00680360" w:rsidRPr="00680360" w:rsidRDefault="00680360" w:rsidP="00680360">
      <w:pPr>
        <w:rPr>
          <w:lang w:val="en-US" w:bidi="bn-IN"/>
        </w:rPr>
      </w:pPr>
      <w:r w:rsidRPr="00680360">
        <w:rPr>
          <w:lang w:val="en-US" w:bidi="bn-IN"/>
        </w:rPr>
        <w:t xml:space="preserve">Frost, S. and Kalman, D. (2020). Building an inclusive </w:t>
      </w:r>
      <w:r>
        <w:rPr>
          <w:lang w:val="en-US" w:bidi="bn-IN"/>
        </w:rPr>
        <w:t>organisa</w:t>
      </w:r>
      <w:r w:rsidRPr="00680360">
        <w:rPr>
          <w:lang w:val="en-US" w:bidi="bn-IN"/>
        </w:rPr>
        <w:t>tion: Leveraging the power of a diverse workforce. Kogan Page: London.</w:t>
      </w:r>
    </w:p>
    <w:p w14:paraId="79A9E644" w14:textId="77777777" w:rsidR="00680360" w:rsidRPr="00680360" w:rsidRDefault="00680360" w:rsidP="00680360">
      <w:pPr>
        <w:rPr>
          <w:lang w:val="en-US" w:bidi="bn-IN"/>
        </w:rPr>
      </w:pPr>
      <w:r w:rsidRPr="00680360">
        <w:rPr>
          <w:lang w:val="en-US" w:bidi="bn-IN"/>
        </w:rPr>
        <w:t>Getz, D. and Page, S. (2019). Event studies: theory, research and policy for planned events. 3rd Edition. Routledge: Oxford.</w:t>
      </w:r>
    </w:p>
    <w:p w14:paraId="05F3A62F" w14:textId="77777777" w:rsidR="00680360" w:rsidRPr="00680360" w:rsidRDefault="00680360" w:rsidP="00680360">
      <w:pPr>
        <w:rPr>
          <w:lang w:val="en-US" w:bidi="bn-IN"/>
        </w:rPr>
      </w:pPr>
      <w:r w:rsidRPr="00680360">
        <w:rPr>
          <w:lang w:val="en-US" w:bidi="bn-IN"/>
        </w:rPr>
        <w:lastRenderedPageBreak/>
        <w:t>Hall, C. M. and Page, S. J. (2016). The geography of tourism and recreation: Environment, place and space. Routledge.</w:t>
      </w:r>
    </w:p>
    <w:p w14:paraId="6F3B06B4" w14:textId="77777777" w:rsidR="00680360" w:rsidRPr="00680360" w:rsidRDefault="00680360" w:rsidP="00680360">
      <w:pPr>
        <w:rPr>
          <w:lang w:val="en-US" w:bidi="bn-IN"/>
        </w:rPr>
      </w:pPr>
      <w:r w:rsidRPr="00680360">
        <w:rPr>
          <w:lang w:val="en-US" w:bidi="bn-IN"/>
        </w:rPr>
        <w:t>Harris, R. and Nelson, R. (2017). Event Management: A Professional Approach. Routledge: London.</w:t>
      </w:r>
    </w:p>
    <w:p w14:paraId="467D18FB" w14:textId="77777777" w:rsidR="00680360" w:rsidRPr="00680360" w:rsidRDefault="00680360" w:rsidP="00680360">
      <w:pPr>
        <w:rPr>
          <w:lang w:val="en-US" w:bidi="bn-IN"/>
        </w:rPr>
      </w:pPr>
      <w:r w:rsidRPr="00680360">
        <w:rPr>
          <w:lang w:val="en-US" w:bidi="bn-IN"/>
        </w:rPr>
        <w:t>Jones, T. (2017). The business case for diversity and inclusion. Journal of Business Ethics, 145(2), pp. 259-274.</w:t>
      </w:r>
    </w:p>
    <w:p w14:paraId="48343D1C" w14:textId="62BC07E2" w:rsidR="00680360" w:rsidRPr="00680360" w:rsidRDefault="00680360" w:rsidP="00680360">
      <w:pPr>
        <w:rPr>
          <w:lang w:val="en-US" w:bidi="bn-IN"/>
        </w:rPr>
      </w:pPr>
      <w:r w:rsidRPr="00680360">
        <w:rPr>
          <w:lang w:val="en-US" w:bidi="bn-IN"/>
        </w:rPr>
        <w:t xml:space="preserve">Kaplan, S. (2018). Diversity in </w:t>
      </w:r>
      <w:r>
        <w:rPr>
          <w:lang w:val="en-US" w:bidi="bn-IN"/>
        </w:rPr>
        <w:t>organisa</w:t>
      </w:r>
      <w:r w:rsidRPr="00680360">
        <w:rPr>
          <w:lang w:val="en-US" w:bidi="bn-IN"/>
        </w:rPr>
        <w:t xml:space="preserve">tions: A critical examination. Journal of </w:t>
      </w:r>
      <w:r>
        <w:rPr>
          <w:lang w:val="en-US" w:bidi="bn-IN"/>
        </w:rPr>
        <w:t>Organisa</w:t>
      </w:r>
      <w:r w:rsidRPr="00680360">
        <w:rPr>
          <w:lang w:val="en-US" w:bidi="bn-IN"/>
        </w:rPr>
        <w:t>tional Behavior, 39(4), pp. 623-637.</w:t>
      </w:r>
    </w:p>
    <w:p w14:paraId="1719328B" w14:textId="77777777" w:rsidR="00680360" w:rsidRPr="00680360" w:rsidRDefault="00680360" w:rsidP="00680360">
      <w:pPr>
        <w:rPr>
          <w:lang w:val="en-US" w:bidi="bn-IN"/>
        </w:rPr>
      </w:pPr>
      <w:r w:rsidRPr="00680360">
        <w:rPr>
          <w:lang w:val="en-US" w:bidi="bn-IN"/>
        </w:rPr>
        <w:t>Meredith, J. (2022). Project management: a managerial approach. Wiley.</w:t>
      </w:r>
    </w:p>
    <w:p w14:paraId="3CB4AA08" w14:textId="77777777" w:rsidR="00680360" w:rsidRPr="00680360" w:rsidRDefault="00680360" w:rsidP="00680360">
      <w:pPr>
        <w:rPr>
          <w:lang w:val="en-US" w:bidi="bn-IN"/>
        </w:rPr>
      </w:pPr>
      <w:r w:rsidRPr="00680360">
        <w:rPr>
          <w:lang w:val="en-US" w:bidi="bn-IN"/>
        </w:rPr>
        <w:t>O’Toole, W. (2011). Events feasibility and development: from strategy to operations. Elsevier: Oxford.</w:t>
      </w:r>
    </w:p>
    <w:p w14:paraId="79EBBCD6" w14:textId="77777777" w:rsidR="00680360" w:rsidRPr="00680360" w:rsidRDefault="00680360" w:rsidP="00680360">
      <w:pPr>
        <w:rPr>
          <w:lang w:val="en-US" w:bidi="bn-IN"/>
        </w:rPr>
      </w:pPr>
      <w:r w:rsidRPr="00680360">
        <w:rPr>
          <w:lang w:val="en-US" w:bidi="bn-IN"/>
        </w:rPr>
        <w:t>Richards, G. and Palmer, R. (2015). Eventful cities: Cultural management and urban revitalisation. Routledge.</w:t>
      </w:r>
    </w:p>
    <w:p w14:paraId="63B845F7" w14:textId="77777777" w:rsidR="00680360" w:rsidRPr="00680360" w:rsidRDefault="00680360" w:rsidP="00680360">
      <w:pPr>
        <w:rPr>
          <w:lang w:val="en-US" w:bidi="bn-IN"/>
        </w:rPr>
      </w:pPr>
      <w:r w:rsidRPr="00680360">
        <w:rPr>
          <w:lang w:val="en-US" w:bidi="bn-IN"/>
        </w:rPr>
        <w:t>Rogers, T. and Wynn-Moylan, P. (2022). Conferences and conventions: a global industry. 4th Edition. Routledge: Oxford.</w:t>
      </w:r>
    </w:p>
    <w:p w14:paraId="2F61080C" w14:textId="77777777" w:rsidR="00680360" w:rsidRPr="00680360" w:rsidRDefault="00680360" w:rsidP="00680360">
      <w:pPr>
        <w:rPr>
          <w:lang w:val="en-US" w:bidi="bn-IN"/>
        </w:rPr>
      </w:pPr>
      <w:r w:rsidRPr="00680360">
        <w:rPr>
          <w:lang w:val="en-US" w:bidi="bn-IN"/>
        </w:rPr>
        <w:t>Shore, L. M. et al. (2018). Inclusion and diversity in work groups: A review and model. Journal of Management, 44(5), pp. 1894-1924.</w:t>
      </w:r>
    </w:p>
    <w:p w14:paraId="387E7CBE" w14:textId="77777777" w:rsidR="00680360" w:rsidRPr="00680360" w:rsidRDefault="00680360" w:rsidP="00680360">
      <w:pPr>
        <w:rPr>
          <w:lang w:val="en-US" w:bidi="bn-IN"/>
        </w:rPr>
      </w:pPr>
      <w:r w:rsidRPr="00680360">
        <w:rPr>
          <w:lang w:val="en-US" w:bidi="bn-IN"/>
        </w:rPr>
        <w:t>Smith, A. (2012). Events and urban regeneration: the strategic use of events to revitalise cities. Routledge: Oxford.</w:t>
      </w:r>
    </w:p>
    <w:p w14:paraId="67844A54" w14:textId="77777777" w:rsidR="00680360" w:rsidRPr="00680360" w:rsidRDefault="00680360" w:rsidP="00680360">
      <w:pPr>
        <w:rPr>
          <w:lang w:val="en-US" w:bidi="bn-IN"/>
        </w:rPr>
      </w:pPr>
      <w:r w:rsidRPr="00680360">
        <w:rPr>
          <w:lang w:val="en-US" w:bidi="bn-IN"/>
        </w:rPr>
        <w:t>Thomas, D. and Ely, R. (2019). Making differences matter: A new paradigm for managing diversity. Harvard Business Review.</w:t>
      </w:r>
    </w:p>
    <w:p w14:paraId="59247964" w14:textId="77777777" w:rsidR="00680360" w:rsidRPr="00680360" w:rsidRDefault="00680360" w:rsidP="00680360">
      <w:pPr>
        <w:rPr>
          <w:lang w:val="en-US" w:bidi="bn-IN"/>
        </w:rPr>
      </w:pPr>
      <w:r w:rsidRPr="00680360">
        <w:rPr>
          <w:lang w:val="en-US" w:bidi="bn-IN"/>
        </w:rPr>
        <w:t>Wood, E. H. (2015). Evaluating event marketing: Experience design and visitor experiences. Journal of Tourism Management, 45, pp. 367-376.</w:t>
      </w:r>
    </w:p>
    <w:p w14:paraId="6751DB59" w14:textId="77777777" w:rsidR="00680360" w:rsidRPr="00680360" w:rsidRDefault="00680360" w:rsidP="00680360">
      <w:pPr>
        <w:rPr>
          <w:lang w:val="en-US" w:bidi="bn-IN"/>
        </w:rPr>
      </w:pPr>
      <w:r w:rsidRPr="00680360">
        <w:rPr>
          <w:lang w:val="en-US" w:bidi="bn-IN"/>
        </w:rPr>
        <w:lastRenderedPageBreak/>
        <w:t>Young, M. and Montgomery, R. (2019). Meeting and Event Planning for Dummies. Wiley.</w:t>
      </w:r>
    </w:p>
    <w:sectPr w:rsidR="00680360" w:rsidRPr="00680360" w:rsidSect="00FE7787">
      <w:footerReference w:type="even" r:id="rId18"/>
      <w:footerReference w:type="default" r:id="rId1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FCBD3A" w14:textId="77777777" w:rsidR="00C95FE2" w:rsidRDefault="00C95FE2" w:rsidP="005F79E5">
      <w:pPr>
        <w:spacing w:before="0" w:after="0" w:line="240" w:lineRule="auto"/>
      </w:pPr>
      <w:r>
        <w:separator/>
      </w:r>
    </w:p>
  </w:endnote>
  <w:endnote w:type="continuationSeparator" w:id="0">
    <w:p w14:paraId="4402689E" w14:textId="77777777" w:rsidR="00C95FE2" w:rsidRDefault="00C95FE2" w:rsidP="005F79E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06196600"/>
      <w:docPartObj>
        <w:docPartGallery w:val="Page Numbers (Bottom of Page)"/>
        <w:docPartUnique/>
      </w:docPartObj>
    </w:sdtPr>
    <w:sdtContent>
      <w:p w14:paraId="58C523DC" w14:textId="2465BC24" w:rsidR="005F79E5" w:rsidRDefault="005F79E5" w:rsidP="002B0F9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2DD8F0A" w14:textId="77777777" w:rsidR="005F79E5" w:rsidRDefault="005F79E5" w:rsidP="005F79E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69678081"/>
      <w:docPartObj>
        <w:docPartGallery w:val="Page Numbers (Bottom of Page)"/>
        <w:docPartUnique/>
      </w:docPartObj>
    </w:sdtPr>
    <w:sdtContent>
      <w:p w14:paraId="254F17E7" w14:textId="31783126" w:rsidR="005F79E5" w:rsidRDefault="005F79E5" w:rsidP="002B0F9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62ADC38" w14:textId="77777777" w:rsidR="005F79E5" w:rsidRDefault="005F79E5" w:rsidP="005F79E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13CDAD" w14:textId="77777777" w:rsidR="00C95FE2" w:rsidRDefault="00C95FE2" w:rsidP="005F79E5">
      <w:pPr>
        <w:spacing w:before="0" w:after="0" w:line="240" w:lineRule="auto"/>
      </w:pPr>
      <w:r>
        <w:separator/>
      </w:r>
    </w:p>
  </w:footnote>
  <w:footnote w:type="continuationSeparator" w:id="0">
    <w:p w14:paraId="3D0AD131" w14:textId="77777777" w:rsidR="00C95FE2" w:rsidRDefault="00C95FE2" w:rsidP="005F79E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2D4E2F"/>
    <w:multiLevelType w:val="hybridMultilevel"/>
    <w:tmpl w:val="5A920F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7EF4025"/>
    <w:multiLevelType w:val="hybridMultilevel"/>
    <w:tmpl w:val="205609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32626529">
    <w:abstractNumId w:val="1"/>
  </w:num>
  <w:num w:numId="2" w16cid:durableId="9327865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9E5"/>
    <w:rsid w:val="00027DC2"/>
    <w:rsid w:val="00031143"/>
    <w:rsid w:val="0007279D"/>
    <w:rsid w:val="000B59A6"/>
    <w:rsid w:val="000F3B7A"/>
    <w:rsid w:val="00254A51"/>
    <w:rsid w:val="002D3489"/>
    <w:rsid w:val="0036611A"/>
    <w:rsid w:val="003B4DB3"/>
    <w:rsid w:val="003C20E7"/>
    <w:rsid w:val="003C3099"/>
    <w:rsid w:val="003F4CE1"/>
    <w:rsid w:val="00497ED3"/>
    <w:rsid w:val="004D4FB3"/>
    <w:rsid w:val="005300E0"/>
    <w:rsid w:val="005711C2"/>
    <w:rsid w:val="005F3104"/>
    <w:rsid w:val="005F79E5"/>
    <w:rsid w:val="00612E93"/>
    <w:rsid w:val="006654DC"/>
    <w:rsid w:val="00680360"/>
    <w:rsid w:val="006929C9"/>
    <w:rsid w:val="00716C37"/>
    <w:rsid w:val="00794EDF"/>
    <w:rsid w:val="007B7CBA"/>
    <w:rsid w:val="00807D97"/>
    <w:rsid w:val="00842F7C"/>
    <w:rsid w:val="0085104C"/>
    <w:rsid w:val="008D3B84"/>
    <w:rsid w:val="00937470"/>
    <w:rsid w:val="00941E6F"/>
    <w:rsid w:val="00986882"/>
    <w:rsid w:val="009875A3"/>
    <w:rsid w:val="009A25F2"/>
    <w:rsid w:val="009D79AB"/>
    <w:rsid w:val="009F41A6"/>
    <w:rsid w:val="00AF37E0"/>
    <w:rsid w:val="00C26411"/>
    <w:rsid w:val="00C95FE2"/>
    <w:rsid w:val="00D20ADC"/>
    <w:rsid w:val="00D402D9"/>
    <w:rsid w:val="00D833E0"/>
    <w:rsid w:val="00E1767B"/>
    <w:rsid w:val="00E53854"/>
    <w:rsid w:val="00EF2DE8"/>
    <w:rsid w:val="00FE778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FFD43"/>
  <w15:chartTrackingRefBased/>
  <w15:docId w15:val="{6445FDAA-4391-8D46-BC6B-3D9AE31E48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US" w:eastAsia="en-US" w:bidi="bn-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4FB3"/>
    <w:pPr>
      <w:spacing w:before="120" w:after="280" w:line="360" w:lineRule="auto"/>
      <w:jc w:val="both"/>
    </w:pPr>
    <w:rPr>
      <w:rFonts w:ascii="Times New Roman" w:eastAsiaTheme="minorEastAsia" w:hAnsi="Times New Roman"/>
      <w:szCs w:val="22"/>
      <w:lang w:val="en-GB" w:bidi="ar-SA"/>
    </w:rPr>
  </w:style>
  <w:style w:type="paragraph" w:styleId="Heading1">
    <w:name w:val="heading 1"/>
    <w:basedOn w:val="Normal"/>
    <w:next w:val="Normal"/>
    <w:link w:val="Heading1Char"/>
    <w:autoRedefine/>
    <w:uiPriority w:val="9"/>
    <w:qFormat/>
    <w:rsid w:val="003F4CE1"/>
    <w:pPr>
      <w:keepNext/>
      <w:keepLines/>
      <w:spacing w:before="240" w:after="0"/>
      <w:outlineLvl w:val="0"/>
    </w:pPr>
    <w:rPr>
      <w:rFonts w:eastAsiaTheme="majorEastAsia" w:cstheme="majorBidi"/>
      <w:color w:val="000000" w:themeColor="text1"/>
      <w:sz w:val="32"/>
      <w:szCs w:val="32"/>
      <w:lang w:val="en-US" w:bidi="bn-IN"/>
    </w:rPr>
  </w:style>
  <w:style w:type="paragraph" w:styleId="Heading2">
    <w:name w:val="heading 2"/>
    <w:basedOn w:val="Normal"/>
    <w:next w:val="Normal"/>
    <w:link w:val="Heading2Char"/>
    <w:autoRedefine/>
    <w:uiPriority w:val="9"/>
    <w:unhideWhenUsed/>
    <w:qFormat/>
    <w:rsid w:val="005711C2"/>
    <w:pPr>
      <w:keepNext/>
      <w:keepLines/>
      <w:spacing w:before="160" w:after="80"/>
      <w:outlineLvl w:val="1"/>
    </w:pPr>
    <w:rPr>
      <w:rFonts w:eastAsiaTheme="majorEastAsia" w:cstheme="majorBidi"/>
      <w:color w:val="0F4761" w:themeColor="accent1" w:themeShade="BF"/>
      <w:sz w:val="28"/>
      <w:szCs w:val="40"/>
    </w:rPr>
  </w:style>
  <w:style w:type="paragraph" w:styleId="Heading3">
    <w:name w:val="heading 3"/>
    <w:basedOn w:val="Normal"/>
    <w:next w:val="Normal"/>
    <w:link w:val="Heading3Char"/>
    <w:autoRedefine/>
    <w:uiPriority w:val="9"/>
    <w:unhideWhenUsed/>
    <w:qFormat/>
    <w:rsid w:val="00807D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79E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F79E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F79E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F79E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F79E5"/>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F79E5"/>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711C2"/>
    <w:rPr>
      <w:rFonts w:ascii="Times New Roman" w:eastAsiaTheme="majorEastAsia" w:hAnsi="Times New Roman" w:cstheme="majorBidi"/>
      <w:color w:val="0F4761" w:themeColor="accent1" w:themeShade="BF"/>
      <w:sz w:val="28"/>
      <w:szCs w:val="40"/>
      <w:lang w:val="en-GB"/>
    </w:rPr>
  </w:style>
  <w:style w:type="character" w:customStyle="1" w:styleId="Heading1Char">
    <w:name w:val="Heading 1 Char"/>
    <w:basedOn w:val="DefaultParagraphFont"/>
    <w:link w:val="Heading1"/>
    <w:uiPriority w:val="9"/>
    <w:rsid w:val="003F4CE1"/>
    <w:rPr>
      <w:rFonts w:ascii="Times New Roman" w:eastAsiaTheme="majorEastAsia" w:hAnsi="Times New Roman" w:cstheme="majorBidi"/>
      <w:color w:val="000000" w:themeColor="text1"/>
      <w:sz w:val="32"/>
      <w:szCs w:val="32"/>
    </w:rPr>
  </w:style>
  <w:style w:type="character" w:customStyle="1" w:styleId="Heading3Char">
    <w:name w:val="Heading 3 Char"/>
    <w:basedOn w:val="DefaultParagraphFont"/>
    <w:link w:val="Heading3"/>
    <w:uiPriority w:val="9"/>
    <w:rsid w:val="00807D97"/>
    <w:rPr>
      <w:rFonts w:ascii="Times New Roman" w:eastAsiaTheme="majorEastAsia" w:hAnsi="Times New Roman" w:cstheme="majorBidi"/>
      <w:color w:val="0F4761" w:themeColor="accent1" w:themeShade="BF"/>
      <w:sz w:val="28"/>
      <w:szCs w:val="28"/>
      <w:lang w:val="en-GB" w:bidi="ar-SA"/>
    </w:rPr>
  </w:style>
  <w:style w:type="character" w:customStyle="1" w:styleId="Heading4Char">
    <w:name w:val="Heading 4 Char"/>
    <w:basedOn w:val="DefaultParagraphFont"/>
    <w:link w:val="Heading4"/>
    <w:uiPriority w:val="9"/>
    <w:semiHidden/>
    <w:rsid w:val="005F79E5"/>
    <w:rPr>
      <w:rFonts w:eastAsiaTheme="majorEastAsia" w:cstheme="majorBidi"/>
      <w:i/>
      <w:iCs/>
      <w:color w:val="0F4761" w:themeColor="accent1" w:themeShade="BF"/>
      <w:szCs w:val="22"/>
      <w:lang w:val="en-GB" w:bidi="ar-SA"/>
    </w:rPr>
  </w:style>
  <w:style w:type="character" w:customStyle="1" w:styleId="Heading5Char">
    <w:name w:val="Heading 5 Char"/>
    <w:basedOn w:val="DefaultParagraphFont"/>
    <w:link w:val="Heading5"/>
    <w:uiPriority w:val="9"/>
    <w:semiHidden/>
    <w:rsid w:val="005F79E5"/>
    <w:rPr>
      <w:rFonts w:eastAsiaTheme="majorEastAsia" w:cstheme="majorBidi"/>
      <w:color w:val="0F4761" w:themeColor="accent1" w:themeShade="BF"/>
      <w:szCs w:val="22"/>
      <w:lang w:val="en-GB" w:bidi="ar-SA"/>
    </w:rPr>
  </w:style>
  <w:style w:type="character" w:customStyle="1" w:styleId="Heading6Char">
    <w:name w:val="Heading 6 Char"/>
    <w:basedOn w:val="DefaultParagraphFont"/>
    <w:link w:val="Heading6"/>
    <w:uiPriority w:val="9"/>
    <w:semiHidden/>
    <w:rsid w:val="005F79E5"/>
    <w:rPr>
      <w:rFonts w:eastAsiaTheme="majorEastAsia" w:cstheme="majorBidi"/>
      <w:i/>
      <w:iCs/>
      <w:color w:val="595959" w:themeColor="text1" w:themeTint="A6"/>
      <w:szCs w:val="22"/>
      <w:lang w:val="en-GB" w:bidi="ar-SA"/>
    </w:rPr>
  </w:style>
  <w:style w:type="character" w:customStyle="1" w:styleId="Heading7Char">
    <w:name w:val="Heading 7 Char"/>
    <w:basedOn w:val="DefaultParagraphFont"/>
    <w:link w:val="Heading7"/>
    <w:uiPriority w:val="9"/>
    <w:semiHidden/>
    <w:rsid w:val="005F79E5"/>
    <w:rPr>
      <w:rFonts w:eastAsiaTheme="majorEastAsia" w:cstheme="majorBidi"/>
      <w:color w:val="595959" w:themeColor="text1" w:themeTint="A6"/>
      <w:szCs w:val="22"/>
      <w:lang w:val="en-GB" w:bidi="ar-SA"/>
    </w:rPr>
  </w:style>
  <w:style w:type="character" w:customStyle="1" w:styleId="Heading8Char">
    <w:name w:val="Heading 8 Char"/>
    <w:basedOn w:val="DefaultParagraphFont"/>
    <w:link w:val="Heading8"/>
    <w:uiPriority w:val="9"/>
    <w:semiHidden/>
    <w:rsid w:val="005F79E5"/>
    <w:rPr>
      <w:rFonts w:eastAsiaTheme="majorEastAsia" w:cstheme="majorBidi"/>
      <w:i/>
      <w:iCs/>
      <w:color w:val="272727" w:themeColor="text1" w:themeTint="D8"/>
      <w:szCs w:val="22"/>
      <w:lang w:val="en-GB" w:bidi="ar-SA"/>
    </w:rPr>
  </w:style>
  <w:style w:type="character" w:customStyle="1" w:styleId="Heading9Char">
    <w:name w:val="Heading 9 Char"/>
    <w:basedOn w:val="DefaultParagraphFont"/>
    <w:link w:val="Heading9"/>
    <w:uiPriority w:val="9"/>
    <w:semiHidden/>
    <w:rsid w:val="005F79E5"/>
    <w:rPr>
      <w:rFonts w:eastAsiaTheme="majorEastAsia" w:cstheme="majorBidi"/>
      <w:color w:val="272727" w:themeColor="text1" w:themeTint="D8"/>
      <w:szCs w:val="22"/>
      <w:lang w:val="en-GB" w:bidi="ar-SA"/>
    </w:rPr>
  </w:style>
  <w:style w:type="paragraph" w:styleId="Title">
    <w:name w:val="Title"/>
    <w:basedOn w:val="Normal"/>
    <w:next w:val="Normal"/>
    <w:link w:val="TitleChar"/>
    <w:uiPriority w:val="10"/>
    <w:qFormat/>
    <w:rsid w:val="005F79E5"/>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79E5"/>
    <w:rPr>
      <w:rFonts w:asciiTheme="majorHAnsi" w:eastAsiaTheme="majorEastAsia" w:hAnsiTheme="majorHAnsi" w:cstheme="majorBidi"/>
      <w:spacing w:val="-10"/>
      <w:kern w:val="28"/>
      <w:sz w:val="56"/>
      <w:szCs w:val="56"/>
      <w:lang w:val="en-GB" w:bidi="ar-SA"/>
    </w:rPr>
  </w:style>
  <w:style w:type="paragraph" w:styleId="Subtitle">
    <w:name w:val="Subtitle"/>
    <w:basedOn w:val="Normal"/>
    <w:next w:val="Normal"/>
    <w:link w:val="SubtitleChar"/>
    <w:uiPriority w:val="11"/>
    <w:qFormat/>
    <w:rsid w:val="005F79E5"/>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79E5"/>
    <w:rPr>
      <w:rFonts w:eastAsiaTheme="majorEastAsia" w:cstheme="majorBidi"/>
      <w:color w:val="595959" w:themeColor="text1" w:themeTint="A6"/>
      <w:spacing w:val="15"/>
      <w:sz w:val="28"/>
      <w:szCs w:val="28"/>
      <w:lang w:val="en-GB" w:bidi="ar-SA"/>
    </w:rPr>
  </w:style>
  <w:style w:type="paragraph" w:styleId="Quote">
    <w:name w:val="Quote"/>
    <w:basedOn w:val="Normal"/>
    <w:next w:val="Normal"/>
    <w:link w:val="QuoteChar"/>
    <w:uiPriority w:val="29"/>
    <w:qFormat/>
    <w:rsid w:val="005F79E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F79E5"/>
    <w:rPr>
      <w:rFonts w:ascii="Times New Roman" w:eastAsiaTheme="minorEastAsia" w:hAnsi="Times New Roman"/>
      <w:i/>
      <w:iCs/>
      <w:color w:val="404040" w:themeColor="text1" w:themeTint="BF"/>
      <w:szCs w:val="22"/>
      <w:lang w:val="en-GB" w:bidi="ar-SA"/>
    </w:rPr>
  </w:style>
  <w:style w:type="paragraph" w:styleId="ListParagraph">
    <w:name w:val="List Paragraph"/>
    <w:basedOn w:val="Normal"/>
    <w:uiPriority w:val="34"/>
    <w:qFormat/>
    <w:rsid w:val="005F79E5"/>
    <w:pPr>
      <w:ind w:left="720"/>
      <w:contextualSpacing/>
    </w:pPr>
  </w:style>
  <w:style w:type="character" w:styleId="IntenseEmphasis">
    <w:name w:val="Intense Emphasis"/>
    <w:basedOn w:val="DefaultParagraphFont"/>
    <w:uiPriority w:val="21"/>
    <w:qFormat/>
    <w:rsid w:val="005F79E5"/>
    <w:rPr>
      <w:i/>
      <w:iCs/>
      <w:color w:val="0F4761" w:themeColor="accent1" w:themeShade="BF"/>
    </w:rPr>
  </w:style>
  <w:style w:type="paragraph" w:styleId="IntenseQuote">
    <w:name w:val="Intense Quote"/>
    <w:basedOn w:val="Normal"/>
    <w:next w:val="Normal"/>
    <w:link w:val="IntenseQuoteChar"/>
    <w:uiPriority w:val="30"/>
    <w:qFormat/>
    <w:rsid w:val="005F79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79E5"/>
    <w:rPr>
      <w:rFonts w:ascii="Times New Roman" w:eastAsiaTheme="minorEastAsia" w:hAnsi="Times New Roman"/>
      <w:i/>
      <w:iCs/>
      <w:color w:val="0F4761" w:themeColor="accent1" w:themeShade="BF"/>
      <w:szCs w:val="22"/>
      <w:lang w:val="en-GB" w:bidi="ar-SA"/>
    </w:rPr>
  </w:style>
  <w:style w:type="character" w:styleId="IntenseReference">
    <w:name w:val="Intense Reference"/>
    <w:basedOn w:val="DefaultParagraphFont"/>
    <w:uiPriority w:val="32"/>
    <w:qFormat/>
    <w:rsid w:val="005F79E5"/>
    <w:rPr>
      <w:b/>
      <w:bCs/>
      <w:smallCaps/>
      <w:color w:val="0F4761" w:themeColor="accent1" w:themeShade="BF"/>
      <w:spacing w:val="5"/>
    </w:rPr>
  </w:style>
  <w:style w:type="table" w:styleId="TableGrid">
    <w:name w:val="Table Grid"/>
    <w:basedOn w:val="TableNormal"/>
    <w:uiPriority w:val="39"/>
    <w:rsid w:val="005F79E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
    <w:name w:val="Grid Table 5 Dark"/>
    <w:basedOn w:val="TableNormal"/>
    <w:uiPriority w:val="50"/>
    <w:rsid w:val="005F79E5"/>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paragraph" w:styleId="Footer">
    <w:name w:val="footer"/>
    <w:basedOn w:val="Normal"/>
    <w:link w:val="FooterChar"/>
    <w:uiPriority w:val="99"/>
    <w:unhideWhenUsed/>
    <w:rsid w:val="005F79E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5F79E5"/>
    <w:rPr>
      <w:rFonts w:ascii="Times New Roman" w:eastAsiaTheme="minorEastAsia" w:hAnsi="Times New Roman"/>
      <w:szCs w:val="22"/>
      <w:lang w:val="en-GB" w:bidi="ar-SA"/>
    </w:rPr>
  </w:style>
  <w:style w:type="character" w:styleId="PageNumber">
    <w:name w:val="page number"/>
    <w:basedOn w:val="DefaultParagraphFont"/>
    <w:uiPriority w:val="99"/>
    <w:semiHidden/>
    <w:unhideWhenUsed/>
    <w:rsid w:val="005F79E5"/>
  </w:style>
  <w:style w:type="character" w:styleId="Hyperlink">
    <w:name w:val="Hyperlink"/>
    <w:basedOn w:val="DefaultParagraphFont"/>
    <w:uiPriority w:val="99"/>
    <w:unhideWhenUsed/>
    <w:rsid w:val="00680360"/>
    <w:rPr>
      <w:color w:val="467886" w:themeColor="hyperlink"/>
      <w:u w:val="single"/>
    </w:rPr>
  </w:style>
  <w:style w:type="character" w:styleId="UnresolvedMention">
    <w:name w:val="Unresolved Mention"/>
    <w:basedOn w:val="DefaultParagraphFont"/>
    <w:uiPriority w:val="99"/>
    <w:semiHidden/>
    <w:unhideWhenUsed/>
    <w:rsid w:val="00680360"/>
    <w:rPr>
      <w:color w:val="605E5C"/>
      <w:shd w:val="clear" w:color="auto" w:fill="E1DFDD"/>
    </w:rPr>
  </w:style>
  <w:style w:type="character" w:styleId="FollowedHyperlink">
    <w:name w:val="FollowedHyperlink"/>
    <w:basedOn w:val="DefaultParagraphFont"/>
    <w:uiPriority w:val="99"/>
    <w:semiHidden/>
    <w:unhideWhenUsed/>
    <w:rsid w:val="00680360"/>
    <w:rPr>
      <w:color w:val="96607D" w:themeColor="followedHyperlink"/>
      <w:u w:val="single"/>
    </w:rPr>
  </w:style>
  <w:style w:type="paragraph" w:styleId="TOCHeading">
    <w:name w:val="TOC Heading"/>
    <w:basedOn w:val="Heading1"/>
    <w:next w:val="Normal"/>
    <w:uiPriority w:val="39"/>
    <w:unhideWhenUsed/>
    <w:qFormat/>
    <w:rsid w:val="00FE7787"/>
    <w:pPr>
      <w:spacing w:before="480" w:line="276" w:lineRule="auto"/>
      <w:jc w:val="left"/>
      <w:outlineLvl w:val="9"/>
    </w:pPr>
    <w:rPr>
      <w:rFonts w:asciiTheme="majorHAnsi" w:hAnsiTheme="majorHAnsi"/>
      <w:b/>
      <w:bCs/>
      <w:color w:val="0F4761" w:themeColor="accent1" w:themeShade="BF"/>
      <w:kern w:val="0"/>
      <w:sz w:val="28"/>
      <w:szCs w:val="28"/>
      <w:lang w:bidi="ar-SA"/>
      <w14:ligatures w14:val="none"/>
    </w:rPr>
  </w:style>
  <w:style w:type="paragraph" w:styleId="TOC1">
    <w:name w:val="toc 1"/>
    <w:basedOn w:val="Normal"/>
    <w:next w:val="Normal"/>
    <w:autoRedefine/>
    <w:uiPriority w:val="39"/>
    <w:unhideWhenUsed/>
    <w:rsid w:val="00FE7787"/>
    <w:pPr>
      <w:spacing w:after="0"/>
      <w:jc w:val="left"/>
    </w:pPr>
    <w:rPr>
      <w:rFonts w:asciiTheme="minorHAnsi" w:hAnsiTheme="minorHAnsi" w:cs="Times New Roman"/>
      <w:b/>
      <w:bCs/>
      <w:i/>
      <w:iCs/>
      <w:szCs w:val="28"/>
    </w:rPr>
  </w:style>
  <w:style w:type="paragraph" w:styleId="TOC2">
    <w:name w:val="toc 2"/>
    <w:basedOn w:val="Normal"/>
    <w:next w:val="Normal"/>
    <w:autoRedefine/>
    <w:uiPriority w:val="39"/>
    <w:unhideWhenUsed/>
    <w:rsid w:val="00FE7787"/>
    <w:pPr>
      <w:spacing w:after="0"/>
      <w:ind w:left="240"/>
      <w:jc w:val="left"/>
    </w:pPr>
    <w:rPr>
      <w:rFonts w:asciiTheme="minorHAnsi" w:hAnsiTheme="minorHAnsi" w:cs="Times New Roman"/>
      <w:b/>
      <w:bCs/>
      <w:sz w:val="22"/>
      <w:szCs w:val="26"/>
    </w:rPr>
  </w:style>
  <w:style w:type="paragraph" w:styleId="TOC3">
    <w:name w:val="toc 3"/>
    <w:basedOn w:val="Normal"/>
    <w:next w:val="Normal"/>
    <w:autoRedefine/>
    <w:uiPriority w:val="39"/>
    <w:semiHidden/>
    <w:unhideWhenUsed/>
    <w:rsid w:val="00FE7787"/>
    <w:pPr>
      <w:spacing w:before="0" w:after="0"/>
      <w:ind w:left="480"/>
      <w:jc w:val="left"/>
    </w:pPr>
    <w:rPr>
      <w:rFonts w:asciiTheme="minorHAnsi" w:hAnsiTheme="minorHAnsi" w:cs="Times New Roman"/>
      <w:sz w:val="20"/>
      <w:szCs w:val="24"/>
    </w:rPr>
  </w:style>
  <w:style w:type="paragraph" w:styleId="TOC4">
    <w:name w:val="toc 4"/>
    <w:basedOn w:val="Normal"/>
    <w:next w:val="Normal"/>
    <w:autoRedefine/>
    <w:uiPriority w:val="39"/>
    <w:semiHidden/>
    <w:unhideWhenUsed/>
    <w:rsid w:val="00FE7787"/>
    <w:pPr>
      <w:spacing w:before="0" w:after="0"/>
      <w:ind w:left="720"/>
      <w:jc w:val="left"/>
    </w:pPr>
    <w:rPr>
      <w:rFonts w:asciiTheme="minorHAnsi" w:hAnsiTheme="minorHAnsi" w:cs="Times New Roman"/>
      <w:sz w:val="20"/>
      <w:szCs w:val="24"/>
    </w:rPr>
  </w:style>
  <w:style w:type="paragraph" w:styleId="TOC5">
    <w:name w:val="toc 5"/>
    <w:basedOn w:val="Normal"/>
    <w:next w:val="Normal"/>
    <w:autoRedefine/>
    <w:uiPriority w:val="39"/>
    <w:semiHidden/>
    <w:unhideWhenUsed/>
    <w:rsid w:val="00FE7787"/>
    <w:pPr>
      <w:spacing w:before="0" w:after="0"/>
      <w:ind w:left="960"/>
      <w:jc w:val="left"/>
    </w:pPr>
    <w:rPr>
      <w:rFonts w:asciiTheme="minorHAnsi" w:hAnsiTheme="minorHAnsi" w:cs="Times New Roman"/>
      <w:sz w:val="20"/>
      <w:szCs w:val="24"/>
    </w:rPr>
  </w:style>
  <w:style w:type="paragraph" w:styleId="TOC6">
    <w:name w:val="toc 6"/>
    <w:basedOn w:val="Normal"/>
    <w:next w:val="Normal"/>
    <w:autoRedefine/>
    <w:uiPriority w:val="39"/>
    <w:semiHidden/>
    <w:unhideWhenUsed/>
    <w:rsid w:val="00FE7787"/>
    <w:pPr>
      <w:spacing w:before="0" w:after="0"/>
      <w:ind w:left="1200"/>
      <w:jc w:val="left"/>
    </w:pPr>
    <w:rPr>
      <w:rFonts w:asciiTheme="minorHAnsi" w:hAnsiTheme="minorHAnsi" w:cs="Times New Roman"/>
      <w:sz w:val="20"/>
      <w:szCs w:val="24"/>
    </w:rPr>
  </w:style>
  <w:style w:type="paragraph" w:styleId="TOC7">
    <w:name w:val="toc 7"/>
    <w:basedOn w:val="Normal"/>
    <w:next w:val="Normal"/>
    <w:autoRedefine/>
    <w:uiPriority w:val="39"/>
    <w:semiHidden/>
    <w:unhideWhenUsed/>
    <w:rsid w:val="00FE7787"/>
    <w:pPr>
      <w:spacing w:before="0" w:after="0"/>
      <w:ind w:left="1440"/>
      <w:jc w:val="left"/>
    </w:pPr>
    <w:rPr>
      <w:rFonts w:asciiTheme="minorHAnsi" w:hAnsiTheme="minorHAnsi" w:cs="Times New Roman"/>
      <w:sz w:val="20"/>
      <w:szCs w:val="24"/>
    </w:rPr>
  </w:style>
  <w:style w:type="paragraph" w:styleId="TOC8">
    <w:name w:val="toc 8"/>
    <w:basedOn w:val="Normal"/>
    <w:next w:val="Normal"/>
    <w:autoRedefine/>
    <w:uiPriority w:val="39"/>
    <w:semiHidden/>
    <w:unhideWhenUsed/>
    <w:rsid w:val="00FE7787"/>
    <w:pPr>
      <w:spacing w:before="0" w:after="0"/>
      <w:ind w:left="1680"/>
      <w:jc w:val="left"/>
    </w:pPr>
    <w:rPr>
      <w:rFonts w:asciiTheme="minorHAnsi" w:hAnsiTheme="minorHAnsi" w:cs="Times New Roman"/>
      <w:sz w:val="20"/>
      <w:szCs w:val="24"/>
    </w:rPr>
  </w:style>
  <w:style w:type="paragraph" w:styleId="TOC9">
    <w:name w:val="toc 9"/>
    <w:basedOn w:val="Normal"/>
    <w:next w:val="Normal"/>
    <w:autoRedefine/>
    <w:uiPriority w:val="39"/>
    <w:semiHidden/>
    <w:unhideWhenUsed/>
    <w:rsid w:val="00FE7787"/>
    <w:pPr>
      <w:spacing w:before="0" w:after="0"/>
      <w:ind w:left="1920"/>
      <w:jc w:val="left"/>
    </w:pPr>
    <w:rPr>
      <w:rFonts w:asciiTheme="minorHAnsi" w:hAnsiTheme="minorHAnsi" w:cs="Times New Roman"/>
      <w:sz w:val="20"/>
      <w:szCs w:val="24"/>
    </w:rPr>
  </w:style>
  <w:style w:type="paragraph" w:styleId="NoSpacing">
    <w:name w:val="No Spacing"/>
    <w:link w:val="NoSpacingChar"/>
    <w:uiPriority w:val="1"/>
    <w:qFormat/>
    <w:rsid w:val="00FE7787"/>
    <w:rPr>
      <w:rFonts w:eastAsiaTheme="minorEastAsia"/>
      <w:kern w:val="0"/>
      <w:sz w:val="22"/>
      <w:szCs w:val="22"/>
      <w:lang w:eastAsia="zh-CN" w:bidi="ar-SA"/>
      <w14:ligatures w14:val="none"/>
    </w:rPr>
  </w:style>
  <w:style w:type="character" w:customStyle="1" w:styleId="NoSpacingChar">
    <w:name w:val="No Spacing Char"/>
    <w:basedOn w:val="DefaultParagraphFont"/>
    <w:link w:val="NoSpacing"/>
    <w:uiPriority w:val="1"/>
    <w:rsid w:val="00FE7787"/>
    <w:rPr>
      <w:rFonts w:eastAsiaTheme="minorEastAsia"/>
      <w:kern w:val="0"/>
      <w:sz w:val="22"/>
      <w:szCs w:val="22"/>
      <w:lang w:eastAsia="zh-CN"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8096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emf"/><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hyperlink" Target="https://www2.deloitte.com/content/dam/Deloitte/us/Documents/about-deloitte/us-23-dei-tr-diversity-equity-and-inclusion.pdf" TargetMode="External"/><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image" Target="media/image8.emf"/><Relationship Id="rId10" Type="http://schemas.openxmlformats.org/officeDocument/2006/relationships/image" Target="media/image3.emf"/><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9C1F4E-6A32-6F4F-B8F1-46796C7B14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2082</Words>
  <Characters>11868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MyPC</dc:creator>
  <cp:keywords/>
  <dc:description/>
  <cp:lastModifiedBy>Alexandra Gjoka</cp:lastModifiedBy>
  <cp:revision>7</cp:revision>
  <dcterms:created xsi:type="dcterms:W3CDTF">2025-01-29T06:37:00Z</dcterms:created>
  <dcterms:modified xsi:type="dcterms:W3CDTF">2025-02-05T19:35:00Z</dcterms:modified>
</cp:coreProperties>
</file>