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4F38" w:rsidRPr="00354882" w:rsidRDefault="00AE4F38" w:rsidP="00AE4F38">
      <w:pPr>
        <w:spacing w:after="120" w:line="360" w:lineRule="auto"/>
        <w:jc w:val="center"/>
        <w:rPr>
          <w:rFonts w:ascii="Times New Roman" w:hAnsi="Times New Roman" w:cs="Times New Roman"/>
          <w:b/>
          <w:sz w:val="56"/>
          <w:u w:val="single"/>
        </w:rPr>
      </w:pPr>
      <w:r w:rsidRPr="00E21C58">
        <w:rPr>
          <w:rFonts w:ascii="Times New Roman" w:hAnsi="Times New Roman" w:cs="Times New Roman"/>
          <w:b/>
          <w:noProof/>
          <w:sz w:val="96"/>
          <w:u w:val="single"/>
        </w:rPr>
        <mc:AlternateContent>
          <mc:Choice Requires="wps">
            <w:drawing>
              <wp:anchor distT="45720" distB="45720" distL="114300" distR="114300" simplePos="0" relativeHeight="251663360" behindDoc="1" locked="0" layoutInCell="1" allowOverlap="1" wp14:anchorId="37A19C10" wp14:editId="4DECE5A8">
                <wp:simplePos x="0" y="0"/>
                <wp:positionH relativeFrom="page">
                  <wp:posOffset>6399877</wp:posOffset>
                </wp:positionH>
                <wp:positionV relativeFrom="paragraph">
                  <wp:posOffset>-879535</wp:posOffset>
                </wp:positionV>
                <wp:extent cx="1110532" cy="361950"/>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0532" cy="361950"/>
                        </a:xfrm>
                        <a:prstGeom prst="rect">
                          <a:avLst/>
                        </a:prstGeom>
                        <a:solidFill>
                          <a:srgbClr val="FFFFFF"/>
                        </a:solidFill>
                        <a:ln w="9525">
                          <a:noFill/>
                          <a:miter lim="800000"/>
                          <a:headEnd/>
                          <a:tailEnd/>
                        </a:ln>
                      </wps:spPr>
                      <wps:txbx>
                        <w:txbxContent>
                          <w:p w:rsidR="00AE4F38" w:rsidRDefault="00AE4F38" w:rsidP="00AE4F38">
                            <w:pPr>
                              <w:spacing w:after="120" w:line="360" w:lineRule="auto"/>
                              <w:jc w:val="right"/>
                              <w:rPr>
                                <w:rFonts w:ascii="Times New Roman" w:hAnsi="Times New Roman" w:cs="Times New Roman"/>
                                <w:b/>
                                <w:sz w:val="24"/>
                              </w:rPr>
                            </w:pPr>
                            <w:r>
                              <w:rPr>
                                <w:rFonts w:ascii="Times New Roman" w:hAnsi="Times New Roman" w:cs="Times New Roman"/>
                                <w:b/>
                                <w:sz w:val="24"/>
                              </w:rPr>
                              <w:t>Task 1</w:t>
                            </w:r>
                          </w:p>
                          <w:p w:rsidR="00AE4F38" w:rsidRDefault="00AE4F38" w:rsidP="00AE4F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A19C10" id="_x0000_t202" coordsize="21600,21600" o:spt="202" path="m,l,21600r21600,l21600,xe">
                <v:stroke joinstyle="miter"/>
                <v:path gradientshapeok="t" o:connecttype="rect"/>
              </v:shapetype>
              <v:shape id="Text Box 2" o:spid="_x0000_s1026" type="#_x0000_t202" style="position:absolute;left:0;text-align:left;margin-left:503.95pt;margin-top:-69.25pt;width:87.45pt;height:28.5pt;z-index:-2516531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shyHwIAABsEAAAOAAAAZHJzL2Uyb0RvYy54bWysU8tu2zAQvBfoPxC813rETmPBcpA6dVEg&#10;fQBJP4CiKIsoyWVJ2pL79V1SjmOkt6I6EFztcjg7O1zdjlqRg3BegqlpMcspEYZDK82upj+etu9u&#10;KPGBmZYpMKKmR+Hp7frtm9VgK1FCD6oVjiCI8dVga9qHYKss87wXmvkZWGEw2YHTLGDodlnr2IDo&#10;WmVlnl9nA7jWOuDCe/x7PyXpOuF3neDhW9d5EYiqKXILaXVpbeKarVes2jlme8lPNNg/sNBMGrz0&#10;DHXPAiN7J/+C0pI78NCFGQedQddJLlIP2E2Rv+rmsWdWpF5QHG/PMvn/B8u/Hr47ItuazikxTOOI&#10;nsQYyAcYSRnVGayvsOjRYlkY8TdOOXXq7QPwn54Y2PTM7MSdczD0grXIrogns4ujE46PIM3wBVq8&#10;hu0DJKCxczpKh2IQRMcpHc+TiVR4vLIo8sVVSQnH3NV1sVyk0WWsej5tnQ+fBGgSNzV1OPmEzg4P&#10;PkQ2rHouiZd5ULLdSqVS4HbNRjlyYOiSbfpSA6/KlCFDTZeLcpGQDcTzyUBaBnSxkrqmN3n8Jl9F&#10;NT6aNpUEJtW0RybKnOSJikzahLEZsTBq1kB7RKEcTG7F14WbHtxvSgZ0ak39rz1zghL12aDYy2I+&#10;j9ZOwXzxvsTAXWaaywwzHKFqGiiZtpuQnkPUwcAdDqWTSa8XJieu6MAk4+m1RItfxqnq5U2v/wAA&#10;AP//AwBQSwMEFAAGAAgAAAAhAIaqogLhAAAADgEAAA8AAABkcnMvZG93bnJldi54bWxMj8FOwzAQ&#10;RO9I/IO1SFxQ66SQJg1xKkACcW3pB2xiN4mI11HsNunfsz3R48w+zc4U29n24mxG3zlSEC8jEIZq&#10;pztqFBx+PhcZCB+QNPaOjIKL8bAt7+8KzLWbaGfO+9AIDiGfo4I2hCGX0tetseiXbjDEt6MbLQaW&#10;YyP1iBOH216uomgtLXbEH1oczEdr6t/9ySo4fk9PyWaqvsIh3b2s37FLK3dR6vFhfnsFEcwc/mG4&#10;1ufqUHKnyp1Ie9GzjqJ0w6yCRfycJSCuTJyteE/FXhYnIMtC3s4o/wAAAP//AwBQSwECLQAUAAYA&#10;CAAAACEAtoM4kv4AAADhAQAAEwAAAAAAAAAAAAAAAAAAAAAAW0NvbnRlbnRfVHlwZXNdLnhtbFBL&#10;AQItABQABgAIAAAAIQA4/SH/1gAAAJQBAAALAAAAAAAAAAAAAAAAAC8BAABfcmVscy8ucmVsc1BL&#10;AQItABQABgAIAAAAIQCGUshyHwIAABsEAAAOAAAAAAAAAAAAAAAAAC4CAABkcnMvZTJvRG9jLnht&#10;bFBLAQItABQABgAIAAAAIQCGqqIC4QAAAA4BAAAPAAAAAAAAAAAAAAAAAHkEAABkcnMvZG93bnJl&#10;di54bWxQSwUGAAAAAAQABADzAAAAhwUAAAAA&#10;" stroked="f">
                <v:textbox>
                  <w:txbxContent>
                    <w:p w:rsidR="00AE4F38" w:rsidRDefault="00AE4F38" w:rsidP="00AE4F38">
                      <w:pPr>
                        <w:spacing w:after="120" w:line="360" w:lineRule="auto"/>
                        <w:jc w:val="right"/>
                        <w:rPr>
                          <w:rFonts w:ascii="Times New Roman" w:hAnsi="Times New Roman" w:cs="Times New Roman"/>
                          <w:b/>
                          <w:sz w:val="24"/>
                        </w:rPr>
                      </w:pPr>
                      <w:r>
                        <w:rPr>
                          <w:rFonts w:ascii="Times New Roman" w:hAnsi="Times New Roman" w:cs="Times New Roman"/>
                          <w:b/>
                          <w:sz w:val="24"/>
                        </w:rPr>
                        <w:t>Task 1</w:t>
                      </w:r>
                    </w:p>
                    <w:p w:rsidR="00AE4F38" w:rsidRDefault="00AE4F38" w:rsidP="00AE4F38"/>
                  </w:txbxContent>
                </v:textbox>
                <w10:wrap anchorx="page"/>
              </v:shape>
            </w:pict>
          </mc:Fallback>
        </mc:AlternateContent>
      </w:r>
      <w:r w:rsidRPr="00354882">
        <w:rPr>
          <w:rFonts w:ascii="Times New Roman" w:hAnsi="Times New Roman" w:cs="Times New Roman"/>
          <w:b/>
          <w:sz w:val="96"/>
          <w:u w:val="single"/>
        </w:rPr>
        <w:t>MEMO</w:t>
      </w:r>
    </w:p>
    <w:p w:rsidR="00AE4F38" w:rsidRDefault="00AE4F38" w:rsidP="00AE4F38">
      <w:pPr>
        <w:spacing w:after="120" w:line="360" w:lineRule="auto"/>
        <w:jc w:val="center"/>
        <w:rPr>
          <w:rFonts w:ascii="Times New Roman" w:hAnsi="Times New Roman" w:cs="Times New Roman"/>
          <w:b/>
          <w:sz w:val="28"/>
          <w:u w:val="single"/>
        </w:rPr>
      </w:pPr>
    </w:p>
    <w:p w:rsidR="00AE4F38" w:rsidRDefault="00AE4F38" w:rsidP="00AE4F38">
      <w:pPr>
        <w:spacing w:after="120" w:line="360" w:lineRule="auto"/>
        <w:jc w:val="center"/>
        <w:rPr>
          <w:rFonts w:ascii="Times New Roman" w:hAnsi="Times New Roman" w:cs="Times New Roman"/>
          <w:b/>
          <w:sz w:val="28"/>
          <w:u w:val="single"/>
        </w:rPr>
      </w:pPr>
    </w:p>
    <w:p w:rsidR="00AE4F38" w:rsidRDefault="00AE4F38" w:rsidP="00AE4F38">
      <w:pPr>
        <w:spacing w:after="120" w:line="360" w:lineRule="auto"/>
        <w:jc w:val="center"/>
        <w:rPr>
          <w:rFonts w:ascii="Times New Roman" w:hAnsi="Times New Roman" w:cs="Times New Roman"/>
          <w:b/>
          <w:sz w:val="28"/>
          <w:u w:val="single"/>
        </w:rPr>
      </w:pPr>
      <w:r w:rsidRPr="00354882">
        <w:rPr>
          <w:rFonts w:ascii="Times New Roman" w:hAnsi="Times New Roman" w:cs="Times New Roman"/>
          <w:b/>
          <w:noProof/>
          <w:sz w:val="28"/>
          <w:u w:val="single"/>
        </w:rPr>
        <mc:AlternateContent>
          <mc:Choice Requires="wps">
            <w:drawing>
              <wp:anchor distT="45720" distB="45720" distL="114300" distR="114300" simplePos="0" relativeHeight="251662336" behindDoc="0" locked="0" layoutInCell="1" allowOverlap="1" wp14:anchorId="143341B0" wp14:editId="0D6BC6BF">
                <wp:simplePos x="0" y="0"/>
                <wp:positionH relativeFrom="margin">
                  <wp:align>right</wp:align>
                </wp:positionH>
                <wp:positionV relativeFrom="paragraph">
                  <wp:posOffset>516255</wp:posOffset>
                </wp:positionV>
                <wp:extent cx="5715000" cy="32480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248025"/>
                        </a:xfrm>
                        <a:prstGeom prst="rect">
                          <a:avLst/>
                        </a:prstGeom>
                        <a:solidFill>
                          <a:srgbClr val="FFFFFF"/>
                        </a:solidFill>
                        <a:ln w="9525">
                          <a:solidFill>
                            <a:srgbClr val="000000"/>
                          </a:solidFill>
                          <a:miter lim="800000"/>
                          <a:headEnd/>
                          <a:tailEnd/>
                        </a:ln>
                      </wps:spPr>
                      <wps:txbx>
                        <w:txbxContent>
                          <w:p w:rsidR="00AE4F38" w:rsidRDefault="00AE4F38" w:rsidP="00AE4F38">
                            <w:pPr>
                              <w:rPr>
                                <w:sz w:val="40"/>
                              </w:rPr>
                            </w:pPr>
                            <w:r w:rsidRPr="00354882">
                              <w:rPr>
                                <w:sz w:val="40"/>
                              </w:rPr>
                              <w:t>Subject:</w:t>
                            </w:r>
                            <w:r>
                              <w:rPr>
                                <w:sz w:val="40"/>
                              </w:rPr>
                              <w:t xml:space="preserve"> </w:t>
                            </w:r>
                            <w:r w:rsidRPr="00354882">
                              <w:rPr>
                                <w:sz w:val="40"/>
                              </w:rPr>
                              <w:t>TUPE, Redundancy and</w:t>
                            </w:r>
                          </w:p>
                          <w:p w:rsidR="00AE4F38" w:rsidRPr="00354882" w:rsidRDefault="00AE4F38" w:rsidP="00AE4F38">
                            <w:pPr>
                              <w:ind w:left="720" w:firstLine="720"/>
                              <w:rPr>
                                <w:sz w:val="40"/>
                              </w:rPr>
                            </w:pPr>
                            <w:r w:rsidRPr="00354882">
                              <w:rPr>
                                <w:sz w:val="40"/>
                              </w:rPr>
                              <w:t>Variation of</w:t>
                            </w:r>
                            <w:r>
                              <w:rPr>
                                <w:sz w:val="40"/>
                              </w:rPr>
                              <w:t xml:space="preserve"> </w:t>
                            </w:r>
                            <w:r w:rsidRPr="00354882">
                              <w:rPr>
                                <w:sz w:val="40"/>
                              </w:rPr>
                              <w:t>Contract</w:t>
                            </w:r>
                          </w:p>
                          <w:p w:rsidR="00AE4F38" w:rsidRPr="00354882" w:rsidRDefault="00AE4F38" w:rsidP="00AE4F38">
                            <w:pPr>
                              <w:rPr>
                                <w:sz w:val="40"/>
                              </w:rPr>
                            </w:pPr>
                          </w:p>
                          <w:p w:rsidR="00AE4F38" w:rsidRPr="00354882" w:rsidRDefault="00AE4F38" w:rsidP="00AE4F38">
                            <w:pPr>
                              <w:rPr>
                                <w:sz w:val="40"/>
                              </w:rPr>
                            </w:pPr>
                            <w:r w:rsidRPr="00354882">
                              <w:rPr>
                                <w:sz w:val="40"/>
                              </w:rPr>
                              <w:t xml:space="preserve">To: </w:t>
                            </w:r>
                            <w:r w:rsidRPr="00354882">
                              <w:rPr>
                                <w:sz w:val="40"/>
                              </w:rPr>
                              <w:tab/>
                            </w:r>
                            <w:r w:rsidRPr="00354882">
                              <w:rPr>
                                <w:sz w:val="40"/>
                              </w:rPr>
                              <w:tab/>
                              <w:t>Managing Director, BBL</w:t>
                            </w:r>
                          </w:p>
                          <w:p w:rsidR="00AE4F38" w:rsidRPr="00354882" w:rsidRDefault="00AE4F38" w:rsidP="00AE4F38">
                            <w:pPr>
                              <w:rPr>
                                <w:sz w:val="40"/>
                              </w:rPr>
                            </w:pPr>
                          </w:p>
                          <w:p w:rsidR="00AE4F38" w:rsidRPr="00354882" w:rsidRDefault="00AE4F38" w:rsidP="00AE4F38">
                            <w:pPr>
                              <w:rPr>
                                <w:sz w:val="40"/>
                              </w:rPr>
                            </w:pPr>
                            <w:r w:rsidRPr="00354882">
                              <w:rPr>
                                <w:sz w:val="40"/>
                              </w:rPr>
                              <w:t xml:space="preserve">From: </w:t>
                            </w:r>
                            <w:r w:rsidRPr="00354882">
                              <w:rPr>
                                <w:sz w:val="40"/>
                              </w:rPr>
                              <w:tab/>
                              <w:t>Mitchell Jones</w:t>
                            </w:r>
                          </w:p>
                          <w:p w:rsidR="00AE4F38" w:rsidRPr="00354882" w:rsidRDefault="00AE4F38" w:rsidP="00AE4F38">
                            <w:pPr>
                              <w:rPr>
                                <w:sz w:val="40"/>
                              </w:rPr>
                            </w:pPr>
                            <w:r w:rsidRPr="00354882">
                              <w:rPr>
                                <w:sz w:val="40"/>
                              </w:rPr>
                              <w:tab/>
                            </w:r>
                            <w:r w:rsidRPr="00354882">
                              <w:rPr>
                                <w:sz w:val="40"/>
                              </w:rPr>
                              <w:tab/>
                              <w:t>Student No.: 2114700</w:t>
                            </w:r>
                          </w:p>
                          <w:p w:rsidR="00AE4F38" w:rsidRPr="00354882" w:rsidRDefault="00AE4F38" w:rsidP="00AE4F38">
                            <w:pPr>
                              <w:rPr>
                                <w:sz w:val="44"/>
                              </w:rPr>
                            </w:pPr>
                            <w:r>
                              <w:rPr>
                                <w:sz w:val="44"/>
                              </w:rPr>
                              <w:tab/>
                            </w:r>
                            <w:r>
                              <w:rPr>
                                <w:sz w:val="44"/>
                              </w:rP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3341B0" id="_x0000_s1027" type="#_x0000_t202" style="position:absolute;left:0;text-align:left;margin-left:398.8pt;margin-top:40.65pt;width:450pt;height:255.7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RmwKgIAAE4EAAAOAAAAZHJzL2Uyb0RvYy54bWysVNtu2zAMfR+wfxD0vtjxkiU14hRdugwD&#10;ugvQ7gNoWY6FyaInKbGzry8lp2m6AXsY5gdBFKnDw0PRq+uh1ewgrVNoCj6dpJxJI7BSZlfw7w/b&#10;N0vOnAdTgUYjC36Ujl+vX79a9V0uM2xQV9IyAjEu77uCN953eZI40cgW3AQ7achZo23Bk2l3SWWh&#10;J/RWJ1mavkt6tFVnUUjn6PR2dPJ1xK9rKfzXunbSM11w4ubjauNahjVZryDfWegaJU404B9YtKAM&#10;JT1D3YIHtrfqD6hWCYsOaz8R2CZY10rIWANVM01/q+a+gU7GWkgc151lcv8PVnw5fLNMVQXPpgvO&#10;DLTUpAc5ePYeB5YFffrO5RR231GgH+iY+hxrdd0dih+OGdw0YHbyxlrsGwkV8ZuGm8nF1RHHBZCy&#10;/4wVpYG9xwg01LYN4pEcjNCpT8dzbwIVQYfzxXSepuQS5HubzZZpNo85IH+63lnnP0psWdgU3FLz&#10;Izwc7pwPdCB/CgnZHGpVbZXW0bC7cqMtOwA9lG38TugvwrRhfcGv5pT77xBENbAds76AaJWnF69V&#10;W/DlOQjyoNsHU9EFyD0oPe6JsjYnIYN2o4p+KIfYs6hyELnE6kjKWhwfOA0kbRq0vzjr6XEX3P3c&#10;g5Wc6U+GunM1nc3CNERjNl9kZNhLT3npASMIquCes3G78XGCAlWDN9TFWkV9n5mcKNOjjbKfBixM&#10;xaUdo55/A+tHAAAA//8DAFBLAwQUAAYACAAAACEAXCWe3t0AAAAHAQAADwAAAGRycy9kb3ducmV2&#10;LnhtbEyPwU7DMAyG70i8Q2QkLogl22C0pemEkEDsBgPBNWu8tiJxSpN15e0xJzja/6/Pn8v15J0Y&#10;cYhdIA3zmQKBVAfbUaPh7fXhMgMRkyFrXCDU8I0R1tXpSWkKG470guM2NYIhFAujoU2pL6SMdYve&#10;xFnokTjbh8GbxOPQSDuYI8O9kwulVtKbjvhCa3q8b7H+3B68huzqafyIm+Xze73auzxd3IyPX4PW&#10;52fT3S2IhFP6K8OvPqtDxU67cCAbhdPAjyQmzZcgOM2V4sVOw3W+yEBWpfzvX/0AAAD//wMAUEsB&#10;Ai0AFAAGAAgAAAAhALaDOJL+AAAA4QEAABMAAAAAAAAAAAAAAAAAAAAAAFtDb250ZW50X1R5cGVz&#10;XS54bWxQSwECLQAUAAYACAAAACEAOP0h/9YAAACUAQAACwAAAAAAAAAAAAAAAAAvAQAAX3JlbHMv&#10;LnJlbHNQSwECLQAUAAYACAAAACEAV20ZsCoCAABOBAAADgAAAAAAAAAAAAAAAAAuAgAAZHJzL2Uy&#10;b0RvYy54bWxQSwECLQAUAAYACAAAACEAXCWe3t0AAAAHAQAADwAAAAAAAAAAAAAAAACEBAAAZHJz&#10;L2Rvd25yZXYueG1sUEsFBgAAAAAEAAQA8wAAAI4FAAAAAA==&#10;">
                <v:textbox>
                  <w:txbxContent>
                    <w:p w:rsidR="00AE4F38" w:rsidRDefault="00AE4F38" w:rsidP="00AE4F38">
                      <w:pPr>
                        <w:rPr>
                          <w:sz w:val="40"/>
                        </w:rPr>
                      </w:pPr>
                      <w:r w:rsidRPr="00354882">
                        <w:rPr>
                          <w:sz w:val="40"/>
                        </w:rPr>
                        <w:t>Subject:</w:t>
                      </w:r>
                      <w:r>
                        <w:rPr>
                          <w:sz w:val="40"/>
                        </w:rPr>
                        <w:t xml:space="preserve"> </w:t>
                      </w:r>
                      <w:r w:rsidRPr="00354882">
                        <w:rPr>
                          <w:sz w:val="40"/>
                        </w:rPr>
                        <w:t>TUPE, Redundancy and</w:t>
                      </w:r>
                    </w:p>
                    <w:p w:rsidR="00AE4F38" w:rsidRPr="00354882" w:rsidRDefault="00AE4F38" w:rsidP="00AE4F38">
                      <w:pPr>
                        <w:ind w:left="720" w:firstLine="720"/>
                        <w:rPr>
                          <w:sz w:val="40"/>
                        </w:rPr>
                      </w:pPr>
                      <w:r w:rsidRPr="00354882">
                        <w:rPr>
                          <w:sz w:val="40"/>
                        </w:rPr>
                        <w:t>Variation of</w:t>
                      </w:r>
                      <w:r>
                        <w:rPr>
                          <w:sz w:val="40"/>
                        </w:rPr>
                        <w:t xml:space="preserve"> </w:t>
                      </w:r>
                      <w:r w:rsidRPr="00354882">
                        <w:rPr>
                          <w:sz w:val="40"/>
                        </w:rPr>
                        <w:t>Contract</w:t>
                      </w:r>
                    </w:p>
                    <w:p w:rsidR="00AE4F38" w:rsidRPr="00354882" w:rsidRDefault="00AE4F38" w:rsidP="00AE4F38">
                      <w:pPr>
                        <w:rPr>
                          <w:sz w:val="40"/>
                        </w:rPr>
                      </w:pPr>
                    </w:p>
                    <w:p w:rsidR="00AE4F38" w:rsidRPr="00354882" w:rsidRDefault="00AE4F38" w:rsidP="00AE4F38">
                      <w:pPr>
                        <w:rPr>
                          <w:sz w:val="40"/>
                        </w:rPr>
                      </w:pPr>
                      <w:r w:rsidRPr="00354882">
                        <w:rPr>
                          <w:sz w:val="40"/>
                        </w:rPr>
                        <w:t xml:space="preserve">To: </w:t>
                      </w:r>
                      <w:r w:rsidRPr="00354882">
                        <w:rPr>
                          <w:sz w:val="40"/>
                        </w:rPr>
                        <w:tab/>
                      </w:r>
                      <w:r w:rsidRPr="00354882">
                        <w:rPr>
                          <w:sz w:val="40"/>
                        </w:rPr>
                        <w:tab/>
                        <w:t>Managing Director, BBL</w:t>
                      </w:r>
                    </w:p>
                    <w:p w:rsidR="00AE4F38" w:rsidRPr="00354882" w:rsidRDefault="00AE4F38" w:rsidP="00AE4F38">
                      <w:pPr>
                        <w:rPr>
                          <w:sz w:val="40"/>
                        </w:rPr>
                      </w:pPr>
                    </w:p>
                    <w:p w:rsidR="00AE4F38" w:rsidRPr="00354882" w:rsidRDefault="00AE4F38" w:rsidP="00AE4F38">
                      <w:pPr>
                        <w:rPr>
                          <w:sz w:val="40"/>
                        </w:rPr>
                      </w:pPr>
                      <w:r w:rsidRPr="00354882">
                        <w:rPr>
                          <w:sz w:val="40"/>
                        </w:rPr>
                        <w:t xml:space="preserve">From: </w:t>
                      </w:r>
                      <w:r w:rsidRPr="00354882">
                        <w:rPr>
                          <w:sz w:val="40"/>
                        </w:rPr>
                        <w:tab/>
                        <w:t>Mitchell Jones</w:t>
                      </w:r>
                    </w:p>
                    <w:p w:rsidR="00AE4F38" w:rsidRPr="00354882" w:rsidRDefault="00AE4F38" w:rsidP="00AE4F38">
                      <w:pPr>
                        <w:rPr>
                          <w:sz w:val="40"/>
                        </w:rPr>
                      </w:pPr>
                      <w:r w:rsidRPr="00354882">
                        <w:rPr>
                          <w:sz w:val="40"/>
                        </w:rPr>
                        <w:tab/>
                      </w:r>
                      <w:r w:rsidRPr="00354882">
                        <w:rPr>
                          <w:sz w:val="40"/>
                        </w:rPr>
                        <w:tab/>
                        <w:t>Student No.: 2114700</w:t>
                      </w:r>
                    </w:p>
                    <w:p w:rsidR="00AE4F38" w:rsidRPr="00354882" w:rsidRDefault="00AE4F38" w:rsidP="00AE4F38">
                      <w:pPr>
                        <w:rPr>
                          <w:sz w:val="44"/>
                        </w:rPr>
                      </w:pPr>
                      <w:r>
                        <w:rPr>
                          <w:sz w:val="44"/>
                        </w:rPr>
                        <w:tab/>
                      </w:r>
                      <w:r>
                        <w:rPr>
                          <w:sz w:val="44"/>
                        </w:rPr>
                        <w:tab/>
                      </w:r>
                    </w:p>
                  </w:txbxContent>
                </v:textbox>
                <w10:wrap type="square" anchorx="margin"/>
              </v:shape>
            </w:pict>
          </mc:Fallback>
        </mc:AlternateContent>
      </w:r>
    </w:p>
    <w:p w:rsidR="00AE4F38" w:rsidRDefault="00AE4F38" w:rsidP="00AE4F38">
      <w:pPr>
        <w:spacing w:after="120" w:line="360" w:lineRule="auto"/>
        <w:jc w:val="center"/>
        <w:rPr>
          <w:rFonts w:ascii="Times New Roman" w:hAnsi="Times New Roman" w:cs="Times New Roman"/>
          <w:b/>
          <w:sz w:val="28"/>
          <w:u w:val="single"/>
        </w:rPr>
      </w:pPr>
    </w:p>
    <w:p w:rsidR="00AE4F38" w:rsidRDefault="00AE4F38" w:rsidP="00AE4F38">
      <w:pPr>
        <w:spacing w:after="120" w:line="360" w:lineRule="auto"/>
        <w:jc w:val="center"/>
        <w:rPr>
          <w:rFonts w:ascii="Times New Roman" w:hAnsi="Times New Roman" w:cs="Times New Roman"/>
          <w:b/>
          <w:sz w:val="28"/>
          <w:u w:val="single"/>
        </w:rPr>
      </w:pPr>
    </w:p>
    <w:p w:rsidR="00AE4F38" w:rsidRDefault="00AE4F38" w:rsidP="00AE4F38">
      <w:pPr>
        <w:spacing w:after="120" w:line="360" w:lineRule="auto"/>
        <w:jc w:val="center"/>
        <w:rPr>
          <w:rFonts w:ascii="Times New Roman" w:hAnsi="Times New Roman" w:cs="Times New Roman"/>
          <w:b/>
          <w:sz w:val="28"/>
          <w:u w:val="single"/>
        </w:rPr>
      </w:pPr>
    </w:p>
    <w:p w:rsidR="00AE4F38" w:rsidRDefault="00AE4F38" w:rsidP="00AE4F38">
      <w:pPr>
        <w:spacing w:after="120" w:line="360" w:lineRule="auto"/>
        <w:jc w:val="center"/>
        <w:rPr>
          <w:rFonts w:ascii="Times New Roman" w:hAnsi="Times New Roman" w:cs="Times New Roman"/>
          <w:b/>
          <w:sz w:val="28"/>
          <w:u w:val="single"/>
        </w:rPr>
      </w:pPr>
    </w:p>
    <w:p w:rsidR="00AE4F38" w:rsidRDefault="00AE4F38" w:rsidP="00AE4F38">
      <w:pPr>
        <w:spacing w:after="120" w:line="360" w:lineRule="auto"/>
        <w:jc w:val="center"/>
        <w:rPr>
          <w:rFonts w:ascii="Times New Roman" w:hAnsi="Times New Roman" w:cs="Times New Roman"/>
          <w:b/>
          <w:sz w:val="28"/>
          <w:u w:val="single"/>
        </w:rPr>
      </w:pPr>
    </w:p>
    <w:p w:rsidR="00AE4F38" w:rsidRDefault="00AE4F38" w:rsidP="00AE4F38">
      <w:pPr>
        <w:spacing w:after="120" w:line="360" w:lineRule="auto"/>
        <w:jc w:val="center"/>
        <w:rPr>
          <w:rFonts w:ascii="Times New Roman" w:hAnsi="Times New Roman" w:cs="Times New Roman"/>
          <w:b/>
          <w:sz w:val="28"/>
          <w:u w:val="single"/>
        </w:rPr>
      </w:pPr>
    </w:p>
    <w:p w:rsidR="00AE4F38" w:rsidRDefault="00AE4F38" w:rsidP="00AE4F38">
      <w:pPr>
        <w:spacing w:after="120" w:line="360" w:lineRule="auto"/>
        <w:jc w:val="right"/>
        <w:rPr>
          <w:rFonts w:ascii="Times New Roman" w:hAnsi="Times New Roman" w:cs="Times New Roman"/>
          <w:b/>
          <w:sz w:val="24"/>
        </w:rPr>
      </w:pPr>
    </w:p>
    <w:p w:rsidR="00AE4F38" w:rsidRDefault="00AE4F38" w:rsidP="00AE4F38">
      <w:pPr>
        <w:spacing w:after="120" w:line="360" w:lineRule="auto"/>
        <w:jc w:val="right"/>
        <w:rPr>
          <w:rFonts w:ascii="Times New Roman" w:hAnsi="Times New Roman" w:cs="Times New Roman"/>
          <w:b/>
          <w:sz w:val="24"/>
        </w:rPr>
      </w:pPr>
    </w:p>
    <w:p w:rsidR="00AE4F38" w:rsidRPr="00973061" w:rsidRDefault="00AE4F38" w:rsidP="00AE4F38">
      <w:pPr>
        <w:spacing w:after="120" w:line="360" w:lineRule="auto"/>
        <w:jc w:val="center"/>
        <w:rPr>
          <w:rFonts w:ascii="Times New Roman" w:hAnsi="Times New Roman" w:cs="Times New Roman"/>
          <w:b/>
          <w:sz w:val="28"/>
          <w:u w:val="single"/>
        </w:rPr>
      </w:pPr>
      <w:r w:rsidRPr="00973061">
        <w:rPr>
          <w:rFonts w:ascii="Times New Roman" w:hAnsi="Times New Roman" w:cs="Times New Roman"/>
          <w:b/>
          <w:sz w:val="28"/>
          <w:u w:val="single"/>
        </w:rPr>
        <w:lastRenderedPageBreak/>
        <w:t>TUPE</w:t>
      </w:r>
    </w:p>
    <w:p w:rsidR="00AE4F38" w:rsidRDefault="00AE4F38" w:rsidP="00AE4F38">
      <w:pPr>
        <w:spacing w:after="120" w:line="360" w:lineRule="auto"/>
        <w:rPr>
          <w:rFonts w:ascii="Times New Roman" w:hAnsi="Times New Roman" w:cs="Times New Roman"/>
          <w:b/>
          <w:sz w:val="24"/>
          <w:u w:val="single"/>
        </w:rPr>
      </w:pPr>
    </w:p>
    <w:p w:rsidR="00AE4F38" w:rsidRDefault="00AE4F38" w:rsidP="00AE4F38">
      <w:pPr>
        <w:spacing w:after="120" w:line="360" w:lineRule="auto"/>
        <w:rPr>
          <w:rFonts w:ascii="Times New Roman" w:hAnsi="Times New Roman" w:cs="Times New Roman"/>
          <w:b/>
          <w:sz w:val="24"/>
          <w:u w:val="single"/>
        </w:rPr>
      </w:pPr>
      <w:r w:rsidRPr="00E41F5A">
        <w:rPr>
          <w:rFonts w:ascii="Times New Roman" w:hAnsi="Times New Roman" w:cs="Times New Roman"/>
          <w:b/>
          <w:sz w:val="24"/>
          <w:u w:val="single"/>
        </w:rPr>
        <w:t>Is the matter a TUPE transfer?</w:t>
      </w:r>
    </w:p>
    <w:p w:rsidR="00AE4F38" w:rsidRPr="00E41F5A" w:rsidRDefault="00AE4F38" w:rsidP="00AE4F38">
      <w:pPr>
        <w:spacing w:after="120" w:line="360" w:lineRule="auto"/>
        <w:rPr>
          <w:rFonts w:ascii="Times New Roman" w:hAnsi="Times New Roman" w:cs="Times New Roman"/>
          <w:b/>
          <w:sz w:val="24"/>
          <w:u w:val="single"/>
        </w:rPr>
      </w:pP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For the matter to qualify as a TUPE transfer under the 2006 TUPE Regulations</w:t>
      </w:r>
      <w:r w:rsidRPr="00E41F5A">
        <w:rPr>
          <w:rStyle w:val="FootnoteReference"/>
          <w:rFonts w:ascii="Times New Roman" w:hAnsi="Times New Roman" w:cs="Times New Roman"/>
          <w:sz w:val="24"/>
        </w:rPr>
        <w:footnoteReference w:id="1"/>
      </w:r>
      <w:r w:rsidRPr="00E41F5A">
        <w:rPr>
          <w:rFonts w:ascii="Times New Roman" w:hAnsi="Times New Roman" w:cs="Times New Roman"/>
          <w:sz w:val="24"/>
        </w:rPr>
        <w:t>, the cancelling of the contract with Illuminate by Big Business Ltd (BBL) and moving to a new internal system of general electrical “fixing” will need to meet the criteria for being either a business transfer</w:t>
      </w:r>
      <w:r w:rsidRPr="00E41F5A">
        <w:rPr>
          <w:rStyle w:val="FootnoteReference"/>
          <w:rFonts w:ascii="Times New Roman" w:hAnsi="Times New Roman" w:cs="Times New Roman"/>
          <w:sz w:val="24"/>
        </w:rPr>
        <w:footnoteReference w:id="2"/>
      </w:r>
      <w:r w:rsidRPr="00E41F5A">
        <w:rPr>
          <w:rFonts w:ascii="Times New Roman" w:hAnsi="Times New Roman" w:cs="Times New Roman"/>
          <w:sz w:val="24"/>
        </w:rPr>
        <w:t xml:space="preserve"> or a service provision change</w:t>
      </w:r>
      <w:r w:rsidRPr="00E41F5A">
        <w:rPr>
          <w:rStyle w:val="FootnoteReference"/>
          <w:rFonts w:ascii="Times New Roman" w:hAnsi="Times New Roman" w:cs="Times New Roman"/>
          <w:sz w:val="24"/>
        </w:rPr>
        <w:footnoteReference w:id="3"/>
      </w:r>
      <w:r w:rsidRPr="00E41F5A">
        <w:rPr>
          <w:rFonts w:ascii="Times New Roman" w:hAnsi="Times New Roman" w:cs="Times New Roman"/>
          <w:sz w:val="24"/>
        </w:rPr>
        <w:t>.</w:t>
      </w:r>
    </w:p>
    <w:p w:rsidR="00AE4F38" w:rsidRPr="00E41F5A" w:rsidRDefault="00AE4F38" w:rsidP="00AE4F38">
      <w:pPr>
        <w:spacing w:after="120" w:line="360" w:lineRule="auto"/>
        <w:rPr>
          <w:rFonts w:ascii="Times New Roman" w:hAnsi="Times New Roman" w:cs="Times New Roman"/>
          <w:b/>
          <w:sz w:val="24"/>
        </w:rPr>
      </w:pPr>
    </w:p>
    <w:p w:rsidR="00AE4F38" w:rsidRDefault="00AE4F38" w:rsidP="00AE4F38">
      <w:pPr>
        <w:spacing w:after="120" w:line="360" w:lineRule="auto"/>
        <w:rPr>
          <w:rFonts w:ascii="Times New Roman" w:hAnsi="Times New Roman" w:cs="Times New Roman"/>
          <w:b/>
          <w:sz w:val="24"/>
        </w:rPr>
      </w:pPr>
      <w:r w:rsidRPr="00E41F5A">
        <w:rPr>
          <w:rFonts w:ascii="Times New Roman" w:hAnsi="Times New Roman" w:cs="Times New Roman"/>
          <w:b/>
          <w:sz w:val="24"/>
        </w:rPr>
        <w:t>Yes, TUPE transfer</w:t>
      </w:r>
    </w:p>
    <w:p w:rsidR="00AE4F38" w:rsidRPr="00E41F5A" w:rsidRDefault="00AE4F38" w:rsidP="00AE4F38">
      <w:pPr>
        <w:spacing w:after="120" w:line="360" w:lineRule="auto"/>
        <w:rPr>
          <w:rFonts w:ascii="Times New Roman" w:hAnsi="Times New Roman" w:cs="Times New Roman"/>
          <w:b/>
          <w:sz w:val="24"/>
        </w:rPr>
      </w:pP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The most likely scenario for the matter to be considered a TUPE transfer is as a service provision change with BBL bringing the general electrical “fixing” in-house</w:t>
      </w:r>
      <w:r w:rsidRPr="00E41F5A">
        <w:rPr>
          <w:rStyle w:val="FootnoteReference"/>
          <w:rFonts w:ascii="Times New Roman" w:hAnsi="Times New Roman" w:cs="Times New Roman"/>
          <w:sz w:val="24"/>
        </w:rPr>
        <w:footnoteReference w:id="4"/>
      </w:r>
      <w:r w:rsidRPr="00E41F5A">
        <w:rPr>
          <w:rFonts w:ascii="Times New Roman" w:hAnsi="Times New Roman" w:cs="Times New Roman"/>
          <w:sz w:val="24"/>
        </w:rPr>
        <w:t xml:space="preserve">. </w:t>
      </w:r>
      <w:r>
        <w:rPr>
          <w:rFonts w:ascii="Times New Roman" w:hAnsi="Times New Roman" w:cs="Times New Roman"/>
          <w:sz w:val="24"/>
        </w:rPr>
        <w:t>The specific provisions that must be met are set out below.</w:t>
      </w: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Immediately before the change takes place</w:t>
      </w:r>
      <w:r>
        <w:rPr>
          <w:rFonts w:ascii="Times New Roman" w:hAnsi="Times New Roman" w:cs="Times New Roman"/>
          <w:sz w:val="24"/>
        </w:rPr>
        <w:t>,</w:t>
      </w:r>
      <w:r w:rsidRPr="00E41F5A">
        <w:rPr>
          <w:rFonts w:ascii="Times New Roman" w:hAnsi="Times New Roman" w:cs="Times New Roman"/>
          <w:sz w:val="24"/>
        </w:rPr>
        <w:t xml:space="preserve"> there must be an organised grouping of </w:t>
      </w:r>
      <w:r>
        <w:rPr>
          <w:rFonts w:ascii="Times New Roman" w:hAnsi="Times New Roman" w:cs="Times New Roman"/>
          <w:sz w:val="24"/>
        </w:rPr>
        <w:t xml:space="preserve">Illuminate </w:t>
      </w:r>
      <w:r w:rsidRPr="00E41F5A">
        <w:rPr>
          <w:rFonts w:ascii="Times New Roman" w:hAnsi="Times New Roman" w:cs="Times New Roman"/>
          <w:sz w:val="24"/>
        </w:rPr>
        <w:t>employees assigned to carry out activities on behalf of BBL</w:t>
      </w:r>
      <w:r w:rsidRPr="00E41F5A">
        <w:rPr>
          <w:rStyle w:val="FootnoteReference"/>
          <w:rFonts w:ascii="Times New Roman" w:hAnsi="Times New Roman" w:cs="Times New Roman"/>
          <w:sz w:val="24"/>
        </w:rPr>
        <w:footnoteReference w:id="5"/>
      </w:r>
      <w:r w:rsidRPr="00E41F5A">
        <w:rPr>
          <w:rFonts w:ascii="Times New Roman" w:hAnsi="Times New Roman" w:cs="Times New Roman"/>
          <w:sz w:val="24"/>
        </w:rPr>
        <w:t xml:space="preserve">. The mere grouping of employees will not be enough to satisfy this provision and </w:t>
      </w:r>
      <w:r>
        <w:rPr>
          <w:rFonts w:ascii="Times New Roman" w:hAnsi="Times New Roman" w:cs="Times New Roman"/>
          <w:sz w:val="24"/>
        </w:rPr>
        <w:t>a</w:t>
      </w:r>
      <w:r w:rsidRPr="00E41F5A">
        <w:rPr>
          <w:rFonts w:ascii="Times New Roman" w:hAnsi="Times New Roman" w:cs="Times New Roman"/>
          <w:sz w:val="24"/>
        </w:rPr>
        <w:t xml:space="preserve"> consciousness behind the grouping</w:t>
      </w:r>
      <w:r>
        <w:rPr>
          <w:rFonts w:ascii="Times New Roman" w:hAnsi="Times New Roman" w:cs="Times New Roman"/>
          <w:sz w:val="24"/>
        </w:rPr>
        <w:t xml:space="preserve"> will need to be established</w:t>
      </w:r>
      <w:r w:rsidRPr="00E41F5A">
        <w:rPr>
          <w:rStyle w:val="FootnoteReference"/>
          <w:rFonts w:ascii="Times New Roman" w:hAnsi="Times New Roman" w:cs="Times New Roman"/>
          <w:sz w:val="24"/>
        </w:rPr>
        <w:footnoteReference w:id="6"/>
      </w:r>
      <w:r w:rsidRPr="00E41F5A">
        <w:rPr>
          <w:rFonts w:ascii="Times New Roman" w:hAnsi="Times New Roman" w:cs="Times New Roman"/>
          <w:sz w:val="24"/>
        </w:rPr>
        <w:t>. As Illuminate has a team of 15 employees who spend the majority of their time working on site for BBL, it is likely that this provision will be met. That the contract between Illuminate and BBL is not for a specific event or a short-term arrangement means that it is more likely to be deemed a TUPE transfer</w:t>
      </w:r>
      <w:r w:rsidRPr="00E41F5A">
        <w:rPr>
          <w:rStyle w:val="FootnoteReference"/>
          <w:rFonts w:ascii="Times New Roman" w:hAnsi="Times New Roman" w:cs="Times New Roman"/>
          <w:sz w:val="24"/>
        </w:rPr>
        <w:footnoteReference w:id="7"/>
      </w:r>
      <w:r w:rsidRPr="00E41F5A">
        <w:rPr>
          <w:rFonts w:ascii="Times New Roman" w:hAnsi="Times New Roman" w:cs="Times New Roman"/>
          <w:sz w:val="24"/>
        </w:rPr>
        <w:t>.</w:t>
      </w: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 xml:space="preserve">The general electrical “fixing” activities that BBL are proposing to bring in-house are fundamentally the same as those currently provided by Illuminate. There is no suggestion </w:t>
      </w:r>
      <w:r>
        <w:rPr>
          <w:rFonts w:ascii="Times New Roman" w:hAnsi="Times New Roman" w:cs="Times New Roman"/>
          <w:sz w:val="24"/>
        </w:rPr>
        <w:t xml:space="preserve">of </w:t>
      </w:r>
      <w:r>
        <w:rPr>
          <w:rFonts w:ascii="Times New Roman" w:hAnsi="Times New Roman" w:cs="Times New Roman"/>
          <w:sz w:val="24"/>
        </w:rPr>
        <w:lastRenderedPageBreak/>
        <w:t xml:space="preserve">intention </w:t>
      </w:r>
      <w:r w:rsidRPr="00E41F5A">
        <w:rPr>
          <w:rFonts w:ascii="Times New Roman" w:hAnsi="Times New Roman" w:cs="Times New Roman"/>
          <w:sz w:val="24"/>
        </w:rPr>
        <w:t xml:space="preserve">to change the activities, only who will be undertaking them, meaning that </w:t>
      </w:r>
      <w:r>
        <w:rPr>
          <w:rFonts w:ascii="Times New Roman" w:hAnsi="Times New Roman" w:cs="Times New Roman"/>
          <w:sz w:val="24"/>
        </w:rPr>
        <w:t>another provision</w:t>
      </w:r>
      <w:r w:rsidRPr="00E41F5A">
        <w:rPr>
          <w:rFonts w:ascii="Times New Roman" w:hAnsi="Times New Roman" w:cs="Times New Roman"/>
          <w:sz w:val="24"/>
        </w:rPr>
        <w:t xml:space="preserve"> set out by the TUPE Regulations</w:t>
      </w:r>
      <w:r>
        <w:rPr>
          <w:rFonts w:ascii="Times New Roman" w:hAnsi="Times New Roman" w:cs="Times New Roman"/>
          <w:sz w:val="24"/>
        </w:rPr>
        <w:t xml:space="preserve"> will be met</w:t>
      </w:r>
      <w:r w:rsidRPr="00E41F5A">
        <w:rPr>
          <w:rStyle w:val="FootnoteReference"/>
          <w:rFonts w:ascii="Times New Roman" w:hAnsi="Times New Roman" w:cs="Times New Roman"/>
          <w:sz w:val="24"/>
        </w:rPr>
        <w:footnoteReference w:id="8"/>
      </w:r>
      <w:r w:rsidRPr="00E41F5A">
        <w:rPr>
          <w:rFonts w:ascii="Times New Roman" w:hAnsi="Times New Roman" w:cs="Times New Roman"/>
          <w:sz w:val="24"/>
        </w:rPr>
        <w:t>.</w:t>
      </w: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b/>
          <w:sz w:val="24"/>
        </w:rPr>
      </w:pPr>
      <w:r w:rsidRPr="00E41F5A">
        <w:rPr>
          <w:rFonts w:ascii="Times New Roman" w:hAnsi="Times New Roman" w:cs="Times New Roman"/>
          <w:b/>
          <w:sz w:val="24"/>
        </w:rPr>
        <w:t>No, not TUPE transfer</w:t>
      </w:r>
    </w:p>
    <w:p w:rsidR="00AE4F38" w:rsidRPr="00E41F5A" w:rsidRDefault="00AE4F38" w:rsidP="00AE4F38">
      <w:pPr>
        <w:spacing w:after="120" w:line="360" w:lineRule="auto"/>
        <w:rPr>
          <w:rFonts w:ascii="Times New Roman" w:hAnsi="Times New Roman" w:cs="Times New Roman"/>
          <w:b/>
          <w:sz w:val="24"/>
        </w:rPr>
      </w:pPr>
    </w:p>
    <w:p w:rsidR="00AE4F38" w:rsidRPr="00E41F5A" w:rsidRDefault="00AE4F38" w:rsidP="00AE4F38">
      <w:pPr>
        <w:spacing w:after="120" w:line="360" w:lineRule="auto"/>
        <w:rPr>
          <w:rFonts w:ascii="Times New Roman" w:hAnsi="Times New Roman" w:cs="Times New Roman"/>
          <w:sz w:val="24"/>
          <w:szCs w:val="24"/>
        </w:rPr>
      </w:pPr>
      <w:r w:rsidRPr="00E41F5A">
        <w:rPr>
          <w:rFonts w:ascii="Times New Roman" w:hAnsi="Times New Roman" w:cs="Times New Roman"/>
          <w:sz w:val="24"/>
          <w:szCs w:val="24"/>
        </w:rPr>
        <w:t>As the matter is not a merger, sale of business, a change of franchise, or sale of a sole trader’s business or partnership, it is unlikely to be considered a business transfer</w:t>
      </w:r>
      <w:r>
        <w:rPr>
          <w:rFonts w:ascii="Times New Roman" w:hAnsi="Times New Roman" w:cs="Times New Roman"/>
          <w:sz w:val="24"/>
          <w:szCs w:val="24"/>
        </w:rPr>
        <w:t xml:space="preserve"> under the TUPE Regulations</w:t>
      </w:r>
      <w:r w:rsidRPr="00E41F5A">
        <w:rPr>
          <w:rStyle w:val="FootnoteReference"/>
          <w:rFonts w:ascii="Times New Roman" w:hAnsi="Times New Roman" w:cs="Times New Roman"/>
          <w:sz w:val="24"/>
          <w:szCs w:val="24"/>
        </w:rPr>
        <w:footnoteReference w:id="9"/>
      </w:r>
      <w:r w:rsidRPr="00E41F5A">
        <w:rPr>
          <w:rFonts w:ascii="Times New Roman" w:hAnsi="Times New Roman" w:cs="Times New Roman"/>
          <w:sz w:val="24"/>
          <w:szCs w:val="24"/>
        </w:rPr>
        <w:t>.</w:t>
      </w:r>
    </w:p>
    <w:p w:rsidR="00AE4F38" w:rsidRPr="00E41F5A" w:rsidRDefault="00AE4F38" w:rsidP="00AE4F38">
      <w:pPr>
        <w:spacing w:after="120" w:line="360" w:lineRule="auto"/>
        <w:rPr>
          <w:rFonts w:ascii="Times New Roman" w:hAnsi="Times New Roman" w:cs="Times New Roman"/>
          <w:sz w:val="24"/>
          <w:szCs w:val="24"/>
        </w:rPr>
      </w:pPr>
      <w:r>
        <w:rPr>
          <w:rFonts w:ascii="Times New Roman" w:hAnsi="Times New Roman" w:cs="Times New Roman"/>
          <w:sz w:val="24"/>
          <w:szCs w:val="24"/>
        </w:rPr>
        <w:t>I</w:t>
      </w:r>
      <w:r w:rsidRPr="00E41F5A">
        <w:rPr>
          <w:rFonts w:ascii="Times New Roman" w:hAnsi="Times New Roman" w:cs="Times New Roman"/>
          <w:sz w:val="24"/>
          <w:szCs w:val="24"/>
        </w:rPr>
        <w:t xml:space="preserve">f it can be shown that </w:t>
      </w:r>
      <w:r>
        <w:rPr>
          <w:rFonts w:ascii="Times New Roman" w:hAnsi="Times New Roman" w:cs="Times New Roman"/>
          <w:sz w:val="24"/>
          <w:szCs w:val="24"/>
        </w:rPr>
        <w:t>Illuminate</w:t>
      </w:r>
      <w:r w:rsidRPr="00E41F5A">
        <w:rPr>
          <w:rFonts w:ascii="Times New Roman" w:hAnsi="Times New Roman" w:cs="Times New Roman"/>
          <w:sz w:val="24"/>
          <w:szCs w:val="24"/>
        </w:rPr>
        <w:t xml:space="preserve"> employees are not assigned to BBL</w:t>
      </w:r>
      <w:r>
        <w:rPr>
          <w:rFonts w:ascii="Times New Roman" w:hAnsi="Times New Roman" w:cs="Times New Roman"/>
          <w:sz w:val="24"/>
          <w:szCs w:val="24"/>
        </w:rPr>
        <w:t>, then the matter may not be a TUPE transfer due to the</w:t>
      </w:r>
      <w:r w:rsidRPr="00E41F5A">
        <w:rPr>
          <w:rFonts w:ascii="Times New Roman" w:hAnsi="Times New Roman" w:cs="Times New Roman"/>
          <w:sz w:val="24"/>
          <w:szCs w:val="24"/>
        </w:rPr>
        <w:t xml:space="preserve"> contractual obligations and organisational structure of Illuminate. A preoccupation of work with BBL will not be </w:t>
      </w:r>
      <w:r>
        <w:rPr>
          <w:rFonts w:ascii="Times New Roman" w:hAnsi="Times New Roman" w:cs="Times New Roman"/>
          <w:sz w:val="24"/>
          <w:szCs w:val="24"/>
        </w:rPr>
        <w:t xml:space="preserve">sufficient </w:t>
      </w:r>
      <w:r w:rsidRPr="00E41F5A">
        <w:rPr>
          <w:rFonts w:ascii="Times New Roman" w:hAnsi="Times New Roman" w:cs="Times New Roman"/>
          <w:sz w:val="24"/>
          <w:szCs w:val="24"/>
        </w:rPr>
        <w:t xml:space="preserve">should Illuminate employees spend a greater proportion of their time working for another organisation at </w:t>
      </w:r>
      <w:r>
        <w:rPr>
          <w:rFonts w:ascii="Times New Roman" w:hAnsi="Times New Roman" w:cs="Times New Roman"/>
          <w:sz w:val="24"/>
          <w:szCs w:val="24"/>
        </w:rPr>
        <w:t xml:space="preserve">another </w:t>
      </w:r>
      <w:r w:rsidRPr="00E41F5A">
        <w:rPr>
          <w:rFonts w:ascii="Times New Roman" w:hAnsi="Times New Roman" w:cs="Times New Roman"/>
          <w:sz w:val="24"/>
          <w:szCs w:val="24"/>
        </w:rPr>
        <w:t>time</w:t>
      </w:r>
      <w:r w:rsidRPr="00E41F5A">
        <w:rPr>
          <w:rStyle w:val="FootnoteReference"/>
          <w:rFonts w:ascii="Times New Roman" w:hAnsi="Times New Roman" w:cs="Times New Roman"/>
          <w:sz w:val="24"/>
          <w:szCs w:val="24"/>
        </w:rPr>
        <w:footnoteReference w:id="10"/>
      </w:r>
      <w:r w:rsidRPr="00E41F5A">
        <w:rPr>
          <w:rFonts w:ascii="Times New Roman" w:hAnsi="Times New Roman" w:cs="Times New Roman"/>
          <w:sz w:val="24"/>
          <w:szCs w:val="24"/>
        </w:rPr>
        <w:t>. Sight of the job description or statement of duties of Illuminate employees would shed further light on the relationship and structure.</w:t>
      </w:r>
    </w:p>
    <w:p w:rsidR="00AE4F38" w:rsidRPr="00E41F5A" w:rsidRDefault="00AE4F38" w:rsidP="00AE4F38">
      <w:pPr>
        <w:spacing w:after="120" w:line="360" w:lineRule="auto"/>
        <w:rPr>
          <w:rFonts w:ascii="Times New Roman" w:hAnsi="Times New Roman" w:cs="Times New Roman"/>
          <w:b/>
          <w:sz w:val="24"/>
        </w:rPr>
      </w:pPr>
    </w:p>
    <w:p w:rsidR="00AE4F38" w:rsidRDefault="00AE4F38" w:rsidP="00AE4F38">
      <w:pPr>
        <w:spacing w:after="120" w:line="360" w:lineRule="auto"/>
        <w:rPr>
          <w:rFonts w:ascii="Times New Roman" w:hAnsi="Times New Roman" w:cs="Times New Roman"/>
          <w:b/>
          <w:sz w:val="24"/>
        </w:rPr>
      </w:pPr>
      <w:r w:rsidRPr="00E41F5A">
        <w:rPr>
          <w:rFonts w:ascii="Times New Roman" w:hAnsi="Times New Roman" w:cs="Times New Roman"/>
          <w:b/>
          <w:sz w:val="24"/>
        </w:rPr>
        <w:t>Conclusion</w:t>
      </w:r>
    </w:p>
    <w:p w:rsidR="00AE4F38" w:rsidRPr="00E41F5A" w:rsidRDefault="00AE4F38" w:rsidP="00AE4F38">
      <w:pPr>
        <w:spacing w:after="120" w:line="360" w:lineRule="auto"/>
        <w:rPr>
          <w:rFonts w:ascii="Times New Roman" w:hAnsi="Times New Roman" w:cs="Times New Roman"/>
          <w:b/>
          <w:sz w:val="24"/>
        </w:rPr>
      </w:pP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 xml:space="preserve">The general electrical “fixing” service provided by Illuminate is being brought in house and therefore fits the bill as a service provision change under the TUPE Regulations. That 15 Illuminate employees spend 85% of their time working for BBL, much of it on site, will be a </w:t>
      </w:r>
      <w:r>
        <w:rPr>
          <w:rFonts w:ascii="Times New Roman" w:hAnsi="Times New Roman" w:cs="Times New Roman"/>
          <w:sz w:val="24"/>
        </w:rPr>
        <w:t>considerable</w:t>
      </w:r>
      <w:r w:rsidRPr="00E41F5A">
        <w:rPr>
          <w:rFonts w:ascii="Times New Roman" w:hAnsi="Times New Roman" w:cs="Times New Roman"/>
          <w:sz w:val="24"/>
        </w:rPr>
        <w:t xml:space="preserve"> contributing factor in determining that the employees are a grouping assigned to BBL. In conclusion, it is more likely than not that the matter will be found to be a TUPE transfer.</w:t>
      </w:r>
    </w:p>
    <w:p w:rsidR="00AE4F38"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Whether a matter is considered a TUPE transfer or not can be extremely challengin</w:t>
      </w:r>
      <w:r>
        <w:rPr>
          <w:rFonts w:ascii="Times New Roman" w:hAnsi="Times New Roman" w:cs="Times New Roman"/>
          <w:sz w:val="24"/>
        </w:rPr>
        <w:t>g</w:t>
      </w:r>
      <w:r w:rsidRPr="00E41F5A">
        <w:rPr>
          <w:rFonts w:ascii="Times New Roman" w:hAnsi="Times New Roman" w:cs="Times New Roman"/>
          <w:sz w:val="24"/>
        </w:rPr>
        <w:t xml:space="preserve">. To offer some reassurance, the Employment Appeal Tribunal (EAT) found in the case of </w:t>
      </w:r>
      <w:r w:rsidRPr="00E41F5A">
        <w:rPr>
          <w:rFonts w:ascii="Times New Roman" w:hAnsi="Times New Roman" w:cs="Times New Roman"/>
          <w:i/>
          <w:sz w:val="24"/>
        </w:rPr>
        <w:t>Royal Mail Group Ltd v Communication Workers Union</w:t>
      </w:r>
      <w:r w:rsidRPr="00E41F5A">
        <w:rPr>
          <w:rStyle w:val="FootnoteReference"/>
          <w:rFonts w:ascii="Times New Roman" w:hAnsi="Times New Roman" w:cs="Times New Roman"/>
          <w:i/>
          <w:sz w:val="24"/>
        </w:rPr>
        <w:footnoteReference w:id="11"/>
      </w:r>
      <w:r w:rsidRPr="00E41F5A">
        <w:rPr>
          <w:rFonts w:ascii="Times New Roman" w:hAnsi="Times New Roman" w:cs="Times New Roman"/>
          <w:i/>
          <w:sz w:val="24"/>
        </w:rPr>
        <w:t xml:space="preserve"> </w:t>
      </w:r>
      <w:r w:rsidRPr="00E41F5A">
        <w:rPr>
          <w:rFonts w:ascii="Times New Roman" w:hAnsi="Times New Roman" w:cs="Times New Roman"/>
          <w:sz w:val="24"/>
        </w:rPr>
        <w:t xml:space="preserve">that an organisation is not automatically in </w:t>
      </w:r>
      <w:r w:rsidRPr="00E41F5A">
        <w:rPr>
          <w:rFonts w:ascii="Times New Roman" w:hAnsi="Times New Roman" w:cs="Times New Roman"/>
          <w:sz w:val="24"/>
        </w:rPr>
        <w:lastRenderedPageBreak/>
        <w:t>breach of the Regulations for misidentifying a TUPE transfer</w:t>
      </w:r>
      <w:r>
        <w:rPr>
          <w:rFonts w:ascii="Times New Roman" w:hAnsi="Times New Roman" w:cs="Times New Roman"/>
          <w:sz w:val="24"/>
        </w:rPr>
        <w:t xml:space="preserve"> </w:t>
      </w:r>
      <w:r w:rsidRPr="00E41F5A">
        <w:rPr>
          <w:rFonts w:ascii="Times New Roman" w:hAnsi="Times New Roman" w:cs="Times New Roman"/>
          <w:sz w:val="24"/>
        </w:rPr>
        <w:t>if they held a genuine belief that it was not one. Meaning that there may be legal leeway should the matter be genuinely misidentified. It is recommended that further information and legal advice is sought to determine whether the matter is in fact a TUPE transfer.</w:t>
      </w:r>
    </w:p>
    <w:p w:rsidR="00AE4F38" w:rsidRDefault="00AE4F38" w:rsidP="00AE4F38">
      <w:pPr>
        <w:spacing w:after="120" w:line="360" w:lineRule="auto"/>
        <w:rPr>
          <w:rFonts w:ascii="Times New Roman" w:hAnsi="Times New Roman" w:cs="Times New Roman"/>
          <w:sz w:val="24"/>
        </w:rPr>
      </w:pPr>
    </w:p>
    <w:p w:rsidR="00AE4F38" w:rsidRPr="00E41F5A" w:rsidRDefault="00AE4F38" w:rsidP="00AE4F38">
      <w:pPr>
        <w:spacing w:after="120" w:line="360" w:lineRule="auto"/>
        <w:rPr>
          <w:rFonts w:ascii="Times New Roman" w:hAnsi="Times New Roman" w:cs="Times New Roman"/>
          <w:sz w:val="24"/>
        </w:rPr>
      </w:pPr>
    </w:p>
    <w:p w:rsidR="00AE4F38" w:rsidRPr="00E41F5A" w:rsidRDefault="00AE4F38" w:rsidP="00AE4F38">
      <w:pPr>
        <w:spacing w:after="120" w:line="360" w:lineRule="auto"/>
        <w:rPr>
          <w:rFonts w:ascii="Times New Roman" w:hAnsi="Times New Roman" w:cs="Times New Roman"/>
          <w:b/>
          <w:sz w:val="24"/>
          <w:u w:val="single"/>
        </w:rPr>
      </w:pPr>
      <w:r w:rsidRPr="00E41F5A">
        <w:rPr>
          <w:rFonts w:ascii="Times New Roman" w:hAnsi="Times New Roman" w:cs="Times New Roman"/>
          <w:b/>
          <w:sz w:val="24"/>
          <w:u w:val="single"/>
        </w:rPr>
        <w:t>Legal obligations</w:t>
      </w:r>
    </w:p>
    <w:p w:rsidR="00AE4F38" w:rsidRPr="00E41F5A" w:rsidRDefault="00AE4F38" w:rsidP="00AE4F38">
      <w:pPr>
        <w:spacing w:after="120" w:line="360" w:lineRule="auto"/>
        <w:rPr>
          <w:rFonts w:ascii="Times New Roman" w:hAnsi="Times New Roman" w:cs="Times New Roman"/>
          <w:b/>
          <w:sz w:val="24"/>
        </w:rPr>
      </w:pPr>
    </w:p>
    <w:p w:rsidR="00AE4F38" w:rsidRDefault="00AE4F38" w:rsidP="00AE4F38">
      <w:pPr>
        <w:spacing w:after="120" w:line="360" w:lineRule="auto"/>
        <w:rPr>
          <w:rFonts w:ascii="Times New Roman" w:hAnsi="Times New Roman" w:cs="Times New Roman"/>
          <w:b/>
          <w:sz w:val="24"/>
        </w:rPr>
      </w:pPr>
      <w:r w:rsidRPr="00E41F5A">
        <w:rPr>
          <w:rFonts w:ascii="Times New Roman" w:hAnsi="Times New Roman" w:cs="Times New Roman"/>
          <w:b/>
          <w:sz w:val="24"/>
        </w:rPr>
        <w:t>For both parties</w:t>
      </w:r>
    </w:p>
    <w:p w:rsidR="00AE4F38" w:rsidRPr="00E41F5A" w:rsidRDefault="00AE4F38" w:rsidP="00AE4F38">
      <w:pPr>
        <w:spacing w:after="120" w:line="360" w:lineRule="auto"/>
        <w:rPr>
          <w:rFonts w:ascii="Times New Roman" w:hAnsi="Times New Roman" w:cs="Times New Roman"/>
          <w:b/>
          <w:sz w:val="24"/>
        </w:rPr>
      </w:pP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Both BBL and Illuminate are legally required to engage with their affected employees</w:t>
      </w:r>
      <w:r>
        <w:rPr>
          <w:rFonts w:ascii="Times New Roman" w:hAnsi="Times New Roman" w:cs="Times New Roman"/>
          <w:sz w:val="24"/>
        </w:rPr>
        <w:t xml:space="preserve">, </w:t>
      </w:r>
      <w:r w:rsidRPr="00E41F5A">
        <w:rPr>
          <w:rFonts w:ascii="Times New Roman" w:hAnsi="Times New Roman" w:cs="Times New Roman"/>
          <w:sz w:val="24"/>
        </w:rPr>
        <w:t>to provide information in relation to the transfer and to meaningfully consult with them on the process</w:t>
      </w:r>
      <w:r w:rsidRPr="00E41F5A">
        <w:rPr>
          <w:rStyle w:val="FootnoteReference"/>
          <w:rFonts w:ascii="Times New Roman" w:hAnsi="Times New Roman" w:cs="Times New Roman"/>
          <w:sz w:val="24"/>
        </w:rPr>
        <w:footnoteReference w:id="12"/>
      </w:r>
      <w:r w:rsidRPr="00E41F5A">
        <w:rPr>
          <w:rFonts w:ascii="Times New Roman" w:hAnsi="Times New Roman" w:cs="Times New Roman"/>
          <w:sz w:val="24"/>
        </w:rPr>
        <w:t>.</w:t>
      </w: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 xml:space="preserve">The duty to inform affected employees means that both organisations will need to </w:t>
      </w:r>
      <w:r>
        <w:rPr>
          <w:rFonts w:ascii="Times New Roman" w:hAnsi="Times New Roman" w:cs="Times New Roman"/>
          <w:sz w:val="24"/>
        </w:rPr>
        <w:t>advise</w:t>
      </w:r>
      <w:r w:rsidRPr="00E41F5A">
        <w:rPr>
          <w:rFonts w:ascii="Times New Roman" w:hAnsi="Times New Roman" w:cs="Times New Roman"/>
          <w:sz w:val="24"/>
        </w:rPr>
        <w:t xml:space="preserve"> that the transfer will be taking place, the proposed date of transfer</w:t>
      </w:r>
      <w:r>
        <w:rPr>
          <w:rFonts w:ascii="Times New Roman" w:hAnsi="Times New Roman" w:cs="Times New Roman"/>
          <w:sz w:val="24"/>
        </w:rPr>
        <w:t>,</w:t>
      </w:r>
      <w:r w:rsidRPr="00E41F5A">
        <w:rPr>
          <w:rFonts w:ascii="Times New Roman" w:hAnsi="Times New Roman" w:cs="Times New Roman"/>
          <w:sz w:val="24"/>
        </w:rPr>
        <w:t xml:space="preserve"> and all reasons for it,</w:t>
      </w:r>
      <w:r w:rsidRPr="00E41F5A">
        <w:rPr>
          <w:rStyle w:val="FootnoteReference"/>
          <w:rFonts w:ascii="Times New Roman" w:hAnsi="Times New Roman" w:cs="Times New Roman"/>
          <w:sz w:val="24"/>
        </w:rPr>
        <w:footnoteReference w:id="13"/>
      </w:r>
      <w:r w:rsidRPr="00E41F5A">
        <w:rPr>
          <w:rFonts w:ascii="Times New Roman" w:hAnsi="Times New Roman" w:cs="Times New Roman"/>
          <w:sz w:val="24"/>
        </w:rPr>
        <w:t xml:space="preserve"> in addition to any legal</w:t>
      </w:r>
      <w:r w:rsidRPr="00E41F5A">
        <w:rPr>
          <w:rStyle w:val="FootnoteReference"/>
          <w:rFonts w:ascii="Times New Roman" w:hAnsi="Times New Roman" w:cs="Times New Roman"/>
          <w:sz w:val="24"/>
        </w:rPr>
        <w:footnoteReference w:id="14"/>
      </w:r>
      <w:r w:rsidRPr="00E41F5A">
        <w:rPr>
          <w:rFonts w:ascii="Times New Roman" w:hAnsi="Times New Roman" w:cs="Times New Roman"/>
          <w:sz w:val="24"/>
        </w:rPr>
        <w:t>, economic</w:t>
      </w:r>
      <w:r w:rsidRPr="00E41F5A">
        <w:rPr>
          <w:rStyle w:val="FootnoteReference"/>
          <w:rFonts w:ascii="Times New Roman" w:hAnsi="Times New Roman" w:cs="Times New Roman"/>
          <w:sz w:val="24"/>
        </w:rPr>
        <w:footnoteReference w:id="15"/>
      </w:r>
      <w:r w:rsidRPr="00E41F5A">
        <w:rPr>
          <w:rFonts w:ascii="Times New Roman" w:hAnsi="Times New Roman" w:cs="Times New Roman"/>
          <w:sz w:val="24"/>
        </w:rPr>
        <w:t xml:space="preserve"> and social</w:t>
      </w:r>
      <w:r w:rsidRPr="00E41F5A">
        <w:rPr>
          <w:rStyle w:val="FootnoteReference"/>
          <w:rFonts w:ascii="Times New Roman" w:hAnsi="Times New Roman" w:cs="Times New Roman"/>
          <w:sz w:val="24"/>
        </w:rPr>
        <w:footnoteReference w:id="16"/>
      </w:r>
      <w:r w:rsidRPr="00E41F5A">
        <w:rPr>
          <w:rFonts w:ascii="Times New Roman" w:hAnsi="Times New Roman" w:cs="Times New Roman"/>
          <w:sz w:val="24"/>
        </w:rPr>
        <w:t xml:space="preserve"> implications of the transfer</w:t>
      </w:r>
      <w:r w:rsidRPr="00E41F5A">
        <w:rPr>
          <w:rStyle w:val="FootnoteReference"/>
          <w:rFonts w:ascii="Times New Roman" w:hAnsi="Times New Roman" w:cs="Times New Roman"/>
          <w:sz w:val="24"/>
        </w:rPr>
        <w:footnoteReference w:id="17"/>
      </w:r>
      <w:r>
        <w:rPr>
          <w:rFonts w:ascii="Times New Roman" w:hAnsi="Times New Roman" w:cs="Times New Roman"/>
          <w:sz w:val="24"/>
        </w:rPr>
        <w:t xml:space="preserve">, and </w:t>
      </w:r>
      <w:r w:rsidRPr="00E41F5A">
        <w:rPr>
          <w:rFonts w:ascii="Times New Roman" w:hAnsi="Times New Roman" w:cs="Times New Roman"/>
          <w:sz w:val="24"/>
        </w:rPr>
        <w:t>any measures that either organisation envisages they will take</w:t>
      </w:r>
      <w:r w:rsidRPr="00E41F5A">
        <w:rPr>
          <w:rStyle w:val="FootnoteReference"/>
          <w:rFonts w:ascii="Times New Roman" w:hAnsi="Times New Roman" w:cs="Times New Roman"/>
          <w:sz w:val="24"/>
        </w:rPr>
        <w:footnoteReference w:id="18"/>
      </w:r>
      <w:r w:rsidRPr="00E41F5A">
        <w:rPr>
          <w:rFonts w:ascii="Times New Roman" w:hAnsi="Times New Roman" w:cs="Times New Roman"/>
          <w:sz w:val="24"/>
        </w:rPr>
        <w:t xml:space="preserve">. In relation to timing, the Regulations state that information should be provided </w:t>
      </w:r>
      <w:r w:rsidRPr="00E41F5A">
        <w:rPr>
          <w:rFonts w:ascii="Times New Roman" w:hAnsi="Times New Roman" w:cs="Times New Roman"/>
          <w:i/>
          <w:sz w:val="24"/>
        </w:rPr>
        <w:t>“long enough before a relevant transfer to enable the employer of any affected employees to consult the appropriate representatives of any affected employees”</w:t>
      </w:r>
      <w:r w:rsidRPr="00E41F5A">
        <w:rPr>
          <w:rStyle w:val="FootnoteReference"/>
          <w:rFonts w:ascii="Times New Roman" w:hAnsi="Times New Roman" w:cs="Times New Roman"/>
          <w:i/>
          <w:sz w:val="24"/>
        </w:rPr>
        <w:footnoteReference w:id="19"/>
      </w:r>
      <w:r w:rsidRPr="00E41F5A">
        <w:rPr>
          <w:rFonts w:ascii="Times New Roman" w:hAnsi="Times New Roman" w:cs="Times New Roman"/>
          <w:sz w:val="24"/>
        </w:rPr>
        <w:t>.</w:t>
      </w: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 xml:space="preserve">Regarding </w:t>
      </w:r>
      <w:r>
        <w:rPr>
          <w:rFonts w:ascii="Times New Roman" w:hAnsi="Times New Roman" w:cs="Times New Roman"/>
          <w:sz w:val="24"/>
        </w:rPr>
        <w:t xml:space="preserve">who are the </w:t>
      </w:r>
      <w:r w:rsidRPr="00E41F5A">
        <w:rPr>
          <w:rFonts w:ascii="Times New Roman" w:hAnsi="Times New Roman" w:cs="Times New Roman"/>
          <w:sz w:val="24"/>
        </w:rPr>
        <w:t xml:space="preserve">appropriate representatives of affected employees, </w:t>
      </w:r>
      <w:r>
        <w:rPr>
          <w:rFonts w:ascii="Times New Roman" w:hAnsi="Times New Roman" w:cs="Times New Roman"/>
          <w:sz w:val="24"/>
        </w:rPr>
        <w:t xml:space="preserve">in this matter </w:t>
      </w:r>
      <w:r w:rsidRPr="00E41F5A">
        <w:rPr>
          <w:rFonts w:ascii="Times New Roman" w:hAnsi="Times New Roman" w:cs="Times New Roman"/>
          <w:sz w:val="24"/>
        </w:rPr>
        <w:t xml:space="preserve">as both BBL and Illuminate </w:t>
      </w:r>
      <w:r>
        <w:rPr>
          <w:rFonts w:ascii="Times New Roman" w:hAnsi="Times New Roman" w:cs="Times New Roman"/>
          <w:sz w:val="24"/>
        </w:rPr>
        <w:t xml:space="preserve">have </w:t>
      </w:r>
      <w:r w:rsidRPr="00E41F5A">
        <w:rPr>
          <w:rFonts w:ascii="Times New Roman" w:hAnsi="Times New Roman" w:cs="Times New Roman"/>
          <w:sz w:val="24"/>
        </w:rPr>
        <w:t>recognise</w:t>
      </w:r>
      <w:r>
        <w:rPr>
          <w:rFonts w:ascii="Times New Roman" w:hAnsi="Times New Roman" w:cs="Times New Roman"/>
          <w:sz w:val="24"/>
        </w:rPr>
        <w:t>d</w:t>
      </w:r>
      <w:r w:rsidRPr="00E41F5A">
        <w:rPr>
          <w:rFonts w:ascii="Times New Roman" w:hAnsi="Times New Roman" w:cs="Times New Roman"/>
          <w:sz w:val="24"/>
        </w:rPr>
        <w:t xml:space="preserve"> trade unions</w:t>
      </w:r>
      <w:r>
        <w:rPr>
          <w:rFonts w:ascii="Times New Roman" w:hAnsi="Times New Roman" w:cs="Times New Roman"/>
          <w:sz w:val="24"/>
        </w:rPr>
        <w:t>, it is those that both organisations will need to consult with.</w:t>
      </w:r>
      <w:r w:rsidRPr="00E41F5A">
        <w:rPr>
          <w:rStyle w:val="FootnoteReference"/>
          <w:rFonts w:ascii="Times New Roman" w:hAnsi="Times New Roman" w:cs="Times New Roman"/>
          <w:sz w:val="24"/>
        </w:rPr>
        <w:footnoteReference w:id="20"/>
      </w:r>
      <w:r w:rsidRPr="00E41F5A">
        <w:rPr>
          <w:rFonts w:ascii="Times New Roman" w:hAnsi="Times New Roman" w:cs="Times New Roman"/>
          <w:sz w:val="24"/>
        </w:rPr>
        <w:t xml:space="preserve"> </w:t>
      </w:r>
      <w:r w:rsidRPr="00E41F5A">
        <w:rPr>
          <w:rStyle w:val="FootnoteReference"/>
          <w:rFonts w:ascii="Times New Roman" w:hAnsi="Times New Roman" w:cs="Times New Roman"/>
          <w:sz w:val="24"/>
        </w:rPr>
        <w:footnoteReference w:id="21"/>
      </w:r>
      <w:r w:rsidRPr="00E41F5A">
        <w:rPr>
          <w:rFonts w:ascii="Times New Roman" w:hAnsi="Times New Roman" w:cs="Times New Roman"/>
          <w:sz w:val="24"/>
        </w:rPr>
        <w:t xml:space="preserve">. In the event that any employees of BBL or Illuminate are not </w:t>
      </w:r>
      <w:r w:rsidRPr="00E41F5A">
        <w:rPr>
          <w:rFonts w:ascii="Times New Roman" w:hAnsi="Times New Roman" w:cs="Times New Roman"/>
          <w:sz w:val="24"/>
        </w:rPr>
        <w:lastRenderedPageBreak/>
        <w:t xml:space="preserve">members of IWU or Federation of Electrical Workers (FEW), then appropriate representatives will need to be appointed or elected by </w:t>
      </w:r>
      <w:r>
        <w:rPr>
          <w:rFonts w:ascii="Times New Roman" w:hAnsi="Times New Roman" w:cs="Times New Roman"/>
          <w:sz w:val="24"/>
        </w:rPr>
        <w:t xml:space="preserve">outstanding </w:t>
      </w:r>
      <w:r w:rsidRPr="00E41F5A">
        <w:rPr>
          <w:rFonts w:ascii="Times New Roman" w:hAnsi="Times New Roman" w:cs="Times New Roman"/>
          <w:sz w:val="24"/>
        </w:rPr>
        <w:t>affected employees</w:t>
      </w:r>
      <w:r w:rsidRPr="00E41F5A">
        <w:rPr>
          <w:rStyle w:val="FootnoteReference"/>
          <w:rFonts w:ascii="Times New Roman" w:hAnsi="Times New Roman" w:cs="Times New Roman"/>
          <w:sz w:val="24"/>
        </w:rPr>
        <w:footnoteReference w:id="22"/>
      </w:r>
      <w:r w:rsidRPr="00E41F5A">
        <w:rPr>
          <w:rFonts w:ascii="Times New Roman" w:hAnsi="Times New Roman" w:cs="Times New Roman"/>
          <w:sz w:val="24"/>
        </w:rPr>
        <w:t>.</w:t>
      </w: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The legal obligation to consult will come into effect should BBL or Illuminate envisage that they will be taking measures in relation to any of their affected employees</w:t>
      </w:r>
      <w:r w:rsidRPr="00E41F5A">
        <w:rPr>
          <w:rStyle w:val="FootnoteReference"/>
          <w:rFonts w:ascii="Times New Roman" w:hAnsi="Times New Roman" w:cs="Times New Roman"/>
          <w:sz w:val="24"/>
        </w:rPr>
        <w:footnoteReference w:id="23"/>
      </w:r>
      <w:r w:rsidRPr="00E41F5A">
        <w:rPr>
          <w:rFonts w:ascii="Times New Roman" w:hAnsi="Times New Roman" w:cs="Times New Roman"/>
          <w:sz w:val="24"/>
        </w:rPr>
        <w:t xml:space="preserve">. </w:t>
      </w:r>
      <w:proofErr w:type="spellStart"/>
      <w:r>
        <w:rPr>
          <w:rFonts w:ascii="Times New Roman" w:hAnsi="Times New Roman" w:cs="Times New Roman"/>
          <w:sz w:val="24"/>
        </w:rPr>
        <w:t>Acas</w:t>
      </w:r>
      <w:proofErr w:type="spellEnd"/>
      <w:r w:rsidRPr="00E41F5A">
        <w:rPr>
          <w:rFonts w:ascii="Times New Roman" w:hAnsi="Times New Roman" w:cs="Times New Roman"/>
          <w:sz w:val="24"/>
        </w:rPr>
        <w:t xml:space="preserve"> advise that ‘measures’ cover working practices and it is only these that should be discussed</w:t>
      </w:r>
      <w:r w:rsidRPr="00CE18EB">
        <w:rPr>
          <w:rFonts w:ascii="Times New Roman" w:hAnsi="Times New Roman" w:cs="Times New Roman"/>
          <w:sz w:val="24"/>
        </w:rPr>
        <w:t xml:space="preserve"> </w:t>
      </w:r>
      <w:r w:rsidRPr="00E41F5A">
        <w:rPr>
          <w:rFonts w:ascii="Times New Roman" w:hAnsi="Times New Roman" w:cs="Times New Roman"/>
          <w:sz w:val="24"/>
        </w:rPr>
        <w:t>during the consultation and not the transfer itself</w:t>
      </w:r>
      <w:r w:rsidRPr="00E41F5A">
        <w:rPr>
          <w:rStyle w:val="FootnoteReference"/>
          <w:rFonts w:ascii="Times New Roman" w:hAnsi="Times New Roman" w:cs="Times New Roman"/>
          <w:sz w:val="24"/>
        </w:rPr>
        <w:footnoteReference w:id="24"/>
      </w:r>
      <w:r w:rsidRPr="00E41F5A">
        <w:rPr>
          <w:rFonts w:ascii="Times New Roman" w:hAnsi="Times New Roman" w:cs="Times New Roman"/>
          <w:sz w:val="24"/>
        </w:rPr>
        <w:t xml:space="preserve">. Both organisations only need to consult on what they know will happen and </w:t>
      </w:r>
      <w:proofErr w:type="spellStart"/>
      <w:r w:rsidRPr="00E41F5A">
        <w:rPr>
          <w:rFonts w:ascii="Times New Roman" w:hAnsi="Times New Roman" w:cs="Times New Roman"/>
          <w:sz w:val="24"/>
        </w:rPr>
        <w:t>not</w:t>
      </w:r>
      <w:proofErr w:type="spellEnd"/>
      <w:r w:rsidRPr="00E41F5A">
        <w:rPr>
          <w:rFonts w:ascii="Times New Roman" w:hAnsi="Times New Roman" w:cs="Times New Roman"/>
          <w:sz w:val="24"/>
        </w:rPr>
        <w:t xml:space="preserve"> </w:t>
      </w:r>
      <w:r>
        <w:rPr>
          <w:rFonts w:ascii="Times New Roman" w:hAnsi="Times New Roman" w:cs="Times New Roman"/>
          <w:sz w:val="24"/>
        </w:rPr>
        <w:t>other potential outcomes</w:t>
      </w:r>
      <w:r w:rsidRPr="00E41F5A">
        <w:rPr>
          <w:rFonts w:ascii="Times New Roman" w:hAnsi="Times New Roman" w:cs="Times New Roman"/>
          <w:sz w:val="24"/>
        </w:rPr>
        <w:t>. It is important to note that consultation needs to be undertaken sincerely with a view to seeking agreement</w:t>
      </w:r>
      <w:r w:rsidRPr="00E41F5A">
        <w:rPr>
          <w:rStyle w:val="FootnoteReference"/>
          <w:rFonts w:ascii="Times New Roman" w:hAnsi="Times New Roman" w:cs="Times New Roman"/>
          <w:sz w:val="24"/>
        </w:rPr>
        <w:footnoteReference w:id="25"/>
      </w:r>
      <w:r w:rsidRPr="00E41F5A">
        <w:rPr>
          <w:rFonts w:ascii="Times New Roman" w:hAnsi="Times New Roman" w:cs="Times New Roman"/>
          <w:sz w:val="24"/>
        </w:rPr>
        <w:t>; however, there is no legal obligation to reach agreement.</w:t>
      </w:r>
    </w:p>
    <w:p w:rsidR="00AE4F38" w:rsidRPr="00E41F5A" w:rsidRDefault="00AE4F38" w:rsidP="00AE4F38">
      <w:pPr>
        <w:spacing w:after="120" w:line="360" w:lineRule="auto"/>
        <w:rPr>
          <w:rFonts w:ascii="Times New Roman" w:hAnsi="Times New Roman" w:cs="Times New Roman"/>
          <w:b/>
          <w:sz w:val="24"/>
        </w:rPr>
      </w:pPr>
    </w:p>
    <w:p w:rsidR="00AE4F38" w:rsidRPr="00E41F5A" w:rsidRDefault="00AE4F38" w:rsidP="00AE4F38">
      <w:pPr>
        <w:spacing w:after="120" w:line="360" w:lineRule="auto"/>
        <w:rPr>
          <w:rFonts w:ascii="Times New Roman" w:hAnsi="Times New Roman" w:cs="Times New Roman"/>
          <w:b/>
          <w:sz w:val="24"/>
        </w:rPr>
      </w:pPr>
      <w:r w:rsidRPr="00E41F5A">
        <w:rPr>
          <w:rFonts w:ascii="Times New Roman" w:hAnsi="Times New Roman" w:cs="Times New Roman"/>
          <w:b/>
          <w:sz w:val="24"/>
        </w:rPr>
        <w:t>BBL specific obligations</w:t>
      </w: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 xml:space="preserve">In addition to the obligations outlined above, BBL are legally obligated to provide Illuminate with information in relation to the transfer and any measures </w:t>
      </w:r>
      <w:r>
        <w:rPr>
          <w:rFonts w:ascii="Times New Roman" w:hAnsi="Times New Roman" w:cs="Times New Roman"/>
          <w:sz w:val="24"/>
        </w:rPr>
        <w:t xml:space="preserve">it envisages it will take </w:t>
      </w:r>
      <w:r w:rsidRPr="00E41F5A">
        <w:rPr>
          <w:rFonts w:ascii="Times New Roman" w:hAnsi="Times New Roman" w:cs="Times New Roman"/>
          <w:sz w:val="24"/>
        </w:rPr>
        <w:t>in time to allow Illuminate to perform its obligation to inform the appropriate representatives (FEW)</w:t>
      </w:r>
      <w:r w:rsidRPr="00E41F5A">
        <w:rPr>
          <w:rStyle w:val="FootnoteReference"/>
          <w:rFonts w:ascii="Times New Roman" w:hAnsi="Times New Roman" w:cs="Times New Roman"/>
          <w:sz w:val="24"/>
        </w:rPr>
        <w:footnoteReference w:id="26"/>
      </w:r>
      <w:r w:rsidRPr="00E41F5A">
        <w:rPr>
          <w:rFonts w:ascii="Times New Roman" w:hAnsi="Times New Roman" w:cs="Times New Roman"/>
          <w:sz w:val="24"/>
        </w:rPr>
        <w:t xml:space="preserve"> </w:t>
      </w:r>
      <w:r w:rsidRPr="00E41F5A">
        <w:rPr>
          <w:rStyle w:val="FootnoteReference"/>
          <w:rFonts w:ascii="Times New Roman" w:hAnsi="Times New Roman" w:cs="Times New Roman"/>
          <w:sz w:val="24"/>
        </w:rPr>
        <w:footnoteReference w:id="27"/>
      </w:r>
      <w:r w:rsidRPr="00E41F5A">
        <w:rPr>
          <w:rFonts w:ascii="Times New Roman" w:hAnsi="Times New Roman" w:cs="Times New Roman"/>
          <w:sz w:val="24"/>
        </w:rPr>
        <w:t>.</w:t>
      </w: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BBL are also obligated to consult with its current employees on any measures that may be taken which may impact them.</w:t>
      </w:r>
    </w:p>
    <w:p w:rsidR="00AE4F38" w:rsidRPr="00E41F5A" w:rsidRDefault="00AE4F38" w:rsidP="00AE4F38">
      <w:pPr>
        <w:spacing w:after="120" w:line="360" w:lineRule="auto"/>
        <w:rPr>
          <w:rFonts w:ascii="Times New Roman" w:hAnsi="Times New Roman" w:cs="Times New Roman"/>
          <w:sz w:val="24"/>
        </w:rPr>
      </w:pP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b/>
          <w:sz w:val="24"/>
        </w:rPr>
        <w:t>Illuminate specific obligations</w:t>
      </w:r>
    </w:p>
    <w:p w:rsidR="00AE4F38"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 xml:space="preserve">In addition to the obligations outlined above, Illuminate will also be legally obligated to provide BBL with information </w:t>
      </w:r>
      <w:r>
        <w:rPr>
          <w:rFonts w:ascii="Times New Roman" w:hAnsi="Times New Roman" w:cs="Times New Roman"/>
          <w:sz w:val="24"/>
        </w:rPr>
        <w:t>relating</w:t>
      </w:r>
      <w:r w:rsidRPr="00E41F5A">
        <w:rPr>
          <w:rFonts w:ascii="Times New Roman" w:hAnsi="Times New Roman" w:cs="Times New Roman"/>
          <w:sz w:val="24"/>
        </w:rPr>
        <w:t xml:space="preserve"> to the transferring employees, known as Employee Liability Information (ELI)</w:t>
      </w:r>
      <w:r w:rsidRPr="00E41F5A">
        <w:rPr>
          <w:rStyle w:val="FootnoteReference"/>
          <w:rFonts w:ascii="Times New Roman" w:hAnsi="Times New Roman" w:cs="Times New Roman"/>
          <w:sz w:val="24"/>
        </w:rPr>
        <w:footnoteReference w:id="28"/>
      </w:r>
      <w:r w:rsidRPr="00E41F5A">
        <w:rPr>
          <w:rFonts w:ascii="Times New Roman" w:hAnsi="Times New Roman" w:cs="Times New Roman"/>
          <w:sz w:val="24"/>
        </w:rPr>
        <w:t>. ELI includes the identity and age</w:t>
      </w:r>
      <w:r w:rsidRPr="00E41F5A">
        <w:rPr>
          <w:rStyle w:val="FootnoteReference"/>
          <w:rFonts w:ascii="Times New Roman" w:hAnsi="Times New Roman" w:cs="Times New Roman"/>
          <w:sz w:val="24"/>
        </w:rPr>
        <w:footnoteReference w:id="29"/>
      </w:r>
      <w:r>
        <w:rPr>
          <w:rFonts w:ascii="Times New Roman" w:hAnsi="Times New Roman" w:cs="Times New Roman"/>
          <w:sz w:val="24"/>
        </w:rPr>
        <w:t xml:space="preserve"> of transferring employees,</w:t>
      </w:r>
      <w:r w:rsidRPr="00E41F5A">
        <w:rPr>
          <w:rFonts w:ascii="Times New Roman" w:hAnsi="Times New Roman" w:cs="Times New Roman"/>
          <w:sz w:val="24"/>
        </w:rPr>
        <w:t xml:space="preserve"> particulars of employment</w:t>
      </w:r>
      <w:r w:rsidRPr="00E41F5A">
        <w:rPr>
          <w:rStyle w:val="FootnoteReference"/>
          <w:rFonts w:ascii="Times New Roman" w:hAnsi="Times New Roman" w:cs="Times New Roman"/>
          <w:sz w:val="24"/>
        </w:rPr>
        <w:footnoteReference w:id="30"/>
      </w:r>
      <w:r>
        <w:rPr>
          <w:rFonts w:ascii="Times New Roman" w:hAnsi="Times New Roman" w:cs="Times New Roman"/>
          <w:sz w:val="24"/>
        </w:rPr>
        <w:t>,</w:t>
      </w:r>
      <w:r w:rsidRPr="00E41F5A">
        <w:rPr>
          <w:rFonts w:ascii="Times New Roman" w:hAnsi="Times New Roman" w:cs="Times New Roman"/>
          <w:sz w:val="24"/>
        </w:rPr>
        <w:t xml:space="preserve"> information within the last two years in relation to any </w:t>
      </w:r>
      <w:r w:rsidRPr="00E41F5A">
        <w:rPr>
          <w:rFonts w:ascii="Times New Roman" w:hAnsi="Times New Roman" w:cs="Times New Roman"/>
          <w:sz w:val="24"/>
        </w:rPr>
        <w:lastRenderedPageBreak/>
        <w:t>disciplinary and grievance processes</w:t>
      </w:r>
      <w:r w:rsidRPr="00E41F5A">
        <w:rPr>
          <w:rStyle w:val="FootnoteReference"/>
          <w:rFonts w:ascii="Times New Roman" w:hAnsi="Times New Roman" w:cs="Times New Roman"/>
          <w:sz w:val="24"/>
        </w:rPr>
        <w:footnoteReference w:id="31"/>
      </w:r>
      <w:r w:rsidRPr="00E41F5A">
        <w:rPr>
          <w:rFonts w:ascii="Times New Roman" w:hAnsi="Times New Roman" w:cs="Times New Roman"/>
          <w:sz w:val="24"/>
        </w:rPr>
        <w:t>, or legal matters, such as a claim or tribunal</w:t>
      </w:r>
      <w:r w:rsidRPr="00E41F5A">
        <w:rPr>
          <w:rStyle w:val="FootnoteReference"/>
          <w:rFonts w:ascii="Times New Roman" w:hAnsi="Times New Roman" w:cs="Times New Roman"/>
          <w:sz w:val="24"/>
        </w:rPr>
        <w:footnoteReference w:id="32"/>
      </w:r>
      <w:r>
        <w:rPr>
          <w:rFonts w:ascii="Times New Roman" w:hAnsi="Times New Roman" w:cs="Times New Roman"/>
          <w:sz w:val="24"/>
        </w:rPr>
        <w:t>,</w:t>
      </w:r>
      <w:r w:rsidRPr="00E41F5A">
        <w:rPr>
          <w:rFonts w:ascii="Times New Roman" w:hAnsi="Times New Roman" w:cs="Times New Roman"/>
          <w:sz w:val="24"/>
        </w:rPr>
        <w:t xml:space="preserve"> and any collective agreements</w:t>
      </w:r>
      <w:r w:rsidRPr="00E41F5A">
        <w:rPr>
          <w:rStyle w:val="FootnoteReference"/>
          <w:rFonts w:ascii="Times New Roman" w:hAnsi="Times New Roman" w:cs="Times New Roman"/>
          <w:sz w:val="24"/>
        </w:rPr>
        <w:footnoteReference w:id="33"/>
      </w:r>
      <w:r w:rsidRPr="00E41F5A">
        <w:rPr>
          <w:rFonts w:ascii="Times New Roman" w:hAnsi="Times New Roman" w:cs="Times New Roman"/>
          <w:sz w:val="24"/>
        </w:rPr>
        <w:t>. Illuminate will need to provide this information in writing or ensure that it is readily accessible to BBL</w:t>
      </w:r>
      <w:r w:rsidRPr="00E41F5A">
        <w:rPr>
          <w:rStyle w:val="FootnoteReference"/>
          <w:rFonts w:ascii="Times New Roman" w:hAnsi="Times New Roman" w:cs="Times New Roman"/>
          <w:sz w:val="24"/>
        </w:rPr>
        <w:footnoteReference w:id="34"/>
      </w:r>
      <w:r>
        <w:rPr>
          <w:rFonts w:ascii="Times New Roman" w:hAnsi="Times New Roman" w:cs="Times New Roman"/>
          <w:sz w:val="24"/>
        </w:rPr>
        <w:t>.</w:t>
      </w: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The ELI must be provided within 28 days of the transfer and must be accurate</w:t>
      </w:r>
      <w:r>
        <w:rPr>
          <w:rFonts w:ascii="Times New Roman" w:hAnsi="Times New Roman" w:cs="Times New Roman"/>
          <w:sz w:val="24"/>
        </w:rPr>
        <w:t>,</w:t>
      </w:r>
      <w:r w:rsidRPr="00E41F5A">
        <w:rPr>
          <w:rFonts w:ascii="Times New Roman" w:hAnsi="Times New Roman" w:cs="Times New Roman"/>
          <w:sz w:val="24"/>
        </w:rPr>
        <w:t xml:space="preserve"> up-to-date</w:t>
      </w:r>
      <w:r>
        <w:rPr>
          <w:rFonts w:ascii="Times New Roman" w:hAnsi="Times New Roman" w:cs="Times New Roman"/>
          <w:sz w:val="24"/>
        </w:rPr>
        <w:t>,</w:t>
      </w:r>
      <w:r w:rsidRPr="00E41F5A">
        <w:rPr>
          <w:rFonts w:ascii="Times New Roman" w:hAnsi="Times New Roman" w:cs="Times New Roman"/>
          <w:sz w:val="24"/>
        </w:rPr>
        <w:t xml:space="preserve"> and secure</w:t>
      </w:r>
      <w:r w:rsidRPr="00E41F5A">
        <w:rPr>
          <w:rStyle w:val="FootnoteReference"/>
          <w:rFonts w:ascii="Times New Roman" w:hAnsi="Times New Roman" w:cs="Times New Roman"/>
          <w:sz w:val="24"/>
        </w:rPr>
        <w:footnoteReference w:id="35"/>
      </w:r>
      <w:r w:rsidRPr="00E41F5A">
        <w:rPr>
          <w:rFonts w:ascii="Times New Roman" w:hAnsi="Times New Roman" w:cs="Times New Roman"/>
          <w:sz w:val="24"/>
        </w:rPr>
        <w:t xml:space="preserve">. </w:t>
      </w:r>
      <w:proofErr w:type="spellStart"/>
      <w:r>
        <w:rPr>
          <w:rFonts w:ascii="Times New Roman" w:hAnsi="Times New Roman" w:cs="Times New Roman"/>
          <w:sz w:val="24"/>
        </w:rPr>
        <w:t>Acas</w:t>
      </w:r>
      <w:proofErr w:type="spellEnd"/>
      <w:r w:rsidRPr="00E41F5A">
        <w:rPr>
          <w:rFonts w:ascii="Times New Roman" w:hAnsi="Times New Roman" w:cs="Times New Roman"/>
          <w:sz w:val="24"/>
        </w:rPr>
        <w:t xml:space="preserve"> suggest that it is good practice for this information to be sent at the earliest opportunity</w:t>
      </w:r>
      <w:r w:rsidRPr="00E41F5A">
        <w:rPr>
          <w:rStyle w:val="FootnoteReference"/>
          <w:rFonts w:ascii="Times New Roman" w:hAnsi="Times New Roman" w:cs="Times New Roman"/>
          <w:sz w:val="24"/>
        </w:rPr>
        <w:footnoteReference w:id="36"/>
      </w:r>
    </w:p>
    <w:p w:rsidR="00AE4F38" w:rsidRPr="00E41F5A" w:rsidRDefault="00AE4F38" w:rsidP="00AE4F38">
      <w:pPr>
        <w:spacing w:after="120" w:line="360" w:lineRule="auto"/>
        <w:rPr>
          <w:rFonts w:ascii="Times New Roman" w:hAnsi="Times New Roman" w:cs="Times New Roman"/>
          <w:sz w:val="24"/>
        </w:rPr>
      </w:pP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noProof/>
          <w:sz w:val="24"/>
        </w:rPr>
        <mc:AlternateContent>
          <mc:Choice Requires="wps">
            <w:drawing>
              <wp:anchor distT="0" distB="0" distL="114300" distR="114300" simplePos="0" relativeHeight="251659264" behindDoc="0" locked="0" layoutInCell="1" allowOverlap="1" wp14:anchorId="7AB43DA3" wp14:editId="6FAD9584">
                <wp:simplePos x="0" y="0"/>
                <wp:positionH relativeFrom="margin">
                  <wp:align>center</wp:align>
                </wp:positionH>
                <wp:positionV relativeFrom="paragraph">
                  <wp:posOffset>44450</wp:posOffset>
                </wp:positionV>
                <wp:extent cx="2828925" cy="0"/>
                <wp:effectExtent l="0" t="19050" r="47625" b="38100"/>
                <wp:wrapNone/>
                <wp:docPr id="1" name="Straight Connector 1"/>
                <wp:cNvGraphicFramePr/>
                <a:graphic xmlns:a="http://schemas.openxmlformats.org/drawingml/2006/main">
                  <a:graphicData uri="http://schemas.microsoft.com/office/word/2010/wordprocessingShape">
                    <wps:wsp>
                      <wps:cNvCnPr/>
                      <wps:spPr>
                        <a:xfrm>
                          <a:off x="0" y="0"/>
                          <a:ext cx="2828925" cy="0"/>
                        </a:xfrm>
                        <a:prstGeom prst="line">
                          <a:avLst/>
                        </a:prstGeom>
                        <a:ln w="47625" cmpd="thickThi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746F7D" id="Straight Connector 1" o:spid="_x0000_s1026" style="position:absolute;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3.5pt" to="222.75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KvozQEAANkDAAAOAAAAZHJzL2Uyb0RvYy54bWysU8tu2zAQvBfoPxC817KVNnUFyzk4aC9F&#10;azTpBzAUaREhucSSteS/75KylaAtcihyofiYmd3ZXW1uRmfZUWE04Fu+Wiw5U15CZ/yh5T/vP79b&#10;cxaT8J2w4FXLTyrym+3bN5shNKqGHmynkJGIj80QWt6nFJqqirJXTsQFBOXpUQM6keiIh6pDMZC6&#10;s1W9XF5XA2AXEKSKkW5vp0e+LfpaK5m+ax1VYrbllFsqK5b1Ia/VdiOaA4rQG3lOQ/xHFk4YT0Fn&#10;qVuRBPuF5i8pZyRCBJ0WElwFWhupigdys1r+4eauF0EVL1ScGOYyxdeTld+Oe2Smo95x5oWjFt0l&#10;FObQJ7YD76mAgGyV6zSE2BB85/d4PsWwx2x61Ojyl+ywsdT2NNdWjYlJuqzX9fpT/YEzeXmrnogB&#10;Y/qiwLG8abk1PtsWjTh+jYmCEfQCydfWs6Hl7z9eFz0XKPtE/Xu876kLGZ5TnZIru3SyauL9UJrM&#10;UjpXRb+MmdpZZEdBA9I9FqMUzXpCZoo21s6k5cukMzbTVBm9mVi/TJzRJSL4NBOd8YD/Iqfxkqqe&#10;8BfXk9ds+wG6U2lVKQfNT6njedbzgD4/F/rTH7n9DQAA//8DAFBLAwQUAAYACAAAACEAgmqSLdoA&#10;AAAEAQAADwAAAGRycy9kb3ducmV2LnhtbEyPzU7DMBCE70i8g7VI3KgDtKUKcSoK6oUT/RG9buNt&#10;EojXke224e1ZuMBpNJrVzLfFfHCdOlGIrWcDt6MMFHHlbcu1ge1meTMDFROyxc4zGfiiCPPy8qLA&#10;3Pozr+i0TrWSEo45GmhS6nOtY9WQwzjyPbFkBx8cJrGh1jbgWcpdp++ybKodtiwLDfb03FD1uT46&#10;A2+vh/csbpbTsHN1u73Xw8fLYmHM9dXw9Agq0ZD+juEHX9ChFKa9P7KNqjMgjyQDDyISjseTCaj9&#10;r9dlof/Dl98AAAD//wMAUEsBAi0AFAAGAAgAAAAhALaDOJL+AAAA4QEAABMAAAAAAAAAAAAAAAAA&#10;AAAAAFtDb250ZW50X1R5cGVzXS54bWxQSwECLQAUAAYACAAAACEAOP0h/9YAAACUAQAACwAAAAAA&#10;AAAAAAAAAAAvAQAAX3JlbHMvLnJlbHNQSwECLQAUAAYACAAAACEA+xSr6M0BAADZAwAADgAAAAAA&#10;AAAAAAAAAAAuAgAAZHJzL2Uyb0RvYy54bWxQSwECLQAUAAYACAAAACEAgmqSLdoAAAAEAQAADwAA&#10;AAAAAAAAAAAAAAAnBAAAZHJzL2Rvd25yZXYueG1sUEsFBgAAAAAEAAQA8wAAAC4FAAAAAA==&#10;" strokecolor="black [3200]" strokeweight="3.75pt">
                <v:stroke linestyle="thickThin" joinstyle="miter"/>
                <w10:wrap anchorx="margin"/>
              </v:line>
            </w:pict>
          </mc:Fallback>
        </mc:AlternateContent>
      </w:r>
    </w:p>
    <w:p w:rsidR="00AE4F38" w:rsidRPr="00E41F5A"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Pr="00E41F5A"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Pr="00E41F5A"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jc w:val="center"/>
        <w:rPr>
          <w:rFonts w:ascii="Times New Roman" w:hAnsi="Times New Roman" w:cs="Times New Roman"/>
          <w:b/>
          <w:sz w:val="24"/>
          <w:u w:val="single"/>
        </w:rPr>
      </w:pPr>
      <w:r w:rsidRPr="00973061">
        <w:rPr>
          <w:rFonts w:ascii="Times New Roman" w:hAnsi="Times New Roman" w:cs="Times New Roman"/>
          <w:b/>
          <w:sz w:val="28"/>
          <w:u w:val="single"/>
        </w:rPr>
        <w:lastRenderedPageBreak/>
        <w:t>Redundancy</w:t>
      </w:r>
    </w:p>
    <w:p w:rsidR="00AE4F38" w:rsidRDefault="00AE4F38" w:rsidP="00AE4F38">
      <w:pPr>
        <w:spacing w:after="120" w:line="360" w:lineRule="auto"/>
        <w:rPr>
          <w:rFonts w:ascii="Times New Roman" w:hAnsi="Times New Roman" w:cs="Times New Roman"/>
          <w:b/>
          <w:sz w:val="24"/>
          <w:u w:val="single"/>
        </w:rPr>
      </w:pPr>
    </w:p>
    <w:p w:rsidR="00AE4F38" w:rsidRPr="00E41F5A" w:rsidRDefault="00AE4F38" w:rsidP="00AE4F38">
      <w:pPr>
        <w:spacing w:after="120" w:line="360" w:lineRule="auto"/>
        <w:rPr>
          <w:rFonts w:ascii="Times New Roman" w:hAnsi="Times New Roman" w:cs="Times New Roman"/>
          <w:b/>
          <w:sz w:val="24"/>
          <w:u w:val="single"/>
        </w:rPr>
      </w:pPr>
      <w:r w:rsidRPr="00E41F5A">
        <w:rPr>
          <w:rFonts w:ascii="Times New Roman" w:hAnsi="Times New Roman" w:cs="Times New Roman"/>
          <w:b/>
          <w:sz w:val="24"/>
          <w:u w:val="single"/>
        </w:rPr>
        <w:t>Redundancy and selection issues</w:t>
      </w:r>
    </w:p>
    <w:p w:rsidR="00AE4F38" w:rsidRPr="00E41F5A" w:rsidRDefault="00AE4F38" w:rsidP="00AE4F38">
      <w:pPr>
        <w:spacing w:after="120" w:line="360" w:lineRule="auto"/>
        <w:rPr>
          <w:rFonts w:ascii="Times New Roman" w:hAnsi="Times New Roman" w:cs="Times New Roman"/>
          <w:b/>
          <w:sz w:val="24"/>
          <w:u w:val="single"/>
        </w:rPr>
      </w:pP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Management are correct in their deduction that the matter is a redundancy situation, as per the Employment Rights Act 1996</w:t>
      </w:r>
      <w:r w:rsidRPr="00E41F5A">
        <w:rPr>
          <w:rStyle w:val="FootnoteReference"/>
          <w:rFonts w:ascii="Times New Roman" w:hAnsi="Times New Roman" w:cs="Times New Roman"/>
          <w:sz w:val="24"/>
        </w:rPr>
        <w:footnoteReference w:id="37"/>
      </w:r>
      <w:r w:rsidRPr="00E41F5A">
        <w:rPr>
          <w:rFonts w:ascii="Times New Roman" w:hAnsi="Times New Roman" w:cs="Times New Roman"/>
          <w:sz w:val="24"/>
        </w:rPr>
        <w:t xml:space="preserve">. The CIPD would </w:t>
      </w:r>
      <w:r>
        <w:rPr>
          <w:rFonts w:ascii="Times New Roman" w:hAnsi="Times New Roman" w:cs="Times New Roman"/>
          <w:sz w:val="24"/>
        </w:rPr>
        <w:t>support</w:t>
      </w:r>
      <w:r w:rsidRPr="00E41F5A">
        <w:rPr>
          <w:rFonts w:ascii="Times New Roman" w:hAnsi="Times New Roman" w:cs="Times New Roman"/>
          <w:sz w:val="24"/>
        </w:rPr>
        <w:t xml:space="preserve"> this view, advising that it is a true redundancy should the dismissal be </w:t>
      </w:r>
      <w:r w:rsidRPr="00E41F5A">
        <w:rPr>
          <w:rFonts w:ascii="Times New Roman" w:hAnsi="Times New Roman" w:cs="Times New Roman"/>
          <w:i/>
          <w:sz w:val="24"/>
        </w:rPr>
        <w:t>“attributable to the fact that the employer requires fewer employees to carry out work of a certain kind”</w:t>
      </w:r>
      <w:r w:rsidRPr="003762EA">
        <w:rPr>
          <w:rStyle w:val="FootnoteReference"/>
          <w:rFonts w:ascii="Times New Roman" w:hAnsi="Times New Roman" w:cs="Times New Roman"/>
          <w:sz w:val="24"/>
        </w:rPr>
        <w:footnoteReference w:id="38"/>
      </w:r>
      <w:r w:rsidRPr="00E41F5A">
        <w:rPr>
          <w:rFonts w:ascii="Times New Roman" w:hAnsi="Times New Roman" w:cs="Times New Roman"/>
          <w:sz w:val="24"/>
        </w:rPr>
        <w:t>.</w:t>
      </w: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Before selecting employees for redundancy, BBL should determine the pool of employees who are at risk. In this case, and in line with CIPD advice</w:t>
      </w:r>
      <w:r w:rsidRPr="00E41F5A">
        <w:rPr>
          <w:rStyle w:val="FootnoteReference"/>
          <w:rFonts w:ascii="Times New Roman" w:hAnsi="Times New Roman" w:cs="Times New Roman"/>
          <w:sz w:val="24"/>
        </w:rPr>
        <w:footnoteReference w:id="39"/>
      </w:r>
      <w:r w:rsidRPr="00E41F5A">
        <w:rPr>
          <w:rFonts w:ascii="Times New Roman" w:hAnsi="Times New Roman" w:cs="Times New Roman"/>
          <w:sz w:val="24"/>
        </w:rPr>
        <w:t>, this is likely to be all 45 BBL employees, with the assumption that all work to both maintain Production Equipment and undertake general electrical “fixing”.</w:t>
      </w: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In selecting employees for redundancy, following IWU’s suggestion of a “last in, first out” approach could lead to indirect age discrimination, and possibly sex discrimination, under the Equality Act 2010</w:t>
      </w:r>
      <w:r w:rsidRPr="00E41F5A">
        <w:rPr>
          <w:rStyle w:val="FootnoteReference"/>
          <w:rFonts w:ascii="Times New Roman" w:hAnsi="Times New Roman" w:cs="Times New Roman"/>
          <w:sz w:val="24"/>
        </w:rPr>
        <w:footnoteReference w:id="40"/>
      </w:r>
      <w:r w:rsidRPr="00E41F5A">
        <w:rPr>
          <w:rFonts w:ascii="Times New Roman" w:hAnsi="Times New Roman" w:cs="Times New Roman"/>
          <w:sz w:val="24"/>
        </w:rPr>
        <w:t>. Although not illegal and in certain circumstances “last in, first out” can be considered a valid selection method</w:t>
      </w:r>
      <w:r w:rsidRPr="00E41F5A">
        <w:rPr>
          <w:rStyle w:val="FootnoteReference"/>
          <w:rFonts w:ascii="Times New Roman" w:hAnsi="Times New Roman" w:cs="Times New Roman"/>
          <w:sz w:val="24"/>
        </w:rPr>
        <w:footnoteReference w:id="41"/>
      </w:r>
      <w:r w:rsidRPr="00E41F5A">
        <w:rPr>
          <w:rFonts w:ascii="Times New Roman" w:hAnsi="Times New Roman" w:cs="Times New Roman"/>
          <w:sz w:val="24"/>
        </w:rPr>
        <w:t>, both the CIPD</w:t>
      </w:r>
      <w:r w:rsidRPr="00E41F5A">
        <w:rPr>
          <w:rStyle w:val="FootnoteReference"/>
          <w:rFonts w:ascii="Times New Roman" w:hAnsi="Times New Roman" w:cs="Times New Roman"/>
          <w:sz w:val="24"/>
        </w:rPr>
        <w:footnoteReference w:id="42"/>
      </w:r>
      <w:r w:rsidRPr="00E41F5A">
        <w:rPr>
          <w:rFonts w:ascii="Times New Roman" w:hAnsi="Times New Roman" w:cs="Times New Roman"/>
          <w:sz w:val="24"/>
        </w:rPr>
        <w:t xml:space="preserve"> and </w:t>
      </w:r>
      <w:proofErr w:type="spellStart"/>
      <w:r>
        <w:rPr>
          <w:rFonts w:ascii="Times New Roman" w:hAnsi="Times New Roman" w:cs="Times New Roman"/>
          <w:sz w:val="24"/>
        </w:rPr>
        <w:t>Acas</w:t>
      </w:r>
      <w:proofErr w:type="spellEnd"/>
      <w:r w:rsidRPr="00E41F5A">
        <w:rPr>
          <w:rStyle w:val="FootnoteReference"/>
          <w:rFonts w:ascii="Times New Roman" w:hAnsi="Times New Roman" w:cs="Times New Roman"/>
          <w:sz w:val="24"/>
        </w:rPr>
        <w:footnoteReference w:id="43"/>
      </w:r>
      <w:r w:rsidRPr="00E41F5A">
        <w:rPr>
          <w:rFonts w:ascii="Times New Roman" w:hAnsi="Times New Roman" w:cs="Times New Roman"/>
          <w:sz w:val="24"/>
        </w:rPr>
        <w:t xml:space="preserve"> highlight the risks involved in this approach and length of service should ideally not be used as a sole criterion. In </w:t>
      </w:r>
      <w:r w:rsidRPr="00E41F5A">
        <w:rPr>
          <w:rFonts w:ascii="Times New Roman" w:hAnsi="Times New Roman" w:cs="Times New Roman"/>
          <w:i/>
          <w:sz w:val="24"/>
        </w:rPr>
        <w:t>Rolls Royce v Unite the Union (2009)</w:t>
      </w:r>
      <w:r w:rsidRPr="00E41F5A">
        <w:rPr>
          <w:rStyle w:val="FootnoteReference"/>
          <w:rFonts w:ascii="Times New Roman" w:hAnsi="Times New Roman" w:cs="Times New Roman"/>
          <w:i/>
          <w:sz w:val="24"/>
        </w:rPr>
        <w:footnoteReference w:id="44"/>
      </w:r>
      <w:r w:rsidRPr="00E41F5A">
        <w:rPr>
          <w:rFonts w:ascii="Times New Roman" w:hAnsi="Times New Roman" w:cs="Times New Roman"/>
          <w:i/>
          <w:sz w:val="24"/>
        </w:rPr>
        <w:t>,</w:t>
      </w:r>
      <w:r w:rsidRPr="00E41F5A">
        <w:rPr>
          <w:rFonts w:ascii="Times New Roman" w:hAnsi="Times New Roman" w:cs="Times New Roman"/>
          <w:sz w:val="24"/>
        </w:rPr>
        <w:t xml:space="preserve"> it was suggested considering length of service as part of a wider approach could be seen as reasonably fulfilling a business need and therefore more appropriate. BBL should use a broader scoring matrix and include length of service as a </w:t>
      </w:r>
      <w:r w:rsidRPr="00E41F5A">
        <w:rPr>
          <w:rFonts w:ascii="Times New Roman" w:hAnsi="Times New Roman" w:cs="Times New Roman"/>
          <w:sz w:val="24"/>
        </w:rPr>
        <w:lastRenderedPageBreak/>
        <w:t xml:space="preserve">criterion, as doing so may reassure IWU that although “last in, first out” will not be used, they </w:t>
      </w:r>
      <w:r>
        <w:rPr>
          <w:rFonts w:ascii="Times New Roman" w:hAnsi="Times New Roman" w:cs="Times New Roman"/>
          <w:sz w:val="24"/>
        </w:rPr>
        <w:t>do have a voice</w:t>
      </w:r>
      <w:r w:rsidRPr="00E41F5A">
        <w:rPr>
          <w:rFonts w:ascii="Times New Roman" w:hAnsi="Times New Roman" w:cs="Times New Roman"/>
          <w:sz w:val="24"/>
        </w:rPr>
        <w:t>. Continuing to consult with IWU</w:t>
      </w:r>
      <w:r>
        <w:rPr>
          <w:rFonts w:ascii="Times New Roman" w:hAnsi="Times New Roman" w:cs="Times New Roman"/>
          <w:sz w:val="24"/>
        </w:rPr>
        <w:t xml:space="preserve"> </w:t>
      </w:r>
      <w:r w:rsidRPr="00E41F5A">
        <w:rPr>
          <w:rFonts w:ascii="Times New Roman" w:hAnsi="Times New Roman" w:cs="Times New Roman"/>
          <w:sz w:val="24"/>
        </w:rPr>
        <w:t>is strongly recommended, as not appropriately consulting with employees or their representative</w:t>
      </w:r>
      <w:r>
        <w:rPr>
          <w:rFonts w:ascii="Times New Roman" w:hAnsi="Times New Roman" w:cs="Times New Roman"/>
          <w:sz w:val="24"/>
        </w:rPr>
        <w:t>s</w:t>
      </w:r>
      <w:r w:rsidRPr="00E41F5A">
        <w:rPr>
          <w:rFonts w:ascii="Times New Roman" w:hAnsi="Times New Roman" w:cs="Times New Roman"/>
          <w:sz w:val="24"/>
        </w:rPr>
        <w:t xml:space="preserve"> regarding selection methods can lead to unfair dismissals</w:t>
      </w:r>
      <w:r w:rsidRPr="00E41F5A">
        <w:rPr>
          <w:rStyle w:val="FootnoteReference"/>
          <w:rFonts w:ascii="Times New Roman" w:hAnsi="Times New Roman" w:cs="Times New Roman"/>
          <w:sz w:val="24"/>
        </w:rPr>
        <w:footnoteReference w:id="45"/>
      </w:r>
      <w:r w:rsidRPr="00E41F5A">
        <w:rPr>
          <w:rFonts w:ascii="Times New Roman" w:hAnsi="Times New Roman" w:cs="Times New Roman"/>
          <w:sz w:val="24"/>
        </w:rPr>
        <w:t xml:space="preserve">. </w:t>
      </w: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When using length of service as a selection criterion, previous service with Illuminate will need to be considered, as the service of those employees who transferred continued with BBL as part of the TUPE transfer</w:t>
      </w:r>
      <w:r w:rsidRPr="00E41F5A">
        <w:rPr>
          <w:rStyle w:val="FootnoteReference"/>
          <w:rFonts w:ascii="Times New Roman" w:hAnsi="Times New Roman" w:cs="Times New Roman"/>
          <w:sz w:val="24"/>
        </w:rPr>
        <w:footnoteReference w:id="46"/>
      </w:r>
      <w:r w:rsidRPr="00E41F5A">
        <w:rPr>
          <w:rFonts w:ascii="Times New Roman" w:hAnsi="Times New Roman" w:cs="Times New Roman"/>
          <w:sz w:val="24"/>
        </w:rPr>
        <w:t>. To note, only employees who have two or more years’ service will be able to make a claim of unfair dismissal</w:t>
      </w:r>
      <w:r w:rsidRPr="00E41F5A">
        <w:rPr>
          <w:rStyle w:val="FootnoteReference"/>
          <w:rFonts w:ascii="Times New Roman" w:hAnsi="Times New Roman" w:cs="Times New Roman"/>
          <w:sz w:val="24"/>
        </w:rPr>
        <w:footnoteReference w:id="47"/>
      </w:r>
      <w:r w:rsidRPr="00E41F5A">
        <w:rPr>
          <w:rFonts w:ascii="Times New Roman" w:hAnsi="Times New Roman" w:cs="Times New Roman"/>
          <w:sz w:val="24"/>
        </w:rPr>
        <w:t xml:space="preserve"> and in this matter, it would also include any previous service with Illuminate.</w:t>
      </w: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When using a scoring matrix, BBL should avoid using subjective criteria, such attitude and behaviour, and focus on objective criteria, such as skills, experience, and disciplinary records</w:t>
      </w:r>
      <w:r w:rsidRPr="00E41F5A">
        <w:rPr>
          <w:rStyle w:val="FootnoteReference"/>
          <w:rFonts w:ascii="Times New Roman" w:hAnsi="Times New Roman" w:cs="Times New Roman"/>
          <w:sz w:val="24"/>
        </w:rPr>
        <w:footnoteReference w:id="48"/>
      </w:r>
      <w:r w:rsidRPr="00E41F5A">
        <w:rPr>
          <w:rFonts w:ascii="Times New Roman" w:hAnsi="Times New Roman" w:cs="Times New Roman"/>
          <w:sz w:val="24"/>
        </w:rPr>
        <w:t>. Under the TUPE Regulations, only records from the previous two years would have transferred with former Illuminate employees</w:t>
      </w:r>
      <w:r w:rsidRPr="00E41F5A">
        <w:rPr>
          <w:rStyle w:val="FootnoteReference"/>
          <w:rFonts w:ascii="Times New Roman" w:hAnsi="Times New Roman" w:cs="Times New Roman"/>
          <w:sz w:val="24"/>
        </w:rPr>
        <w:footnoteReference w:id="49"/>
      </w:r>
      <w:r w:rsidRPr="00E41F5A">
        <w:rPr>
          <w:rFonts w:ascii="Times New Roman" w:hAnsi="Times New Roman" w:cs="Times New Roman"/>
          <w:sz w:val="24"/>
        </w:rPr>
        <w:t xml:space="preserve"> and therefore, in the interest of fairness, BBL may want to contemplate only considering records from the previous two years in the criteria for the entire selection pool. When choosing selection criteria, it must not be directly or indirectly discriminatory and BBL will need to be careful that any criteria does done disproportionately impact a particular group</w:t>
      </w:r>
      <w:r w:rsidRPr="00E41F5A">
        <w:rPr>
          <w:rStyle w:val="FootnoteReference"/>
          <w:rFonts w:ascii="Times New Roman" w:hAnsi="Times New Roman" w:cs="Times New Roman"/>
          <w:sz w:val="24"/>
        </w:rPr>
        <w:footnoteReference w:id="50"/>
      </w:r>
      <w:r w:rsidRPr="00E41F5A">
        <w:rPr>
          <w:rFonts w:ascii="Times New Roman" w:hAnsi="Times New Roman" w:cs="Times New Roman"/>
          <w:sz w:val="24"/>
        </w:rPr>
        <w:t>.</w:t>
      </w:r>
    </w:p>
    <w:p w:rsidR="00AE4F38" w:rsidRPr="00E41F5A" w:rsidRDefault="00AE4F38" w:rsidP="00AE4F38">
      <w:pPr>
        <w:spacing w:after="120" w:line="360" w:lineRule="auto"/>
        <w:rPr>
          <w:rFonts w:ascii="Times New Roman" w:hAnsi="Times New Roman" w:cs="Times New Roman"/>
          <w:b/>
          <w:sz w:val="24"/>
          <w:u w:val="single"/>
        </w:rPr>
      </w:pPr>
    </w:p>
    <w:p w:rsidR="00AE4F38" w:rsidRPr="00E41F5A" w:rsidRDefault="00AE4F38" w:rsidP="00AE4F38">
      <w:pPr>
        <w:spacing w:after="120" w:line="360" w:lineRule="auto"/>
        <w:rPr>
          <w:rFonts w:ascii="Times New Roman" w:hAnsi="Times New Roman" w:cs="Times New Roman"/>
          <w:b/>
          <w:sz w:val="24"/>
          <w:u w:val="single"/>
        </w:rPr>
      </w:pPr>
      <w:r w:rsidRPr="00E41F5A">
        <w:rPr>
          <w:rFonts w:ascii="Times New Roman" w:hAnsi="Times New Roman" w:cs="Times New Roman"/>
          <w:b/>
          <w:sz w:val="24"/>
          <w:u w:val="single"/>
        </w:rPr>
        <w:t>A compliant and fair process</w:t>
      </w:r>
    </w:p>
    <w:p w:rsidR="00AE4F38" w:rsidRPr="00E41F5A" w:rsidRDefault="00AE4F38" w:rsidP="00AE4F38">
      <w:pPr>
        <w:spacing w:after="120" w:line="360" w:lineRule="auto"/>
        <w:rPr>
          <w:rFonts w:ascii="Times New Roman" w:hAnsi="Times New Roman" w:cs="Times New Roman"/>
          <w:b/>
          <w:sz w:val="24"/>
          <w:u w:val="single"/>
        </w:rPr>
      </w:pP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The key to following a fair and compliant process is to be transparent, objective, and reasonable throughout.</w:t>
      </w:r>
    </w:p>
    <w:p w:rsidR="00AE4F38" w:rsidRPr="00E41F5A" w:rsidRDefault="00AE4F38" w:rsidP="00AE4F38">
      <w:pPr>
        <w:spacing w:after="120" w:line="360" w:lineRule="auto"/>
        <w:rPr>
          <w:rFonts w:ascii="Times New Roman" w:hAnsi="Times New Roman" w:cs="Times New Roman"/>
          <w:sz w:val="24"/>
        </w:rPr>
      </w:pPr>
      <w:proofErr w:type="spellStart"/>
      <w:r w:rsidRPr="00E41F5A">
        <w:rPr>
          <w:rFonts w:ascii="Times New Roman" w:hAnsi="Times New Roman" w:cs="Times New Roman"/>
          <w:sz w:val="24"/>
        </w:rPr>
        <w:lastRenderedPageBreak/>
        <w:t>A</w:t>
      </w:r>
      <w:r>
        <w:rPr>
          <w:rFonts w:ascii="Times New Roman" w:hAnsi="Times New Roman" w:cs="Times New Roman"/>
          <w:sz w:val="24"/>
        </w:rPr>
        <w:t>cas</w:t>
      </w:r>
      <w:proofErr w:type="spellEnd"/>
      <w:r w:rsidRPr="00E41F5A">
        <w:rPr>
          <w:rFonts w:ascii="Times New Roman" w:hAnsi="Times New Roman" w:cs="Times New Roman"/>
          <w:sz w:val="24"/>
        </w:rPr>
        <w:t xml:space="preserve"> advise that before starting any redundancy process, all other options should be considered</w:t>
      </w:r>
      <w:r w:rsidRPr="00E41F5A">
        <w:rPr>
          <w:rStyle w:val="FootnoteReference"/>
          <w:rFonts w:ascii="Times New Roman" w:hAnsi="Times New Roman" w:cs="Times New Roman"/>
          <w:sz w:val="24"/>
        </w:rPr>
        <w:footnoteReference w:id="51"/>
      </w:r>
      <w:r w:rsidRPr="00E41F5A">
        <w:rPr>
          <w:rFonts w:ascii="Times New Roman" w:hAnsi="Times New Roman" w:cs="Times New Roman"/>
          <w:sz w:val="24"/>
        </w:rPr>
        <w:t>. BBL should explore this and should no other options prove suitable, then BBL should proceed to determine which employees form the pool for redundancy selection.</w:t>
      </w:r>
      <w:r w:rsidRPr="00E41F5A">
        <w:rPr>
          <w:rFonts w:ascii="Times New Roman" w:hAnsi="Times New Roman" w:cs="Times New Roman"/>
        </w:rPr>
        <w:t xml:space="preserve"> </w:t>
      </w:r>
      <w:r w:rsidRPr="00E41F5A">
        <w:rPr>
          <w:rFonts w:ascii="Times New Roman" w:hAnsi="Times New Roman" w:cs="Times New Roman"/>
          <w:sz w:val="24"/>
        </w:rPr>
        <w:t>As part of the planning stage, BBL should determine whether there are any redundancy policies to follow, and calculate the redundancy package.</w:t>
      </w:r>
      <w:r>
        <w:rPr>
          <w:rFonts w:ascii="Times New Roman" w:hAnsi="Times New Roman" w:cs="Times New Roman"/>
          <w:sz w:val="24"/>
        </w:rPr>
        <w:t xml:space="preserve"> </w:t>
      </w:r>
      <w:proofErr w:type="spellStart"/>
      <w:r>
        <w:rPr>
          <w:rFonts w:ascii="Times New Roman" w:hAnsi="Times New Roman" w:cs="Times New Roman"/>
          <w:sz w:val="24"/>
        </w:rPr>
        <w:t>Acas</w:t>
      </w:r>
      <w:proofErr w:type="spellEnd"/>
      <w:r>
        <w:rPr>
          <w:rFonts w:ascii="Times New Roman" w:hAnsi="Times New Roman" w:cs="Times New Roman"/>
          <w:sz w:val="24"/>
        </w:rPr>
        <w:t xml:space="preserve"> recommend working with employees and representatives to create a redundancy plan to be shared with employees</w:t>
      </w:r>
      <w:r>
        <w:rPr>
          <w:rStyle w:val="FootnoteReference"/>
          <w:rFonts w:ascii="Times New Roman" w:hAnsi="Times New Roman" w:cs="Times New Roman"/>
          <w:sz w:val="24"/>
        </w:rPr>
        <w:footnoteReference w:id="52"/>
      </w:r>
      <w:r>
        <w:rPr>
          <w:rFonts w:ascii="Times New Roman" w:hAnsi="Times New Roman" w:cs="Times New Roman"/>
          <w:sz w:val="24"/>
        </w:rPr>
        <w:t>.</w:t>
      </w: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To limit the amount of compulsory redundancies, it would be prudent for BBL to invite employees to put themselves forward for voluntary redundancy. BBL should make the offer as widely as possible, not pressurise or single anyone out, and must select employees in a fair way</w:t>
      </w:r>
      <w:r w:rsidRPr="00E41F5A">
        <w:rPr>
          <w:rStyle w:val="FootnoteReference"/>
          <w:rFonts w:ascii="Times New Roman" w:hAnsi="Times New Roman" w:cs="Times New Roman"/>
          <w:sz w:val="24"/>
        </w:rPr>
        <w:footnoteReference w:id="53"/>
      </w:r>
      <w:r w:rsidRPr="00E41F5A">
        <w:rPr>
          <w:rFonts w:ascii="Times New Roman" w:hAnsi="Times New Roman" w:cs="Times New Roman"/>
          <w:sz w:val="24"/>
        </w:rPr>
        <w:t>.</w:t>
      </w:r>
    </w:p>
    <w:p w:rsidR="00AE4F38" w:rsidRPr="00E41F5A"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BBL will be legally required to consult with employees throughout the process and the consultation will need to be fair and proper</w:t>
      </w:r>
      <w:r w:rsidRPr="00E41F5A">
        <w:rPr>
          <w:rStyle w:val="FootnoteReference"/>
          <w:rFonts w:ascii="Times New Roman" w:hAnsi="Times New Roman" w:cs="Times New Roman"/>
          <w:sz w:val="24"/>
        </w:rPr>
        <w:footnoteReference w:id="54"/>
      </w:r>
      <w:r w:rsidRPr="00E41F5A">
        <w:rPr>
          <w:rFonts w:ascii="Times New Roman" w:hAnsi="Times New Roman" w:cs="Times New Roman"/>
          <w:sz w:val="24"/>
        </w:rPr>
        <w:t xml:space="preserve">. In the case of </w:t>
      </w:r>
      <w:r w:rsidRPr="00E41F5A">
        <w:rPr>
          <w:rFonts w:ascii="Times New Roman" w:hAnsi="Times New Roman" w:cs="Times New Roman"/>
          <w:i/>
          <w:sz w:val="24"/>
        </w:rPr>
        <w:t>Thomas v BNP Paribas Real Estate</w:t>
      </w:r>
      <w:r w:rsidRPr="00E41F5A">
        <w:rPr>
          <w:rStyle w:val="FootnoteReference"/>
          <w:rFonts w:ascii="Times New Roman" w:hAnsi="Times New Roman" w:cs="Times New Roman"/>
          <w:sz w:val="24"/>
        </w:rPr>
        <w:footnoteReference w:id="55"/>
      </w:r>
      <w:r w:rsidRPr="00E41F5A">
        <w:rPr>
          <w:rFonts w:ascii="Times New Roman" w:hAnsi="Times New Roman" w:cs="Times New Roman"/>
          <w:sz w:val="24"/>
        </w:rPr>
        <w:t xml:space="preserve">, it was suggested a consultation which was ‘perfunctory and insensitive’ could lead to a </w:t>
      </w:r>
      <w:r>
        <w:rPr>
          <w:rFonts w:ascii="Times New Roman" w:hAnsi="Times New Roman" w:cs="Times New Roman"/>
          <w:sz w:val="24"/>
        </w:rPr>
        <w:t>judgement</w:t>
      </w:r>
      <w:r w:rsidRPr="00E41F5A">
        <w:rPr>
          <w:rFonts w:ascii="Times New Roman" w:hAnsi="Times New Roman" w:cs="Times New Roman"/>
          <w:sz w:val="24"/>
        </w:rPr>
        <w:t xml:space="preserve"> that the matter was managed unfairly.</w:t>
      </w:r>
    </w:p>
    <w:p w:rsidR="00AE4F38" w:rsidRDefault="00AE4F38" w:rsidP="00AE4F38">
      <w:pPr>
        <w:spacing w:after="120" w:line="360" w:lineRule="auto"/>
        <w:rPr>
          <w:rFonts w:ascii="Times New Roman" w:hAnsi="Times New Roman" w:cs="Times New Roman"/>
          <w:sz w:val="24"/>
        </w:rPr>
      </w:pPr>
      <w:r w:rsidRPr="00E41F5A">
        <w:rPr>
          <w:rFonts w:ascii="Times New Roman" w:hAnsi="Times New Roman" w:cs="Times New Roman"/>
          <w:sz w:val="24"/>
        </w:rPr>
        <w:t>As BBL will be seeking to make 23 people redundant, the organisation has a legal duty to collectively consult with appropriate representatives of all affected employees</w:t>
      </w:r>
      <w:r w:rsidRPr="00E41F5A">
        <w:rPr>
          <w:rStyle w:val="FootnoteReference"/>
          <w:rFonts w:ascii="Times New Roman" w:hAnsi="Times New Roman" w:cs="Times New Roman"/>
          <w:sz w:val="24"/>
        </w:rPr>
        <w:footnoteReference w:id="56"/>
      </w:r>
      <w:r w:rsidRPr="00E41F5A">
        <w:rPr>
          <w:rFonts w:ascii="Times New Roman" w:hAnsi="Times New Roman" w:cs="Times New Roman"/>
          <w:sz w:val="24"/>
        </w:rPr>
        <w:t>; IWU and FEW in this instance as the recognised trade unions. Any employees who take up an offer of voluntary redundancy will also be included in the 23 for redundancy and so collective consultation will still be triggered</w:t>
      </w:r>
      <w:r w:rsidRPr="00E41F5A">
        <w:rPr>
          <w:rStyle w:val="FootnoteReference"/>
          <w:rFonts w:ascii="Times New Roman" w:hAnsi="Times New Roman" w:cs="Times New Roman"/>
          <w:sz w:val="24"/>
        </w:rPr>
        <w:footnoteReference w:id="57"/>
      </w:r>
      <w:r w:rsidRPr="00E41F5A">
        <w:rPr>
          <w:rFonts w:ascii="Times New Roman" w:hAnsi="Times New Roman" w:cs="Times New Roman"/>
          <w:sz w:val="24"/>
        </w:rPr>
        <w:t xml:space="preserve">. </w:t>
      </w:r>
      <w:r>
        <w:rPr>
          <w:rFonts w:ascii="Times New Roman" w:hAnsi="Times New Roman" w:cs="Times New Roman"/>
          <w:sz w:val="24"/>
        </w:rPr>
        <w:t>As this will be a collective consultation matter, BBL will need to begin consultation at least 30 days prior to the first dismissal taking place</w:t>
      </w:r>
      <w:r>
        <w:rPr>
          <w:rStyle w:val="FootnoteReference"/>
          <w:rFonts w:ascii="Times New Roman" w:hAnsi="Times New Roman" w:cs="Times New Roman"/>
          <w:sz w:val="24"/>
        </w:rPr>
        <w:footnoteReference w:id="58"/>
      </w:r>
      <w:r>
        <w:rPr>
          <w:rFonts w:ascii="Times New Roman" w:hAnsi="Times New Roman" w:cs="Times New Roman"/>
          <w:sz w:val="24"/>
        </w:rPr>
        <w:t xml:space="preserve">. Failure to do so would be a failure of legal obligations, lead to unfair dismissal claims, and may damage BBL’s reputation, as was recently seen in the recent matter with </w:t>
      </w:r>
      <w:r w:rsidRPr="00D903E0">
        <w:rPr>
          <w:rFonts w:ascii="Times New Roman" w:hAnsi="Times New Roman" w:cs="Times New Roman"/>
          <w:i/>
          <w:sz w:val="24"/>
        </w:rPr>
        <w:t>P&amp;O</w:t>
      </w:r>
      <w:r>
        <w:rPr>
          <w:rStyle w:val="FootnoteReference"/>
          <w:rFonts w:ascii="Times New Roman" w:hAnsi="Times New Roman" w:cs="Times New Roman"/>
          <w:i/>
          <w:sz w:val="24"/>
        </w:rPr>
        <w:footnoteReference w:id="59"/>
      </w:r>
      <w:r>
        <w:rPr>
          <w:rFonts w:ascii="Times New Roman" w:hAnsi="Times New Roman" w:cs="Times New Roman"/>
          <w:sz w:val="24"/>
        </w:rPr>
        <w:t>.</w:t>
      </w:r>
      <w:r w:rsidRPr="00E41F5A">
        <w:rPr>
          <w:rFonts w:ascii="Times New Roman" w:hAnsi="Times New Roman" w:cs="Times New Roman"/>
          <w:sz w:val="24"/>
        </w:rPr>
        <w:t xml:space="preserve"> BBL will also need </w:t>
      </w:r>
      <w:r w:rsidRPr="00E41F5A">
        <w:rPr>
          <w:rFonts w:ascii="Times New Roman" w:hAnsi="Times New Roman" w:cs="Times New Roman"/>
          <w:sz w:val="24"/>
        </w:rPr>
        <w:lastRenderedPageBreak/>
        <w:t>to inform the Secretary of State of the redundancie</w:t>
      </w:r>
      <w:r>
        <w:rPr>
          <w:rFonts w:ascii="Times New Roman" w:hAnsi="Times New Roman" w:cs="Times New Roman"/>
          <w:sz w:val="24"/>
        </w:rPr>
        <w:t>s</w:t>
      </w:r>
      <w:r w:rsidRPr="00E41F5A">
        <w:rPr>
          <w:rStyle w:val="FootnoteReference"/>
          <w:rFonts w:ascii="Times New Roman" w:hAnsi="Times New Roman" w:cs="Times New Roman"/>
          <w:sz w:val="24"/>
        </w:rPr>
        <w:footnoteReference w:id="60"/>
      </w:r>
      <w:r w:rsidRPr="00E41F5A">
        <w:rPr>
          <w:rFonts w:ascii="Times New Roman" w:hAnsi="Times New Roman" w:cs="Times New Roman"/>
          <w:sz w:val="24"/>
        </w:rPr>
        <w:t>. Individual consultations will still need to take place and can run concurrently to collective consultation</w:t>
      </w:r>
      <w:r w:rsidRPr="00E41F5A">
        <w:rPr>
          <w:rStyle w:val="FootnoteReference"/>
          <w:rFonts w:ascii="Times New Roman" w:hAnsi="Times New Roman" w:cs="Times New Roman"/>
          <w:sz w:val="24"/>
        </w:rPr>
        <w:footnoteReference w:id="61"/>
      </w:r>
      <w:r w:rsidRPr="00E41F5A">
        <w:rPr>
          <w:rFonts w:ascii="Times New Roman" w:hAnsi="Times New Roman" w:cs="Times New Roman"/>
          <w:sz w:val="24"/>
        </w:rPr>
        <w:t>.</w:t>
      </w:r>
      <w:r>
        <w:rPr>
          <w:rFonts w:ascii="Times New Roman" w:hAnsi="Times New Roman" w:cs="Times New Roman"/>
          <w:sz w:val="24"/>
        </w:rPr>
        <w:t xml:space="preserve">  </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BBL will need to arrange an initial meeting with affected employees where it should inform them of the risk of redundancy, the reasons behind the redundancy, the number of redundancies that are being considered, and the next steps in the process</w:t>
      </w:r>
      <w:r>
        <w:rPr>
          <w:rStyle w:val="FootnoteReference"/>
          <w:rFonts w:ascii="Times New Roman" w:hAnsi="Times New Roman" w:cs="Times New Roman"/>
          <w:sz w:val="24"/>
        </w:rPr>
        <w:footnoteReference w:id="62"/>
      </w:r>
      <w:r>
        <w:rPr>
          <w:rFonts w:ascii="Times New Roman" w:hAnsi="Times New Roman" w:cs="Times New Roman"/>
          <w:sz w:val="24"/>
        </w:rPr>
        <w:t>. Following the meeting, the employees who are at risk of redundancy should be written to informing them of the fact and confirming the content of the meeting.</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 xml:space="preserve">As outlined above in ‘Redundancy and selection issues’, BBL should determine the criteria by which it selects employees, with a scoring matrix to include length of service recommended. The CIPD recommend that, if possible, scoring should </w:t>
      </w:r>
      <w:r w:rsidRPr="00C01058">
        <w:rPr>
          <w:rFonts w:ascii="Times New Roman" w:hAnsi="Times New Roman" w:cs="Times New Roman"/>
          <w:i/>
          <w:sz w:val="24"/>
        </w:rPr>
        <w:t>“be carried out independently by at least two managers who know all employees in the selection pool”</w:t>
      </w:r>
      <w:r>
        <w:rPr>
          <w:rStyle w:val="FootnoteReference"/>
          <w:rFonts w:ascii="Times New Roman" w:hAnsi="Times New Roman" w:cs="Times New Roman"/>
          <w:i/>
          <w:sz w:val="24"/>
        </w:rPr>
        <w:footnoteReference w:id="63"/>
      </w:r>
      <w:r>
        <w:rPr>
          <w:rFonts w:ascii="Times New Roman" w:hAnsi="Times New Roman" w:cs="Times New Roman"/>
          <w:sz w:val="24"/>
        </w:rPr>
        <w:t>. Should this not be possible, the scoring should be undertaken as objectively as possible.</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Once scores have been decided, individual meetings should take place where employees who have been selected for redundancy are provided with a copy and explanation of the scoring and have an opportunity to challenge</w:t>
      </w:r>
      <w:r>
        <w:rPr>
          <w:rStyle w:val="FootnoteReference"/>
          <w:rFonts w:ascii="Times New Roman" w:hAnsi="Times New Roman" w:cs="Times New Roman"/>
          <w:sz w:val="24"/>
        </w:rPr>
        <w:footnoteReference w:id="64"/>
      </w:r>
      <w:r>
        <w:rPr>
          <w:rFonts w:ascii="Times New Roman" w:hAnsi="Times New Roman" w:cs="Times New Roman"/>
          <w:sz w:val="24"/>
        </w:rPr>
        <w:t>. During this meeting, BBL will need to serve notice to the employee, advise of redundancy pay and any other outstanding payments, and outline a process to appeal the decision</w:t>
      </w:r>
      <w:r>
        <w:rPr>
          <w:rStyle w:val="FootnoteReference"/>
          <w:rFonts w:ascii="Times New Roman" w:hAnsi="Times New Roman" w:cs="Times New Roman"/>
          <w:sz w:val="24"/>
        </w:rPr>
        <w:footnoteReference w:id="65"/>
      </w:r>
      <w:r>
        <w:rPr>
          <w:rFonts w:ascii="Times New Roman" w:hAnsi="Times New Roman" w:cs="Times New Roman"/>
          <w:sz w:val="24"/>
        </w:rPr>
        <w:t xml:space="preserve">. Although not a legal requirement, </w:t>
      </w:r>
      <w:proofErr w:type="spellStart"/>
      <w:r>
        <w:rPr>
          <w:rFonts w:ascii="Times New Roman" w:hAnsi="Times New Roman" w:cs="Times New Roman"/>
          <w:sz w:val="24"/>
        </w:rPr>
        <w:t>Acas</w:t>
      </w:r>
      <w:proofErr w:type="spellEnd"/>
      <w:r>
        <w:rPr>
          <w:rFonts w:ascii="Times New Roman" w:hAnsi="Times New Roman" w:cs="Times New Roman"/>
          <w:sz w:val="24"/>
        </w:rPr>
        <w:t xml:space="preserve"> advise that having an appeals process is good practice</w:t>
      </w:r>
      <w:r>
        <w:rPr>
          <w:rStyle w:val="FootnoteReference"/>
          <w:rFonts w:ascii="Times New Roman" w:hAnsi="Times New Roman" w:cs="Times New Roman"/>
          <w:sz w:val="24"/>
        </w:rPr>
        <w:footnoteReference w:id="66"/>
      </w:r>
      <w:r>
        <w:rPr>
          <w:rFonts w:ascii="Times New Roman" w:hAnsi="Times New Roman" w:cs="Times New Roman"/>
          <w:sz w:val="24"/>
        </w:rPr>
        <w:t>.</w:t>
      </w:r>
    </w:p>
    <w:p w:rsidR="00AE4F38" w:rsidRDefault="00AE4F38" w:rsidP="00AE4F38">
      <w:pPr>
        <w:spacing w:after="120" w:line="360" w:lineRule="auto"/>
        <w:rPr>
          <w:rFonts w:ascii="Times New Roman" w:hAnsi="Times New Roman" w:cs="Times New Roman"/>
          <w:sz w:val="24"/>
        </w:rPr>
      </w:pPr>
      <w:r w:rsidRPr="00E41F5A">
        <w:rPr>
          <w:rFonts w:ascii="Times New Roman" w:hAnsi="Times New Roman" w:cs="Times New Roman"/>
          <w:noProof/>
          <w:sz w:val="24"/>
        </w:rPr>
        <mc:AlternateContent>
          <mc:Choice Requires="wps">
            <w:drawing>
              <wp:anchor distT="0" distB="0" distL="114300" distR="114300" simplePos="0" relativeHeight="251660288" behindDoc="0" locked="0" layoutInCell="1" allowOverlap="1" wp14:anchorId="714DDA2B" wp14:editId="52B78F24">
                <wp:simplePos x="0" y="0"/>
                <wp:positionH relativeFrom="margin">
                  <wp:align>center</wp:align>
                </wp:positionH>
                <wp:positionV relativeFrom="paragraph">
                  <wp:posOffset>669290</wp:posOffset>
                </wp:positionV>
                <wp:extent cx="2828925" cy="0"/>
                <wp:effectExtent l="0" t="19050" r="47625" b="38100"/>
                <wp:wrapNone/>
                <wp:docPr id="2" name="Straight Connector 2"/>
                <wp:cNvGraphicFramePr/>
                <a:graphic xmlns:a="http://schemas.openxmlformats.org/drawingml/2006/main">
                  <a:graphicData uri="http://schemas.microsoft.com/office/word/2010/wordprocessingShape">
                    <wps:wsp>
                      <wps:cNvCnPr/>
                      <wps:spPr>
                        <a:xfrm>
                          <a:off x="0" y="0"/>
                          <a:ext cx="2828925" cy="0"/>
                        </a:xfrm>
                        <a:prstGeom prst="line">
                          <a:avLst/>
                        </a:prstGeom>
                        <a:ln w="47625" cmpd="thickThi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C160D2" id="Straight Connector 2" o:spid="_x0000_s1026" style="position:absolute;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52.7pt" to="222.75pt,5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fIEzQEAANkDAAAOAAAAZHJzL2Uyb0RvYy54bWysU8tu2zAQvBfoPxC817KVNnUFyzk4aC9F&#10;azTpBzAUaREhucSSteS/75KylaAtcihyofjY2Z2ZXW1uRmfZUWE04Fu+Wiw5U15CZ/yh5T/vP79b&#10;cxaT8J2w4FXLTyrym+3bN5shNKqGHmynkFESH5shtLxPKTRVFWWvnIgLCMrTowZ0ItERD1WHYqDs&#10;zlb1cnldDYBdQJAqRrq9nR75tuTXWsn0XeuoErMtJ26prFjWh7xW241oDihCb+SZhvgPFk4YT0Xn&#10;VLciCfYLzV+pnJEIEXRaSHAVaG2kKhpIzWr5h5q7XgRVtJA5Mcw2xddLK78d98hM1/KaMy8ctegu&#10;oTCHPrEdeE8GArI6+zSE2FD4zu/xfIphj1n0qNHlL8lhY/H2NHurxsQkXdbrev2p/sCZvLxVT8CA&#10;MX1R4FjetNwan2WLRhy/xkTFKPQSkq+tZ0PL33+8LvlcIPaJ+vd431MXcnimOpEru3SyasL9UJrE&#10;Ep2rkr+MmdpZZEdBA9I9rgo8V6DIDNHG2hm0fBl0js0wVUZvBtYvA+foUhF8moHOeMB/gdN4oaqn&#10;+IvqSWuW/QDdqbSq2EHzU3w8z3oe0OfnAn/6I7e/AQAA//8DAFBLAwQUAAYACAAAACEAR7NebtsA&#10;AAAIAQAADwAAAGRycy9kb3ducmV2LnhtbEyPwU7DMBBE70j8g7WVuFG7NKlQiFNRql44QVvB1Y23&#10;SSBeR7bbhr9nkZDguDOj2TflcnS9OGOInScNs6kCgVR721GjYb/b3N6DiMmQNb0n1PCFEZbV9VVp&#10;Cusv9IrnbWoEl1AsjIY2paGQMtYtOhOnfkBi7+iDM4nP0EgbzIXLXS/vlFpIZzriD60Z8KnF+nN7&#10;chpeno9vKu42i/Dumm4/l+PHerXS+mYyPj6ASDimvzD84DM6VMx08CeyUfQaeEhiVeUZCLazLM9B&#10;HH4VWZXy/4DqGwAA//8DAFBLAQItABQABgAIAAAAIQC2gziS/gAAAOEBAAATAAAAAAAAAAAAAAAA&#10;AAAAAABbQ29udGVudF9UeXBlc10ueG1sUEsBAi0AFAAGAAgAAAAhADj9If/WAAAAlAEAAAsAAAAA&#10;AAAAAAAAAAAALwEAAF9yZWxzLy5yZWxzUEsBAi0AFAAGAAgAAAAhAF6t8gTNAQAA2QMAAA4AAAAA&#10;AAAAAAAAAAAALgIAAGRycy9lMm9Eb2MueG1sUEsBAi0AFAAGAAgAAAAhAEezXm7bAAAACAEAAA8A&#10;AAAAAAAAAAAAAAAAJwQAAGRycy9kb3ducmV2LnhtbFBLBQYAAAAABAAEAPMAAAAvBQAAAAA=&#10;" strokecolor="black [3200]" strokeweight="3.75pt">
                <v:stroke linestyle="thickThin" joinstyle="miter"/>
                <w10:wrap anchorx="margin"/>
              </v:line>
            </w:pict>
          </mc:Fallback>
        </mc:AlternateContent>
      </w:r>
      <w:r>
        <w:rPr>
          <w:rFonts w:ascii="Times New Roman" w:hAnsi="Times New Roman" w:cs="Times New Roman"/>
          <w:sz w:val="24"/>
        </w:rPr>
        <w:t>The decision and subsequent termination of contract of those who are being made redundant should be confirmed to the employee in writing</w:t>
      </w:r>
      <w:r>
        <w:rPr>
          <w:rStyle w:val="FootnoteReference"/>
          <w:rFonts w:ascii="Times New Roman" w:hAnsi="Times New Roman" w:cs="Times New Roman"/>
          <w:sz w:val="24"/>
        </w:rPr>
        <w:footnoteReference w:id="67"/>
      </w:r>
      <w:r>
        <w:rPr>
          <w:rFonts w:ascii="Times New Roman" w:hAnsi="Times New Roman" w:cs="Times New Roman"/>
          <w:sz w:val="24"/>
        </w:rPr>
        <w:t>.</w:t>
      </w:r>
    </w:p>
    <w:p w:rsidR="00AE4F38" w:rsidRPr="00973061" w:rsidRDefault="00AE4F38" w:rsidP="00AE4F38">
      <w:pPr>
        <w:spacing w:after="120" w:line="360" w:lineRule="auto"/>
        <w:jc w:val="center"/>
        <w:rPr>
          <w:rFonts w:ascii="Times New Roman" w:hAnsi="Times New Roman" w:cs="Times New Roman"/>
          <w:b/>
          <w:sz w:val="28"/>
          <w:u w:val="single"/>
        </w:rPr>
      </w:pPr>
      <w:r w:rsidRPr="00973061">
        <w:rPr>
          <w:rFonts w:ascii="Times New Roman" w:hAnsi="Times New Roman" w:cs="Times New Roman"/>
          <w:b/>
          <w:sz w:val="28"/>
          <w:u w:val="single"/>
        </w:rPr>
        <w:lastRenderedPageBreak/>
        <w:t>Variation of contract</w:t>
      </w:r>
    </w:p>
    <w:p w:rsidR="00AE4F38" w:rsidRDefault="00AE4F38" w:rsidP="00AE4F38">
      <w:pPr>
        <w:spacing w:after="120" w:line="360" w:lineRule="auto"/>
        <w:rPr>
          <w:rFonts w:ascii="Times New Roman" w:hAnsi="Times New Roman" w:cs="Times New Roman"/>
          <w:b/>
          <w:sz w:val="24"/>
          <w:u w:val="single"/>
        </w:rPr>
      </w:pPr>
    </w:p>
    <w:p w:rsidR="00AE4F38" w:rsidRDefault="00AE4F38" w:rsidP="00AE4F38">
      <w:pPr>
        <w:spacing w:after="120" w:line="360" w:lineRule="auto"/>
        <w:rPr>
          <w:rFonts w:ascii="Times New Roman" w:hAnsi="Times New Roman" w:cs="Times New Roman"/>
          <w:b/>
          <w:sz w:val="24"/>
          <w:u w:val="single"/>
        </w:rPr>
      </w:pPr>
      <w:r>
        <w:rPr>
          <w:rFonts w:ascii="Times New Roman" w:hAnsi="Times New Roman" w:cs="Times New Roman"/>
          <w:b/>
          <w:sz w:val="24"/>
          <w:u w:val="single"/>
        </w:rPr>
        <w:t>Options for changing the terms and conditions</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 xml:space="preserve">There are three main options available to BBL, which may allow the organisation to change the contract and introduce a mobility clause into the terms and conditions. The options are, to agree the change through consultation, to make the change unilaterally, and to dismiss employees and offer them re-engagement on new terms with the mobility clause included </w:t>
      </w:r>
      <w:r>
        <w:rPr>
          <w:rStyle w:val="FootnoteReference"/>
          <w:rFonts w:ascii="Times New Roman" w:hAnsi="Times New Roman" w:cs="Times New Roman"/>
          <w:sz w:val="24"/>
        </w:rPr>
        <w:footnoteReference w:id="68"/>
      </w:r>
      <w:r>
        <w:rPr>
          <w:rFonts w:ascii="Times New Roman" w:hAnsi="Times New Roman" w:cs="Times New Roman"/>
          <w:sz w:val="24"/>
        </w:rPr>
        <w:t>.</w:t>
      </w:r>
    </w:p>
    <w:p w:rsidR="00AE4F38" w:rsidRDefault="00AE4F38" w:rsidP="00AE4F38">
      <w:pPr>
        <w:spacing w:after="120" w:line="360" w:lineRule="auto"/>
        <w:rPr>
          <w:rFonts w:ascii="Times New Roman" w:hAnsi="Times New Roman" w:cs="Times New Roman"/>
          <w:sz w:val="24"/>
        </w:rPr>
      </w:pPr>
    </w:p>
    <w:p w:rsidR="00AE4F38" w:rsidRPr="00377633" w:rsidRDefault="00AE4F38" w:rsidP="00AE4F38">
      <w:pPr>
        <w:spacing w:after="120" w:line="360" w:lineRule="auto"/>
        <w:rPr>
          <w:rFonts w:ascii="Times New Roman" w:hAnsi="Times New Roman" w:cs="Times New Roman"/>
          <w:sz w:val="24"/>
          <w:u w:val="single"/>
        </w:rPr>
      </w:pPr>
      <w:r w:rsidRPr="00377633">
        <w:rPr>
          <w:rFonts w:ascii="Times New Roman" w:hAnsi="Times New Roman" w:cs="Times New Roman"/>
          <w:sz w:val="24"/>
          <w:u w:val="single"/>
        </w:rPr>
        <w:t>Agree through consultation</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 xml:space="preserve">Both </w:t>
      </w:r>
      <w:proofErr w:type="spellStart"/>
      <w:r>
        <w:rPr>
          <w:rFonts w:ascii="Times New Roman" w:hAnsi="Times New Roman" w:cs="Times New Roman"/>
          <w:sz w:val="24"/>
        </w:rPr>
        <w:t>Acas</w:t>
      </w:r>
      <w:proofErr w:type="spellEnd"/>
      <w:r>
        <w:rPr>
          <w:rStyle w:val="FootnoteReference"/>
          <w:rFonts w:ascii="Times New Roman" w:hAnsi="Times New Roman" w:cs="Times New Roman"/>
          <w:sz w:val="24"/>
        </w:rPr>
        <w:footnoteReference w:id="69"/>
      </w:r>
      <w:r>
        <w:rPr>
          <w:rFonts w:ascii="Times New Roman" w:hAnsi="Times New Roman" w:cs="Times New Roman"/>
          <w:sz w:val="24"/>
        </w:rPr>
        <w:t xml:space="preserve"> and the CIPD</w:t>
      </w:r>
      <w:r>
        <w:rPr>
          <w:rStyle w:val="FootnoteReference"/>
          <w:rFonts w:ascii="Times New Roman" w:hAnsi="Times New Roman" w:cs="Times New Roman"/>
          <w:sz w:val="24"/>
        </w:rPr>
        <w:footnoteReference w:id="70"/>
      </w:r>
      <w:r>
        <w:rPr>
          <w:rFonts w:ascii="Times New Roman" w:hAnsi="Times New Roman" w:cs="Times New Roman"/>
          <w:sz w:val="24"/>
        </w:rPr>
        <w:t xml:space="preserve"> suggest that organisations aim to agree contract changes through consultation.</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To include the mobility clause through consultation, BBL should engage with IWU and FEW, as the recognised trade unions and employee representatives, as well as individual employees</w:t>
      </w:r>
      <w:r>
        <w:rPr>
          <w:rStyle w:val="FootnoteReference"/>
          <w:rFonts w:ascii="Times New Roman" w:hAnsi="Times New Roman" w:cs="Times New Roman"/>
          <w:sz w:val="24"/>
        </w:rPr>
        <w:footnoteReference w:id="71"/>
      </w:r>
      <w:r>
        <w:rPr>
          <w:rFonts w:ascii="Times New Roman" w:hAnsi="Times New Roman" w:cs="Times New Roman"/>
          <w:sz w:val="24"/>
        </w:rPr>
        <w:t xml:space="preserve">. Consultation would involve listening to employees’ concerns and working with them to arrive an agreement. Consultation will need to </w:t>
      </w:r>
      <w:r w:rsidRPr="00D320AB">
        <w:rPr>
          <w:rFonts w:ascii="Times New Roman" w:hAnsi="Times New Roman" w:cs="Times New Roman"/>
          <w:i/>
          <w:sz w:val="24"/>
        </w:rPr>
        <w:t>“be a genuine two-way discussion about whether a change is needed and what kind of change is appropriate”</w:t>
      </w:r>
      <w:r>
        <w:rPr>
          <w:rStyle w:val="FootnoteReference"/>
          <w:rFonts w:ascii="Times New Roman" w:hAnsi="Times New Roman" w:cs="Times New Roman"/>
          <w:i/>
          <w:sz w:val="24"/>
        </w:rPr>
        <w:footnoteReference w:id="72"/>
      </w:r>
      <w:r>
        <w:rPr>
          <w:rFonts w:ascii="Times New Roman" w:hAnsi="Times New Roman" w:cs="Times New Roman"/>
          <w:sz w:val="24"/>
        </w:rPr>
        <w:t>. Given the previous hostility displayed by employees towards greater mobility, offering a small incentive, as suggested by the CIPD,</w:t>
      </w:r>
      <w:r>
        <w:rPr>
          <w:rStyle w:val="FootnoteReference"/>
          <w:rFonts w:ascii="Times New Roman" w:hAnsi="Times New Roman" w:cs="Times New Roman"/>
          <w:sz w:val="24"/>
        </w:rPr>
        <w:footnoteReference w:id="73"/>
      </w:r>
      <w:r>
        <w:rPr>
          <w:rFonts w:ascii="Times New Roman" w:hAnsi="Times New Roman" w:cs="Times New Roman"/>
          <w:sz w:val="24"/>
        </w:rPr>
        <w:t xml:space="preserve"> may make this a more viable option.</w:t>
      </w:r>
    </w:p>
    <w:p w:rsidR="00AE4F38" w:rsidRDefault="00AE4F38" w:rsidP="00AE4F38">
      <w:pPr>
        <w:pStyle w:val="ListParagraph"/>
        <w:spacing w:after="120" w:line="360" w:lineRule="auto"/>
        <w:rPr>
          <w:rFonts w:ascii="Times New Roman" w:hAnsi="Times New Roman" w:cs="Times New Roman"/>
          <w:sz w:val="24"/>
        </w:rPr>
      </w:pPr>
    </w:p>
    <w:p w:rsidR="00AE4F38" w:rsidRDefault="00AE4F38" w:rsidP="00AE4F38">
      <w:pPr>
        <w:pStyle w:val="ListParagraph"/>
        <w:spacing w:after="120" w:line="360" w:lineRule="auto"/>
        <w:rPr>
          <w:rFonts w:ascii="Times New Roman" w:hAnsi="Times New Roman" w:cs="Times New Roman"/>
          <w:sz w:val="24"/>
        </w:rPr>
      </w:pPr>
      <w:r>
        <w:rPr>
          <w:rFonts w:ascii="Times New Roman" w:hAnsi="Times New Roman" w:cs="Times New Roman"/>
          <w:sz w:val="24"/>
        </w:rPr>
        <w:lastRenderedPageBreak/>
        <w:t>Advantages</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Some of the main advantages of BBL introducing the mobility clause through consultation are relationship based, such as building trust and maintaining good working relations as well as avoiding potential disagreements and conflict within the organisation</w:t>
      </w:r>
      <w:r>
        <w:rPr>
          <w:rStyle w:val="FootnoteReference"/>
          <w:rFonts w:ascii="Times New Roman" w:hAnsi="Times New Roman" w:cs="Times New Roman"/>
          <w:sz w:val="24"/>
        </w:rPr>
        <w:footnoteReference w:id="74"/>
      </w:r>
      <w:r>
        <w:rPr>
          <w:rFonts w:ascii="Times New Roman" w:hAnsi="Times New Roman" w:cs="Times New Roman"/>
          <w:sz w:val="24"/>
        </w:rPr>
        <w:t>. Following this option in the first instance will place BBL on a stronger legal footing should the organisation wish to proceed with unilateral variation or dismissing and rehiring.</w:t>
      </w: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ind w:firstLine="720"/>
        <w:rPr>
          <w:rFonts w:ascii="Times New Roman" w:hAnsi="Times New Roman" w:cs="Times New Roman"/>
          <w:sz w:val="24"/>
        </w:rPr>
      </w:pPr>
      <w:r>
        <w:rPr>
          <w:rFonts w:ascii="Times New Roman" w:hAnsi="Times New Roman" w:cs="Times New Roman"/>
          <w:sz w:val="24"/>
        </w:rPr>
        <w:t>Disadvantages</w:t>
      </w:r>
    </w:p>
    <w:p w:rsidR="00AE4F38" w:rsidRPr="00461806" w:rsidRDefault="00AE4F38" w:rsidP="00AE4F38">
      <w:pPr>
        <w:spacing w:after="120" w:line="360" w:lineRule="auto"/>
        <w:rPr>
          <w:rFonts w:ascii="Times New Roman" w:hAnsi="Times New Roman" w:cs="Times New Roman"/>
          <w:sz w:val="24"/>
        </w:rPr>
      </w:pPr>
      <w:r>
        <w:rPr>
          <w:rFonts w:ascii="Times New Roman" w:hAnsi="Times New Roman" w:cs="Times New Roman"/>
          <w:sz w:val="24"/>
        </w:rPr>
        <w:t>The process can be lengthy and there is no guarantee that BBL will reach agreement to achieve its desired outcome. Considering the previous hostility of employees towards a mobility clause, it is likely that any consultation will prove challenging.</w:t>
      </w:r>
    </w:p>
    <w:p w:rsidR="00AE4F38" w:rsidRPr="00D320AB"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u w:val="single"/>
        </w:rPr>
      </w:pPr>
      <w:r>
        <w:rPr>
          <w:rFonts w:ascii="Times New Roman" w:hAnsi="Times New Roman" w:cs="Times New Roman"/>
          <w:sz w:val="24"/>
          <w:u w:val="single"/>
        </w:rPr>
        <w:t>Make changes unilaterally</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In theory, altering terms and conditions unilaterally can be a breach of contract as this can only be done through mutual agreement</w:t>
      </w:r>
      <w:r>
        <w:rPr>
          <w:rStyle w:val="FootnoteReference"/>
          <w:rFonts w:ascii="Times New Roman" w:hAnsi="Times New Roman" w:cs="Times New Roman"/>
          <w:sz w:val="24"/>
        </w:rPr>
        <w:footnoteReference w:id="75"/>
      </w:r>
      <w:r>
        <w:rPr>
          <w:rFonts w:ascii="Times New Roman" w:hAnsi="Times New Roman" w:cs="Times New Roman"/>
          <w:sz w:val="24"/>
        </w:rPr>
        <w:t xml:space="preserve">, as found in the case of </w:t>
      </w:r>
      <w:proofErr w:type="spellStart"/>
      <w:r w:rsidRPr="00B5750C">
        <w:rPr>
          <w:rFonts w:ascii="Times New Roman" w:hAnsi="Times New Roman" w:cs="Times New Roman"/>
          <w:i/>
          <w:sz w:val="24"/>
        </w:rPr>
        <w:t>Adamas</w:t>
      </w:r>
      <w:proofErr w:type="spellEnd"/>
      <w:r w:rsidRPr="00B5750C">
        <w:rPr>
          <w:rFonts w:ascii="Times New Roman" w:hAnsi="Times New Roman" w:cs="Times New Roman"/>
          <w:i/>
          <w:sz w:val="24"/>
        </w:rPr>
        <w:t xml:space="preserve"> Ltd v Cheung</w:t>
      </w:r>
      <w:r>
        <w:rPr>
          <w:rStyle w:val="FootnoteReference"/>
          <w:rFonts w:ascii="Times New Roman" w:hAnsi="Times New Roman" w:cs="Times New Roman"/>
          <w:i/>
          <w:sz w:val="24"/>
        </w:rPr>
        <w:footnoteReference w:id="76"/>
      </w:r>
      <w:r>
        <w:rPr>
          <w:rFonts w:ascii="Times New Roman" w:hAnsi="Times New Roman" w:cs="Times New Roman"/>
          <w:sz w:val="24"/>
        </w:rPr>
        <w:t>. However, BBL can still pursue this as an option and could seek to rely on implied agreement should employees continue to work for a considerable period after the clause is introduced</w:t>
      </w:r>
      <w:r>
        <w:rPr>
          <w:rStyle w:val="FootnoteReference"/>
          <w:rFonts w:ascii="Times New Roman" w:hAnsi="Times New Roman" w:cs="Times New Roman"/>
          <w:sz w:val="24"/>
        </w:rPr>
        <w:footnoteReference w:id="77"/>
      </w:r>
      <w:r>
        <w:rPr>
          <w:rFonts w:ascii="Times New Roman" w:hAnsi="Times New Roman" w:cs="Times New Roman"/>
          <w:sz w:val="24"/>
        </w:rPr>
        <w:t>. This option is risky as the employee could continue to work under protest and bring a claim for breach of contract, or resign and bring a claim for constructive or wrongful dismissal against BBL</w:t>
      </w:r>
      <w:r>
        <w:rPr>
          <w:rStyle w:val="FootnoteReference"/>
          <w:rFonts w:ascii="Times New Roman" w:hAnsi="Times New Roman" w:cs="Times New Roman"/>
          <w:sz w:val="24"/>
        </w:rPr>
        <w:footnoteReference w:id="78"/>
      </w:r>
      <w:r>
        <w:rPr>
          <w:rFonts w:ascii="Times New Roman" w:hAnsi="Times New Roman" w:cs="Times New Roman"/>
          <w:sz w:val="24"/>
        </w:rPr>
        <w:t>.</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Whether the existing flexibility clause will support a unilateral variation of the contract will be explored below.</w:t>
      </w: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pStyle w:val="ListParagraph"/>
        <w:spacing w:after="120" w:line="360" w:lineRule="auto"/>
        <w:rPr>
          <w:rFonts w:ascii="Times New Roman" w:hAnsi="Times New Roman" w:cs="Times New Roman"/>
          <w:sz w:val="24"/>
        </w:rPr>
      </w:pPr>
      <w:r>
        <w:rPr>
          <w:rFonts w:ascii="Times New Roman" w:hAnsi="Times New Roman" w:cs="Times New Roman"/>
          <w:sz w:val="24"/>
        </w:rPr>
        <w:lastRenderedPageBreak/>
        <w:t>Advantages</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The main advantage for BBL is that it will be able to introduce the mobility clause in the form that it would like without having to make concessions.</w:t>
      </w:r>
    </w:p>
    <w:p w:rsidR="00AE4F38" w:rsidRDefault="00AE4F38" w:rsidP="00AE4F38">
      <w:pPr>
        <w:spacing w:after="120" w:line="360" w:lineRule="auto"/>
        <w:ind w:left="450" w:firstLine="270"/>
        <w:textAlignment w:val="baseline"/>
        <w:rPr>
          <w:rFonts w:ascii="Times New Roman" w:hAnsi="Times New Roman" w:cs="Times New Roman"/>
          <w:sz w:val="24"/>
        </w:rPr>
      </w:pPr>
    </w:p>
    <w:p w:rsidR="00AE4F38" w:rsidRDefault="00AE4F38" w:rsidP="00AE4F38">
      <w:pPr>
        <w:spacing w:after="120" w:line="360" w:lineRule="auto"/>
        <w:ind w:left="450" w:firstLine="270"/>
        <w:textAlignment w:val="baseline"/>
        <w:rPr>
          <w:rFonts w:ascii="Times New Roman" w:hAnsi="Times New Roman" w:cs="Times New Roman"/>
          <w:sz w:val="24"/>
        </w:rPr>
      </w:pPr>
      <w:r>
        <w:rPr>
          <w:rFonts w:ascii="Times New Roman" w:hAnsi="Times New Roman" w:cs="Times New Roman"/>
          <w:sz w:val="24"/>
        </w:rPr>
        <w:t>Disadvantages</w:t>
      </w:r>
    </w:p>
    <w:p w:rsidR="00AE4F38" w:rsidRPr="0068515A" w:rsidRDefault="00AE4F38" w:rsidP="00AE4F38">
      <w:pPr>
        <w:spacing w:after="120" w:line="360" w:lineRule="auto"/>
        <w:textAlignment w:val="baseline"/>
        <w:rPr>
          <w:rFonts w:ascii="Times New Roman" w:hAnsi="Times New Roman" w:cs="Times New Roman"/>
          <w:sz w:val="24"/>
        </w:rPr>
      </w:pPr>
      <w:proofErr w:type="spellStart"/>
      <w:r>
        <w:rPr>
          <w:rFonts w:ascii="Times New Roman" w:hAnsi="Times New Roman" w:cs="Times New Roman"/>
          <w:sz w:val="24"/>
        </w:rPr>
        <w:t>Acas</w:t>
      </w:r>
      <w:proofErr w:type="spellEnd"/>
      <w:r>
        <w:rPr>
          <w:rFonts w:ascii="Times New Roman" w:hAnsi="Times New Roman" w:cs="Times New Roman"/>
          <w:sz w:val="24"/>
        </w:rPr>
        <w:t xml:space="preserve"> advise that not consulting to introduce a contractual change can </w:t>
      </w:r>
      <w:r w:rsidRPr="0068515A">
        <w:rPr>
          <w:rFonts w:ascii="Times New Roman" w:hAnsi="Times New Roman" w:cs="Times New Roman"/>
          <w:i/>
          <w:sz w:val="24"/>
        </w:rPr>
        <w:t>“damage morale, working relations and productivity”</w:t>
      </w:r>
      <w:r>
        <w:rPr>
          <w:rFonts w:ascii="Times New Roman" w:hAnsi="Times New Roman" w:cs="Times New Roman"/>
          <w:sz w:val="24"/>
        </w:rPr>
        <w:t xml:space="preserve"> and </w:t>
      </w:r>
      <w:r w:rsidRPr="0068515A">
        <w:rPr>
          <w:rFonts w:ascii="Times New Roman" w:hAnsi="Times New Roman" w:cs="Times New Roman"/>
          <w:i/>
          <w:sz w:val="24"/>
        </w:rPr>
        <w:t>“damage the reputation of an organisation…making it difficult to attract new talent”</w:t>
      </w:r>
      <w:r>
        <w:rPr>
          <w:rStyle w:val="FootnoteReference"/>
          <w:rFonts w:ascii="Times New Roman" w:hAnsi="Times New Roman" w:cs="Times New Roman"/>
          <w:i/>
          <w:sz w:val="24"/>
        </w:rPr>
        <w:footnoteReference w:id="79"/>
      </w:r>
      <w:r>
        <w:rPr>
          <w:rFonts w:ascii="Times New Roman" w:hAnsi="Times New Roman" w:cs="Times New Roman"/>
          <w:sz w:val="24"/>
        </w:rPr>
        <w:t>. Unilaterally introducing the change will also carry considerable risk of legal proceedings should employees choose not to accept the term</w:t>
      </w:r>
      <w:r>
        <w:rPr>
          <w:rStyle w:val="FootnoteReference"/>
          <w:rFonts w:ascii="Times New Roman" w:hAnsi="Times New Roman" w:cs="Times New Roman"/>
          <w:sz w:val="24"/>
        </w:rPr>
        <w:footnoteReference w:id="80"/>
      </w:r>
      <w:r>
        <w:rPr>
          <w:rFonts w:ascii="Times New Roman" w:hAnsi="Times New Roman" w:cs="Times New Roman"/>
          <w:sz w:val="24"/>
        </w:rPr>
        <w:t>. With a recognised trade union in BBL, there is also the risk of industrial action should there be a failure to reach agreement</w:t>
      </w:r>
      <w:r>
        <w:rPr>
          <w:rStyle w:val="FootnoteReference"/>
          <w:rFonts w:ascii="Times New Roman" w:hAnsi="Times New Roman" w:cs="Times New Roman"/>
          <w:sz w:val="24"/>
        </w:rPr>
        <w:footnoteReference w:id="81"/>
      </w:r>
    </w:p>
    <w:p w:rsidR="00AE4F38" w:rsidRPr="006C40FF" w:rsidRDefault="00AE4F38" w:rsidP="00AE4F38">
      <w:pPr>
        <w:spacing w:after="0" w:line="240" w:lineRule="auto"/>
        <w:textAlignment w:val="baseline"/>
        <w:rPr>
          <w:rFonts w:ascii="Times New Roman" w:hAnsi="Times New Roman" w:cs="Times New Roman"/>
          <w:sz w:val="24"/>
        </w:rPr>
      </w:pPr>
    </w:p>
    <w:p w:rsidR="00AE4F38" w:rsidRPr="00377633" w:rsidRDefault="00AE4F38" w:rsidP="00AE4F38">
      <w:pPr>
        <w:spacing w:after="120" w:line="360" w:lineRule="auto"/>
        <w:rPr>
          <w:rFonts w:ascii="Times New Roman" w:hAnsi="Times New Roman" w:cs="Times New Roman"/>
          <w:sz w:val="24"/>
          <w:u w:val="single"/>
        </w:rPr>
      </w:pPr>
      <w:r>
        <w:rPr>
          <w:rFonts w:ascii="Times New Roman" w:hAnsi="Times New Roman" w:cs="Times New Roman"/>
          <w:sz w:val="24"/>
          <w:u w:val="single"/>
        </w:rPr>
        <w:t>‘Dismiss and rehire’</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The CIPD</w:t>
      </w:r>
      <w:r>
        <w:rPr>
          <w:rStyle w:val="FootnoteReference"/>
          <w:rFonts w:ascii="Times New Roman" w:hAnsi="Times New Roman" w:cs="Times New Roman"/>
          <w:sz w:val="24"/>
        </w:rPr>
        <w:footnoteReference w:id="82"/>
      </w:r>
      <w:r>
        <w:rPr>
          <w:rFonts w:ascii="Times New Roman" w:hAnsi="Times New Roman" w:cs="Times New Roman"/>
          <w:sz w:val="24"/>
        </w:rPr>
        <w:t xml:space="preserve"> and </w:t>
      </w:r>
      <w:proofErr w:type="spellStart"/>
      <w:r>
        <w:rPr>
          <w:rFonts w:ascii="Times New Roman" w:hAnsi="Times New Roman" w:cs="Times New Roman"/>
          <w:sz w:val="24"/>
        </w:rPr>
        <w:t>Acas</w:t>
      </w:r>
      <w:proofErr w:type="spellEnd"/>
      <w:r>
        <w:rPr>
          <w:rStyle w:val="FootnoteReference"/>
          <w:rFonts w:ascii="Times New Roman" w:hAnsi="Times New Roman" w:cs="Times New Roman"/>
          <w:sz w:val="24"/>
        </w:rPr>
        <w:footnoteReference w:id="83"/>
      </w:r>
      <w:r>
        <w:rPr>
          <w:rFonts w:ascii="Times New Roman" w:hAnsi="Times New Roman" w:cs="Times New Roman"/>
          <w:sz w:val="24"/>
        </w:rPr>
        <w:t xml:space="preserve"> advise that terminating the contract and offering to re-engage on new terms and conditions should only be undertaken as a last resort and after attempts to resolve through consultation. BBL may therefore only wish to consider taking this option should attempts at consultation fail.</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 xml:space="preserve">Regarding the appropriateness of this option, the CIPD advise that employers need to weigh up whether there is a </w:t>
      </w:r>
      <w:r w:rsidRPr="00DE2ADA">
        <w:rPr>
          <w:rFonts w:ascii="Times New Roman" w:hAnsi="Times New Roman" w:cs="Times New Roman"/>
          <w:i/>
          <w:sz w:val="24"/>
        </w:rPr>
        <w:t>“genuine or pressing need”</w:t>
      </w:r>
      <w:r>
        <w:rPr>
          <w:rFonts w:ascii="Times New Roman" w:hAnsi="Times New Roman" w:cs="Times New Roman"/>
          <w:sz w:val="24"/>
        </w:rPr>
        <w:t xml:space="preserve"> for the clause to be introduced or if it is just </w:t>
      </w:r>
      <w:r>
        <w:rPr>
          <w:rFonts w:ascii="Times New Roman" w:hAnsi="Times New Roman" w:cs="Times New Roman"/>
          <w:sz w:val="24"/>
        </w:rPr>
        <w:lastRenderedPageBreak/>
        <w:t>wanted by the organisation. If it is the latter, then it may be difficult to defend pursuing this option in a tribunal</w:t>
      </w:r>
      <w:r>
        <w:rPr>
          <w:rStyle w:val="FootnoteReference"/>
          <w:rFonts w:ascii="Times New Roman" w:hAnsi="Times New Roman" w:cs="Times New Roman"/>
          <w:sz w:val="24"/>
        </w:rPr>
        <w:footnoteReference w:id="84"/>
      </w:r>
      <w:r>
        <w:rPr>
          <w:rFonts w:ascii="Times New Roman" w:hAnsi="Times New Roman" w:cs="Times New Roman"/>
          <w:sz w:val="24"/>
        </w:rPr>
        <w:t>.</w:t>
      </w:r>
    </w:p>
    <w:p w:rsidR="00AE4F38" w:rsidRPr="000477DE" w:rsidRDefault="00AE4F38" w:rsidP="00AE4F38">
      <w:pPr>
        <w:spacing w:after="120" w:line="360" w:lineRule="auto"/>
        <w:rPr>
          <w:rStyle w:val="Emphasis"/>
          <w:rFonts w:ascii="Times New Roman" w:hAnsi="Times New Roman" w:cs="Times New Roman"/>
          <w:i w:val="0"/>
          <w:color w:val="111111"/>
          <w:sz w:val="24"/>
          <w:szCs w:val="24"/>
          <w:shd w:val="clear" w:color="auto" w:fill="F7F7F7"/>
        </w:rPr>
      </w:pPr>
      <w:r w:rsidRPr="000477DE">
        <w:rPr>
          <w:rFonts w:ascii="Times New Roman" w:hAnsi="Times New Roman" w:cs="Times New Roman"/>
          <w:sz w:val="24"/>
          <w:szCs w:val="24"/>
        </w:rPr>
        <w:t>Dismissal on the basis of refusal to accept terms may also lead to BBL having to pay a redundancy payment should employees not wish to be rehired. In</w:t>
      </w:r>
      <w:r>
        <w:rPr>
          <w:rFonts w:ascii="Times New Roman" w:hAnsi="Times New Roman" w:cs="Times New Roman"/>
          <w:sz w:val="24"/>
          <w:szCs w:val="24"/>
        </w:rPr>
        <w:t xml:space="preserve"> </w:t>
      </w:r>
      <w:r w:rsidRPr="000477DE">
        <w:rPr>
          <w:rFonts w:ascii="Times New Roman" w:hAnsi="Times New Roman" w:cs="Times New Roman"/>
          <w:i/>
          <w:sz w:val="24"/>
          <w:szCs w:val="24"/>
        </w:rPr>
        <w:t>Kellogg Brown &amp; Root Ltd v Fitton &amp; Ewer</w:t>
      </w:r>
      <w:r>
        <w:rPr>
          <w:rStyle w:val="FootnoteReference"/>
          <w:rFonts w:ascii="Times New Roman" w:hAnsi="Times New Roman" w:cs="Times New Roman"/>
          <w:i/>
          <w:sz w:val="24"/>
          <w:szCs w:val="24"/>
        </w:rPr>
        <w:footnoteReference w:id="85"/>
      </w:r>
      <w:r>
        <w:rPr>
          <w:rFonts w:ascii="Times New Roman" w:hAnsi="Times New Roman" w:cs="Times New Roman"/>
          <w:sz w:val="24"/>
          <w:szCs w:val="24"/>
        </w:rPr>
        <w:t>, the EAT held that dismissal on the basis of a refusal to accept a mobility clause could constitute redundancy.</w:t>
      </w:r>
    </w:p>
    <w:p w:rsidR="00AE4F38" w:rsidRPr="00B5750C" w:rsidRDefault="00AE4F38" w:rsidP="00AE4F38">
      <w:pPr>
        <w:spacing w:after="120" w:line="360" w:lineRule="auto"/>
        <w:rPr>
          <w:rFonts w:ascii="Times New Roman" w:hAnsi="Times New Roman" w:cs="Times New Roman"/>
          <w:sz w:val="24"/>
        </w:rPr>
      </w:pPr>
      <w:r w:rsidRPr="000477DE">
        <w:rPr>
          <w:rFonts w:ascii="Times New Roman" w:hAnsi="Times New Roman" w:cs="Times New Roman"/>
          <w:sz w:val="24"/>
          <w:szCs w:val="24"/>
        </w:rPr>
        <w:t>As BBL</w:t>
      </w:r>
      <w:r>
        <w:rPr>
          <w:rFonts w:ascii="Times New Roman" w:hAnsi="Times New Roman" w:cs="Times New Roman"/>
          <w:sz w:val="24"/>
        </w:rPr>
        <w:t xml:space="preserve"> has more than 20 employees, taking this option will mean that it will have to collectively consult on the proposed dismissals</w:t>
      </w:r>
      <w:r>
        <w:rPr>
          <w:rStyle w:val="FootnoteReference"/>
          <w:rFonts w:ascii="Times New Roman" w:hAnsi="Times New Roman" w:cs="Times New Roman"/>
          <w:sz w:val="24"/>
        </w:rPr>
        <w:footnoteReference w:id="86"/>
      </w:r>
      <w:r>
        <w:rPr>
          <w:rFonts w:ascii="Times New Roman" w:hAnsi="Times New Roman" w:cs="Times New Roman"/>
          <w:sz w:val="24"/>
        </w:rPr>
        <w:t>, as advised previously in ‘Redundancy’ advice.</w:t>
      </w:r>
    </w:p>
    <w:p w:rsidR="00AE4F38" w:rsidRDefault="00AE4F38" w:rsidP="00AE4F38">
      <w:pPr>
        <w:spacing w:after="120" w:line="360" w:lineRule="auto"/>
        <w:rPr>
          <w:rFonts w:ascii="Times New Roman" w:hAnsi="Times New Roman" w:cs="Times New Roman"/>
          <w:sz w:val="24"/>
        </w:rPr>
      </w:pPr>
    </w:p>
    <w:p w:rsidR="00AE4F38" w:rsidRDefault="00AE4F38" w:rsidP="00AE4F38">
      <w:pPr>
        <w:pStyle w:val="ListParagraph"/>
        <w:spacing w:after="120" w:line="360" w:lineRule="auto"/>
        <w:rPr>
          <w:rFonts w:ascii="Times New Roman" w:hAnsi="Times New Roman" w:cs="Times New Roman"/>
          <w:sz w:val="24"/>
        </w:rPr>
      </w:pPr>
      <w:r>
        <w:rPr>
          <w:rFonts w:ascii="Times New Roman" w:hAnsi="Times New Roman" w:cs="Times New Roman"/>
          <w:sz w:val="24"/>
        </w:rPr>
        <w:t>Advantages</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Similar to unilaterally introducing the clause, one of the main advantages is that through ‘dismiss and rehire’, the term can be included in the new contract in the form that BBL intends. As the CIPD advise, there is also the added advantage of ‘dismiss and rehire’ being a safer option than unilaterally introducing the change</w:t>
      </w:r>
      <w:r>
        <w:rPr>
          <w:rStyle w:val="FootnoteReference"/>
          <w:rFonts w:ascii="Times New Roman" w:hAnsi="Times New Roman" w:cs="Times New Roman"/>
          <w:sz w:val="24"/>
        </w:rPr>
        <w:footnoteReference w:id="87"/>
      </w:r>
      <w:r>
        <w:rPr>
          <w:rFonts w:ascii="Times New Roman" w:hAnsi="Times New Roman" w:cs="Times New Roman"/>
          <w:sz w:val="24"/>
        </w:rPr>
        <w:t>.</w:t>
      </w:r>
    </w:p>
    <w:p w:rsidR="00AE4F38" w:rsidRDefault="00AE4F38" w:rsidP="00AE4F38">
      <w:pPr>
        <w:spacing w:after="120" w:line="360" w:lineRule="auto"/>
        <w:rPr>
          <w:rFonts w:ascii="Times New Roman" w:hAnsi="Times New Roman" w:cs="Times New Roman"/>
          <w:sz w:val="24"/>
        </w:rPr>
      </w:pPr>
    </w:p>
    <w:p w:rsidR="00AE4F38" w:rsidRDefault="00AE4F38" w:rsidP="00AE4F38">
      <w:pPr>
        <w:pStyle w:val="ListParagraph"/>
        <w:spacing w:after="120" w:line="360" w:lineRule="auto"/>
        <w:rPr>
          <w:rFonts w:ascii="Times New Roman" w:hAnsi="Times New Roman" w:cs="Times New Roman"/>
          <w:sz w:val="24"/>
        </w:rPr>
      </w:pPr>
      <w:r>
        <w:rPr>
          <w:rFonts w:ascii="Times New Roman" w:hAnsi="Times New Roman" w:cs="Times New Roman"/>
          <w:sz w:val="24"/>
        </w:rPr>
        <w:t>Disadvantages</w:t>
      </w:r>
    </w:p>
    <w:p w:rsidR="00AE4F38" w:rsidRDefault="00AE4F38" w:rsidP="00AE4F38">
      <w:pPr>
        <w:spacing w:after="120" w:line="360" w:lineRule="auto"/>
        <w:textAlignment w:val="baseline"/>
        <w:rPr>
          <w:rFonts w:ascii="Times New Roman" w:hAnsi="Times New Roman" w:cs="Times New Roman"/>
          <w:sz w:val="24"/>
        </w:rPr>
      </w:pPr>
      <w:r>
        <w:rPr>
          <w:rFonts w:ascii="Times New Roman" w:hAnsi="Times New Roman" w:cs="Times New Roman"/>
          <w:sz w:val="24"/>
        </w:rPr>
        <w:t>Again, similar to the unilateral option, ‘dismiss and rehire’ carries with it a risk of legal proceedings. Employees may pursue claims under unfair or constructive dismissal</w:t>
      </w:r>
      <w:r>
        <w:rPr>
          <w:rStyle w:val="FootnoteReference"/>
          <w:rFonts w:ascii="Times New Roman" w:hAnsi="Times New Roman" w:cs="Times New Roman"/>
          <w:sz w:val="24"/>
        </w:rPr>
        <w:footnoteReference w:id="88"/>
      </w:r>
      <w:r>
        <w:rPr>
          <w:rFonts w:ascii="Times New Roman" w:hAnsi="Times New Roman" w:cs="Times New Roman"/>
          <w:sz w:val="24"/>
        </w:rPr>
        <w:t xml:space="preserve">. </w:t>
      </w:r>
      <w:proofErr w:type="spellStart"/>
      <w:r w:rsidRPr="006F3B1F">
        <w:rPr>
          <w:rFonts w:ascii="Times New Roman" w:hAnsi="Times New Roman" w:cs="Times New Roman"/>
          <w:sz w:val="24"/>
        </w:rPr>
        <w:t>A</w:t>
      </w:r>
      <w:r>
        <w:rPr>
          <w:rFonts w:ascii="Times New Roman" w:hAnsi="Times New Roman" w:cs="Times New Roman"/>
          <w:sz w:val="24"/>
        </w:rPr>
        <w:t>cas</w:t>
      </w:r>
      <w:proofErr w:type="spellEnd"/>
      <w:r w:rsidRPr="006F3B1F">
        <w:rPr>
          <w:rFonts w:ascii="Times New Roman" w:hAnsi="Times New Roman" w:cs="Times New Roman"/>
          <w:sz w:val="24"/>
        </w:rPr>
        <w:t xml:space="preserve"> </w:t>
      </w:r>
      <w:r w:rsidRPr="006F3B1F">
        <w:rPr>
          <w:rFonts w:ascii="Times New Roman" w:hAnsi="Times New Roman" w:cs="Times New Roman"/>
          <w:sz w:val="24"/>
        </w:rPr>
        <w:lastRenderedPageBreak/>
        <w:t xml:space="preserve">advise </w:t>
      </w:r>
      <w:r>
        <w:rPr>
          <w:rFonts w:ascii="Times New Roman" w:hAnsi="Times New Roman" w:cs="Times New Roman"/>
          <w:sz w:val="24"/>
        </w:rPr>
        <w:t>that to follow this option</w:t>
      </w:r>
      <w:r w:rsidRPr="006F3B1F">
        <w:rPr>
          <w:rFonts w:ascii="Times New Roman" w:hAnsi="Times New Roman" w:cs="Times New Roman"/>
          <w:sz w:val="24"/>
        </w:rPr>
        <w:t xml:space="preserve"> </w:t>
      </w:r>
      <w:r w:rsidRPr="00AD7B20">
        <w:rPr>
          <w:rFonts w:ascii="Times New Roman" w:hAnsi="Times New Roman" w:cs="Times New Roman"/>
          <w:i/>
          <w:sz w:val="24"/>
        </w:rPr>
        <w:t>“is an extreme step that can damage staff morale, productivity, working relations and can also lead to industrial action”</w:t>
      </w:r>
      <w:r>
        <w:rPr>
          <w:rStyle w:val="FootnoteReference"/>
          <w:rFonts w:ascii="Times New Roman" w:hAnsi="Times New Roman" w:cs="Times New Roman"/>
          <w:i/>
          <w:sz w:val="24"/>
        </w:rPr>
        <w:footnoteReference w:id="89"/>
      </w:r>
      <w:r w:rsidRPr="00AD7B20">
        <w:rPr>
          <w:rFonts w:ascii="Times New Roman" w:hAnsi="Times New Roman" w:cs="Times New Roman"/>
          <w:i/>
          <w:sz w:val="24"/>
        </w:rPr>
        <w:t>.</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There is also a considerable risk of reputational damage with the matter currently a hot topic with politicians against the backdrop of the pandemic</w:t>
      </w:r>
      <w:r>
        <w:rPr>
          <w:rStyle w:val="FootnoteReference"/>
          <w:rFonts w:ascii="Times New Roman" w:hAnsi="Times New Roman" w:cs="Times New Roman"/>
          <w:sz w:val="24"/>
        </w:rPr>
        <w:footnoteReference w:id="90"/>
      </w:r>
      <w:r>
        <w:rPr>
          <w:rFonts w:ascii="Times New Roman" w:hAnsi="Times New Roman" w:cs="Times New Roman"/>
          <w:sz w:val="24"/>
        </w:rPr>
        <w:t>. The UK Government are developing a statutory code of conduct which will hold to account employers who do not meaningfully consult with employees prior to changing terms and conditions and is particularly aimed at ‘dismiss and rehire’ situations</w:t>
      </w:r>
      <w:r>
        <w:rPr>
          <w:rStyle w:val="FootnoteReference"/>
          <w:rFonts w:ascii="Times New Roman" w:hAnsi="Times New Roman" w:cs="Times New Roman"/>
          <w:sz w:val="24"/>
        </w:rPr>
        <w:footnoteReference w:id="91"/>
      </w:r>
      <w:r>
        <w:rPr>
          <w:rFonts w:ascii="Times New Roman" w:hAnsi="Times New Roman" w:cs="Times New Roman"/>
          <w:sz w:val="24"/>
        </w:rPr>
        <w:t>.</w:t>
      </w:r>
    </w:p>
    <w:p w:rsidR="00AE4F38" w:rsidRPr="00D61524"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b/>
          <w:sz w:val="24"/>
          <w:u w:val="single"/>
        </w:rPr>
      </w:pPr>
      <w:r>
        <w:rPr>
          <w:rFonts w:ascii="Times New Roman" w:hAnsi="Times New Roman" w:cs="Times New Roman"/>
          <w:b/>
          <w:sz w:val="24"/>
          <w:u w:val="single"/>
        </w:rPr>
        <w:t>Helpfulness of the clause</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 xml:space="preserve">Flexibility clauses, such as the one included in the appointment letter for BBL employees, can enable BBL to make variations to the contract without having to consult. However, the CIPD advise clauses containing similar wording to that used by BBL </w:t>
      </w:r>
      <w:r w:rsidRPr="001F6176">
        <w:rPr>
          <w:rFonts w:ascii="Times New Roman" w:hAnsi="Times New Roman" w:cs="Times New Roman"/>
          <w:i/>
          <w:sz w:val="24"/>
        </w:rPr>
        <w:t>“would only suffice for minor contractual changes to be made”</w:t>
      </w:r>
      <w:r>
        <w:rPr>
          <w:rFonts w:ascii="Times New Roman" w:hAnsi="Times New Roman" w:cs="Times New Roman"/>
          <w:i/>
          <w:sz w:val="24"/>
        </w:rPr>
        <w:t>,</w:t>
      </w:r>
      <w:r>
        <w:rPr>
          <w:rFonts w:ascii="Times New Roman" w:hAnsi="Times New Roman" w:cs="Times New Roman"/>
          <w:sz w:val="24"/>
        </w:rPr>
        <w:t xml:space="preserve"> such as small changes to tasks or working hours</w:t>
      </w:r>
      <w:r>
        <w:rPr>
          <w:rStyle w:val="FootnoteReference"/>
          <w:rFonts w:ascii="Times New Roman" w:hAnsi="Times New Roman" w:cs="Times New Roman"/>
          <w:sz w:val="24"/>
        </w:rPr>
        <w:footnoteReference w:id="92"/>
      </w:r>
      <w:r>
        <w:rPr>
          <w:rFonts w:ascii="Times New Roman" w:hAnsi="Times New Roman" w:cs="Times New Roman"/>
          <w:sz w:val="24"/>
        </w:rPr>
        <w:t>. It could be argued that asking employees to cover the four sites, considering their dispersed geographical location, would constitute a considerable change. It would therefore be difficult for BBL to rely on this clause as a means to alter the terms and conditions.</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 xml:space="preserve">In the case of </w:t>
      </w:r>
      <w:r w:rsidRPr="00BD4BE9">
        <w:rPr>
          <w:rFonts w:ascii="Times New Roman" w:hAnsi="Times New Roman" w:cs="Times New Roman"/>
          <w:i/>
          <w:sz w:val="24"/>
        </w:rPr>
        <w:t>Norman v National Audit Office</w:t>
      </w:r>
      <w:r>
        <w:rPr>
          <w:rStyle w:val="FootnoteReference"/>
          <w:rFonts w:ascii="Times New Roman" w:hAnsi="Times New Roman" w:cs="Times New Roman"/>
          <w:i/>
          <w:sz w:val="24"/>
        </w:rPr>
        <w:footnoteReference w:id="93"/>
      </w:r>
      <w:r>
        <w:rPr>
          <w:rFonts w:ascii="Times New Roman" w:hAnsi="Times New Roman" w:cs="Times New Roman"/>
          <w:sz w:val="24"/>
        </w:rPr>
        <w:t xml:space="preserve">, the EAT held that a clause stating that a term and conditions were “subject to amendment” was not sufficient to permit unilateral changes. There may be similarities here regarding the intention of the clause in the appointment letter which BBL may seek to rely on and that of the National Audit Officer. </w:t>
      </w:r>
      <w:r>
        <w:rPr>
          <w:rFonts w:ascii="Times New Roman" w:hAnsi="Times New Roman" w:cs="Times New Roman"/>
          <w:sz w:val="24"/>
        </w:rPr>
        <w:lastRenderedPageBreak/>
        <w:t>The CIPD advise that even express clauses will not always allow an employer to make unilateral changes</w:t>
      </w:r>
      <w:r>
        <w:rPr>
          <w:rStyle w:val="FootnoteReference"/>
          <w:rFonts w:ascii="Times New Roman" w:hAnsi="Times New Roman" w:cs="Times New Roman"/>
          <w:sz w:val="24"/>
        </w:rPr>
        <w:footnoteReference w:id="94"/>
      </w:r>
      <w:r>
        <w:rPr>
          <w:rFonts w:ascii="Times New Roman" w:hAnsi="Times New Roman" w:cs="Times New Roman"/>
          <w:sz w:val="24"/>
        </w:rPr>
        <w:t>.</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 xml:space="preserve">Broad phrasing in flexibility clauses can be successful at tribunal; however, as in the matter of </w:t>
      </w:r>
      <w:r w:rsidRPr="00677417">
        <w:rPr>
          <w:rFonts w:ascii="Times New Roman" w:hAnsi="Times New Roman" w:cs="Times New Roman"/>
          <w:i/>
          <w:sz w:val="24"/>
        </w:rPr>
        <w:t>Bateman &amp; Others v Asda Stores</w:t>
      </w:r>
      <w:r>
        <w:rPr>
          <w:rStyle w:val="FootnoteReference"/>
          <w:rFonts w:ascii="Times New Roman" w:hAnsi="Times New Roman" w:cs="Times New Roman"/>
          <w:i/>
          <w:sz w:val="24"/>
        </w:rPr>
        <w:footnoteReference w:id="95"/>
      </w:r>
      <w:r>
        <w:rPr>
          <w:rFonts w:ascii="Times New Roman" w:hAnsi="Times New Roman" w:cs="Times New Roman"/>
          <w:sz w:val="24"/>
        </w:rPr>
        <w:t>, the wording will need to be clear and unambiguous.</w:t>
      </w:r>
    </w:p>
    <w:p w:rsidR="00AE4F38" w:rsidRPr="00C65B43" w:rsidRDefault="00AE4F38" w:rsidP="00AE4F38">
      <w:pPr>
        <w:spacing w:after="120" w:line="360" w:lineRule="auto"/>
        <w:rPr>
          <w:rFonts w:ascii="Times New Roman" w:hAnsi="Times New Roman" w:cs="Times New Roman"/>
          <w:sz w:val="24"/>
        </w:rPr>
      </w:pPr>
      <w:r>
        <w:rPr>
          <w:rFonts w:ascii="Times New Roman" w:hAnsi="Times New Roman" w:cs="Times New Roman"/>
          <w:sz w:val="24"/>
        </w:rPr>
        <w:t xml:space="preserve">The reasonableness of the change for BBL employees may also be questioned. </w:t>
      </w:r>
      <w:proofErr w:type="spellStart"/>
      <w:r>
        <w:rPr>
          <w:rFonts w:ascii="Times New Roman" w:hAnsi="Times New Roman" w:cs="Times New Roman"/>
          <w:sz w:val="24"/>
        </w:rPr>
        <w:t>Acas</w:t>
      </w:r>
      <w:proofErr w:type="spellEnd"/>
      <w:r>
        <w:rPr>
          <w:rFonts w:ascii="Times New Roman" w:hAnsi="Times New Roman" w:cs="Times New Roman"/>
          <w:sz w:val="24"/>
        </w:rPr>
        <w:t xml:space="preserve"> suggest that relying on a flexibility clause for employees to move to another location that is not within commuting distance could be deemed unreasonable</w:t>
      </w:r>
      <w:r>
        <w:rPr>
          <w:rStyle w:val="FootnoteReference"/>
          <w:rFonts w:ascii="Times New Roman" w:hAnsi="Times New Roman" w:cs="Times New Roman"/>
          <w:sz w:val="24"/>
        </w:rPr>
        <w:footnoteReference w:id="96"/>
      </w:r>
      <w:r>
        <w:rPr>
          <w:rFonts w:ascii="Times New Roman" w:hAnsi="Times New Roman" w:cs="Times New Roman"/>
          <w:sz w:val="24"/>
        </w:rPr>
        <w:t xml:space="preserve">.  </w:t>
      </w:r>
    </w:p>
    <w:p w:rsidR="00AE4F38" w:rsidRDefault="00AE4F38" w:rsidP="00AE4F38">
      <w:pPr>
        <w:spacing w:after="120" w:line="360" w:lineRule="auto"/>
        <w:rPr>
          <w:rFonts w:ascii="Times New Roman" w:hAnsi="Times New Roman" w:cs="Times New Roman"/>
          <w:sz w:val="24"/>
        </w:rPr>
      </w:pPr>
      <w:r>
        <w:rPr>
          <w:rFonts w:ascii="Times New Roman" w:hAnsi="Times New Roman" w:cs="Times New Roman"/>
          <w:sz w:val="24"/>
        </w:rPr>
        <w:t>In conclusion, it is unlikely that the flexibility clause within the appointment letter will prove helpful in changing the terms and conditions, due to its broadness and the significance of the change that BBL seeks to make.</w:t>
      </w: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r w:rsidRPr="00E41F5A">
        <w:rPr>
          <w:rFonts w:ascii="Times New Roman" w:hAnsi="Times New Roman" w:cs="Times New Roman"/>
          <w:noProof/>
          <w:sz w:val="24"/>
        </w:rPr>
        <mc:AlternateContent>
          <mc:Choice Requires="wps">
            <w:drawing>
              <wp:anchor distT="0" distB="0" distL="114300" distR="114300" simplePos="0" relativeHeight="251661312" behindDoc="0" locked="0" layoutInCell="1" allowOverlap="1" wp14:anchorId="66FB4B17" wp14:editId="517CAA97">
                <wp:simplePos x="0" y="0"/>
                <wp:positionH relativeFrom="margin">
                  <wp:align>center</wp:align>
                </wp:positionH>
                <wp:positionV relativeFrom="paragraph">
                  <wp:posOffset>31115</wp:posOffset>
                </wp:positionV>
                <wp:extent cx="2828925" cy="0"/>
                <wp:effectExtent l="0" t="19050" r="47625" b="38100"/>
                <wp:wrapNone/>
                <wp:docPr id="3" name="Straight Connector 3"/>
                <wp:cNvGraphicFramePr/>
                <a:graphic xmlns:a="http://schemas.openxmlformats.org/drawingml/2006/main">
                  <a:graphicData uri="http://schemas.microsoft.com/office/word/2010/wordprocessingShape">
                    <wps:wsp>
                      <wps:cNvCnPr/>
                      <wps:spPr>
                        <a:xfrm>
                          <a:off x="0" y="0"/>
                          <a:ext cx="2828925" cy="0"/>
                        </a:xfrm>
                        <a:prstGeom prst="line">
                          <a:avLst/>
                        </a:prstGeom>
                        <a:ln w="47625" cmpd="thickThi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9113A6" id="Straight Connector 3" o:spid="_x0000_s1026" style="position:absolute;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45pt" to="222.75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jpfzAEAANkDAAAOAAAAZHJzL2Uyb0RvYy54bWysU02P0zAQvSPxHyzfadoUlhI13UNXcEFQ&#10;scsP8Drjxlp/aWya9N8zdtosArQHxMXxx7yZ995MtrejNewEGLV3LV8tlpyBk77T7tjy7w8f32w4&#10;i0m4ThjvoOVniPx29/rVdggN1L73pgNklMTFZggt71MKTVVF2YMVceEDOHpUHq1IdMRj1aEYKLs1&#10;Vb1c3lSDxy6glxAj3d5Nj3xX8isFMn1VKkJipuXELZUVy/qY12q3Fc0RRei1vNAQ/8DCCu2o6Jzq&#10;TiTBfqD+I5XVEn30Ki2kt5VXSksoGkjNavmbmvteBChayJwYZpvi/0srv5wOyHTX8jVnTlhq0X1C&#10;oY99YnvvHBnoka2zT0OIDYXv3QEvpxgOmEWPCm3+khw2Fm/Ps7cwJibpst7Umw/1O87k9a16BgaM&#10;6RN4y/Km5Ua7LFs04vQ5JipGodeQfG0cG1r+9v1NyWcDsU/Uv6eHnrqQwzPViVzZpbOBCfcNFIkl&#10;OuuSv4wZ7A2yk6AB6Z5WBZ4rUGSGKG3MDFq+DLrEZhiU0ZuB9cvAObpU9C7NQKudx7+B03ilqqb4&#10;q+pJa5b96LtzaVWxg+an+HiZ9Tygv54L/PmP3P0EAAD//wMAUEsDBBQABgAIAAAAIQCmd0M92QAA&#10;AAQBAAAPAAAAZHJzL2Rvd25yZXYueG1sTI/NTsMwEITvSLyDtUjcqAOkFYRsKgrqhRP9EVzdeJsE&#10;4nVku214exYucBzNaOabcj66Xh0pxM4zwvUkA0Vce9txg7DdLK/uQMVk2JreMyF8UYR5dX5WmsL6&#10;E6/ouE6NkhKOhUFoUxoKrWPdkjNx4gdi8fY+OJNEhkbbYE5S7np9k2Uz7UzHstCagZ5aqj/XB4fw&#10;+rJ/y+JmOQvvrum2t3r8eF4sEC8vxscHUInG9BeGH3xBh0qYdv7ANqoeQY4khPwelJh5Pp2C2v1q&#10;XZX6P3z1DQAA//8DAFBLAQItABQABgAIAAAAIQC2gziS/gAAAOEBAAATAAAAAAAAAAAAAAAAAAAA&#10;AABbQ29udGVudF9UeXBlc10ueG1sUEsBAi0AFAAGAAgAAAAhADj9If/WAAAAlAEAAAsAAAAAAAAA&#10;AAAAAAAALwEAAF9yZWxzLy5yZWxzUEsBAi0AFAAGAAgAAAAhAD06Ol/MAQAA2QMAAA4AAAAAAAAA&#10;AAAAAAAALgIAAGRycy9lMm9Eb2MueG1sUEsBAi0AFAAGAAgAAAAhAKZ3Qz3ZAAAABAEAAA8AAAAA&#10;AAAAAAAAAAAAJgQAAGRycy9kb3ducmV2LnhtbFBLBQYAAAAABAAEAPMAAAAsBQAAAAA=&#10;" strokecolor="black [3200]" strokeweight="3.75pt">
                <v:stroke linestyle="thickThin" joinstyle="miter"/>
                <w10:wrap anchorx="margin"/>
              </v:line>
            </w:pict>
          </mc:Fallback>
        </mc:AlternateContent>
      </w: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jc w:val="right"/>
        <w:rPr>
          <w:rFonts w:ascii="Times New Roman" w:hAnsi="Times New Roman" w:cs="Times New Roman"/>
          <w:b/>
          <w:sz w:val="28"/>
          <w:u w:val="single"/>
        </w:rPr>
      </w:pPr>
      <w:r>
        <w:rPr>
          <w:rFonts w:ascii="Times New Roman" w:hAnsi="Times New Roman" w:cs="Times New Roman"/>
          <w:b/>
          <w:sz w:val="24"/>
        </w:rPr>
        <w:t>W</w:t>
      </w:r>
      <w:r w:rsidRPr="00EE7F15">
        <w:rPr>
          <w:rFonts w:ascii="Times New Roman" w:hAnsi="Times New Roman" w:cs="Times New Roman"/>
          <w:b/>
          <w:sz w:val="24"/>
        </w:rPr>
        <w:t>ord Count: 329</w:t>
      </w:r>
      <w:r>
        <w:rPr>
          <w:rFonts w:ascii="Times New Roman" w:hAnsi="Times New Roman" w:cs="Times New Roman"/>
          <w:b/>
          <w:sz w:val="24"/>
        </w:rPr>
        <w:t>6</w:t>
      </w:r>
    </w:p>
    <w:p w:rsidR="00AE4F38" w:rsidRPr="007743D1" w:rsidRDefault="00AE4F38" w:rsidP="00AE4F38">
      <w:pPr>
        <w:spacing w:after="120" w:line="360" w:lineRule="auto"/>
        <w:jc w:val="center"/>
        <w:rPr>
          <w:rFonts w:ascii="Times New Roman" w:hAnsi="Times New Roman" w:cs="Times New Roman"/>
          <w:b/>
          <w:sz w:val="40"/>
          <w:u w:val="single"/>
        </w:rPr>
      </w:pPr>
      <w:r w:rsidRPr="007743D1">
        <w:rPr>
          <w:rFonts w:ascii="Times New Roman" w:hAnsi="Times New Roman" w:cs="Times New Roman"/>
          <w:b/>
          <w:sz w:val="40"/>
          <w:u w:val="single"/>
        </w:rPr>
        <w:lastRenderedPageBreak/>
        <w:t>Reference List</w:t>
      </w:r>
    </w:p>
    <w:p w:rsidR="00AE4F38" w:rsidRDefault="00AE4F38" w:rsidP="00AE4F38">
      <w:pPr>
        <w:pStyle w:val="FootnoteText"/>
        <w:rPr>
          <w:rFonts w:ascii="Times New Roman" w:hAnsi="Times New Roman" w:cs="Times New Roman"/>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(2019) </w:t>
      </w:r>
      <w:r w:rsidRPr="00383D3F">
        <w:rPr>
          <w:rFonts w:ascii="Times New Roman" w:hAnsi="Times New Roman" w:cs="Times New Roman"/>
          <w:i/>
          <w:sz w:val="24"/>
          <w:szCs w:val="24"/>
        </w:rPr>
        <w:t>Age discrimination: key points for the workplace.</w:t>
      </w:r>
      <w:r w:rsidRPr="00383D3F">
        <w:rPr>
          <w:rFonts w:ascii="Times New Roman" w:hAnsi="Times New Roman" w:cs="Times New Roman"/>
          <w:sz w:val="24"/>
          <w:szCs w:val="24"/>
        </w:rPr>
        <w:t xml:space="preserve"> Available at:</w:t>
      </w:r>
      <w:r w:rsidRPr="00383D3F">
        <w:rPr>
          <w:rFonts w:ascii="Times New Roman" w:hAnsi="Times New Roman" w:cs="Times New Roman"/>
          <w:i/>
          <w:sz w:val="24"/>
          <w:szCs w:val="24"/>
        </w:rPr>
        <w:t xml:space="preserve"> </w:t>
      </w:r>
      <w:hyperlink r:id="rId7" w:history="1">
        <w:r w:rsidRPr="00383D3F">
          <w:rPr>
            <w:rStyle w:val="Hyperlink"/>
            <w:rFonts w:ascii="Times New Roman" w:hAnsi="Times New Roman" w:cs="Times New Roman"/>
            <w:sz w:val="24"/>
            <w:szCs w:val="24"/>
          </w:rPr>
          <w:t>https://www.acas.org.uk/sites/default/files/2021-03/age-discrimination-key-points-for-the-workplace.pdf</w:t>
        </w:r>
      </w:hyperlink>
      <w:r w:rsidRPr="00383D3F">
        <w:rPr>
          <w:rFonts w:ascii="Times New Roman" w:hAnsi="Times New Roman" w:cs="Times New Roman"/>
          <w:sz w:val="24"/>
          <w:szCs w:val="24"/>
        </w:rPr>
        <w:t xml:space="preserve"> (Accessed: 17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(2021) </w:t>
      </w:r>
      <w:proofErr w:type="spellStart"/>
      <w:r w:rsidRPr="00383D3F">
        <w:rPr>
          <w:rFonts w:ascii="Times New Roman" w:hAnsi="Times New Roman" w:cs="Times New Roman"/>
          <w:i/>
          <w:sz w:val="24"/>
          <w:szCs w:val="24"/>
        </w:rPr>
        <w:t>Acas</w:t>
      </w:r>
      <w:proofErr w:type="spellEnd"/>
      <w:r w:rsidRPr="00383D3F">
        <w:rPr>
          <w:rFonts w:ascii="Times New Roman" w:hAnsi="Times New Roman" w:cs="Times New Roman"/>
          <w:i/>
          <w:sz w:val="24"/>
          <w:szCs w:val="24"/>
        </w:rPr>
        <w:t xml:space="preserve"> publishes advice to help employers avoid hire and fire practices</w:t>
      </w:r>
      <w:r w:rsidRPr="00383D3F">
        <w:rPr>
          <w:rFonts w:ascii="Times New Roman" w:hAnsi="Times New Roman" w:cs="Times New Roman"/>
          <w:sz w:val="24"/>
          <w:szCs w:val="24"/>
        </w:rPr>
        <w:t xml:space="preserve">. Available at:  </w:t>
      </w:r>
      <w:hyperlink r:id="rId8" w:anchor=":~:text=Acas%20advises%20that%20the%20practice%20of%20fire%20and,in%20using%20fire%20and%20rehire%20practices%20can%20include%3A" w:history="1">
        <w:r w:rsidRPr="00383D3F">
          <w:rPr>
            <w:rStyle w:val="Hyperlink"/>
            <w:rFonts w:ascii="Times New Roman" w:hAnsi="Times New Roman" w:cs="Times New Roman"/>
            <w:sz w:val="24"/>
            <w:szCs w:val="24"/>
          </w:rPr>
          <w:t>%20rehire%20practices%20can%20include%3A</w:t>
        </w:r>
      </w:hyperlink>
      <w:r w:rsidRPr="00383D3F">
        <w:rPr>
          <w:rFonts w:ascii="Times New Roman" w:hAnsi="Times New Roman" w:cs="Times New Roman"/>
          <w:sz w:val="24"/>
          <w:szCs w:val="24"/>
        </w:rPr>
        <w:t xml:space="preserve"> (Accessed: 22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(2022) </w:t>
      </w:r>
      <w:r w:rsidRPr="00383D3F">
        <w:rPr>
          <w:rFonts w:ascii="Times New Roman" w:hAnsi="Times New Roman" w:cs="Times New Roman"/>
          <w:i/>
          <w:sz w:val="24"/>
          <w:szCs w:val="24"/>
        </w:rPr>
        <w:t>Employee rights during a TUPE transfer</w:t>
      </w:r>
      <w:r w:rsidRPr="00383D3F">
        <w:rPr>
          <w:rFonts w:ascii="Times New Roman" w:hAnsi="Times New Roman" w:cs="Times New Roman"/>
          <w:sz w:val="24"/>
          <w:szCs w:val="24"/>
        </w:rPr>
        <w:t>. Available at</w:t>
      </w:r>
      <w:r w:rsidRPr="00383D3F">
        <w:rPr>
          <w:rFonts w:ascii="Times New Roman" w:hAnsi="Times New Roman" w:cs="Times New Roman"/>
          <w:i/>
          <w:sz w:val="24"/>
          <w:szCs w:val="24"/>
        </w:rPr>
        <w:t xml:space="preserve">: </w:t>
      </w:r>
      <w:hyperlink r:id="rId9" w:history="1">
        <w:r w:rsidRPr="00383D3F">
          <w:rPr>
            <w:rStyle w:val="Hyperlink"/>
            <w:rFonts w:ascii="Times New Roman" w:hAnsi="Times New Roman" w:cs="Times New Roman"/>
            <w:sz w:val="24"/>
            <w:szCs w:val="24"/>
          </w:rPr>
          <w:t>https://www.acas.org.uk/employee-rights-during-a-tupe-transfer/how-your-employer-should-inform-and-consult-you-during-tupe</w:t>
        </w:r>
      </w:hyperlink>
      <w:r w:rsidRPr="00383D3F">
        <w:rPr>
          <w:rFonts w:ascii="Times New Roman" w:hAnsi="Times New Roman" w:cs="Times New Roman"/>
          <w:sz w:val="24"/>
          <w:szCs w:val="24"/>
        </w:rPr>
        <w:t xml:space="preserve"> (Accessed: 13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i/>
          <w:sz w:val="24"/>
          <w:szCs w:val="24"/>
        </w:rPr>
        <w:t xml:space="preserve"> </w:t>
      </w:r>
      <w:r w:rsidRPr="00383D3F">
        <w:rPr>
          <w:rFonts w:ascii="Times New Roman" w:hAnsi="Times New Roman" w:cs="Times New Roman"/>
          <w:sz w:val="24"/>
          <w:szCs w:val="24"/>
        </w:rPr>
        <w:t xml:space="preserve">(2022) </w:t>
      </w:r>
      <w:r w:rsidRPr="00383D3F">
        <w:rPr>
          <w:rFonts w:ascii="Times New Roman" w:hAnsi="Times New Roman" w:cs="Times New Roman"/>
          <w:i/>
          <w:sz w:val="24"/>
          <w:szCs w:val="24"/>
        </w:rPr>
        <w:t>Handling TUPE Transfers</w:t>
      </w:r>
      <w:r w:rsidRPr="00383D3F">
        <w:rPr>
          <w:rFonts w:ascii="Times New Roman" w:hAnsi="Times New Roman" w:cs="Times New Roman"/>
          <w:sz w:val="24"/>
          <w:szCs w:val="24"/>
        </w:rPr>
        <w:t xml:space="preserve">. Available at: </w:t>
      </w:r>
      <w:hyperlink r:id="rId10" w:history="1">
        <w:r w:rsidRPr="00383D3F">
          <w:rPr>
            <w:rStyle w:val="Hyperlink"/>
            <w:rFonts w:ascii="Times New Roman" w:hAnsi="Times New Roman" w:cs="Times New Roman"/>
            <w:sz w:val="24"/>
            <w:szCs w:val="24"/>
          </w:rPr>
          <w:t>https://www.acas.org.uk/sites/default/files/2019-04/Handling-TUPE-Transfers-The-Acas-Guide.pdf</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13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(2021) </w:t>
      </w:r>
      <w:r w:rsidRPr="00383D3F">
        <w:rPr>
          <w:rFonts w:ascii="Times New Roman" w:hAnsi="Times New Roman" w:cs="Times New Roman"/>
          <w:i/>
          <w:sz w:val="24"/>
          <w:szCs w:val="24"/>
        </w:rPr>
        <w:t>Making changes to employment contracts: employer responsibilities</w:t>
      </w:r>
      <w:r w:rsidRPr="00383D3F">
        <w:rPr>
          <w:rFonts w:ascii="Times New Roman" w:hAnsi="Times New Roman" w:cs="Times New Roman"/>
          <w:sz w:val="24"/>
          <w:szCs w:val="24"/>
        </w:rPr>
        <w:t xml:space="preserve">. Available at: </w:t>
      </w:r>
      <w:hyperlink r:id="rId11" w:history="1">
        <w:r w:rsidRPr="00383D3F">
          <w:rPr>
            <w:rStyle w:val="Hyperlink"/>
            <w:rFonts w:ascii="Times New Roman" w:hAnsi="Times New Roman" w:cs="Times New Roman"/>
            <w:sz w:val="24"/>
            <w:szCs w:val="24"/>
          </w:rPr>
          <w:t>https://www.acas.org.uk/changing-an-employment-contract/employer-responsibilities/if-employment-contract-changes-cannot-be-agreed</w:t>
        </w:r>
      </w:hyperlink>
      <w:r w:rsidRPr="00383D3F">
        <w:rPr>
          <w:rFonts w:ascii="Times New Roman" w:hAnsi="Times New Roman" w:cs="Times New Roman"/>
          <w:sz w:val="24"/>
          <w:szCs w:val="24"/>
        </w:rPr>
        <w:t xml:space="preserve"> (Accessed 20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(2022) </w:t>
      </w:r>
      <w:r w:rsidRPr="00383D3F">
        <w:rPr>
          <w:rFonts w:ascii="Times New Roman" w:hAnsi="Times New Roman" w:cs="Times New Roman"/>
          <w:i/>
          <w:sz w:val="24"/>
          <w:szCs w:val="24"/>
        </w:rPr>
        <w:t>Managing staff redundancies: step by step – Check if redundancies are necessary.</w:t>
      </w:r>
      <w:r w:rsidRPr="00383D3F">
        <w:rPr>
          <w:rFonts w:ascii="Times New Roman" w:hAnsi="Times New Roman" w:cs="Times New Roman"/>
          <w:sz w:val="24"/>
          <w:szCs w:val="24"/>
        </w:rPr>
        <w:t xml:space="preserve"> Available at: </w:t>
      </w:r>
      <w:hyperlink r:id="rId12" w:history="1">
        <w:r w:rsidRPr="00383D3F">
          <w:rPr>
            <w:rStyle w:val="Hyperlink"/>
            <w:rFonts w:ascii="Times New Roman" w:hAnsi="Times New Roman" w:cs="Times New Roman"/>
            <w:sz w:val="24"/>
            <w:szCs w:val="24"/>
          </w:rPr>
          <w:t>https://www.acas.org.uk/manage-staff-redundancies</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17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(2022) </w:t>
      </w:r>
      <w:r w:rsidRPr="00383D3F">
        <w:rPr>
          <w:rFonts w:ascii="Times New Roman" w:hAnsi="Times New Roman" w:cs="Times New Roman"/>
          <w:i/>
          <w:sz w:val="24"/>
          <w:szCs w:val="24"/>
        </w:rPr>
        <w:t xml:space="preserve">Managing staff redundancies: step by step – Follow the right process. </w:t>
      </w:r>
      <w:r w:rsidRPr="00383D3F">
        <w:rPr>
          <w:rFonts w:ascii="Times New Roman" w:hAnsi="Times New Roman" w:cs="Times New Roman"/>
          <w:sz w:val="24"/>
          <w:szCs w:val="24"/>
        </w:rPr>
        <w:t xml:space="preserve">Available at: </w:t>
      </w:r>
      <w:hyperlink r:id="rId13" w:history="1">
        <w:r w:rsidRPr="00383D3F">
          <w:rPr>
            <w:rStyle w:val="Hyperlink"/>
            <w:rFonts w:ascii="Times New Roman" w:hAnsi="Times New Roman" w:cs="Times New Roman"/>
            <w:sz w:val="24"/>
            <w:szCs w:val="24"/>
          </w:rPr>
          <w:t>https://www.acas.org.uk/manage-staff-redundancies/follow-the-right-process</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18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(2022</w:t>
      </w:r>
      <w:r w:rsidRPr="00383D3F">
        <w:rPr>
          <w:rFonts w:ascii="Times New Roman" w:hAnsi="Times New Roman" w:cs="Times New Roman"/>
          <w:i/>
          <w:sz w:val="24"/>
          <w:szCs w:val="24"/>
        </w:rPr>
        <w:t>) Managing staff redundancies: step by step – Give employees notice of redundancy</w:t>
      </w:r>
      <w:r w:rsidRPr="00383D3F">
        <w:rPr>
          <w:rFonts w:ascii="Times New Roman" w:hAnsi="Times New Roman" w:cs="Times New Roman"/>
          <w:sz w:val="24"/>
          <w:szCs w:val="24"/>
        </w:rPr>
        <w:t xml:space="preserve">. Available at:  </w:t>
      </w:r>
      <w:hyperlink r:id="rId14" w:history="1">
        <w:r w:rsidRPr="00383D3F">
          <w:rPr>
            <w:rStyle w:val="Hyperlink"/>
            <w:rFonts w:ascii="Times New Roman" w:hAnsi="Times New Roman" w:cs="Times New Roman"/>
            <w:sz w:val="24"/>
            <w:szCs w:val="24"/>
          </w:rPr>
          <w:t>https://www.acas.org.uk/manage-staff-redundancies/give-employees-notice-of-redundancy</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18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(2022) </w:t>
      </w:r>
      <w:r w:rsidRPr="00383D3F">
        <w:rPr>
          <w:rFonts w:ascii="Times New Roman" w:hAnsi="Times New Roman" w:cs="Times New Roman"/>
          <w:i/>
          <w:sz w:val="24"/>
          <w:szCs w:val="24"/>
        </w:rPr>
        <w:t xml:space="preserve">Managing staff redundancies: step by step – Offer an appeals process </w:t>
      </w:r>
      <w:r w:rsidRPr="00383D3F">
        <w:rPr>
          <w:rFonts w:ascii="Times New Roman" w:hAnsi="Times New Roman" w:cs="Times New Roman"/>
          <w:sz w:val="24"/>
          <w:szCs w:val="24"/>
        </w:rPr>
        <w:t xml:space="preserve">Available at: </w:t>
      </w:r>
      <w:hyperlink r:id="rId15" w:history="1">
        <w:r w:rsidRPr="00383D3F">
          <w:rPr>
            <w:rStyle w:val="Hyperlink"/>
            <w:rFonts w:ascii="Times New Roman" w:hAnsi="Times New Roman" w:cs="Times New Roman"/>
            <w:sz w:val="24"/>
            <w:szCs w:val="24"/>
          </w:rPr>
          <w:t>https://www.acas.org.uk/manage-staff-redundancies/offer-an-appeals-process</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18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(2022) </w:t>
      </w:r>
      <w:r w:rsidRPr="00383D3F">
        <w:rPr>
          <w:rFonts w:ascii="Times New Roman" w:hAnsi="Times New Roman" w:cs="Times New Roman"/>
          <w:i/>
          <w:sz w:val="24"/>
          <w:szCs w:val="24"/>
        </w:rPr>
        <w:t xml:space="preserve">Managing staff redundancies: step by step - Tell employees. </w:t>
      </w:r>
      <w:r w:rsidRPr="00383D3F">
        <w:rPr>
          <w:rFonts w:ascii="Times New Roman" w:hAnsi="Times New Roman" w:cs="Times New Roman"/>
          <w:sz w:val="24"/>
          <w:szCs w:val="24"/>
        </w:rPr>
        <w:t xml:space="preserve">Available at: </w:t>
      </w:r>
      <w:hyperlink r:id="rId16" w:history="1">
        <w:r w:rsidRPr="00383D3F">
          <w:rPr>
            <w:rStyle w:val="Hyperlink"/>
            <w:rFonts w:ascii="Times New Roman" w:hAnsi="Times New Roman" w:cs="Times New Roman"/>
            <w:sz w:val="24"/>
            <w:szCs w:val="24"/>
          </w:rPr>
          <w:t>https://www.acas.org.uk/manage-staff-redundancies/tell-employees</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18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i/>
          <w:sz w:val="24"/>
          <w:szCs w:val="24"/>
        </w:rPr>
        <w:t>Adamas</w:t>
      </w:r>
      <w:proofErr w:type="spellEnd"/>
      <w:r w:rsidRPr="00383D3F">
        <w:rPr>
          <w:rFonts w:ascii="Times New Roman" w:hAnsi="Times New Roman" w:cs="Times New Roman"/>
          <w:i/>
          <w:sz w:val="24"/>
          <w:szCs w:val="24"/>
        </w:rPr>
        <w:t xml:space="preserve"> Ltd v Cheung </w:t>
      </w:r>
      <w:r w:rsidRPr="00383D3F">
        <w:rPr>
          <w:rFonts w:ascii="Times New Roman" w:hAnsi="Times New Roman" w:cs="Times New Roman"/>
          <w:sz w:val="24"/>
          <w:szCs w:val="24"/>
        </w:rPr>
        <w:t>IRLR 1014 (2011)</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Allan v Oakley Builders and Groundwork Contractors Ltd.</w:t>
      </w:r>
      <w:r w:rsidRPr="00383D3F">
        <w:rPr>
          <w:rFonts w:ascii="Times New Roman" w:hAnsi="Times New Roman" w:cs="Times New Roman"/>
          <w:sz w:val="24"/>
          <w:szCs w:val="24"/>
        </w:rPr>
        <w:t xml:space="preserve"> Case No. 1403798/2018 (2019)</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i/>
          <w:sz w:val="24"/>
          <w:szCs w:val="24"/>
        </w:rPr>
        <w:t>Aparau</w:t>
      </w:r>
      <w:proofErr w:type="spellEnd"/>
      <w:r w:rsidRPr="00383D3F">
        <w:rPr>
          <w:rFonts w:ascii="Times New Roman" w:hAnsi="Times New Roman" w:cs="Times New Roman"/>
          <w:i/>
          <w:sz w:val="24"/>
          <w:szCs w:val="24"/>
        </w:rPr>
        <w:t xml:space="preserve"> v Iceland Frozen Foods </w:t>
      </w:r>
      <w:r w:rsidRPr="00383D3F">
        <w:rPr>
          <w:rFonts w:ascii="Times New Roman" w:hAnsi="Times New Roman" w:cs="Times New Roman"/>
          <w:sz w:val="24"/>
          <w:szCs w:val="24"/>
        </w:rPr>
        <w:t>IRLR 119 (1996)</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 xml:space="preserve">Bateman &amp; Others v Asda Stores </w:t>
      </w:r>
      <w:r w:rsidRPr="00383D3F">
        <w:rPr>
          <w:rFonts w:ascii="Times New Roman" w:hAnsi="Times New Roman" w:cs="Times New Roman"/>
          <w:sz w:val="24"/>
          <w:szCs w:val="24"/>
        </w:rPr>
        <w:t>EAT/0221/09 (2010)</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CIPD (2020) </w:t>
      </w:r>
      <w:r w:rsidRPr="00383D3F">
        <w:rPr>
          <w:rFonts w:ascii="Times New Roman" w:hAnsi="Times New Roman" w:cs="Times New Roman"/>
          <w:i/>
          <w:sz w:val="24"/>
          <w:szCs w:val="24"/>
        </w:rPr>
        <w:t>Redundancy collective consultation Q&amp;As</w:t>
      </w:r>
      <w:r w:rsidRPr="00383D3F">
        <w:rPr>
          <w:rFonts w:ascii="Times New Roman" w:hAnsi="Times New Roman" w:cs="Times New Roman"/>
          <w:sz w:val="24"/>
          <w:szCs w:val="24"/>
        </w:rPr>
        <w:t xml:space="preserve">. Available at: </w:t>
      </w:r>
      <w:hyperlink r:id="rId17" w:history="1">
        <w:r w:rsidRPr="00383D3F">
          <w:rPr>
            <w:rStyle w:val="Hyperlink"/>
            <w:rFonts w:ascii="Times New Roman" w:hAnsi="Times New Roman" w:cs="Times New Roman"/>
            <w:sz w:val="24"/>
            <w:szCs w:val="24"/>
          </w:rPr>
          <w:t>https://www.cipd.co.uk/knowledge/fundamentals/emp-law/redundancy/redundancy-collective-consultations-questions</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18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CIPD (2021) </w:t>
      </w:r>
      <w:r w:rsidRPr="00383D3F">
        <w:rPr>
          <w:rFonts w:ascii="Times New Roman" w:hAnsi="Times New Roman" w:cs="Times New Roman"/>
          <w:i/>
          <w:sz w:val="24"/>
          <w:szCs w:val="24"/>
        </w:rPr>
        <w:t xml:space="preserve">Contracts of employment. </w:t>
      </w:r>
      <w:r w:rsidRPr="00383D3F">
        <w:rPr>
          <w:rFonts w:ascii="Times New Roman" w:hAnsi="Times New Roman" w:cs="Times New Roman"/>
          <w:sz w:val="24"/>
          <w:szCs w:val="24"/>
        </w:rPr>
        <w:t xml:space="preserve">Available at: </w:t>
      </w:r>
      <w:hyperlink r:id="rId18" w:history="1">
        <w:r w:rsidRPr="00383D3F">
          <w:rPr>
            <w:rStyle w:val="Hyperlink"/>
            <w:rFonts w:ascii="Times New Roman" w:hAnsi="Times New Roman" w:cs="Times New Roman"/>
            <w:sz w:val="24"/>
            <w:szCs w:val="24"/>
          </w:rPr>
          <w:t>https://www.cipd.co.uk/knowledge/fundamentals/emp-law/terms-conditions/contracts-factsheet</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20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CIPD (2021) </w:t>
      </w:r>
      <w:r w:rsidRPr="00383D3F">
        <w:rPr>
          <w:rFonts w:ascii="Times New Roman" w:hAnsi="Times New Roman" w:cs="Times New Roman"/>
          <w:i/>
          <w:sz w:val="24"/>
          <w:szCs w:val="24"/>
        </w:rPr>
        <w:t>Redundancy: An introduction</w:t>
      </w:r>
      <w:r w:rsidRPr="00383D3F">
        <w:rPr>
          <w:rFonts w:ascii="Times New Roman" w:hAnsi="Times New Roman" w:cs="Times New Roman"/>
          <w:sz w:val="24"/>
          <w:szCs w:val="24"/>
        </w:rPr>
        <w:t xml:space="preserve">. Available at: </w:t>
      </w:r>
      <w:hyperlink r:id="rId19" w:anchor="7113" w:history="1">
        <w:r w:rsidRPr="00383D3F">
          <w:rPr>
            <w:rStyle w:val="Hyperlink"/>
            <w:rFonts w:ascii="Times New Roman" w:hAnsi="Times New Roman" w:cs="Times New Roman"/>
            <w:sz w:val="24"/>
            <w:szCs w:val="24"/>
          </w:rPr>
          <w:t>https://www.cipd.co.uk/knowledge/fundamentals/emp-law/redundancy/factsheet#7113</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18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CIPD (2022) </w:t>
      </w:r>
      <w:r w:rsidRPr="00383D3F">
        <w:rPr>
          <w:rFonts w:ascii="Times New Roman" w:hAnsi="Times New Roman" w:cs="Times New Roman"/>
          <w:i/>
          <w:sz w:val="24"/>
          <w:szCs w:val="24"/>
        </w:rPr>
        <w:t>A guide to TUPE Transfers</w:t>
      </w:r>
      <w:r w:rsidRPr="00383D3F">
        <w:rPr>
          <w:rFonts w:ascii="Times New Roman" w:hAnsi="Times New Roman" w:cs="Times New Roman"/>
          <w:sz w:val="24"/>
          <w:szCs w:val="24"/>
        </w:rPr>
        <w:t xml:space="preserve">. Available at: </w:t>
      </w:r>
      <w:hyperlink r:id="rId20" w:history="1">
        <w:r w:rsidRPr="00383D3F">
          <w:rPr>
            <w:rStyle w:val="Hyperlink"/>
            <w:rFonts w:ascii="Times New Roman" w:hAnsi="Times New Roman" w:cs="Times New Roman"/>
            <w:sz w:val="24"/>
            <w:szCs w:val="24"/>
          </w:rPr>
          <w:t>https://www.cipd.co.uk/Images/8208-a-guide-to-tupe-transfers-web_tcm18-44310.pdf</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3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CIPD (2022) </w:t>
      </w:r>
      <w:r w:rsidRPr="00383D3F">
        <w:rPr>
          <w:rFonts w:ascii="Times New Roman" w:hAnsi="Times New Roman" w:cs="Times New Roman"/>
          <w:i/>
          <w:sz w:val="24"/>
          <w:szCs w:val="24"/>
        </w:rPr>
        <w:t>Fire and rehire: guidance for employers</w:t>
      </w:r>
      <w:r w:rsidRPr="00383D3F">
        <w:rPr>
          <w:rFonts w:ascii="Times New Roman" w:hAnsi="Times New Roman" w:cs="Times New Roman"/>
          <w:sz w:val="24"/>
          <w:szCs w:val="24"/>
        </w:rPr>
        <w:t xml:space="preserve">. Available at: </w:t>
      </w:r>
      <w:hyperlink r:id="rId21" w:anchor=":~:text=The%20CIPD%E2%80%99s%20view%20is%20that%20such%20%E2%80%98fire%20and,%E2%80%98dismissal%20and%20re-engagement%E2%80%99%20is%20not%20a%20new%20practice" w:history="1">
        <w:r w:rsidRPr="00383D3F">
          <w:rPr>
            <w:rStyle w:val="Hyperlink"/>
            <w:rFonts w:ascii="Times New Roman" w:hAnsi="Times New Roman" w:cs="Times New Roman"/>
            <w:sz w:val="24"/>
            <w:szCs w:val="24"/>
          </w:rPr>
          <w:t>https://www.cipd.co.uk/knowledge/fundamentals/emp-law/terms-conditions/fire-rehire-employer-guidance#:~:text=The%20CIPD%E2%80%99s%20view%20is%20that%20such%20%E2%80%98fire%20and,%E2%80%98dismissal%20and%20re-engagement%E2%80%99%20is%20not%20a%20new%20practice</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22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CIPD (2022) </w:t>
      </w:r>
      <w:r w:rsidRPr="00383D3F">
        <w:rPr>
          <w:rFonts w:ascii="Times New Roman" w:hAnsi="Times New Roman" w:cs="Times New Roman"/>
          <w:i/>
          <w:sz w:val="24"/>
          <w:szCs w:val="24"/>
        </w:rPr>
        <w:t>Redundancy Q&amp;As</w:t>
      </w:r>
      <w:r w:rsidRPr="00383D3F">
        <w:rPr>
          <w:rFonts w:ascii="Times New Roman" w:hAnsi="Times New Roman" w:cs="Times New Roman"/>
          <w:sz w:val="24"/>
          <w:szCs w:val="24"/>
        </w:rPr>
        <w:t xml:space="preserve">. Available at: </w:t>
      </w:r>
      <w:hyperlink r:id="rId22" w:history="1">
        <w:r w:rsidRPr="00383D3F">
          <w:rPr>
            <w:rStyle w:val="Hyperlink"/>
            <w:rFonts w:ascii="Times New Roman" w:hAnsi="Times New Roman" w:cs="Times New Roman"/>
            <w:sz w:val="24"/>
            <w:szCs w:val="24"/>
          </w:rPr>
          <w:t>https://www.cipd.co.uk/knowledge/fundamentals/emp-law/redundancy/questions</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17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Employment Rights Act 1996, s139.</w:t>
      </w:r>
      <w:r w:rsidRPr="00383D3F">
        <w:rPr>
          <w:rFonts w:ascii="Times New Roman" w:hAnsi="Times New Roman" w:cs="Times New Roman"/>
          <w:sz w:val="24"/>
          <w:szCs w:val="24"/>
        </w:rPr>
        <w:t xml:space="preserve"> Available at: </w:t>
      </w:r>
      <w:hyperlink r:id="rId23" w:history="1">
        <w:r w:rsidRPr="00383D3F">
          <w:rPr>
            <w:rStyle w:val="Hyperlink"/>
            <w:rFonts w:ascii="Times New Roman" w:hAnsi="Times New Roman" w:cs="Times New Roman"/>
            <w:sz w:val="24"/>
            <w:szCs w:val="24"/>
          </w:rPr>
          <w:t>https://www.legislation.gov.uk/ukpga/1996/18/section/139</w:t>
        </w:r>
      </w:hyperlink>
      <w:r w:rsidRPr="00383D3F">
        <w:rPr>
          <w:rFonts w:ascii="Times New Roman" w:hAnsi="Times New Roman" w:cs="Times New Roman"/>
          <w:sz w:val="24"/>
          <w:szCs w:val="24"/>
        </w:rPr>
        <w:t xml:space="preserve"> (Accessed: 17 April 2022)</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Equality Act 2010, s19</w:t>
      </w:r>
      <w:r w:rsidRPr="00383D3F">
        <w:rPr>
          <w:rFonts w:ascii="Times New Roman" w:hAnsi="Times New Roman" w:cs="Times New Roman"/>
          <w:sz w:val="24"/>
          <w:szCs w:val="24"/>
        </w:rPr>
        <w:t xml:space="preserve">. Available at: </w:t>
      </w:r>
      <w:hyperlink r:id="rId24" w:history="1">
        <w:r w:rsidRPr="00383D3F">
          <w:rPr>
            <w:rStyle w:val="Hyperlink"/>
            <w:rFonts w:ascii="Times New Roman" w:hAnsi="Times New Roman" w:cs="Times New Roman"/>
            <w:sz w:val="24"/>
            <w:szCs w:val="24"/>
          </w:rPr>
          <w:t>https://www.legislation.gov.uk/ukpga/2010/15/section/19</w:t>
        </w:r>
      </w:hyperlink>
      <w:r w:rsidRPr="00383D3F">
        <w:rPr>
          <w:rFonts w:ascii="Times New Roman" w:hAnsi="Times New Roman" w:cs="Times New Roman"/>
          <w:sz w:val="24"/>
          <w:szCs w:val="24"/>
        </w:rPr>
        <w:t xml:space="preserve"> (Accessed: 13 April 2022)</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bCs/>
          <w:i/>
          <w:sz w:val="24"/>
          <w:szCs w:val="24"/>
        </w:rPr>
        <w:t>Kellogg Brown &amp; Root (UK) Ltd v Fitton &amp; Ewer</w:t>
      </w:r>
      <w:r w:rsidRPr="00383D3F">
        <w:rPr>
          <w:rFonts w:ascii="Times New Roman" w:hAnsi="Times New Roman" w:cs="Times New Roman"/>
          <w:sz w:val="24"/>
          <w:szCs w:val="24"/>
        </w:rPr>
        <w:t> UKEAT/0205/16/BA (2016)</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King v Eaton Ltd</w:t>
      </w:r>
      <w:r w:rsidRPr="00383D3F">
        <w:rPr>
          <w:rFonts w:ascii="Times New Roman" w:hAnsi="Times New Roman" w:cs="Times New Roman"/>
          <w:sz w:val="24"/>
          <w:szCs w:val="24"/>
        </w:rPr>
        <w:t>. IRLR 199 CS (1996)</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Lewis, D. &amp; </w:t>
      </w:r>
      <w:proofErr w:type="spellStart"/>
      <w:r w:rsidRPr="00383D3F">
        <w:rPr>
          <w:rFonts w:ascii="Times New Roman" w:hAnsi="Times New Roman" w:cs="Times New Roman"/>
          <w:sz w:val="24"/>
          <w:szCs w:val="24"/>
        </w:rPr>
        <w:t>Sargeant</w:t>
      </w:r>
      <w:proofErr w:type="spellEnd"/>
      <w:r w:rsidRPr="00383D3F">
        <w:rPr>
          <w:rFonts w:ascii="Times New Roman" w:hAnsi="Times New Roman" w:cs="Times New Roman"/>
          <w:sz w:val="24"/>
          <w:szCs w:val="24"/>
        </w:rPr>
        <w:t xml:space="preserve">, M., </w:t>
      </w:r>
      <w:r w:rsidRPr="00383D3F">
        <w:rPr>
          <w:rFonts w:ascii="Times New Roman" w:hAnsi="Times New Roman" w:cs="Times New Roman"/>
          <w:i/>
          <w:sz w:val="24"/>
          <w:szCs w:val="24"/>
        </w:rPr>
        <w:t xml:space="preserve">Employment Law </w:t>
      </w:r>
      <w:proofErr w:type="gramStart"/>
      <w:r w:rsidRPr="00383D3F">
        <w:rPr>
          <w:rFonts w:ascii="Times New Roman" w:hAnsi="Times New Roman" w:cs="Times New Roman"/>
          <w:i/>
          <w:sz w:val="24"/>
          <w:szCs w:val="24"/>
        </w:rPr>
        <w:t>The</w:t>
      </w:r>
      <w:proofErr w:type="gramEnd"/>
      <w:r w:rsidRPr="00383D3F">
        <w:rPr>
          <w:rFonts w:ascii="Times New Roman" w:hAnsi="Times New Roman" w:cs="Times New Roman"/>
          <w:i/>
          <w:sz w:val="24"/>
          <w:szCs w:val="24"/>
        </w:rPr>
        <w:t xml:space="preserve"> Essential</w:t>
      </w:r>
      <w:r w:rsidRPr="00383D3F">
        <w:rPr>
          <w:rFonts w:ascii="Times New Roman" w:hAnsi="Times New Roman" w:cs="Times New Roman"/>
          <w:sz w:val="24"/>
          <w:szCs w:val="24"/>
        </w:rPr>
        <w:t>, Kogan Page, London, 2020</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 xml:space="preserve">London Borough of Hillingdon v </w:t>
      </w:r>
      <w:proofErr w:type="spellStart"/>
      <w:r w:rsidRPr="00383D3F">
        <w:rPr>
          <w:rFonts w:ascii="Times New Roman" w:hAnsi="Times New Roman" w:cs="Times New Roman"/>
          <w:i/>
          <w:sz w:val="24"/>
          <w:szCs w:val="24"/>
        </w:rPr>
        <w:t>Gormanley</w:t>
      </w:r>
      <w:proofErr w:type="spellEnd"/>
      <w:r w:rsidRPr="00383D3F">
        <w:rPr>
          <w:rFonts w:ascii="Times New Roman" w:hAnsi="Times New Roman" w:cs="Times New Roman"/>
          <w:i/>
          <w:sz w:val="24"/>
          <w:szCs w:val="24"/>
        </w:rPr>
        <w:t xml:space="preserve"> &amp; </w:t>
      </w:r>
      <w:proofErr w:type="spellStart"/>
      <w:r w:rsidRPr="00383D3F">
        <w:rPr>
          <w:rFonts w:ascii="Times New Roman" w:hAnsi="Times New Roman" w:cs="Times New Roman"/>
          <w:i/>
          <w:sz w:val="24"/>
          <w:szCs w:val="24"/>
        </w:rPr>
        <w:t>Ors</w:t>
      </w:r>
      <w:proofErr w:type="spellEnd"/>
      <w:r w:rsidRPr="00383D3F">
        <w:rPr>
          <w:rFonts w:ascii="Times New Roman" w:hAnsi="Times New Roman" w:cs="Times New Roman"/>
          <w:sz w:val="24"/>
          <w:szCs w:val="24"/>
        </w:rPr>
        <w:t xml:space="preserve"> UKEAT 0169_14_1912 (2014)</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Norman v National Audit Office</w:t>
      </w:r>
      <w:r w:rsidRPr="00383D3F">
        <w:rPr>
          <w:rFonts w:ascii="Times New Roman" w:hAnsi="Times New Roman" w:cs="Times New Roman"/>
          <w:sz w:val="24"/>
          <w:szCs w:val="24"/>
        </w:rPr>
        <w:t xml:space="preserve"> UKEAT/0276/14/BA (2014)</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i/>
          <w:sz w:val="24"/>
          <w:szCs w:val="24"/>
        </w:rPr>
        <w:t>Optare</w:t>
      </w:r>
      <w:proofErr w:type="spellEnd"/>
      <w:r w:rsidRPr="00383D3F">
        <w:rPr>
          <w:rFonts w:ascii="Times New Roman" w:hAnsi="Times New Roman" w:cs="Times New Roman"/>
          <w:i/>
          <w:sz w:val="24"/>
          <w:szCs w:val="24"/>
        </w:rPr>
        <w:t xml:space="preserve"> Group plc v TGWU</w:t>
      </w:r>
      <w:r w:rsidRPr="00383D3F">
        <w:rPr>
          <w:rFonts w:ascii="Times New Roman" w:hAnsi="Times New Roman" w:cs="Times New Roman"/>
          <w:sz w:val="24"/>
          <w:szCs w:val="24"/>
        </w:rPr>
        <w:t xml:space="preserve"> IRLR 931 (2007)</w:t>
      </w:r>
    </w:p>
    <w:p w:rsidR="00AE4F38" w:rsidRPr="00383D3F" w:rsidRDefault="00AE4F38" w:rsidP="00AE4F38">
      <w:pPr>
        <w:pStyle w:val="FootnoteText"/>
        <w:rPr>
          <w:rFonts w:ascii="Times New Roman" w:hAnsi="Times New Roman" w:cs="Times New Roman"/>
          <w:i/>
          <w:iCs/>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People Management (2021) </w:t>
      </w:r>
      <w:r w:rsidRPr="00383D3F">
        <w:rPr>
          <w:rFonts w:ascii="Times New Roman" w:hAnsi="Times New Roman" w:cs="Times New Roman"/>
          <w:i/>
          <w:sz w:val="24"/>
          <w:szCs w:val="24"/>
        </w:rPr>
        <w:t>Labour party calls for ‘fire and rehire’ tactics to be outlawed</w:t>
      </w:r>
      <w:r w:rsidRPr="00383D3F">
        <w:rPr>
          <w:rFonts w:ascii="Times New Roman" w:hAnsi="Times New Roman" w:cs="Times New Roman"/>
          <w:sz w:val="24"/>
          <w:szCs w:val="24"/>
        </w:rPr>
        <w:t xml:space="preserve">. Available at: </w:t>
      </w:r>
      <w:hyperlink r:id="rId25" w:anchor="_ga=2.6200250.803852503.1650197266-1245523057.1646902237" w:history="1">
        <w:r w:rsidRPr="00383D3F">
          <w:rPr>
            <w:rStyle w:val="Hyperlink"/>
            <w:rFonts w:ascii="Times New Roman" w:hAnsi="Times New Roman" w:cs="Times New Roman"/>
            <w:sz w:val="24"/>
            <w:szCs w:val="24"/>
          </w:rPr>
          <w:t>https://www.peoplemanagement.co.uk/article/1747226/labour-party-calls-for-fire-and-rehire-tactics-to-be-outlawed#_ga=2.6200250.803852503.1650197266-1245523057.1646902237</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22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People Management (2022) </w:t>
      </w:r>
      <w:r w:rsidRPr="00383D3F">
        <w:rPr>
          <w:rFonts w:ascii="Times New Roman" w:hAnsi="Times New Roman" w:cs="Times New Roman"/>
          <w:i/>
          <w:sz w:val="24"/>
          <w:szCs w:val="24"/>
        </w:rPr>
        <w:t xml:space="preserve">P&amp;O Sackings: Is ferry operator’s decision legal? </w:t>
      </w:r>
      <w:r w:rsidRPr="00383D3F">
        <w:rPr>
          <w:rFonts w:ascii="Times New Roman" w:hAnsi="Times New Roman" w:cs="Times New Roman"/>
          <w:sz w:val="24"/>
          <w:szCs w:val="24"/>
        </w:rPr>
        <w:t xml:space="preserve">Available at:  </w:t>
      </w:r>
      <w:hyperlink r:id="rId26" w:history="1">
        <w:r w:rsidRPr="00383D3F">
          <w:rPr>
            <w:rStyle w:val="Hyperlink"/>
            <w:rFonts w:ascii="Times New Roman" w:hAnsi="Times New Roman" w:cs="Times New Roman"/>
            <w:sz w:val="24"/>
            <w:szCs w:val="24"/>
          </w:rPr>
          <w:t>https://www.peoplemanagement.co.uk/article/1751838/p-o-sackings-ferry-operators-decision-legal</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20 April 2022)</w:t>
      </w:r>
    </w:p>
    <w:p w:rsidR="00AE4F38" w:rsidRDefault="00AE4F38" w:rsidP="00AE4F38">
      <w:pPr>
        <w:pStyle w:val="FootnoteText"/>
        <w:rPr>
          <w:rFonts w:ascii="Times New Roman" w:hAnsi="Times New Roman" w:cs="Times New Roman"/>
          <w:i/>
          <w:iCs/>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iCs/>
          <w:sz w:val="24"/>
          <w:szCs w:val="24"/>
        </w:rPr>
        <w:t>Rolls-Royce Plc v Unite the Union</w:t>
      </w:r>
      <w:r w:rsidRPr="00383D3F">
        <w:rPr>
          <w:rFonts w:ascii="Times New Roman" w:hAnsi="Times New Roman" w:cs="Times New Roman"/>
          <w:iCs/>
          <w:sz w:val="24"/>
          <w:szCs w:val="24"/>
        </w:rPr>
        <w:t xml:space="preserve"> EWCA </w:t>
      </w:r>
      <w:proofErr w:type="spellStart"/>
      <w:r w:rsidRPr="00383D3F">
        <w:rPr>
          <w:rFonts w:ascii="Times New Roman" w:hAnsi="Times New Roman" w:cs="Times New Roman"/>
          <w:iCs/>
          <w:sz w:val="24"/>
          <w:szCs w:val="24"/>
        </w:rPr>
        <w:t>Civ</w:t>
      </w:r>
      <w:proofErr w:type="spellEnd"/>
      <w:r w:rsidRPr="00383D3F">
        <w:rPr>
          <w:rFonts w:ascii="Times New Roman" w:hAnsi="Times New Roman" w:cs="Times New Roman"/>
          <w:iCs/>
          <w:sz w:val="24"/>
          <w:szCs w:val="24"/>
        </w:rPr>
        <w:t xml:space="preserve"> 387 (2009)</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Royal Mail Group Ltd v Communication Workers Union</w:t>
      </w:r>
      <w:r w:rsidRPr="00383D3F">
        <w:rPr>
          <w:rFonts w:ascii="Times New Roman" w:hAnsi="Times New Roman" w:cs="Times New Roman"/>
          <w:sz w:val="24"/>
          <w:szCs w:val="24"/>
        </w:rPr>
        <w:t xml:space="preserve"> EWCA </w:t>
      </w:r>
      <w:proofErr w:type="spellStart"/>
      <w:r w:rsidRPr="00383D3F">
        <w:rPr>
          <w:rFonts w:ascii="Times New Roman" w:hAnsi="Times New Roman" w:cs="Times New Roman"/>
          <w:sz w:val="24"/>
          <w:szCs w:val="24"/>
        </w:rPr>
        <w:t>Civ</w:t>
      </w:r>
      <w:proofErr w:type="spellEnd"/>
      <w:r w:rsidRPr="00383D3F">
        <w:rPr>
          <w:rFonts w:ascii="Times New Roman" w:hAnsi="Times New Roman" w:cs="Times New Roman"/>
          <w:sz w:val="24"/>
          <w:szCs w:val="24"/>
        </w:rPr>
        <w:t xml:space="preserve"> 1045 CA (2009)</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i/>
          <w:sz w:val="24"/>
          <w:szCs w:val="24"/>
        </w:rPr>
        <w:t>Seawell</w:t>
      </w:r>
      <w:proofErr w:type="spellEnd"/>
      <w:r w:rsidRPr="00383D3F">
        <w:rPr>
          <w:rFonts w:ascii="Times New Roman" w:hAnsi="Times New Roman" w:cs="Times New Roman"/>
          <w:i/>
          <w:sz w:val="24"/>
          <w:szCs w:val="24"/>
        </w:rPr>
        <w:t xml:space="preserve"> Ltd. v </w:t>
      </w:r>
      <w:proofErr w:type="spellStart"/>
      <w:r w:rsidRPr="00383D3F">
        <w:rPr>
          <w:rFonts w:ascii="Times New Roman" w:hAnsi="Times New Roman" w:cs="Times New Roman"/>
          <w:i/>
          <w:sz w:val="24"/>
          <w:szCs w:val="24"/>
        </w:rPr>
        <w:t>Ceva</w:t>
      </w:r>
      <w:proofErr w:type="spellEnd"/>
      <w:r w:rsidRPr="00383D3F">
        <w:rPr>
          <w:rFonts w:ascii="Times New Roman" w:hAnsi="Times New Roman" w:cs="Times New Roman"/>
          <w:i/>
          <w:sz w:val="24"/>
          <w:szCs w:val="24"/>
        </w:rPr>
        <w:t xml:space="preserve"> Freight (UK) Ltd</w:t>
      </w:r>
      <w:r w:rsidRPr="00383D3F">
        <w:rPr>
          <w:rFonts w:ascii="Times New Roman" w:hAnsi="Times New Roman" w:cs="Times New Roman"/>
          <w:sz w:val="24"/>
          <w:szCs w:val="24"/>
        </w:rPr>
        <w:t xml:space="preserve"> IRLR 76 (2013)</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 xml:space="preserve">The Collective Redundancies and Transfer of Undertakings (Protection of </w:t>
      </w:r>
      <w:proofErr w:type="gramStart"/>
      <w:r w:rsidRPr="00383D3F">
        <w:rPr>
          <w:rFonts w:ascii="Times New Roman" w:hAnsi="Times New Roman" w:cs="Times New Roman"/>
          <w:i/>
          <w:sz w:val="24"/>
          <w:szCs w:val="24"/>
        </w:rPr>
        <w:t>Employment)(</w:t>
      </w:r>
      <w:proofErr w:type="gramEnd"/>
      <w:r w:rsidRPr="00383D3F">
        <w:rPr>
          <w:rFonts w:ascii="Times New Roman" w:hAnsi="Times New Roman" w:cs="Times New Roman"/>
          <w:i/>
          <w:sz w:val="24"/>
          <w:szCs w:val="24"/>
        </w:rPr>
        <w:t>Amendment) Regulations 2014, Regulation 5</w:t>
      </w:r>
      <w:r w:rsidRPr="00383D3F">
        <w:rPr>
          <w:rFonts w:ascii="Times New Roman" w:hAnsi="Times New Roman" w:cs="Times New Roman"/>
          <w:sz w:val="24"/>
          <w:szCs w:val="24"/>
        </w:rPr>
        <w:t xml:space="preserve">. Available at: </w:t>
      </w:r>
      <w:hyperlink r:id="rId27" w:history="1">
        <w:r w:rsidRPr="00383D3F">
          <w:rPr>
            <w:rStyle w:val="Hyperlink"/>
            <w:rFonts w:ascii="Times New Roman" w:hAnsi="Times New Roman" w:cs="Times New Roman"/>
            <w:sz w:val="24"/>
            <w:szCs w:val="24"/>
          </w:rPr>
          <w:t>https://www.legislation.gov.uk/uksi/2014/16/regulation/5/made</w:t>
        </w:r>
      </w:hyperlink>
      <w:r w:rsidRPr="00383D3F">
        <w:rPr>
          <w:rFonts w:ascii="Times New Roman" w:hAnsi="Times New Roman" w:cs="Times New Roman"/>
          <w:sz w:val="24"/>
          <w:szCs w:val="24"/>
        </w:rPr>
        <w:t xml:space="preserve"> (Accessed: 17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hyperlink r:id="rId28" w:history="1">
        <w:r w:rsidRPr="00383D3F">
          <w:rPr>
            <w:rFonts w:ascii="Times New Roman" w:hAnsi="Times New Roman" w:cs="Times New Roman"/>
            <w:i/>
            <w:sz w:val="24"/>
            <w:szCs w:val="24"/>
          </w:rPr>
          <w:t>Thomas v BNP Paribas Real Estate Advisory and Property Management UK Ltd</w:t>
        </w:r>
        <w:r w:rsidRPr="00383D3F">
          <w:rPr>
            <w:rFonts w:ascii="Times New Roman" w:hAnsi="Times New Roman" w:cs="Times New Roman"/>
            <w:sz w:val="24"/>
            <w:szCs w:val="24"/>
          </w:rPr>
          <w:t xml:space="preserve"> UKEAT/0134/16/JOJ</w:t>
        </w:r>
      </w:hyperlink>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Trade Union and Labour Relations (Consolidation) Act 1992, ch.2</w:t>
      </w:r>
      <w:r w:rsidRPr="00383D3F">
        <w:rPr>
          <w:rFonts w:ascii="Times New Roman" w:hAnsi="Times New Roman" w:cs="Times New Roman"/>
          <w:sz w:val="24"/>
          <w:szCs w:val="24"/>
        </w:rPr>
        <w:t xml:space="preserve">. Available at: </w:t>
      </w:r>
      <w:hyperlink r:id="rId29" w:history="1">
        <w:r w:rsidRPr="00383D3F">
          <w:rPr>
            <w:rStyle w:val="Hyperlink"/>
            <w:rFonts w:ascii="Times New Roman" w:hAnsi="Times New Roman" w:cs="Times New Roman"/>
            <w:sz w:val="24"/>
            <w:szCs w:val="24"/>
          </w:rPr>
          <w:t>https://www.legislation.gov.uk/ukpga/1992/52/part/I/chapter/II</w:t>
        </w:r>
      </w:hyperlink>
      <w:r w:rsidRPr="00383D3F">
        <w:rPr>
          <w:rFonts w:ascii="Times New Roman" w:hAnsi="Times New Roman" w:cs="Times New Roman"/>
          <w:sz w:val="24"/>
          <w:szCs w:val="24"/>
        </w:rPr>
        <w:t xml:space="preserve"> (Accessed: 13 April 2022)</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Transfer of Undertakings (Protection of Employment) Regulations</w:t>
      </w:r>
      <w:r w:rsidRPr="00383D3F">
        <w:rPr>
          <w:rFonts w:ascii="Times New Roman" w:hAnsi="Times New Roman" w:cs="Times New Roman"/>
          <w:sz w:val="24"/>
          <w:szCs w:val="24"/>
        </w:rPr>
        <w:t xml:space="preserve"> </w:t>
      </w:r>
      <w:r w:rsidRPr="00383D3F">
        <w:rPr>
          <w:rFonts w:ascii="Times New Roman" w:hAnsi="Times New Roman" w:cs="Times New Roman"/>
          <w:i/>
          <w:sz w:val="24"/>
          <w:szCs w:val="24"/>
        </w:rPr>
        <w:t>2006</w:t>
      </w:r>
      <w:r w:rsidRPr="00383D3F">
        <w:rPr>
          <w:rFonts w:ascii="Times New Roman" w:hAnsi="Times New Roman" w:cs="Times New Roman"/>
          <w:sz w:val="24"/>
          <w:szCs w:val="24"/>
        </w:rPr>
        <w:t xml:space="preserve">. Available at: </w:t>
      </w:r>
      <w:hyperlink r:id="rId30" w:history="1">
        <w:r w:rsidRPr="00383D3F">
          <w:rPr>
            <w:rStyle w:val="Hyperlink"/>
            <w:rFonts w:ascii="Times New Roman" w:hAnsi="Times New Roman" w:cs="Times New Roman"/>
            <w:sz w:val="24"/>
            <w:szCs w:val="24"/>
          </w:rPr>
          <w:t>https://www.legislation.gov.uk/en/uksi/2006/246/made</w:t>
        </w:r>
      </w:hyperlink>
      <w:r w:rsidRPr="00383D3F">
        <w:rPr>
          <w:rFonts w:ascii="Times New Roman" w:hAnsi="Times New Roman" w:cs="Times New Roman"/>
          <w:sz w:val="24"/>
          <w:szCs w:val="24"/>
        </w:rPr>
        <w:t xml:space="preserve"> (Accessed: 13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Transfer of Undertakings (Protection of Employment) Regulations 2006, s.3</w:t>
      </w:r>
      <w:r w:rsidRPr="00383D3F">
        <w:rPr>
          <w:rFonts w:ascii="Times New Roman" w:hAnsi="Times New Roman" w:cs="Times New Roman"/>
          <w:sz w:val="24"/>
          <w:szCs w:val="24"/>
        </w:rPr>
        <w:t xml:space="preserve">. Available at: </w:t>
      </w:r>
      <w:hyperlink r:id="rId31" w:history="1">
        <w:r w:rsidRPr="00383D3F">
          <w:rPr>
            <w:rStyle w:val="Hyperlink"/>
            <w:rFonts w:ascii="Times New Roman" w:hAnsi="Times New Roman" w:cs="Times New Roman"/>
            <w:sz w:val="24"/>
            <w:szCs w:val="24"/>
          </w:rPr>
          <w:t>https://www.legislation.gov.uk/en/uksi/2006/246/regulation/3/made</w:t>
        </w:r>
      </w:hyperlink>
      <w:r w:rsidRPr="00383D3F">
        <w:rPr>
          <w:rFonts w:ascii="Times New Roman" w:hAnsi="Times New Roman" w:cs="Times New Roman"/>
          <w:sz w:val="24"/>
          <w:szCs w:val="24"/>
        </w:rPr>
        <w:t xml:space="preserve"> (Accessed: 13 April 2022)</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Transfer of Undertakings (Protection of Employment) Regulations 2006, s.11.</w:t>
      </w:r>
      <w:r w:rsidRPr="00383D3F">
        <w:rPr>
          <w:rFonts w:ascii="Times New Roman" w:hAnsi="Times New Roman" w:cs="Times New Roman"/>
          <w:sz w:val="24"/>
          <w:szCs w:val="24"/>
        </w:rPr>
        <w:t xml:space="preserve"> Available at: </w:t>
      </w:r>
      <w:hyperlink r:id="rId32" w:history="1">
        <w:r w:rsidRPr="00383D3F">
          <w:rPr>
            <w:rStyle w:val="Hyperlink"/>
            <w:rFonts w:ascii="Times New Roman" w:hAnsi="Times New Roman" w:cs="Times New Roman"/>
            <w:sz w:val="24"/>
            <w:szCs w:val="24"/>
          </w:rPr>
          <w:t>https://www.legislation.gov.uk/en/uksi/2006/246/regulation/11/made</w:t>
        </w:r>
      </w:hyperlink>
      <w:r w:rsidRPr="00383D3F">
        <w:rPr>
          <w:rFonts w:ascii="Times New Roman" w:hAnsi="Times New Roman" w:cs="Times New Roman"/>
          <w:sz w:val="24"/>
          <w:szCs w:val="24"/>
        </w:rPr>
        <w:t xml:space="preserve"> (Accessed: 13 April 2022)</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 xml:space="preserve">Transfer of Undertakings (Protection of Employment) Regulations 2006, s.13. </w:t>
      </w:r>
      <w:r w:rsidRPr="00383D3F">
        <w:rPr>
          <w:rFonts w:ascii="Times New Roman" w:hAnsi="Times New Roman" w:cs="Times New Roman"/>
          <w:sz w:val="24"/>
          <w:szCs w:val="24"/>
        </w:rPr>
        <w:t xml:space="preserve">Available at: </w:t>
      </w:r>
      <w:hyperlink r:id="rId33" w:history="1">
        <w:r w:rsidRPr="00383D3F">
          <w:rPr>
            <w:rStyle w:val="Hyperlink"/>
            <w:rFonts w:ascii="Times New Roman" w:hAnsi="Times New Roman" w:cs="Times New Roman"/>
            <w:sz w:val="24"/>
            <w:szCs w:val="24"/>
          </w:rPr>
          <w:t>https://www.legislation.gov.uk/en/uksi/2006/246/regulation/13/made</w:t>
        </w:r>
      </w:hyperlink>
      <w:r w:rsidRPr="00383D3F">
        <w:rPr>
          <w:rFonts w:ascii="Times New Roman" w:hAnsi="Times New Roman" w:cs="Times New Roman"/>
          <w:sz w:val="24"/>
          <w:szCs w:val="24"/>
        </w:rPr>
        <w:t xml:space="preserve"> (Accessed: 13 April 2022)</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UK Government (2022) </w:t>
      </w:r>
      <w:r w:rsidRPr="00383D3F">
        <w:rPr>
          <w:rFonts w:ascii="Times New Roman" w:hAnsi="Times New Roman" w:cs="Times New Roman"/>
          <w:i/>
          <w:sz w:val="24"/>
          <w:szCs w:val="24"/>
        </w:rPr>
        <w:t xml:space="preserve">Dismissing Staff. </w:t>
      </w:r>
      <w:r w:rsidRPr="00383D3F">
        <w:rPr>
          <w:rFonts w:ascii="Times New Roman" w:hAnsi="Times New Roman" w:cs="Times New Roman"/>
          <w:sz w:val="24"/>
          <w:szCs w:val="24"/>
        </w:rPr>
        <w:t xml:space="preserve">Available at: </w:t>
      </w:r>
      <w:hyperlink r:id="rId34" w:history="1">
        <w:r w:rsidRPr="00383D3F">
          <w:rPr>
            <w:rStyle w:val="Hyperlink"/>
            <w:rFonts w:ascii="Times New Roman" w:hAnsi="Times New Roman" w:cs="Times New Roman"/>
            <w:sz w:val="24"/>
            <w:szCs w:val="24"/>
          </w:rPr>
          <w:t>https://www.gov.uk/dismiss-staff/eligibility-to-claim-unfair-dismissal</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17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UK Government (2022) </w:t>
      </w:r>
      <w:r w:rsidRPr="00383D3F">
        <w:rPr>
          <w:rFonts w:ascii="Times New Roman" w:hAnsi="Times New Roman" w:cs="Times New Roman"/>
          <w:i/>
          <w:sz w:val="24"/>
          <w:szCs w:val="24"/>
        </w:rPr>
        <w:t>New statutory code to prevent unscrupulous employers using fire and rehire tactics</w:t>
      </w:r>
      <w:r w:rsidRPr="00383D3F">
        <w:rPr>
          <w:rFonts w:ascii="Times New Roman" w:hAnsi="Times New Roman" w:cs="Times New Roman"/>
          <w:sz w:val="24"/>
          <w:szCs w:val="24"/>
        </w:rPr>
        <w:t xml:space="preserve">, Available at: </w:t>
      </w:r>
      <w:hyperlink r:id="rId35" w:history="1">
        <w:r w:rsidRPr="00383D3F">
          <w:rPr>
            <w:rStyle w:val="Hyperlink"/>
            <w:rFonts w:ascii="Times New Roman" w:hAnsi="Times New Roman" w:cs="Times New Roman"/>
            <w:sz w:val="24"/>
            <w:szCs w:val="24"/>
          </w:rPr>
          <w:t>https://www.gov.uk/government/news/new-statutory-code-to-prevent-unscrupulous-employers-using-fire-and-rehire-tactics</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22 April 2022)</w:t>
      </w:r>
    </w:p>
    <w:p w:rsidR="00AE4F38" w:rsidRDefault="00AE4F38" w:rsidP="00AE4F38">
      <w:pPr>
        <w:spacing w:after="120" w:line="360" w:lineRule="auto"/>
        <w:rPr>
          <w:rFonts w:ascii="Times New Roman" w:hAnsi="Times New Roman" w:cs="Times New Roman"/>
          <w:sz w:val="24"/>
        </w:rPr>
      </w:pPr>
    </w:p>
    <w:p w:rsidR="00AE4F38" w:rsidRDefault="00AE4F38" w:rsidP="00AE4F38">
      <w:pPr>
        <w:spacing w:after="120" w:line="360" w:lineRule="auto"/>
        <w:jc w:val="center"/>
        <w:rPr>
          <w:rFonts w:ascii="Times New Roman" w:hAnsi="Times New Roman" w:cs="Times New Roman"/>
          <w:b/>
          <w:sz w:val="40"/>
          <w:u w:val="single"/>
        </w:rPr>
      </w:pPr>
    </w:p>
    <w:p w:rsidR="00AE4F38" w:rsidRDefault="00AE4F38" w:rsidP="00AE4F38">
      <w:pPr>
        <w:spacing w:after="120" w:line="360" w:lineRule="auto"/>
        <w:jc w:val="center"/>
        <w:rPr>
          <w:rFonts w:ascii="Times New Roman" w:hAnsi="Times New Roman" w:cs="Times New Roman"/>
          <w:b/>
          <w:sz w:val="40"/>
          <w:u w:val="single"/>
        </w:rPr>
      </w:pPr>
    </w:p>
    <w:p w:rsidR="00AE4F38" w:rsidRPr="007743D1" w:rsidRDefault="00AE4F38" w:rsidP="00AE4F38">
      <w:pPr>
        <w:spacing w:after="120" w:line="360" w:lineRule="auto"/>
        <w:jc w:val="center"/>
        <w:rPr>
          <w:rFonts w:ascii="Times New Roman" w:hAnsi="Times New Roman" w:cs="Times New Roman"/>
          <w:b/>
          <w:sz w:val="40"/>
          <w:u w:val="single"/>
        </w:rPr>
      </w:pPr>
      <w:r>
        <w:rPr>
          <w:rFonts w:ascii="Times New Roman" w:hAnsi="Times New Roman" w:cs="Times New Roman"/>
          <w:b/>
          <w:sz w:val="40"/>
          <w:u w:val="single"/>
        </w:rPr>
        <w:lastRenderedPageBreak/>
        <w:t>Bibliography</w:t>
      </w:r>
    </w:p>
    <w:p w:rsidR="00AE4F38" w:rsidRDefault="00AE4F38" w:rsidP="00AE4F38">
      <w:pPr>
        <w:pStyle w:val="FootnoteText"/>
        <w:rPr>
          <w:rFonts w:ascii="Times New Roman" w:hAnsi="Times New Roman" w:cs="Times New Roman"/>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(2019) </w:t>
      </w:r>
      <w:r w:rsidRPr="00383D3F">
        <w:rPr>
          <w:rFonts w:ascii="Times New Roman" w:hAnsi="Times New Roman" w:cs="Times New Roman"/>
          <w:i/>
          <w:sz w:val="24"/>
          <w:szCs w:val="24"/>
        </w:rPr>
        <w:t>Age discrimination: key points for the workplace.</w:t>
      </w:r>
      <w:r w:rsidRPr="00383D3F">
        <w:rPr>
          <w:rFonts w:ascii="Times New Roman" w:hAnsi="Times New Roman" w:cs="Times New Roman"/>
          <w:sz w:val="24"/>
          <w:szCs w:val="24"/>
        </w:rPr>
        <w:t xml:space="preserve"> Available at:</w:t>
      </w:r>
      <w:r w:rsidRPr="00383D3F">
        <w:rPr>
          <w:rFonts w:ascii="Times New Roman" w:hAnsi="Times New Roman" w:cs="Times New Roman"/>
          <w:i/>
          <w:sz w:val="24"/>
          <w:szCs w:val="24"/>
        </w:rPr>
        <w:t xml:space="preserve"> </w:t>
      </w:r>
      <w:hyperlink r:id="rId36" w:history="1">
        <w:r w:rsidRPr="00383D3F">
          <w:rPr>
            <w:rStyle w:val="Hyperlink"/>
            <w:rFonts w:ascii="Times New Roman" w:hAnsi="Times New Roman" w:cs="Times New Roman"/>
            <w:sz w:val="24"/>
            <w:szCs w:val="24"/>
          </w:rPr>
          <w:t>https://www.acas.org.uk/sites/default/files/2021-03/age-discrimination-key-points-for-the-workplace.pdf</w:t>
        </w:r>
      </w:hyperlink>
      <w:r w:rsidRPr="00383D3F">
        <w:rPr>
          <w:rFonts w:ascii="Times New Roman" w:hAnsi="Times New Roman" w:cs="Times New Roman"/>
          <w:sz w:val="24"/>
          <w:szCs w:val="24"/>
        </w:rPr>
        <w:t xml:space="preserve"> (Accessed: 17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(2021) </w:t>
      </w:r>
      <w:proofErr w:type="spellStart"/>
      <w:r w:rsidRPr="00383D3F">
        <w:rPr>
          <w:rFonts w:ascii="Times New Roman" w:hAnsi="Times New Roman" w:cs="Times New Roman"/>
          <w:i/>
          <w:sz w:val="24"/>
          <w:szCs w:val="24"/>
        </w:rPr>
        <w:t>Acas</w:t>
      </w:r>
      <w:proofErr w:type="spellEnd"/>
      <w:r w:rsidRPr="00383D3F">
        <w:rPr>
          <w:rFonts w:ascii="Times New Roman" w:hAnsi="Times New Roman" w:cs="Times New Roman"/>
          <w:i/>
          <w:sz w:val="24"/>
          <w:szCs w:val="24"/>
        </w:rPr>
        <w:t xml:space="preserve"> publishes advice to help employers avoid hire and fire practices</w:t>
      </w:r>
      <w:r w:rsidRPr="00383D3F">
        <w:rPr>
          <w:rFonts w:ascii="Times New Roman" w:hAnsi="Times New Roman" w:cs="Times New Roman"/>
          <w:sz w:val="24"/>
          <w:szCs w:val="24"/>
        </w:rPr>
        <w:t xml:space="preserve">. Available at:  </w:t>
      </w:r>
      <w:hyperlink r:id="rId37" w:anchor=":~:text=Acas%20advises%20that%20the%20practice%20of%20fire%20and,in%20using%20fire%20and%20rehire%20practices%20can%20include%3A" w:history="1">
        <w:r w:rsidRPr="00383D3F">
          <w:rPr>
            <w:rStyle w:val="Hyperlink"/>
            <w:rFonts w:ascii="Times New Roman" w:hAnsi="Times New Roman" w:cs="Times New Roman"/>
            <w:sz w:val="24"/>
            <w:szCs w:val="24"/>
          </w:rPr>
          <w:t>%20rehire%20practices%20can%20include%3A</w:t>
        </w:r>
      </w:hyperlink>
      <w:r w:rsidRPr="00383D3F">
        <w:rPr>
          <w:rFonts w:ascii="Times New Roman" w:hAnsi="Times New Roman" w:cs="Times New Roman"/>
          <w:sz w:val="24"/>
          <w:szCs w:val="24"/>
        </w:rPr>
        <w:t xml:space="preserve"> (Accessed: 22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(2022) </w:t>
      </w:r>
      <w:r w:rsidRPr="00383D3F">
        <w:rPr>
          <w:rFonts w:ascii="Times New Roman" w:hAnsi="Times New Roman" w:cs="Times New Roman"/>
          <w:i/>
          <w:sz w:val="24"/>
          <w:szCs w:val="24"/>
        </w:rPr>
        <w:t>Employee rights during a TUPE transfer</w:t>
      </w:r>
      <w:r w:rsidRPr="00383D3F">
        <w:rPr>
          <w:rFonts w:ascii="Times New Roman" w:hAnsi="Times New Roman" w:cs="Times New Roman"/>
          <w:sz w:val="24"/>
          <w:szCs w:val="24"/>
        </w:rPr>
        <w:t>. Available at</w:t>
      </w:r>
      <w:r w:rsidRPr="00383D3F">
        <w:rPr>
          <w:rFonts w:ascii="Times New Roman" w:hAnsi="Times New Roman" w:cs="Times New Roman"/>
          <w:i/>
          <w:sz w:val="24"/>
          <w:szCs w:val="24"/>
        </w:rPr>
        <w:t xml:space="preserve">: </w:t>
      </w:r>
      <w:hyperlink r:id="rId38" w:history="1">
        <w:r w:rsidRPr="00383D3F">
          <w:rPr>
            <w:rStyle w:val="Hyperlink"/>
            <w:rFonts w:ascii="Times New Roman" w:hAnsi="Times New Roman" w:cs="Times New Roman"/>
            <w:sz w:val="24"/>
            <w:szCs w:val="24"/>
          </w:rPr>
          <w:t>https://www.acas.org.uk/employee-rights-during-a-tupe-transfer/how-your-employer-should-inform-and-consult-you-during-tupe</w:t>
        </w:r>
      </w:hyperlink>
      <w:r w:rsidRPr="00383D3F">
        <w:rPr>
          <w:rFonts w:ascii="Times New Roman" w:hAnsi="Times New Roman" w:cs="Times New Roman"/>
          <w:sz w:val="24"/>
          <w:szCs w:val="24"/>
        </w:rPr>
        <w:t xml:space="preserve"> (Accessed: 13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i/>
          <w:sz w:val="24"/>
          <w:szCs w:val="24"/>
        </w:rPr>
        <w:t xml:space="preserve"> </w:t>
      </w:r>
      <w:r w:rsidRPr="00383D3F">
        <w:rPr>
          <w:rFonts w:ascii="Times New Roman" w:hAnsi="Times New Roman" w:cs="Times New Roman"/>
          <w:sz w:val="24"/>
          <w:szCs w:val="24"/>
        </w:rPr>
        <w:t xml:space="preserve">(2022) </w:t>
      </w:r>
      <w:r w:rsidRPr="00383D3F">
        <w:rPr>
          <w:rFonts w:ascii="Times New Roman" w:hAnsi="Times New Roman" w:cs="Times New Roman"/>
          <w:i/>
          <w:sz w:val="24"/>
          <w:szCs w:val="24"/>
        </w:rPr>
        <w:t>Handling TUPE Transfers</w:t>
      </w:r>
      <w:r w:rsidRPr="00383D3F">
        <w:rPr>
          <w:rFonts w:ascii="Times New Roman" w:hAnsi="Times New Roman" w:cs="Times New Roman"/>
          <w:sz w:val="24"/>
          <w:szCs w:val="24"/>
        </w:rPr>
        <w:t xml:space="preserve">. Available at: </w:t>
      </w:r>
      <w:hyperlink r:id="rId39" w:history="1">
        <w:r w:rsidRPr="00383D3F">
          <w:rPr>
            <w:rStyle w:val="Hyperlink"/>
            <w:rFonts w:ascii="Times New Roman" w:hAnsi="Times New Roman" w:cs="Times New Roman"/>
            <w:sz w:val="24"/>
            <w:szCs w:val="24"/>
          </w:rPr>
          <w:t>https://www.acas.org.uk/sites/default/files/2019-04/Handling-TUPE-Transfers-The-Acas-Guide.pdf</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13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(2021) </w:t>
      </w:r>
      <w:r w:rsidRPr="00383D3F">
        <w:rPr>
          <w:rFonts w:ascii="Times New Roman" w:hAnsi="Times New Roman" w:cs="Times New Roman"/>
          <w:i/>
          <w:sz w:val="24"/>
          <w:szCs w:val="24"/>
        </w:rPr>
        <w:t>Making changes to employment contracts: employer responsibilities</w:t>
      </w:r>
      <w:r w:rsidRPr="00383D3F">
        <w:rPr>
          <w:rFonts w:ascii="Times New Roman" w:hAnsi="Times New Roman" w:cs="Times New Roman"/>
          <w:sz w:val="24"/>
          <w:szCs w:val="24"/>
        </w:rPr>
        <w:t xml:space="preserve">. Available at: </w:t>
      </w:r>
      <w:hyperlink r:id="rId40" w:history="1">
        <w:r w:rsidRPr="00383D3F">
          <w:rPr>
            <w:rStyle w:val="Hyperlink"/>
            <w:rFonts w:ascii="Times New Roman" w:hAnsi="Times New Roman" w:cs="Times New Roman"/>
            <w:sz w:val="24"/>
            <w:szCs w:val="24"/>
          </w:rPr>
          <w:t>https://www.acas.org.uk/changing-an-employment-contract/employer-responsibilities/if-employment-contract-changes-cannot-be-agreed</w:t>
        </w:r>
      </w:hyperlink>
      <w:r w:rsidRPr="00383D3F">
        <w:rPr>
          <w:rFonts w:ascii="Times New Roman" w:hAnsi="Times New Roman" w:cs="Times New Roman"/>
          <w:sz w:val="24"/>
          <w:szCs w:val="24"/>
        </w:rPr>
        <w:t xml:space="preserve"> (Accessed 20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(2022) </w:t>
      </w:r>
      <w:r w:rsidRPr="00383D3F">
        <w:rPr>
          <w:rFonts w:ascii="Times New Roman" w:hAnsi="Times New Roman" w:cs="Times New Roman"/>
          <w:i/>
          <w:sz w:val="24"/>
          <w:szCs w:val="24"/>
        </w:rPr>
        <w:t>Managing staff redundancies: step by step – Check if redundancies are necessary.</w:t>
      </w:r>
      <w:r w:rsidRPr="00383D3F">
        <w:rPr>
          <w:rFonts w:ascii="Times New Roman" w:hAnsi="Times New Roman" w:cs="Times New Roman"/>
          <w:sz w:val="24"/>
          <w:szCs w:val="24"/>
        </w:rPr>
        <w:t xml:space="preserve"> Available at: </w:t>
      </w:r>
      <w:hyperlink r:id="rId41" w:history="1">
        <w:r w:rsidRPr="00383D3F">
          <w:rPr>
            <w:rStyle w:val="Hyperlink"/>
            <w:rFonts w:ascii="Times New Roman" w:hAnsi="Times New Roman" w:cs="Times New Roman"/>
            <w:sz w:val="24"/>
            <w:szCs w:val="24"/>
          </w:rPr>
          <w:t>https://www.acas.org.uk/manage-staff-redundancies</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17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(2022) </w:t>
      </w:r>
      <w:r w:rsidRPr="00383D3F">
        <w:rPr>
          <w:rFonts w:ascii="Times New Roman" w:hAnsi="Times New Roman" w:cs="Times New Roman"/>
          <w:i/>
          <w:sz w:val="24"/>
          <w:szCs w:val="24"/>
        </w:rPr>
        <w:t xml:space="preserve">Managing staff redundancies: step by step – Follow the right process. </w:t>
      </w:r>
      <w:r w:rsidRPr="00383D3F">
        <w:rPr>
          <w:rFonts w:ascii="Times New Roman" w:hAnsi="Times New Roman" w:cs="Times New Roman"/>
          <w:sz w:val="24"/>
          <w:szCs w:val="24"/>
        </w:rPr>
        <w:t xml:space="preserve">Available at: </w:t>
      </w:r>
      <w:hyperlink r:id="rId42" w:history="1">
        <w:r w:rsidRPr="00383D3F">
          <w:rPr>
            <w:rStyle w:val="Hyperlink"/>
            <w:rFonts w:ascii="Times New Roman" w:hAnsi="Times New Roman" w:cs="Times New Roman"/>
            <w:sz w:val="24"/>
            <w:szCs w:val="24"/>
          </w:rPr>
          <w:t>https://www.acas.org.uk/manage-staff-redundancies/follow-the-right-process</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18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(2022</w:t>
      </w:r>
      <w:r w:rsidRPr="00383D3F">
        <w:rPr>
          <w:rFonts w:ascii="Times New Roman" w:hAnsi="Times New Roman" w:cs="Times New Roman"/>
          <w:i/>
          <w:sz w:val="24"/>
          <w:szCs w:val="24"/>
        </w:rPr>
        <w:t>) Managing staff redundancies: step by step – Give employees notice of redundancy</w:t>
      </w:r>
      <w:r w:rsidRPr="00383D3F">
        <w:rPr>
          <w:rFonts w:ascii="Times New Roman" w:hAnsi="Times New Roman" w:cs="Times New Roman"/>
          <w:sz w:val="24"/>
          <w:szCs w:val="24"/>
        </w:rPr>
        <w:t xml:space="preserve">. Available at:  </w:t>
      </w:r>
      <w:hyperlink r:id="rId43" w:history="1">
        <w:r w:rsidRPr="00383D3F">
          <w:rPr>
            <w:rStyle w:val="Hyperlink"/>
            <w:rFonts w:ascii="Times New Roman" w:hAnsi="Times New Roman" w:cs="Times New Roman"/>
            <w:sz w:val="24"/>
            <w:szCs w:val="24"/>
          </w:rPr>
          <w:t>https://www.acas.org.uk/manage-staff-redundancies/give-employees-notice-of-redundancy</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18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(2022) </w:t>
      </w:r>
      <w:r w:rsidRPr="00383D3F">
        <w:rPr>
          <w:rFonts w:ascii="Times New Roman" w:hAnsi="Times New Roman" w:cs="Times New Roman"/>
          <w:i/>
          <w:sz w:val="24"/>
          <w:szCs w:val="24"/>
        </w:rPr>
        <w:t xml:space="preserve">Managing staff redundancies: step by step – Offer an appeals process </w:t>
      </w:r>
      <w:r w:rsidRPr="00383D3F">
        <w:rPr>
          <w:rFonts w:ascii="Times New Roman" w:hAnsi="Times New Roman" w:cs="Times New Roman"/>
          <w:sz w:val="24"/>
          <w:szCs w:val="24"/>
        </w:rPr>
        <w:t xml:space="preserve">Available at: </w:t>
      </w:r>
      <w:hyperlink r:id="rId44" w:history="1">
        <w:r w:rsidRPr="00383D3F">
          <w:rPr>
            <w:rStyle w:val="Hyperlink"/>
            <w:rFonts w:ascii="Times New Roman" w:hAnsi="Times New Roman" w:cs="Times New Roman"/>
            <w:sz w:val="24"/>
            <w:szCs w:val="24"/>
          </w:rPr>
          <w:t>https://www.acas.org.uk/manage-staff-redundancies/offer-an-appeals-process</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18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sz w:val="24"/>
          <w:szCs w:val="24"/>
        </w:rPr>
        <w:t>Acas</w:t>
      </w:r>
      <w:proofErr w:type="spellEnd"/>
      <w:r w:rsidRPr="00383D3F">
        <w:rPr>
          <w:rFonts w:ascii="Times New Roman" w:hAnsi="Times New Roman" w:cs="Times New Roman"/>
          <w:sz w:val="24"/>
          <w:szCs w:val="24"/>
        </w:rPr>
        <w:t xml:space="preserve"> (2022) </w:t>
      </w:r>
      <w:r w:rsidRPr="00383D3F">
        <w:rPr>
          <w:rFonts w:ascii="Times New Roman" w:hAnsi="Times New Roman" w:cs="Times New Roman"/>
          <w:i/>
          <w:sz w:val="24"/>
          <w:szCs w:val="24"/>
        </w:rPr>
        <w:t xml:space="preserve">Managing staff redundancies: step by step - Tell employees. </w:t>
      </w:r>
      <w:r w:rsidRPr="00383D3F">
        <w:rPr>
          <w:rFonts w:ascii="Times New Roman" w:hAnsi="Times New Roman" w:cs="Times New Roman"/>
          <w:sz w:val="24"/>
          <w:szCs w:val="24"/>
        </w:rPr>
        <w:t xml:space="preserve">Available at: </w:t>
      </w:r>
      <w:hyperlink r:id="rId45" w:history="1">
        <w:r w:rsidRPr="00383D3F">
          <w:rPr>
            <w:rStyle w:val="Hyperlink"/>
            <w:rFonts w:ascii="Times New Roman" w:hAnsi="Times New Roman" w:cs="Times New Roman"/>
            <w:sz w:val="24"/>
            <w:szCs w:val="24"/>
          </w:rPr>
          <w:t>https://www.acas.org.uk/manage-staff-redundancies/tell-employees</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18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i/>
          <w:sz w:val="24"/>
          <w:szCs w:val="24"/>
        </w:rPr>
        <w:t>Adamas</w:t>
      </w:r>
      <w:proofErr w:type="spellEnd"/>
      <w:r w:rsidRPr="00383D3F">
        <w:rPr>
          <w:rFonts w:ascii="Times New Roman" w:hAnsi="Times New Roman" w:cs="Times New Roman"/>
          <w:i/>
          <w:sz w:val="24"/>
          <w:szCs w:val="24"/>
        </w:rPr>
        <w:t xml:space="preserve"> Ltd v Cheung </w:t>
      </w:r>
      <w:r w:rsidRPr="00383D3F">
        <w:rPr>
          <w:rFonts w:ascii="Times New Roman" w:hAnsi="Times New Roman" w:cs="Times New Roman"/>
          <w:sz w:val="24"/>
          <w:szCs w:val="24"/>
        </w:rPr>
        <w:t>IRLR 1014 (2011)</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Allan v Oakley Builders and Groundwork Contractors Ltd.</w:t>
      </w:r>
      <w:r w:rsidRPr="00383D3F">
        <w:rPr>
          <w:rFonts w:ascii="Times New Roman" w:hAnsi="Times New Roman" w:cs="Times New Roman"/>
          <w:sz w:val="24"/>
          <w:szCs w:val="24"/>
        </w:rPr>
        <w:t xml:space="preserve"> Case No. 1403798/2018 (2019)</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i/>
          <w:sz w:val="24"/>
          <w:szCs w:val="24"/>
        </w:rPr>
        <w:t>Aparau</w:t>
      </w:r>
      <w:proofErr w:type="spellEnd"/>
      <w:r w:rsidRPr="00383D3F">
        <w:rPr>
          <w:rFonts w:ascii="Times New Roman" w:hAnsi="Times New Roman" w:cs="Times New Roman"/>
          <w:i/>
          <w:sz w:val="24"/>
          <w:szCs w:val="24"/>
        </w:rPr>
        <w:t xml:space="preserve"> v Iceland Frozen Foods </w:t>
      </w:r>
      <w:r w:rsidRPr="00383D3F">
        <w:rPr>
          <w:rFonts w:ascii="Times New Roman" w:hAnsi="Times New Roman" w:cs="Times New Roman"/>
          <w:sz w:val="24"/>
          <w:szCs w:val="24"/>
        </w:rPr>
        <w:t>IRLR 119 (1996)</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 xml:space="preserve">Bateman &amp; Others v Asda Stores </w:t>
      </w:r>
      <w:r w:rsidRPr="00383D3F">
        <w:rPr>
          <w:rFonts w:ascii="Times New Roman" w:hAnsi="Times New Roman" w:cs="Times New Roman"/>
          <w:sz w:val="24"/>
          <w:szCs w:val="24"/>
        </w:rPr>
        <w:t>EAT/0221/09 (2010)</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CIPD (2020) </w:t>
      </w:r>
      <w:r w:rsidRPr="00383D3F">
        <w:rPr>
          <w:rFonts w:ascii="Times New Roman" w:hAnsi="Times New Roman" w:cs="Times New Roman"/>
          <w:i/>
          <w:sz w:val="24"/>
          <w:szCs w:val="24"/>
        </w:rPr>
        <w:t>Redundancy collective consultation Q&amp;As</w:t>
      </w:r>
      <w:r w:rsidRPr="00383D3F">
        <w:rPr>
          <w:rFonts w:ascii="Times New Roman" w:hAnsi="Times New Roman" w:cs="Times New Roman"/>
          <w:sz w:val="24"/>
          <w:szCs w:val="24"/>
        </w:rPr>
        <w:t xml:space="preserve">. Available at: </w:t>
      </w:r>
      <w:hyperlink r:id="rId46" w:history="1">
        <w:r w:rsidRPr="00383D3F">
          <w:rPr>
            <w:rStyle w:val="Hyperlink"/>
            <w:rFonts w:ascii="Times New Roman" w:hAnsi="Times New Roman" w:cs="Times New Roman"/>
            <w:sz w:val="24"/>
            <w:szCs w:val="24"/>
          </w:rPr>
          <w:t>https://www.cipd.co.uk/knowledge/fundamentals/emp-law/redundancy/redundancy-collective-consultations-questions</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18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CIPD (2021) </w:t>
      </w:r>
      <w:r w:rsidRPr="00383D3F">
        <w:rPr>
          <w:rFonts w:ascii="Times New Roman" w:hAnsi="Times New Roman" w:cs="Times New Roman"/>
          <w:i/>
          <w:sz w:val="24"/>
          <w:szCs w:val="24"/>
        </w:rPr>
        <w:t xml:space="preserve">Contracts of employment. </w:t>
      </w:r>
      <w:r w:rsidRPr="00383D3F">
        <w:rPr>
          <w:rFonts w:ascii="Times New Roman" w:hAnsi="Times New Roman" w:cs="Times New Roman"/>
          <w:sz w:val="24"/>
          <w:szCs w:val="24"/>
        </w:rPr>
        <w:t xml:space="preserve">Available at: </w:t>
      </w:r>
      <w:hyperlink r:id="rId47" w:history="1">
        <w:r w:rsidRPr="00383D3F">
          <w:rPr>
            <w:rStyle w:val="Hyperlink"/>
            <w:rFonts w:ascii="Times New Roman" w:hAnsi="Times New Roman" w:cs="Times New Roman"/>
            <w:sz w:val="24"/>
            <w:szCs w:val="24"/>
          </w:rPr>
          <w:t>https://www.cipd.co.uk/knowledge/fundamentals/emp-law/terms-conditions/contracts-factsheet</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20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CIPD (2021) </w:t>
      </w:r>
      <w:r w:rsidRPr="00383D3F">
        <w:rPr>
          <w:rFonts w:ascii="Times New Roman" w:hAnsi="Times New Roman" w:cs="Times New Roman"/>
          <w:i/>
          <w:sz w:val="24"/>
          <w:szCs w:val="24"/>
        </w:rPr>
        <w:t>Redundancy: An introduction</w:t>
      </w:r>
      <w:r w:rsidRPr="00383D3F">
        <w:rPr>
          <w:rFonts w:ascii="Times New Roman" w:hAnsi="Times New Roman" w:cs="Times New Roman"/>
          <w:sz w:val="24"/>
          <w:szCs w:val="24"/>
        </w:rPr>
        <w:t xml:space="preserve">. Available at: </w:t>
      </w:r>
      <w:hyperlink r:id="rId48" w:anchor="7113" w:history="1">
        <w:r w:rsidRPr="00383D3F">
          <w:rPr>
            <w:rStyle w:val="Hyperlink"/>
            <w:rFonts w:ascii="Times New Roman" w:hAnsi="Times New Roman" w:cs="Times New Roman"/>
            <w:sz w:val="24"/>
            <w:szCs w:val="24"/>
          </w:rPr>
          <w:t>https://www.cipd.co.uk/knowledge/fundamentals/emp-law/redundancy/factsheet#7113</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18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CIPD (2022) </w:t>
      </w:r>
      <w:r w:rsidRPr="00383D3F">
        <w:rPr>
          <w:rFonts w:ascii="Times New Roman" w:hAnsi="Times New Roman" w:cs="Times New Roman"/>
          <w:i/>
          <w:sz w:val="24"/>
          <w:szCs w:val="24"/>
        </w:rPr>
        <w:t>A guide to TUPE Transfers</w:t>
      </w:r>
      <w:r w:rsidRPr="00383D3F">
        <w:rPr>
          <w:rFonts w:ascii="Times New Roman" w:hAnsi="Times New Roman" w:cs="Times New Roman"/>
          <w:sz w:val="24"/>
          <w:szCs w:val="24"/>
        </w:rPr>
        <w:t xml:space="preserve">. Available at: </w:t>
      </w:r>
      <w:hyperlink r:id="rId49" w:history="1">
        <w:r w:rsidRPr="00383D3F">
          <w:rPr>
            <w:rStyle w:val="Hyperlink"/>
            <w:rFonts w:ascii="Times New Roman" w:hAnsi="Times New Roman" w:cs="Times New Roman"/>
            <w:sz w:val="24"/>
            <w:szCs w:val="24"/>
          </w:rPr>
          <w:t>https://www.cipd.co.uk/Images/8208-a-guide-to-tupe-transfers-web_tcm18-44310.pdf</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3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CIPD (2022) </w:t>
      </w:r>
      <w:r w:rsidRPr="00383D3F">
        <w:rPr>
          <w:rFonts w:ascii="Times New Roman" w:hAnsi="Times New Roman" w:cs="Times New Roman"/>
          <w:i/>
          <w:sz w:val="24"/>
          <w:szCs w:val="24"/>
        </w:rPr>
        <w:t>Fire and rehire: guidance for employers</w:t>
      </w:r>
      <w:r w:rsidRPr="00383D3F">
        <w:rPr>
          <w:rFonts w:ascii="Times New Roman" w:hAnsi="Times New Roman" w:cs="Times New Roman"/>
          <w:sz w:val="24"/>
          <w:szCs w:val="24"/>
        </w:rPr>
        <w:t xml:space="preserve">. Available at: </w:t>
      </w:r>
      <w:hyperlink r:id="rId50" w:anchor=":~:text=The%20CIPD%E2%80%99s%20view%20is%20that%20such%20%E2%80%98fire%20and,%E2%80%98dismissal%20and%20re-engagement%E2%80%99%20is%20not%20a%20new%20practice" w:history="1">
        <w:r w:rsidRPr="00383D3F">
          <w:rPr>
            <w:rStyle w:val="Hyperlink"/>
            <w:rFonts w:ascii="Times New Roman" w:hAnsi="Times New Roman" w:cs="Times New Roman"/>
            <w:sz w:val="24"/>
            <w:szCs w:val="24"/>
          </w:rPr>
          <w:t>https://www.cipd.co.uk/knowledge/fundamentals/emp-law/terms-conditions/fire-rehire-employer-guidance#:~:text=The%20CIPD%E2%80%99s%20view%20is%20that%20such%20%E2%80%98fire%20and,%E2%80%98dismissal%20and%20re-engagement%E2%80%99%20is%20not%20a%20new%20practice</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22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CIPD (2022) </w:t>
      </w:r>
      <w:r w:rsidRPr="00383D3F">
        <w:rPr>
          <w:rFonts w:ascii="Times New Roman" w:hAnsi="Times New Roman" w:cs="Times New Roman"/>
          <w:i/>
          <w:sz w:val="24"/>
          <w:szCs w:val="24"/>
        </w:rPr>
        <w:t>Redundancy Q&amp;As</w:t>
      </w:r>
      <w:r w:rsidRPr="00383D3F">
        <w:rPr>
          <w:rFonts w:ascii="Times New Roman" w:hAnsi="Times New Roman" w:cs="Times New Roman"/>
          <w:sz w:val="24"/>
          <w:szCs w:val="24"/>
        </w:rPr>
        <w:t xml:space="preserve">. Available at: </w:t>
      </w:r>
      <w:hyperlink r:id="rId51" w:history="1">
        <w:r w:rsidRPr="00383D3F">
          <w:rPr>
            <w:rStyle w:val="Hyperlink"/>
            <w:rFonts w:ascii="Times New Roman" w:hAnsi="Times New Roman" w:cs="Times New Roman"/>
            <w:sz w:val="24"/>
            <w:szCs w:val="24"/>
          </w:rPr>
          <w:t>https://www.cipd.co.uk/knowledge/fundamentals/emp-law/redundancy/questions</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17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Employment Rights Act 1996</w:t>
      </w:r>
      <w:r>
        <w:rPr>
          <w:rFonts w:ascii="Times New Roman" w:hAnsi="Times New Roman" w:cs="Times New Roman"/>
          <w:i/>
          <w:sz w:val="24"/>
          <w:szCs w:val="24"/>
        </w:rPr>
        <w:t xml:space="preserve">. </w:t>
      </w:r>
      <w:r w:rsidRPr="00383D3F">
        <w:rPr>
          <w:rFonts w:ascii="Times New Roman" w:hAnsi="Times New Roman" w:cs="Times New Roman"/>
          <w:sz w:val="24"/>
          <w:szCs w:val="24"/>
        </w:rPr>
        <w:t xml:space="preserve">Available at: </w:t>
      </w:r>
      <w:hyperlink r:id="rId52" w:history="1">
        <w:r w:rsidRPr="00383D3F">
          <w:rPr>
            <w:rStyle w:val="Hyperlink"/>
            <w:rFonts w:ascii="Times New Roman" w:hAnsi="Times New Roman" w:cs="Times New Roman"/>
            <w:sz w:val="24"/>
            <w:szCs w:val="24"/>
          </w:rPr>
          <w:t>https://www.legislation.gov.uk/ukpga/1996/18/section/139</w:t>
        </w:r>
      </w:hyperlink>
      <w:r w:rsidRPr="00383D3F">
        <w:rPr>
          <w:rFonts w:ascii="Times New Roman" w:hAnsi="Times New Roman" w:cs="Times New Roman"/>
          <w:sz w:val="24"/>
          <w:szCs w:val="24"/>
        </w:rPr>
        <w:t xml:space="preserve"> (Accessed: 17 April 2022)</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Equality Act 2010</w:t>
      </w:r>
      <w:r w:rsidRPr="00383D3F">
        <w:rPr>
          <w:rFonts w:ascii="Times New Roman" w:hAnsi="Times New Roman" w:cs="Times New Roman"/>
          <w:sz w:val="24"/>
          <w:szCs w:val="24"/>
        </w:rPr>
        <w:t xml:space="preserve">. Available at: </w:t>
      </w:r>
      <w:hyperlink r:id="rId53" w:history="1">
        <w:r w:rsidRPr="00383D3F">
          <w:rPr>
            <w:rStyle w:val="Hyperlink"/>
            <w:rFonts w:ascii="Times New Roman" w:hAnsi="Times New Roman" w:cs="Times New Roman"/>
            <w:sz w:val="24"/>
            <w:szCs w:val="24"/>
          </w:rPr>
          <w:t>https://www.legislation.gov.uk/ukpga/2010/15/section/19</w:t>
        </w:r>
      </w:hyperlink>
      <w:r w:rsidRPr="00383D3F">
        <w:rPr>
          <w:rFonts w:ascii="Times New Roman" w:hAnsi="Times New Roman" w:cs="Times New Roman"/>
          <w:sz w:val="24"/>
          <w:szCs w:val="24"/>
        </w:rPr>
        <w:t xml:space="preserve"> (Accessed: 13 April 2022)</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bCs/>
          <w:i/>
          <w:sz w:val="24"/>
          <w:szCs w:val="24"/>
        </w:rPr>
        <w:t>Kellogg Brown &amp; Root (UK) Ltd v Fitton &amp; Ewer</w:t>
      </w:r>
      <w:r w:rsidRPr="00383D3F">
        <w:rPr>
          <w:rFonts w:ascii="Times New Roman" w:hAnsi="Times New Roman" w:cs="Times New Roman"/>
          <w:sz w:val="24"/>
          <w:szCs w:val="24"/>
        </w:rPr>
        <w:t> UKEAT/0205/16/BA (2016)</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King v Eaton Ltd</w:t>
      </w:r>
      <w:r w:rsidRPr="00383D3F">
        <w:rPr>
          <w:rFonts w:ascii="Times New Roman" w:hAnsi="Times New Roman" w:cs="Times New Roman"/>
          <w:sz w:val="24"/>
          <w:szCs w:val="24"/>
        </w:rPr>
        <w:t>. IRLR 199 CS (1996)</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Lewis, D. &amp; </w:t>
      </w:r>
      <w:proofErr w:type="spellStart"/>
      <w:r w:rsidRPr="00383D3F">
        <w:rPr>
          <w:rFonts w:ascii="Times New Roman" w:hAnsi="Times New Roman" w:cs="Times New Roman"/>
          <w:sz w:val="24"/>
          <w:szCs w:val="24"/>
        </w:rPr>
        <w:t>Sargeant</w:t>
      </w:r>
      <w:proofErr w:type="spellEnd"/>
      <w:r w:rsidRPr="00383D3F">
        <w:rPr>
          <w:rFonts w:ascii="Times New Roman" w:hAnsi="Times New Roman" w:cs="Times New Roman"/>
          <w:sz w:val="24"/>
          <w:szCs w:val="24"/>
        </w:rPr>
        <w:t xml:space="preserve">, M., </w:t>
      </w:r>
      <w:r w:rsidRPr="00383D3F">
        <w:rPr>
          <w:rFonts w:ascii="Times New Roman" w:hAnsi="Times New Roman" w:cs="Times New Roman"/>
          <w:i/>
          <w:sz w:val="24"/>
          <w:szCs w:val="24"/>
        </w:rPr>
        <w:t xml:space="preserve">Employment Law </w:t>
      </w:r>
      <w:proofErr w:type="gramStart"/>
      <w:r w:rsidRPr="00383D3F">
        <w:rPr>
          <w:rFonts w:ascii="Times New Roman" w:hAnsi="Times New Roman" w:cs="Times New Roman"/>
          <w:i/>
          <w:sz w:val="24"/>
          <w:szCs w:val="24"/>
        </w:rPr>
        <w:t>The</w:t>
      </w:r>
      <w:proofErr w:type="gramEnd"/>
      <w:r w:rsidRPr="00383D3F">
        <w:rPr>
          <w:rFonts w:ascii="Times New Roman" w:hAnsi="Times New Roman" w:cs="Times New Roman"/>
          <w:i/>
          <w:sz w:val="24"/>
          <w:szCs w:val="24"/>
        </w:rPr>
        <w:t xml:space="preserve"> Essential</w:t>
      </w:r>
      <w:r w:rsidRPr="00383D3F">
        <w:rPr>
          <w:rFonts w:ascii="Times New Roman" w:hAnsi="Times New Roman" w:cs="Times New Roman"/>
          <w:sz w:val="24"/>
          <w:szCs w:val="24"/>
        </w:rPr>
        <w:t>, Kogan Page, London, 2020</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 xml:space="preserve">London Borough of Hillingdon v </w:t>
      </w:r>
      <w:proofErr w:type="spellStart"/>
      <w:r w:rsidRPr="00383D3F">
        <w:rPr>
          <w:rFonts w:ascii="Times New Roman" w:hAnsi="Times New Roman" w:cs="Times New Roman"/>
          <w:i/>
          <w:sz w:val="24"/>
          <w:szCs w:val="24"/>
        </w:rPr>
        <w:t>Gormanley</w:t>
      </w:r>
      <w:proofErr w:type="spellEnd"/>
      <w:r w:rsidRPr="00383D3F">
        <w:rPr>
          <w:rFonts w:ascii="Times New Roman" w:hAnsi="Times New Roman" w:cs="Times New Roman"/>
          <w:i/>
          <w:sz w:val="24"/>
          <w:szCs w:val="24"/>
        </w:rPr>
        <w:t xml:space="preserve"> &amp; </w:t>
      </w:r>
      <w:proofErr w:type="spellStart"/>
      <w:r w:rsidRPr="00383D3F">
        <w:rPr>
          <w:rFonts w:ascii="Times New Roman" w:hAnsi="Times New Roman" w:cs="Times New Roman"/>
          <w:i/>
          <w:sz w:val="24"/>
          <w:szCs w:val="24"/>
        </w:rPr>
        <w:t>Ors</w:t>
      </w:r>
      <w:proofErr w:type="spellEnd"/>
      <w:r w:rsidRPr="00383D3F">
        <w:rPr>
          <w:rFonts w:ascii="Times New Roman" w:hAnsi="Times New Roman" w:cs="Times New Roman"/>
          <w:sz w:val="24"/>
          <w:szCs w:val="24"/>
        </w:rPr>
        <w:t xml:space="preserve"> UKEAT 0169_14_1912 (2014)</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Norman v National Audit Office</w:t>
      </w:r>
      <w:r w:rsidRPr="00383D3F">
        <w:rPr>
          <w:rFonts w:ascii="Times New Roman" w:hAnsi="Times New Roman" w:cs="Times New Roman"/>
          <w:sz w:val="24"/>
          <w:szCs w:val="24"/>
        </w:rPr>
        <w:t xml:space="preserve"> UKEAT/0276/14/BA (2014)</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i/>
          <w:sz w:val="24"/>
          <w:szCs w:val="24"/>
        </w:rPr>
        <w:t>Optare</w:t>
      </w:r>
      <w:proofErr w:type="spellEnd"/>
      <w:r w:rsidRPr="00383D3F">
        <w:rPr>
          <w:rFonts w:ascii="Times New Roman" w:hAnsi="Times New Roman" w:cs="Times New Roman"/>
          <w:i/>
          <w:sz w:val="24"/>
          <w:szCs w:val="24"/>
        </w:rPr>
        <w:t xml:space="preserve"> Group plc v TGWU</w:t>
      </w:r>
      <w:r w:rsidRPr="00383D3F">
        <w:rPr>
          <w:rFonts w:ascii="Times New Roman" w:hAnsi="Times New Roman" w:cs="Times New Roman"/>
          <w:sz w:val="24"/>
          <w:szCs w:val="24"/>
        </w:rPr>
        <w:t xml:space="preserve"> IRLR 931 (2007)</w:t>
      </w:r>
    </w:p>
    <w:p w:rsidR="00AE4F38" w:rsidRPr="00383D3F" w:rsidRDefault="00AE4F38" w:rsidP="00AE4F38">
      <w:pPr>
        <w:pStyle w:val="FootnoteText"/>
        <w:rPr>
          <w:rFonts w:ascii="Times New Roman" w:hAnsi="Times New Roman" w:cs="Times New Roman"/>
          <w:i/>
          <w:iCs/>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People Management (2021) </w:t>
      </w:r>
      <w:r w:rsidRPr="00383D3F">
        <w:rPr>
          <w:rFonts w:ascii="Times New Roman" w:hAnsi="Times New Roman" w:cs="Times New Roman"/>
          <w:i/>
          <w:sz w:val="24"/>
          <w:szCs w:val="24"/>
        </w:rPr>
        <w:t>Labour party calls for ‘fire and rehire’ tactics to be outlawed</w:t>
      </w:r>
      <w:r w:rsidRPr="00383D3F">
        <w:rPr>
          <w:rFonts w:ascii="Times New Roman" w:hAnsi="Times New Roman" w:cs="Times New Roman"/>
          <w:sz w:val="24"/>
          <w:szCs w:val="24"/>
        </w:rPr>
        <w:t xml:space="preserve">. Available at: </w:t>
      </w:r>
      <w:hyperlink r:id="rId54" w:anchor="_ga=2.6200250.803852503.1650197266-1245523057.1646902237" w:history="1">
        <w:r w:rsidRPr="00383D3F">
          <w:rPr>
            <w:rStyle w:val="Hyperlink"/>
            <w:rFonts w:ascii="Times New Roman" w:hAnsi="Times New Roman" w:cs="Times New Roman"/>
            <w:sz w:val="24"/>
            <w:szCs w:val="24"/>
          </w:rPr>
          <w:t>https://www.peoplemanagement.co.uk/article/1747226/labour-party-calls-for-fire-and-rehire-tactics-to-be-outlawed#_ga=2.6200250.803852503.1650197266-1245523057.1646902237</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22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People Management (2022) </w:t>
      </w:r>
      <w:r w:rsidRPr="00383D3F">
        <w:rPr>
          <w:rFonts w:ascii="Times New Roman" w:hAnsi="Times New Roman" w:cs="Times New Roman"/>
          <w:i/>
          <w:sz w:val="24"/>
          <w:szCs w:val="24"/>
        </w:rPr>
        <w:t xml:space="preserve">P&amp;O Sackings: Is ferry operator’s decision legal? </w:t>
      </w:r>
      <w:r w:rsidRPr="00383D3F">
        <w:rPr>
          <w:rFonts w:ascii="Times New Roman" w:hAnsi="Times New Roman" w:cs="Times New Roman"/>
          <w:sz w:val="24"/>
          <w:szCs w:val="24"/>
        </w:rPr>
        <w:t xml:space="preserve">Available at:  </w:t>
      </w:r>
      <w:hyperlink r:id="rId55" w:history="1">
        <w:r w:rsidRPr="00383D3F">
          <w:rPr>
            <w:rStyle w:val="Hyperlink"/>
            <w:rFonts w:ascii="Times New Roman" w:hAnsi="Times New Roman" w:cs="Times New Roman"/>
            <w:sz w:val="24"/>
            <w:szCs w:val="24"/>
          </w:rPr>
          <w:t>https://www.peoplemanagement.co.uk/article/1751838/p-o-sackings-ferry-operators-decision-legal</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20 April 2022)</w:t>
      </w:r>
    </w:p>
    <w:p w:rsidR="00AE4F38" w:rsidRDefault="00AE4F38" w:rsidP="00AE4F38">
      <w:pPr>
        <w:pStyle w:val="FootnoteText"/>
        <w:rPr>
          <w:rFonts w:ascii="Times New Roman" w:hAnsi="Times New Roman" w:cs="Times New Roman"/>
          <w:i/>
          <w:iCs/>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iCs/>
          <w:sz w:val="24"/>
          <w:szCs w:val="24"/>
        </w:rPr>
        <w:t>Rolls-Royce Plc v Unite the Union</w:t>
      </w:r>
      <w:r w:rsidRPr="00383D3F">
        <w:rPr>
          <w:rFonts w:ascii="Times New Roman" w:hAnsi="Times New Roman" w:cs="Times New Roman"/>
          <w:iCs/>
          <w:sz w:val="24"/>
          <w:szCs w:val="24"/>
        </w:rPr>
        <w:t xml:space="preserve"> EWCA </w:t>
      </w:r>
      <w:proofErr w:type="spellStart"/>
      <w:r w:rsidRPr="00383D3F">
        <w:rPr>
          <w:rFonts w:ascii="Times New Roman" w:hAnsi="Times New Roman" w:cs="Times New Roman"/>
          <w:iCs/>
          <w:sz w:val="24"/>
          <w:szCs w:val="24"/>
        </w:rPr>
        <w:t>Civ</w:t>
      </w:r>
      <w:proofErr w:type="spellEnd"/>
      <w:r w:rsidRPr="00383D3F">
        <w:rPr>
          <w:rFonts w:ascii="Times New Roman" w:hAnsi="Times New Roman" w:cs="Times New Roman"/>
          <w:iCs/>
          <w:sz w:val="24"/>
          <w:szCs w:val="24"/>
        </w:rPr>
        <w:t xml:space="preserve"> 387 (2009)</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Royal Mail Group Ltd v Communication Workers Union</w:t>
      </w:r>
      <w:r w:rsidRPr="00383D3F">
        <w:rPr>
          <w:rFonts w:ascii="Times New Roman" w:hAnsi="Times New Roman" w:cs="Times New Roman"/>
          <w:sz w:val="24"/>
          <w:szCs w:val="24"/>
        </w:rPr>
        <w:t xml:space="preserve"> EWCA </w:t>
      </w:r>
      <w:proofErr w:type="spellStart"/>
      <w:r w:rsidRPr="00383D3F">
        <w:rPr>
          <w:rFonts w:ascii="Times New Roman" w:hAnsi="Times New Roman" w:cs="Times New Roman"/>
          <w:sz w:val="24"/>
          <w:szCs w:val="24"/>
        </w:rPr>
        <w:t>Civ</w:t>
      </w:r>
      <w:proofErr w:type="spellEnd"/>
      <w:r w:rsidRPr="00383D3F">
        <w:rPr>
          <w:rFonts w:ascii="Times New Roman" w:hAnsi="Times New Roman" w:cs="Times New Roman"/>
          <w:sz w:val="24"/>
          <w:szCs w:val="24"/>
        </w:rPr>
        <w:t xml:space="preserve"> 1045 CA (2009)</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proofErr w:type="spellStart"/>
      <w:r w:rsidRPr="00383D3F">
        <w:rPr>
          <w:rFonts w:ascii="Times New Roman" w:hAnsi="Times New Roman" w:cs="Times New Roman"/>
          <w:i/>
          <w:sz w:val="24"/>
          <w:szCs w:val="24"/>
        </w:rPr>
        <w:t>Seawell</w:t>
      </w:r>
      <w:proofErr w:type="spellEnd"/>
      <w:r w:rsidRPr="00383D3F">
        <w:rPr>
          <w:rFonts w:ascii="Times New Roman" w:hAnsi="Times New Roman" w:cs="Times New Roman"/>
          <w:i/>
          <w:sz w:val="24"/>
          <w:szCs w:val="24"/>
        </w:rPr>
        <w:t xml:space="preserve"> Ltd. v </w:t>
      </w:r>
      <w:proofErr w:type="spellStart"/>
      <w:r w:rsidRPr="00383D3F">
        <w:rPr>
          <w:rFonts w:ascii="Times New Roman" w:hAnsi="Times New Roman" w:cs="Times New Roman"/>
          <w:i/>
          <w:sz w:val="24"/>
          <w:szCs w:val="24"/>
        </w:rPr>
        <w:t>Ceva</w:t>
      </w:r>
      <w:proofErr w:type="spellEnd"/>
      <w:r w:rsidRPr="00383D3F">
        <w:rPr>
          <w:rFonts w:ascii="Times New Roman" w:hAnsi="Times New Roman" w:cs="Times New Roman"/>
          <w:i/>
          <w:sz w:val="24"/>
          <w:szCs w:val="24"/>
        </w:rPr>
        <w:t xml:space="preserve"> Freight (UK) Ltd</w:t>
      </w:r>
      <w:r w:rsidRPr="00383D3F">
        <w:rPr>
          <w:rFonts w:ascii="Times New Roman" w:hAnsi="Times New Roman" w:cs="Times New Roman"/>
          <w:sz w:val="24"/>
          <w:szCs w:val="24"/>
        </w:rPr>
        <w:t xml:space="preserve"> IRLR 76 (2013)</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 xml:space="preserve">The Collective Redundancies and Transfer of Undertakings (Protection of </w:t>
      </w:r>
      <w:proofErr w:type="gramStart"/>
      <w:r w:rsidRPr="00383D3F">
        <w:rPr>
          <w:rFonts w:ascii="Times New Roman" w:hAnsi="Times New Roman" w:cs="Times New Roman"/>
          <w:i/>
          <w:sz w:val="24"/>
          <w:szCs w:val="24"/>
        </w:rPr>
        <w:t>Employment)(</w:t>
      </w:r>
      <w:proofErr w:type="gramEnd"/>
      <w:r w:rsidRPr="00383D3F">
        <w:rPr>
          <w:rFonts w:ascii="Times New Roman" w:hAnsi="Times New Roman" w:cs="Times New Roman"/>
          <w:i/>
          <w:sz w:val="24"/>
          <w:szCs w:val="24"/>
        </w:rPr>
        <w:t>Amendment) Regulations 2014</w:t>
      </w:r>
      <w:r>
        <w:rPr>
          <w:rFonts w:ascii="Times New Roman" w:hAnsi="Times New Roman" w:cs="Times New Roman"/>
          <w:i/>
          <w:sz w:val="24"/>
          <w:szCs w:val="24"/>
        </w:rPr>
        <w:t xml:space="preserve">. </w:t>
      </w:r>
      <w:r w:rsidRPr="00383D3F">
        <w:rPr>
          <w:rFonts w:ascii="Times New Roman" w:hAnsi="Times New Roman" w:cs="Times New Roman"/>
          <w:sz w:val="24"/>
          <w:szCs w:val="24"/>
        </w:rPr>
        <w:t xml:space="preserve">Available at: </w:t>
      </w:r>
      <w:hyperlink r:id="rId56" w:history="1">
        <w:r w:rsidRPr="00383D3F">
          <w:rPr>
            <w:rStyle w:val="Hyperlink"/>
            <w:rFonts w:ascii="Times New Roman" w:hAnsi="Times New Roman" w:cs="Times New Roman"/>
            <w:sz w:val="24"/>
            <w:szCs w:val="24"/>
          </w:rPr>
          <w:t>https://www.legislation.gov.uk/uksi/2014/16/regulation/5/made</w:t>
        </w:r>
      </w:hyperlink>
      <w:r w:rsidRPr="00383D3F">
        <w:rPr>
          <w:rFonts w:ascii="Times New Roman" w:hAnsi="Times New Roman" w:cs="Times New Roman"/>
          <w:sz w:val="24"/>
          <w:szCs w:val="24"/>
        </w:rPr>
        <w:t xml:space="preserve"> (Accessed: 17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hyperlink r:id="rId57" w:history="1">
        <w:r w:rsidRPr="00383D3F">
          <w:rPr>
            <w:rFonts w:ascii="Times New Roman" w:hAnsi="Times New Roman" w:cs="Times New Roman"/>
            <w:i/>
            <w:sz w:val="24"/>
            <w:szCs w:val="24"/>
          </w:rPr>
          <w:t>Thomas v BNP Paribas Real Estate Advisory and Property Management UK Ltd</w:t>
        </w:r>
        <w:r w:rsidRPr="00383D3F">
          <w:rPr>
            <w:rFonts w:ascii="Times New Roman" w:hAnsi="Times New Roman" w:cs="Times New Roman"/>
            <w:sz w:val="24"/>
            <w:szCs w:val="24"/>
          </w:rPr>
          <w:t xml:space="preserve"> UKEAT/0134/16/JOJ</w:t>
        </w:r>
      </w:hyperlink>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Trade Union and Labour Relations (Consolidation) Act 1992</w:t>
      </w:r>
      <w:r>
        <w:rPr>
          <w:rFonts w:ascii="Times New Roman" w:hAnsi="Times New Roman" w:cs="Times New Roman"/>
          <w:i/>
          <w:sz w:val="24"/>
          <w:szCs w:val="24"/>
        </w:rPr>
        <w:t xml:space="preserve">. </w:t>
      </w:r>
      <w:r w:rsidRPr="00383D3F">
        <w:rPr>
          <w:rFonts w:ascii="Times New Roman" w:hAnsi="Times New Roman" w:cs="Times New Roman"/>
          <w:sz w:val="24"/>
          <w:szCs w:val="24"/>
        </w:rPr>
        <w:t xml:space="preserve">Available at: </w:t>
      </w:r>
      <w:hyperlink r:id="rId58" w:history="1">
        <w:r w:rsidRPr="00383D3F">
          <w:rPr>
            <w:rStyle w:val="Hyperlink"/>
            <w:rFonts w:ascii="Times New Roman" w:hAnsi="Times New Roman" w:cs="Times New Roman"/>
            <w:sz w:val="24"/>
            <w:szCs w:val="24"/>
          </w:rPr>
          <w:t>https://www.legislation.gov.uk/ukpga/1992/52/part/I/chapter/II</w:t>
        </w:r>
      </w:hyperlink>
      <w:r w:rsidRPr="00383D3F">
        <w:rPr>
          <w:rFonts w:ascii="Times New Roman" w:hAnsi="Times New Roman" w:cs="Times New Roman"/>
          <w:sz w:val="24"/>
          <w:szCs w:val="24"/>
        </w:rPr>
        <w:t xml:space="preserve"> (Accessed: 13 April 2022)</w:t>
      </w:r>
    </w:p>
    <w:p w:rsidR="00AE4F38" w:rsidRPr="00383D3F" w:rsidRDefault="00AE4F38" w:rsidP="00AE4F38">
      <w:pPr>
        <w:pStyle w:val="FootnoteText"/>
        <w:rPr>
          <w:rFonts w:ascii="Times New Roman" w:hAnsi="Times New Roman" w:cs="Times New Roman"/>
          <w:i/>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i/>
          <w:sz w:val="24"/>
          <w:szCs w:val="24"/>
        </w:rPr>
        <w:t>Transfer of Undertakings (Protection of Employment) Regulations</w:t>
      </w:r>
      <w:r w:rsidRPr="00383D3F">
        <w:rPr>
          <w:rFonts w:ascii="Times New Roman" w:hAnsi="Times New Roman" w:cs="Times New Roman"/>
          <w:sz w:val="24"/>
          <w:szCs w:val="24"/>
        </w:rPr>
        <w:t xml:space="preserve"> </w:t>
      </w:r>
      <w:r w:rsidRPr="00383D3F">
        <w:rPr>
          <w:rFonts w:ascii="Times New Roman" w:hAnsi="Times New Roman" w:cs="Times New Roman"/>
          <w:i/>
          <w:sz w:val="24"/>
          <w:szCs w:val="24"/>
        </w:rPr>
        <w:t>2006</w:t>
      </w:r>
      <w:r w:rsidRPr="00383D3F">
        <w:rPr>
          <w:rFonts w:ascii="Times New Roman" w:hAnsi="Times New Roman" w:cs="Times New Roman"/>
          <w:sz w:val="24"/>
          <w:szCs w:val="24"/>
        </w:rPr>
        <w:t xml:space="preserve">. Available at: </w:t>
      </w:r>
      <w:hyperlink r:id="rId59" w:history="1">
        <w:r w:rsidRPr="00383D3F">
          <w:rPr>
            <w:rStyle w:val="Hyperlink"/>
            <w:rFonts w:ascii="Times New Roman" w:hAnsi="Times New Roman" w:cs="Times New Roman"/>
            <w:sz w:val="24"/>
            <w:szCs w:val="24"/>
          </w:rPr>
          <w:t>https://www.legislation.gov.uk/en/uksi/2006/246/made</w:t>
        </w:r>
      </w:hyperlink>
      <w:r w:rsidRPr="00383D3F">
        <w:rPr>
          <w:rFonts w:ascii="Times New Roman" w:hAnsi="Times New Roman" w:cs="Times New Roman"/>
          <w:sz w:val="24"/>
          <w:szCs w:val="24"/>
        </w:rPr>
        <w:t xml:space="preserve"> (Accessed: 13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UK Government (2022) </w:t>
      </w:r>
      <w:r w:rsidRPr="00383D3F">
        <w:rPr>
          <w:rFonts w:ascii="Times New Roman" w:hAnsi="Times New Roman" w:cs="Times New Roman"/>
          <w:i/>
          <w:sz w:val="24"/>
          <w:szCs w:val="24"/>
        </w:rPr>
        <w:t xml:space="preserve">Dismissing Staff. </w:t>
      </w:r>
      <w:r w:rsidRPr="00383D3F">
        <w:rPr>
          <w:rFonts w:ascii="Times New Roman" w:hAnsi="Times New Roman" w:cs="Times New Roman"/>
          <w:sz w:val="24"/>
          <w:szCs w:val="24"/>
        </w:rPr>
        <w:t xml:space="preserve">Available at: </w:t>
      </w:r>
      <w:hyperlink r:id="rId60" w:history="1">
        <w:r w:rsidRPr="00383D3F">
          <w:rPr>
            <w:rStyle w:val="Hyperlink"/>
            <w:rFonts w:ascii="Times New Roman" w:hAnsi="Times New Roman" w:cs="Times New Roman"/>
            <w:sz w:val="24"/>
            <w:szCs w:val="24"/>
          </w:rPr>
          <w:t>https://www.gov.uk/dismiss-staff/eligibility-to-claim-unfair-dismissal</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17 April 2022)</w:t>
      </w:r>
    </w:p>
    <w:p w:rsidR="00AE4F38" w:rsidRPr="00383D3F" w:rsidRDefault="00AE4F38" w:rsidP="00AE4F38">
      <w:pPr>
        <w:pStyle w:val="FootnoteText"/>
        <w:rPr>
          <w:rFonts w:ascii="Times New Roman" w:hAnsi="Times New Roman" w:cs="Times New Roman"/>
          <w:sz w:val="24"/>
          <w:szCs w:val="24"/>
        </w:rPr>
      </w:pPr>
    </w:p>
    <w:p w:rsidR="00AE4F38" w:rsidRPr="00383D3F" w:rsidRDefault="00AE4F38" w:rsidP="00AE4F38">
      <w:pPr>
        <w:pStyle w:val="FootnoteText"/>
        <w:rPr>
          <w:rFonts w:ascii="Times New Roman" w:hAnsi="Times New Roman" w:cs="Times New Roman"/>
          <w:sz w:val="24"/>
          <w:szCs w:val="24"/>
        </w:rPr>
      </w:pPr>
      <w:r w:rsidRPr="00383D3F">
        <w:rPr>
          <w:rFonts w:ascii="Times New Roman" w:hAnsi="Times New Roman" w:cs="Times New Roman"/>
          <w:sz w:val="24"/>
          <w:szCs w:val="24"/>
        </w:rPr>
        <w:t xml:space="preserve">UK Government (2022) </w:t>
      </w:r>
      <w:r w:rsidRPr="00383D3F">
        <w:rPr>
          <w:rFonts w:ascii="Times New Roman" w:hAnsi="Times New Roman" w:cs="Times New Roman"/>
          <w:i/>
          <w:sz w:val="24"/>
          <w:szCs w:val="24"/>
        </w:rPr>
        <w:t>New statutory code to prevent unscrupulous employers using fire and rehire tactics</w:t>
      </w:r>
      <w:r w:rsidRPr="00383D3F">
        <w:rPr>
          <w:rFonts w:ascii="Times New Roman" w:hAnsi="Times New Roman" w:cs="Times New Roman"/>
          <w:sz w:val="24"/>
          <w:szCs w:val="24"/>
        </w:rPr>
        <w:t xml:space="preserve">, Available at: </w:t>
      </w:r>
      <w:hyperlink r:id="rId61" w:history="1">
        <w:r w:rsidRPr="00383D3F">
          <w:rPr>
            <w:rStyle w:val="Hyperlink"/>
            <w:rFonts w:ascii="Times New Roman" w:hAnsi="Times New Roman" w:cs="Times New Roman"/>
            <w:sz w:val="24"/>
            <w:szCs w:val="24"/>
          </w:rPr>
          <w:t>https://www.gov.uk/government/news/new-statutory-code-to-prevent-unscrupulous-employers-using-fire-and-rehire-tactics</w:t>
        </w:r>
      </w:hyperlink>
      <w:r w:rsidRPr="00383D3F">
        <w:rPr>
          <w:rFonts w:ascii="Times New Roman" w:hAnsi="Times New Roman" w:cs="Times New Roman"/>
          <w:sz w:val="24"/>
          <w:szCs w:val="24"/>
        </w:rPr>
        <w:t xml:space="preserve"> (</w:t>
      </w:r>
      <w:r>
        <w:rPr>
          <w:rFonts w:ascii="Times New Roman" w:hAnsi="Times New Roman" w:cs="Times New Roman"/>
          <w:sz w:val="24"/>
          <w:szCs w:val="24"/>
        </w:rPr>
        <w:t>A</w:t>
      </w:r>
      <w:r w:rsidRPr="00383D3F">
        <w:rPr>
          <w:rFonts w:ascii="Times New Roman" w:hAnsi="Times New Roman" w:cs="Times New Roman"/>
          <w:sz w:val="24"/>
          <w:szCs w:val="24"/>
        </w:rPr>
        <w:t>ccessed: 22 April 2022)</w:t>
      </w:r>
      <w:bookmarkStart w:id="8" w:name="_GoBack"/>
      <w:bookmarkEnd w:id="8"/>
    </w:p>
    <w:sectPr w:rsidR="00AE4F38" w:rsidRPr="00383D3F">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E4F38" w:rsidRDefault="00AE4F38" w:rsidP="00AE4F38">
      <w:pPr>
        <w:spacing w:after="0" w:line="240" w:lineRule="auto"/>
      </w:pPr>
      <w:r>
        <w:separator/>
      </w:r>
    </w:p>
  </w:endnote>
  <w:endnote w:type="continuationSeparator" w:id="0">
    <w:p w:rsidR="00AE4F38" w:rsidRDefault="00AE4F38" w:rsidP="00AE4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1890268"/>
      <w:docPartObj>
        <w:docPartGallery w:val="Page Numbers (Bottom of Page)"/>
        <w:docPartUnique/>
      </w:docPartObj>
    </w:sdtPr>
    <w:sdtEndPr>
      <w:rPr>
        <w:noProof/>
      </w:rPr>
    </w:sdtEndPr>
    <w:sdtContent>
      <w:p w:rsidR="00AE4F38" w:rsidRDefault="00AE4F38">
        <w:pPr>
          <w:pStyle w:val="Footer"/>
        </w:pPr>
      </w:p>
      <w:p w:rsidR="00AE4F38" w:rsidRDefault="00AE4F38">
        <w:pPr>
          <w:pStyle w:val="Footer"/>
        </w:pPr>
        <w:r>
          <w:fldChar w:fldCharType="begin"/>
        </w:r>
        <w:r>
          <w:instrText xml:space="preserve"> PAGE   \* MERGEFORMAT </w:instrText>
        </w:r>
        <w:r>
          <w:fldChar w:fldCharType="separate"/>
        </w:r>
        <w:r>
          <w:rPr>
            <w:noProof/>
          </w:rPr>
          <w:t>2</w:t>
        </w:r>
        <w:r>
          <w:rPr>
            <w:noProof/>
          </w:rPr>
          <w:fldChar w:fldCharType="end"/>
        </w:r>
      </w:p>
    </w:sdtContent>
  </w:sdt>
  <w:p w:rsidR="00AE4F38" w:rsidRDefault="00AE4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E4F38" w:rsidRDefault="00AE4F38" w:rsidP="00AE4F38">
      <w:pPr>
        <w:spacing w:after="0" w:line="240" w:lineRule="auto"/>
      </w:pPr>
      <w:r>
        <w:separator/>
      </w:r>
    </w:p>
  </w:footnote>
  <w:footnote w:type="continuationSeparator" w:id="0">
    <w:p w:rsidR="00AE4F38" w:rsidRDefault="00AE4F38" w:rsidP="00AE4F38">
      <w:pPr>
        <w:spacing w:after="0" w:line="240" w:lineRule="auto"/>
      </w:pPr>
      <w:r>
        <w:continuationSeparator/>
      </w:r>
    </w:p>
  </w:footnote>
  <w:footnote w:id="1">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Transfer of Undertakings (Protection of Employment) Regulations 2006 [TUPE Regulations 2006]</w:t>
      </w:r>
    </w:p>
  </w:footnote>
  <w:footnote w:id="2">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S3(1)(a)</w:t>
      </w:r>
    </w:p>
  </w:footnote>
  <w:footnote w:id="3">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S3(1)(b)</w:t>
      </w:r>
    </w:p>
  </w:footnote>
  <w:footnote w:id="4">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S3(1)(b)(iii)</w:t>
      </w:r>
    </w:p>
  </w:footnote>
  <w:footnote w:id="5">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S3(3)(a)</w:t>
      </w:r>
    </w:p>
  </w:footnote>
  <w:footnote w:id="6">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i/>
        </w:rPr>
        <w:t>Seawell</w:t>
      </w:r>
      <w:proofErr w:type="spellEnd"/>
      <w:r w:rsidRPr="007E081B">
        <w:rPr>
          <w:rFonts w:ascii="Times New Roman" w:hAnsi="Times New Roman" w:cs="Times New Roman"/>
          <w:i/>
        </w:rPr>
        <w:t xml:space="preserve"> Ltd. v </w:t>
      </w:r>
      <w:proofErr w:type="spellStart"/>
      <w:r w:rsidRPr="007E081B">
        <w:rPr>
          <w:rFonts w:ascii="Times New Roman" w:hAnsi="Times New Roman" w:cs="Times New Roman"/>
          <w:i/>
        </w:rPr>
        <w:t>Ceva</w:t>
      </w:r>
      <w:proofErr w:type="spellEnd"/>
      <w:r w:rsidRPr="007E081B">
        <w:rPr>
          <w:rFonts w:ascii="Times New Roman" w:hAnsi="Times New Roman" w:cs="Times New Roman"/>
          <w:i/>
        </w:rPr>
        <w:t xml:space="preserve"> Freight (UK) Ltd</w:t>
      </w:r>
      <w:r w:rsidRPr="007E081B">
        <w:rPr>
          <w:rFonts w:ascii="Times New Roman" w:hAnsi="Times New Roman" w:cs="Times New Roman"/>
        </w:rPr>
        <w:t xml:space="preserve"> [2013] IRLR 76</w:t>
      </w:r>
    </w:p>
  </w:footnote>
  <w:footnote w:id="7">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S3(3)(a)(ii)</w:t>
      </w:r>
    </w:p>
  </w:footnote>
  <w:footnote w:id="8">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The Collective Redundancies and Transfer of Undertakings (Protection of </w:t>
      </w:r>
      <w:proofErr w:type="gramStart"/>
      <w:r w:rsidRPr="007E081B">
        <w:rPr>
          <w:rFonts w:ascii="Times New Roman" w:hAnsi="Times New Roman" w:cs="Times New Roman"/>
        </w:rPr>
        <w:t>Employment)(</w:t>
      </w:r>
      <w:proofErr w:type="gramEnd"/>
      <w:r w:rsidRPr="007E081B">
        <w:rPr>
          <w:rFonts w:ascii="Times New Roman" w:hAnsi="Times New Roman" w:cs="Times New Roman"/>
        </w:rPr>
        <w:t>Amendment) Regulations 2014, Regulation 5</w:t>
      </w:r>
    </w:p>
  </w:footnote>
  <w:footnote w:id="9">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CIPD, A guide to TUPE Transfers, </w:t>
      </w:r>
      <w:r w:rsidRPr="007E081B">
        <w:rPr>
          <w:rFonts w:ascii="Times New Roman" w:hAnsi="Times New Roman" w:cs="Times New Roman"/>
          <w:i/>
        </w:rPr>
        <w:t xml:space="preserve">CIPD Web site, </w:t>
      </w:r>
      <w:r w:rsidRPr="007E081B">
        <w:rPr>
          <w:rFonts w:ascii="Times New Roman" w:hAnsi="Times New Roman" w:cs="Times New Roman"/>
        </w:rPr>
        <w:t xml:space="preserve">London, CIPD, 2022, p.2, </w:t>
      </w:r>
      <w:hyperlink r:id="rId1" w:history="1">
        <w:r w:rsidRPr="007E081B">
          <w:rPr>
            <w:rStyle w:val="Hyperlink"/>
            <w:rFonts w:ascii="Times New Roman" w:hAnsi="Times New Roman" w:cs="Times New Roman"/>
          </w:rPr>
          <w:t>https://www.cipd.co.uk/Images/8208-a-guide-to-tupe-transfers-web_tcm18-44310.pdf</w:t>
        </w:r>
      </w:hyperlink>
      <w:r w:rsidRPr="007E081B">
        <w:rPr>
          <w:rFonts w:ascii="Times New Roman" w:hAnsi="Times New Roman" w:cs="Times New Roman"/>
        </w:rPr>
        <w:t xml:space="preserve"> (accessed 3 April 2022)</w:t>
      </w:r>
    </w:p>
  </w:footnote>
  <w:footnote w:id="10">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r w:rsidRPr="007E081B">
        <w:rPr>
          <w:rFonts w:ascii="Times New Roman" w:hAnsi="Times New Roman" w:cs="Times New Roman"/>
          <w:color w:val="000000"/>
        </w:rPr>
        <w:t> </w:t>
      </w:r>
      <w:r w:rsidRPr="007E081B">
        <w:rPr>
          <w:rFonts w:ascii="Times New Roman" w:hAnsi="Times New Roman" w:cs="Times New Roman"/>
          <w:i/>
        </w:rPr>
        <w:t xml:space="preserve">London Borough of Hillingdon v </w:t>
      </w:r>
      <w:proofErr w:type="spellStart"/>
      <w:r w:rsidRPr="007E081B">
        <w:rPr>
          <w:rFonts w:ascii="Times New Roman" w:hAnsi="Times New Roman" w:cs="Times New Roman"/>
          <w:i/>
        </w:rPr>
        <w:t>Gormanley</w:t>
      </w:r>
      <w:proofErr w:type="spellEnd"/>
      <w:r w:rsidRPr="007E081B">
        <w:rPr>
          <w:rFonts w:ascii="Times New Roman" w:hAnsi="Times New Roman" w:cs="Times New Roman"/>
          <w:i/>
        </w:rPr>
        <w:t xml:space="preserve"> &amp; </w:t>
      </w:r>
      <w:proofErr w:type="spellStart"/>
      <w:r w:rsidRPr="007E081B">
        <w:rPr>
          <w:rFonts w:ascii="Times New Roman" w:hAnsi="Times New Roman" w:cs="Times New Roman"/>
          <w:i/>
        </w:rPr>
        <w:t>Ors</w:t>
      </w:r>
      <w:proofErr w:type="spellEnd"/>
      <w:r w:rsidRPr="007E081B">
        <w:rPr>
          <w:rFonts w:ascii="Times New Roman" w:hAnsi="Times New Roman" w:cs="Times New Roman"/>
        </w:rPr>
        <w:t xml:space="preserve"> [2014] UKEAT 0169_14_1912</w:t>
      </w:r>
    </w:p>
  </w:footnote>
  <w:footnote w:id="11">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r w:rsidRPr="007E081B">
        <w:rPr>
          <w:rFonts w:ascii="Times New Roman" w:hAnsi="Times New Roman" w:cs="Times New Roman"/>
          <w:i/>
        </w:rPr>
        <w:t>Royal Mail Group Ltd v Communication Workers Union</w:t>
      </w:r>
      <w:r w:rsidRPr="007E081B">
        <w:rPr>
          <w:rFonts w:ascii="Times New Roman" w:hAnsi="Times New Roman" w:cs="Times New Roman"/>
        </w:rPr>
        <w:t xml:space="preserve"> [2009] EWCA </w:t>
      </w:r>
      <w:proofErr w:type="spellStart"/>
      <w:r w:rsidRPr="007E081B">
        <w:rPr>
          <w:rFonts w:ascii="Times New Roman" w:hAnsi="Times New Roman" w:cs="Times New Roman"/>
        </w:rPr>
        <w:t>Civ</w:t>
      </w:r>
      <w:proofErr w:type="spellEnd"/>
      <w:r w:rsidRPr="007E081B">
        <w:rPr>
          <w:rFonts w:ascii="Times New Roman" w:hAnsi="Times New Roman" w:cs="Times New Roman"/>
        </w:rPr>
        <w:t xml:space="preserve"> 1045 CA</w:t>
      </w:r>
    </w:p>
  </w:footnote>
  <w:footnote w:id="12">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S13</w:t>
      </w:r>
    </w:p>
  </w:footnote>
  <w:footnote w:id="13">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S13(2)(a)</w:t>
      </w:r>
    </w:p>
  </w:footnote>
  <w:footnote w:id="14">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Legal implications could include impact on employees’ rights, both contractual and statutory.</w:t>
      </w:r>
    </w:p>
  </w:footnote>
  <w:footnote w:id="15">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Economic implications could include impact on employees’ pay and benefits.</w:t>
      </w:r>
    </w:p>
  </w:footnote>
  <w:footnote w:id="16">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Social implications could include change in working hours and potential relocation of the organisation.</w:t>
      </w:r>
    </w:p>
  </w:footnote>
  <w:footnote w:id="17">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S13(2)(b)</w:t>
      </w:r>
    </w:p>
  </w:footnote>
  <w:footnote w:id="18">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S13(2)(c)</w:t>
      </w:r>
    </w:p>
  </w:footnote>
  <w:footnote w:id="19">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S13(2)</w:t>
      </w:r>
    </w:p>
  </w:footnote>
  <w:footnote w:id="20">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S13(3)(a)</w:t>
      </w:r>
    </w:p>
  </w:footnote>
  <w:footnote w:id="21">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BBL will need to inform and consult with the IWU, whilst Illuminate will need to do the same with the Federation of Electrical Workers (FEW)</w:t>
      </w:r>
    </w:p>
  </w:footnote>
  <w:footnote w:id="22">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S13(3)(b)</w:t>
      </w:r>
    </w:p>
  </w:footnote>
  <w:footnote w:id="23">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S13(6)</w:t>
      </w:r>
    </w:p>
  </w:footnote>
  <w:footnote w:id="24">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Employee rights during a TUPE transfer, </w:t>
      </w:r>
      <w:proofErr w:type="spellStart"/>
      <w:r w:rsidRPr="007E081B">
        <w:rPr>
          <w:rFonts w:ascii="Times New Roman" w:hAnsi="Times New Roman" w:cs="Times New Roman"/>
          <w:i/>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2022, </w:t>
      </w:r>
      <w:hyperlink r:id="rId2" w:history="1">
        <w:r w:rsidRPr="007E081B">
          <w:rPr>
            <w:rStyle w:val="Hyperlink"/>
            <w:rFonts w:ascii="Times New Roman" w:hAnsi="Times New Roman" w:cs="Times New Roman"/>
          </w:rPr>
          <w:t>https://www.acas.org.uk/employee-rights-during-a-tupe-transfer/how-your-employer-should-inform-and-consult-you-during-tupe</w:t>
        </w:r>
      </w:hyperlink>
      <w:r w:rsidRPr="007E081B">
        <w:rPr>
          <w:rFonts w:ascii="Times New Roman" w:hAnsi="Times New Roman" w:cs="Times New Roman"/>
        </w:rPr>
        <w:t xml:space="preserve"> (accessed: 13 April 2022)</w:t>
      </w:r>
    </w:p>
  </w:footnote>
  <w:footnote w:id="25">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S13(6)</w:t>
      </w:r>
    </w:p>
  </w:footnote>
  <w:footnote w:id="26">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S13(4)</w:t>
      </w:r>
    </w:p>
  </w:footnote>
  <w:footnote w:id="27">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Handling TUPE Transfers, </w:t>
      </w:r>
      <w:proofErr w:type="spellStart"/>
      <w:r w:rsidRPr="007E081B">
        <w:rPr>
          <w:rFonts w:ascii="Times New Roman" w:hAnsi="Times New Roman" w:cs="Times New Roman"/>
          <w:i/>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2022, p.22 </w:t>
      </w:r>
      <w:hyperlink r:id="rId3" w:history="1">
        <w:r w:rsidRPr="007E081B">
          <w:rPr>
            <w:rStyle w:val="Hyperlink"/>
            <w:rFonts w:ascii="Times New Roman" w:hAnsi="Times New Roman" w:cs="Times New Roman"/>
          </w:rPr>
          <w:t>https://www.acas.org.uk/sites/default/files/2019-04/Handling-TUPE-Transfers-The-Acas-Guide.pdf</w:t>
        </w:r>
      </w:hyperlink>
      <w:r w:rsidRPr="007E081B">
        <w:rPr>
          <w:rFonts w:ascii="Times New Roman" w:hAnsi="Times New Roman" w:cs="Times New Roman"/>
        </w:rPr>
        <w:t xml:space="preserve"> (accessed: 13 April 2022)</w:t>
      </w:r>
    </w:p>
  </w:footnote>
  <w:footnote w:id="28">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S11</w:t>
      </w:r>
    </w:p>
  </w:footnote>
  <w:footnote w:id="29">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S11(1)(a)</w:t>
      </w:r>
    </w:p>
  </w:footnote>
  <w:footnote w:id="30">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S11(1)(b) – as outlined by the Employment Rights Act 1996, S1</w:t>
      </w:r>
    </w:p>
  </w:footnote>
  <w:footnote w:id="31">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S11(1)(c) – as per the Employment Act 2002 (Dispute Resolution) Regulations 2004, S1</w:t>
      </w:r>
    </w:p>
  </w:footnote>
  <w:footnote w:id="32">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S11(1)(d)</w:t>
      </w:r>
    </w:p>
  </w:footnote>
  <w:footnote w:id="33">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S11(1)(e)</w:t>
      </w:r>
    </w:p>
  </w:footnote>
  <w:footnote w:id="34">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TUPE Regulations 2006, S11(1)</w:t>
      </w:r>
    </w:p>
  </w:footnote>
  <w:footnote w:id="35">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Handling TUPE Transfers, </w:t>
      </w:r>
      <w:proofErr w:type="spellStart"/>
      <w:r w:rsidRPr="007E081B">
        <w:rPr>
          <w:rFonts w:ascii="Times New Roman" w:hAnsi="Times New Roman" w:cs="Times New Roman"/>
          <w:i/>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2022, p.30 </w:t>
      </w:r>
      <w:hyperlink r:id="rId4" w:history="1">
        <w:r w:rsidRPr="007E081B">
          <w:rPr>
            <w:rStyle w:val="Hyperlink"/>
            <w:rFonts w:ascii="Times New Roman" w:hAnsi="Times New Roman" w:cs="Times New Roman"/>
          </w:rPr>
          <w:t>https://www.acas.org.uk/sites/default/files/2019-04/Handling-TUPE-Transfers-The-Acas-Guide.pdf</w:t>
        </w:r>
      </w:hyperlink>
      <w:r w:rsidRPr="007E081B">
        <w:rPr>
          <w:rFonts w:ascii="Times New Roman" w:hAnsi="Times New Roman" w:cs="Times New Roman"/>
        </w:rPr>
        <w:t xml:space="preserve"> (accessed: 13 April 2022)</w:t>
      </w:r>
    </w:p>
  </w:footnote>
  <w:footnote w:id="36">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Handling TUPE Transfers, </w:t>
      </w:r>
      <w:proofErr w:type="spellStart"/>
      <w:r w:rsidRPr="007E081B">
        <w:rPr>
          <w:rFonts w:ascii="Times New Roman" w:hAnsi="Times New Roman" w:cs="Times New Roman"/>
          <w:i/>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2022, p.22 </w:t>
      </w:r>
      <w:hyperlink r:id="rId5" w:history="1">
        <w:r w:rsidRPr="007E081B">
          <w:rPr>
            <w:rStyle w:val="Hyperlink"/>
            <w:rFonts w:ascii="Times New Roman" w:hAnsi="Times New Roman" w:cs="Times New Roman"/>
          </w:rPr>
          <w:t>https://www.acas.org.uk/sites/default/files/2019-04/Handling-TUPE-Transfers-The-Acas-Guide.pdf</w:t>
        </w:r>
      </w:hyperlink>
      <w:r w:rsidRPr="007E081B">
        <w:rPr>
          <w:rFonts w:ascii="Times New Roman" w:hAnsi="Times New Roman" w:cs="Times New Roman"/>
        </w:rPr>
        <w:t xml:space="preserve"> (accessed: 13 April 2022)</w:t>
      </w:r>
    </w:p>
  </w:footnote>
  <w:footnote w:id="37">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Employment Rights Act 1996, S139(b)(</w:t>
      </w:r>
      <w:proofErr w:type="spellStart"/>
      <w:r w:rsidRPr="007E081B">
        <w:rPr>
          <w:rFonts w:ascii="Times New Roman" w:hAnsi="Times New Roman" w:cs="Times New Roman"/>
        </w:rPr>
        <w:t>i</w:t>
      </w:r>
      <w:proofErr w:type="spellEnd"/>
      <w:r w:rsidRPr="007E081B">
        <w:rPr>
          <w:rFonts w:ascii="Times New Roman" w:hAnsi="Times New Roman" w:cs="Times New Roman"/>
        </w:rPr>
        <w:t>) – redundancy is considered if the reason for dismissal is wholly or mainly attributable to the fact that the requirements of the business for employees to carry out work of a particular kind have ceased or diminished.</w:t>
      </w:r>
    </w:p>
  </w:footnote>
  <w:footnote w:id="38">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bookmarkStart w:id="0" w:name="_Hlk101097280"/>
      <w:r w:rsidRPr="007E081B">
        <w:rPr>
          <w:rFonts w:ascii="Times New Roman" w:hAnsi="Times New Roman" w:cs="Times New Roman"/>
        </w:rPr>
        <w:t xml:space="preserve">CIPD, Redundancy Q&amp;As, </w:t>
      </w:r>
      <w:r w:rsidRPr="007E081B">
        <w:rPr>
          <w:rFonts w:ascii="Times New Roman" w:hAnsi="Times New Roman" w:cs="Times New Roman"/>
          <w:i/>
        </w:rPr>
        <w:t>CIPD Web site</w:t>
      </w:r>
      <w:r w:rsidRPr="007E081B">
        <w:rPr>
          <w:rFonts w:ascii="Times New Roman" w:hAnsi="Times New Roman" w:cs="Times New Roman"/>
        </w:rPr>
        <w:t xml:space="preserve">, London, CIPD, 2022, </w:t>
      </w:r>
      <w:hyperlink r:id="rId6" w:history="1">
        <w:r w:rsidRPr="007E081B">
          <w:rPr>
            <w:rStyle w:val="Hyperlink"/>
            <w:rFonts w:ascii="Times New Roman" w:hAnsi="Times New Roman" w:cs="Times New Roman"/>
          </w:rPr>
          <w:t>https://www.cipd.co.uk/knowledge/fundamentals/emp-law/redundancy/questions</w:t>
        </w:r>
      </w:hyperlink>
      <w:r w:rsidRPr="007E081B">
        <w:rPr>
          <w:rFonts w:ascii="Times New Roman" w:hAnsi="Times New Roman" w:cs="Times New Roman"/>
        </w:rPr>
        <w:t xml:space="preserve"> (accessed: 17 April 2022)</w:t>
      </w:r>
      <w:bookmarkEnd w:id="0"/>
    </w:p>
  </w:footnote>
  <w:footnote w:id="39">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The CIPD advise </w:t>
      </w:r>
      <w:r w:rsidRPr="007E081B">
        <w:rPr>
          <w:rFonts w:ascii="Times New Roman" w:hAnsi="Times New Roman" w:cs="Times New Roman"/>
          <w:i/>
        </w:rPr>
        <w:t>“the pool should contain all employees who undertake a similar type of work in a particular department”</w:t>
      </w:r>
      <w:r w:rsidRPr="007E081B">
        <w:rPr>
          <w:rFonts w:ascii="Times New Roman" w:hAnsi="Times New Roman" w:cs="Times New Roman"/>
        </w:rPr>
        <w:t xml:space="preserve">. CIPD, Redundancy Q&amp;As, CIPD Web site, London, CIPD, 2022, </w:t>
      </w:r>
      <w:hyperlink r:id="rId7" w:history="1">
        <w:r w:rsidRPr="007E081B">
          <w:rPr>
            <w:rStyle w:val="Hyperlink"/>
            <w:rFonts w:ascii="Times New Roman" w:hAnsi="Times New Roman" w:cs="Times New Roman"/>
          </w:rPr>
          <w:t>https://www.cipd.co.uk/knowledge/fundamentals/emp-law/redundancy/questions</w:t>
        </w:r>
      </w:hyperlink>
      <w:r w:rsidRPr="007E081B">
        <w:rPr>
          <w:rFonts w:ascii="Times New Roman" w:hAnsi="Times New Roman" w:cs="Times New Roman"/>
        </w:rPr>
        <w:t xml:space="preserve"> (accessed: 17 April 2022)</w:t>
      </w:r>
    </w:p>
  </w:footnote>
  <w:footnote w:id="40">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Equality Act 2010, S19</w:t>
      </w:r>
    </w:p>
  </w:footnote>
  <w:footnote w:id="41">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r w:rsidRPr="007E081B">
        <w:rPr>
          <w:rFonts w:ascii="Times New Roman" w:hAnsi="Times New Roman" w:cs="Times New Roman"/>
          <w:i/>
        </w:rPr>
        <w:t>“While last in first out is not everyone's first choice these days it cannot be said to be an irrational method to choose. It is an entirely objective criterion”</w:t>
      </w:r>
      <w:r w:rsidRPr="007E081B">
        <w:rPr>
          <w:rFonts w:ascii="Times New Roman" w:hAnsi="Times New Roman" w:cs="Times New Roman"/>
        </w:rPr>
        <w:t xml:space="preserve">, See </w:t>
      </w:r>
      <w:r w:rsidRPr="007E081B">
        <w:rPr>
          <w:rFonts w:ascii="Times New Roman" w:hAnsi="Times New Roman" w:cs="Times New Roman"/>
          <w:i/>
        </w:rPr>
        <w:t>Allan v Oakley Builders and Groundwork Contractors Ltd.</w:t>
      </w:r>
      <w:r w:rsidRPr="007E081B">
        <w:rPr>
          <w:rFonts w:ascii="Times New Roman" w:hAnsi="Times New Roman" w:cs="Times New Roman"/>
        </w:rPr>
        <w:t xml:space="preserve"> [2019] Case No. 1403798/2018</w:t>
      </w:r>
    </w:p>
  </w:footnote>
  <w:footnote w:id="42">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bookmarkStart w:id="1" w:name="_Hlk101188157"/>
      <w:r w:rsidRPr="007E081B">
        <w:rPr>
          <w:rFonts w:ascii="Times New Roman" w:hAnsi="Times New Roman" w:cs="Times New Roman"/>
        </w:rPr>
        <w:t xml:space="preserve">CIPD, Redundancy Q&amp;As, </w:t>
      </w:r>
      <w:r w:rsidRPr="007E081B">
        <w:rPr>
          <w:rFonts w:ascii="Times New Roman" w:hAnsi="Times New Roman" w:cs="Times New Roman"/>
          <w:i/>
        </w:rPr>
        <w:t>CIPD Web site</w:t>
      </w:r>
      <w:r w:rsidRPr="007E081B">
        <w:rPr>
          <w:rFonts w:ascii="Times New Roman" w:hAnsi="Times New Roman" w:cs="Times New Roman"/>
        </w:rPr>
        <w:t xml:space="preserve">, London, CIPD, 2022, </w:t>
      </w:r>
      <w:hyperlink r:id="rId8" w:history="1">
        <w:r w:rsidRPr="007E081B">
          <w:rPr>
            <w:rStyle w:val="Hyperlink"/>
            <w:rFonts w:ascii="Times New Roman" w:hAnsi="Times New Roman" w:cs="Times New Roman"/>
          </w:rPr>
          <w:t>https://www.cipd.co.uk/knowledge/fundamentals/emp-law/redundancy/questions</w:t>
        </w:r>
      </w:hyperlink>
      <w:r w:rsidRPr="007E081B">
        <w:rPr>
          <w:rFonts w:ascii="Times New Roman" w:hAnsi="Times New Roman" w:cs="Times New Roman"/>
        </w:rPr>
        <w:t xml:space="preserve"> (accessed: 17 April 2022)</w:t>
      </w:r>
      <w:bookmarkEnd w:id="1"/>
    </w:p>
  </w:footnote>
  <w:footnote w:id="43">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Age discrimination: key points for the workplace, </w:t>
      </w:r>
      <w:proofErr w:type="spellStart"/>
      <w:r w:rsidRPr="007E081B">
        <w:rPr>
          <w:rFonts w:ascii="Times New Roman" w:hAnsi="Times New Roman" w:cs="Times New Roman"/>
          <w:i/>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2019, p.16, </w:t>
      </w:r>
      <w:hyperlink r:id="rId9" w:history="1">
        <w:r w:rsidRPr="007E081B">
          <w:rPr>
            <w:rStyle w:val="Hyperlink"/>
            <w:rFonts w:ascii="Times New Roman" w:hAnsi="Times New Roman" w:cs="Times New Roman"/>
          </w:rPr>
          <w:t>https://www.acas.org.uk/sites/default/files/2021-03/age-discrimination-key-points-for-the-workplace.pdf</w:t>
        </w:r>
      </w:hyperlink>
      <w:r w:rsidRPr="007E081B">
        <w:rPr>
          <w:rFonts w:ascii="Times New Roman" w:hAnsi="Times New Roman" w:cs="Times New Roman"/>
        </w:rPr>
        <w:t xml:space="preserve"> (accessed: 17 April 2022)</w:t>
      </w:r>
    </w:p>
  </w:footnote>
  <w:footnote w:id="44">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r w:rsidRPr="007E081B">
        <w:rPr>
          <w:rFonts w:ascii="Times New Roman" w:hAnsi="Times New Roman" w:cs="Times New Roman"/>
          <w:i/>
          <w:iCs/>
        </w:rPr>
        <w:t>Rolls-Royce Plc v Unite the Union</w:t>
      </w:r>
      <w:r w:rsidRPr="007E081B">
        <w:rPr>
          <w:rFonts w:ascii="Times New Roman" w:hAnsi="Times New Roman" w:cs="Times New Roman"/>
          <w:iCs/>
        </w:rPr>
        <w:t xml:space="preserve"> [2009] EWCA </w:t>
      </w:r>
      <w:proofErr w:type="spellStart"/>
      <w:r w:rsidRPr="007E081B">
        <w:rPr>
          <w:rFonts w:ascii="Times New Roman" w:hAnsi="Times New Roman" w:cs="Times New Roman"/>
          <w:iCs/>
        </w:rPr>
        <w:t>Civ</w:t>
      </w:r>
      <w:proofErr w:type="spellEnd"/>
      <w:r w:rsidRPr="007E081B">
        <w:rPr>
          <w:rFonts w:ascii="Times New Roman" w:hAnsi="Times New Roman" w:cs="Times New Roman"/>
          <w:iCs/>
        </w:rPr>
        <w:t xml:space="preserve"> 387</w:t>
      </w:r>
    </w:p>
  </w:footnote>
  <w:footnote w:id="45">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r w:rsidRPr="007E081B">
        <w:rPr>
          <w:rFonts w:ascii="Times New Roman" w:hAnsi="Times New Roman" w:cs="Times New Roman"/>
          <w:i/>
        </w:rPr>
        <w:t>King v Eaton Ltd</w:t>
      </w:r>
      <w:r w:rsidRPr="007E081B">
        <w:rPr>
          <w:rFonts w:ascii="Times New Roman" w:hAnsi="Times New Roman" w:cs="Times New Roman"/>
        </w:rPr>
        <w:t xml:space="preserve"> [1996] IRLR 199 CS</w:t>
      </w:r>
    </w:p>
  </w:footnote>
  <w:footnote w:id="46">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Employee rights during a TUPE transfer, </w:t>
      </w:r>
      <w:proofErr w:type="spellStart"/>
      <w:r w:rsidRPr="007E081B">
        <w:rPr>
          <w:rFonts w:ascii="Times New Roman" w:hAnsi="Times New Roman" w:cs="Times New Roman"/>
          <w:i/>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2021, </w:t>
      </w:r>
      <w:hyperlink r:id="rId10" w:history="1">
        <w:r w:rsidRPr="007E081B">
          <w:rPr>
            <w:rStyle w:val="Hyperlink"/>
            <w:rFonts w:ascii="Times New Roman" w:hAnsi="Times New Roman" w:cs="Times New Roman"/>
          </w:rPr>
          <w:t>https://www.acas.org.uk/employee-rights-during-a-tupe-transfer/transferring-to-your-new-employer</w:t>
        </w:r>
      </w:hyperlink>
      <w:r w:rsidRPr="007E081B">
        <w:rPr>
          <w:rFonts w:ascii="Times New Roman" w:hAnsi="Times New Roman" w:cs="Times New Roman"/>
        </w:rPr>
        <w:t xml:space="preserve"> (accessed: 17 April 2022)</w:t>
      </w:r>
    </w:p>
  </w:footnote>
  <w:footnote w:id="47">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UK Government, Dismissing Staff, </w:t>
      </w:r>
      <w:r w:rsidRPr="007E081B">
        <w:rPr>
          <w:rFonts w:ascii="Times New Roman" w:hAnsi="Times New Roman" w:cs="Times New Roman"/>
          <w:i/>
        </w:rPr>
        <w:t xml:space="preserve">UK Government Web site, </w:t>
      </w:r>
      <w:r w:rsidRPr="007E081B">
        <w:rPr>
          <w:rFonts w:ascii="Times New Roman" w:hAnsi="Times New Roman" w:cs="Times New Roman"/>
        </w:rPr>
        <w:t xml:space="preserve">UK Government, 2022, </w:t>
      </w:r>
      <w:hyperlink r:id="rId11" w:history="1">
        <w:r w:rsidRPr="007E081B">
          <w:rPr>
            <w:rStyle w:val="Hyperlink"/>
            <w:rFonts w:ascii="Times New Roman" w:hAnsi="Times New Roman" w:cs="Times New Roman"/>
          </w:rPr>
          <w:t>https://www.gov.uk/dismiss-staff/eligibility-to-claim-unfair-dismissal</w:t>
        </w:r>
      </w:hyperlink>
      <w:r w:rsidRPr="007E081B">
        <w:rPr>
          <w:rFonts w:ascii="Times New Roman" w:hAnsi="Times New Roman" w:cs="Times New Roman"/>
        </w:rPr>
        <w:t xml:space="preserve"> (accessed: 17 April 2022)</w:t>
      </w:r>
    </w:p>
  </w:footnote>
  <w:footnote w:id="48">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CIPD, Redundancy Q&amp;As, </w:t>
      </w:r>
      <w:r w:rsidRPr="007E081B">
        <w:rPr>
          <w:rFonts w:ascii="Times New Roman" w:hAnsi="Times New Roman" w:cs="Times New Roman"/>
          <w:i/>
        </w:rPr>
        <w:t>CIPD Web site</w:t>
      </w:r>
      <w:r w:rsidRPr="007E081B">
        <w:rPr>
          <w:rFonts w:ascii="Times New Roman" w:hAnsi="Times New Roman" w:cs="Times New Roman"/>
        </w:rPr>
        <w:t xml:space="preserve">, London, CIPD, 2022, </w:t>
      </w:r>
      <w:hyperlink r:id="rId12" w:history="1">
        <w:r w:rsidRPr="007E081B">
          <w:rPr>
            <w:rStyle w:val="Hyperlink"/>
            <w:rFonts w:ascii="Times New Roman" w:hAnsi="Times New Roman" w:cs="Times New Roman"/>
          </w:rPr>
          <w:t>https://www.cipd.co.uk/knowledge/fundamentals/emp-law/redundancy/questions</w:t>
        </w:r>
      </w:hyperlink>
      <w:r w:rsidRPr="007E081B">
        <w:rPr>
          <w:rFonts w:ascii="Times New Roman" w:hAnsi="Times New Roman" w:cs="Times New Roman"/>
        </w:rPr>
        <w:t xml:space="preserve"> (accessed: 17 April 2022)</w:t>
      </w:r>
    </w:p>
  </w:footnote>
  <w:footnote w:id="49">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D. Lewis &amp; M. </w:t>
      </w:r>
      <w:proofErr w:type="spellStart"/>
      <w:r w:rsidRPr="007E081B">
        <w:rPr>
          <w:rFonts w:ascii="Times New Roman" w:hAnsi="Times New Roman" w:cs="Times New Roman"/>
        </w:rPr>
        <w:t>Sargeant</w:t>
      </w:r>
      <w:proofErr w:type="spellEnd"/>
      <w:r w:rsidRPr="007E081B">
        <w:rPr>
          <w:rFonts w:ascii="Times New Roman" w:hAnsi="Times New Roman" w:cs="Times New Roman"/>
        </w:rPr>
        <w:t xml:space="preserve">, </w:t>
      </w:r>
      <w:r w:rsidRPr="007E081B">
        <w:rPr>
          <w:rFonts w:ascii="Times New Roman" w:hAnsi="Times New Roman" w:cs="Times New Roman"/>
          <w:i/>
        </w:rPr>
        <w:t xml:space="preserve">Employment Law </w:t>
      </w:r>
      <w:proofErr w:type="gramStart"/>
      <w:r w:rsidRPr="007E081B">
        <w:rPr>
          <w:rFonts w:ascii="Times New Roman" w:hAnsi="Times New Roman" w:cs="Times New Roman"/>
          <w:i/>
        </w:rPr>
        <w:t>The</w:t>
      </w:r>
      <w:proofErr w:type="gramEnd"/>
      <w:r w:rsidRPr="007E081B">
        <w:rPr>
          <w:rFonts w:ascii="Times New Roman" w:hAnsi="Times New Roman" w:cs="Times New Roman"/>
          <w:i/>
        </w:rPr>
        <w:t xml:space="preserve"> Essential</w:t>
      </w:r>
      <w:r w:rsidRPr="007E081B">
        <w:rPr>
          <w:rFonts w:ascii="Times New Roman" w:hAnsi="Times New Roman" w:cs="Times New Roman"/>
        </w:rPr>
        <w:t>, Kogan Page, London, 2020, p.334</w:t>
      </w:r>
    </w:p>
  </w:footnote>
  <w:footnote w:id="50">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CIPD, Redundancy: An introduction, </w:t>
      </w:r>
      <w:r w:rsidRPr="007E081B">
        <w:rPr>
          <w:rFonts w:ascii="Times New Roman" w:hAnsi="Times New Roman" w:cs="Times New Roman"/>
          <w:i/>
        </w:rPr>
        <w:t>CIPD Web site</w:t>
      </w:r>
      <w:r w:rsidRPr="007E081B">
        <w:rPr>
          <w:rFonts w:ascii="Times New Roman" w:hAnsi="Times New Roman" w:cs="Times New Roman"/>
        </w:rPr>
        <w:t xml:space="preserve">, London, CIPD, 2021, </w:t>
      </w:r>
      <w:hyperlink r:id="rId13" w:anchor="7113" w:history="1">
        <w:r w:rsidRPr="007E081B">
          <w:rPr>
            <w:rStyle w:val="Hyperlink"/>
            <w:rFonts w:ascii="Times New Roman" w:hAnsi="Times New Roman" w:cs="Times New Roman"/>
          </w:rPr>
          <w:t>https://www.cipd.co.uk/knowledge/fundamentals/emp-law/redundancy/factsheet#7113</w:t>
        </w:r>
      </w:hyperlink>
      <w:r w:rsidRPr="007E081B">
        <w:rPr>
          <w:rFonts w:ascii="Times New Roman" w:hAnsi="Times New Roman" w:cs="Times New Roman"/>
        </w:rPr>
        <w:t xml:space="preserve"> (accessed: 18 April 2022)</w:t>
      </w:r>
    </w:p>
  </w:footnote>
  <w:footnote w:id="51">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According to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other option may include an offer of voluntary redundancy, change in working hours, relocation of employees, changes to overtime arrangements, and a release of any contracted workers. See,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w:t>
      </w:r>
      <w:proofErr w:type="gramStart"/>
      <w:r w:rsidRPr="007E081B">
        <w:rPr>
          <w:rFonts w:ascii="Times New Roman" w:hAnsi="Times New Roman" w:cs="Times New Roman"/>
        </w:rPr>
        <w:t>Managing</w:t>
      </w:r>
      <w:proofErr w:type="gramEnd"/>
      <w:r w:rsidRPr="007E081B">
        <w:rPr>
          <w:rFonts w:ascii="Times New Roman" w:hAnsi="Times New Roman" w:cs="Times New Roman"/>
        </w:rPr>
        <w:t xml:space="preserve"> staff redundancies: step by step </w:t>
      </w:r>
      <w:bookmarkStart w:id="2" w:name="_Hlk101186979"/>
      <w:r w:rsidRPr="007E081B">
        <w:rPr>
          <w:rFonts w:ascii="Times New Roman" w:hAnsi="Times New Roman" w:cs="Times New Roman"/>
        </w:rPr>
        <w:t>– Check if redundancies are necessary</w:t>
      </w:r>
      <w:bookmarkEnd w:id="2"/>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2022, </w:t>
      </w:r>
      <w:hyperlink r:id="rId14" w:history="1">
        <w:r w:rsidRPr="007E081B">
          <w:rPr>
            <w:rStyle w:val="Hyperlink"/>
            <w:rFonts w:ascii="Times New Roman" w:hAnsi="Times New Roman" w:cs="Times New Roman"/>
          </w:rPr>
          <w:t>https://www.acas.org.uk/manage-staff-redundancies</w:t>
        </w:r>
      </w:hyperlink>
      <w:r w:rsidRPr="007E081B">
        <w:rPr>
          <w:rFonts w:ascii="Times New Roman" w:hAnsi="Times New Roman" w:cs="Times New Roman"/>
        </w:rPr>
        <w:t xml:space="preserve"> (accessed: 17 April 2022)</w:t>
      </w:r>
    </w:p>
  </w:footnote>
  <w:footnote w:id="52">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Managing staff redundancies: step by step – Follow the right process, </w:t>
      </w:r>
      <w:proofErr w:type="spellStart"/>
      <w:r w:rsidRPr="007E081B">
        <w:rPr>
          <w:rFonts w:ascii="Times New Roman" w:hAnsi="Times New Roman" w:cs="Times New Roman"/>
          <w:i/>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2022, </w:t>
      </w:r>
      <w:hyperlink r:id="rId15" w:history="1">
        <w:r w:rsidRPr="007E081B">
          <w:rPr>
            <w:rStyle w:val="Hyperlink"/>
            <w:rFonts w:ascii="Times New Roman" w:hAnsi="Times New Roman" w:cs="Times New Roman"/>
          </w:rPr>
          <w:t>https://www.acas.org.uk/manage-staff-redundancies/follow-the-right-process</w:t>
        </w:r>
      </w:hyperlink>
      <w:r w:rsidRPr="007E081B">
        <w:rPr>
          <w:rFonts w:ascii="Times New Roman" w:hAnsi="Times New Roman" w:cs="Times New Roman"/>
        </w:rPr>
        <w:t xml:space="preserve"> (accessed: 18 April 2022)</w:t>
      </w:r>
    </w:p>
  </w:footnote>
  <w:footnote w:id="53">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w:t>
      </w:r>
      <w:proofErr w:type="gramStart"/>
      <w:r w:rsidRPr="007E081B">
        <w:rPr>
          <w:rFonts w:ascii="Times New Roman" w:hAnsi="Times New Roman" w:cs="Times New Roman"/>
        </w:rPr>
        <w:t>Managing</w:t>
      </w:r>
      <w:proofErr w:type="gramEnd"/>
      <w:r w:rsidRPr="007E081B">
        <w:rPr>
          <w:rFonts w:ascii="Times New Roman" w:hAnsi="Times New Roman" w:cs="Times New Roman"/>
        </w:rPr>
        <w:t xml:space="preserve"> staff redundancies: step by step – Check if redundancies are necessary, </w:t>
      </w:r>
      <w:proofErr w:type="spellStart"/>
      <w:r w:rsidRPr="007E081B">
        <w:rPr>
          <w:rFonts w:ascii="Times New Roman" w:hAnsi="Times New Roman" w:cs="Times New Roman"/>
          <w:i/>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2022, </w:t>
      </w:r>
      <w:hyperlink r:id="rId16" w:history="1">
        <w:r w:rsidRPr="007E081B">
          <w:rPr>
            <w:rStyle w:val="Hyperlink"/>
            <w:rFonts w:ascii="Times New Roman" w:hAnsi="Times New Roman" w:cs="Times New Roman"/>
          </w:rPr>
          <w:t>https://www.acas.org.uk/manage-staff-redundancies</w:t>
        </w:r>
      </w:hyperlink>
      <w:r w:rsidRPr="007E081B">
        <w:rPr>
          <w:rFonts w:ascii="Times New Roman" w:hAnsi="Times New Roman" w:cs="Times New Roman"/>
        </w:rPr>
        <w:t xml:space="preserve"> (accessed: 17 April 2022)</w:t>
      </w:r>
    </w:p>
  </w:footnote>
  <w:footnote w:id="54">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bookmarkStart w:id="3" w:name="_Hlk101381854"/>
      <w:r w:rsidRPr="007E081B">
        <w:rPr>
          <w:rFonts w:ascii="Times New Roman" w:hAnsi="Times New Roman" w:cs="Times New Roman"/>
        </w:rPr>
        <w:t xml:space="preserve">D. Lewis &amp; M. </w:t>
      </w:r>
      <w:proofErr w:type="spellStart"/>
      <w:r w:rsidRPr="007E081B">
        <w:rPr>
          <w:rFonts w:ascii="Times New Roman" w:hAnsi="Times New Roman" w:cs="Times New Roman"/>
        </w:rPr>
        <w:t>Sargeant</w:t>
      </w:r>
      <w:proofErr w:type="spellEnd"/>
      <w:r w:rsidRPr="007E081B">
        <w:rPr>
          <w:rFonts w:ascii="Times New Roman" w:hAnsi="Times New Roman" w:cs="Times New Roman"/>
        </w:rPr>
        <w:t xml:space="preserve">, Employment Law </w:t>
      </w:r>
      <w:proofErr w:type="gramStart"/>
      <w:r w:rsidRPr="007E081B">
        <w:rPr>
          <w:rFonts w:ascii="Times New Roman" w:hAnsi="Times New Roman" w:cs="Times New Roman"/>
        </w:rPr>
        <w:t>The</w:t>
      </w:r>
      <w:proofErr w:type="gramEnd"/>
      <w:r w:rsidRPr="007E081B">
        <w:rPr>
          <w:rFonts w:ascii="Times New Roman" w:hAnsi="Times New Roman" w:cs="Times New Roman"/>
        </w:rPr>
        <w:t xml:space="preserve"> Essential, Kogan Page, London, 2020, p.293</w:t>
      </w:r>
      <w:bookmarkEnd w:id="3"/>
    </w:p>
  </w:footnote>
  <w:footnote w:id="55">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hyperlink r:id="rId17" w:history="1">
        <w:r w:rsidRPr="007E081B">
          <w:rPr>
            <w:rFonts w:ascii="Times New Roman" w:hAnsi="Times New Roman" w:cs="Times New Roman"/>
            <w:i/>
          </w:rPr>
          <w:t>Thomas v BNP Paribas Real Estate Advisory and Property Management UK Ltd</w:t>
        </w:r>
        <w:r w:rsidRPr="007E081B">
          <w:rPr>
            <w:rFonts w:ascii="Times New Roman" w:hAnsi="Times New Roman" w:cs="Times New Roman"/>
          </w:rPr>
          <w:t xml:space="preserve"> UKEAT/0134/16/JOJ</w:t>
        </w:r>
      </w:hyperlink>
    </w:p>
  </w:footnote>
  <w:footnote w:id="56">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If there are more than 20 employees being made redundant at one establishment within 90 days then there is duty to collectively consult. See, Trade Union and Labour Relations (Consolidation) Act 1992, Chapter 2</w:t>
      </w:r>
    </w:p>
  </w:footnote>
  <w:footnote w:id="57">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See </w:t>
      </w:r>
      <w:proofErr w:type="spellStart"/>
      <w:r w:rsidRPr="007E081B">
        <w:rPr>
          <w:rFonts w:ascii="Times New Roman" w:hAnsi="Times New Roman" w:cs="Times New Roman"/>
          <w:i/>
        </w:rPr>
        <w:t>Optare</w:t>
      </w:r>
      <w:proofErr w:type="spellEnd"/>
      <w:r w:rsidRPr="007E081B">
        <w:rPr>
          <w:rFonts w:ascii="Times New Roman" w:hAnsi="Times New Roman" w:cs="Times New Roman"/>
          <w:i/>
        </w:rPr>
        <w:t xml:space="preserve"> Group plc v TGWU</w:t>
      </w:r>
      <w:r w:rsidRPr="007E081B">
        <w:rPr>
          <w:rFonts w:ascii="Times New Roman" w:hAnsi="Times New Roman" w:cs="Times New Roman"/>
        </w:rPr>
        <w:t xml:space="preserve"> [2007] IRLR 931</w:t>
      </w:r>
    </w:p>
  </w:footnote>
  <w:footnote w:id="58">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Trade Union and Labour Relations (Consolidation) Act 1992, Chapter 2</w:t>
      </w:r>
    </w:p>
  </w:footnote>
  <w:footnote w:id="59">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People Management, P&amp;O Sackings: Is ferry operator’s decision legal?, </w:t>
      </w:r>
      <w:r w:rsidRPr="007E081B">
        <w:rPr>
          <w:rFonts w:ascii="Times New Roman" w:hAnsi="Times New Roman" w:cs="Times New Roman"/>
          <w:i/>
        </w:rPr>
        <w:t>People Management Web site</w:t>
      </w:r>
      <w:r w:rsidRPr="007E081B">
        <w:rPr>
          <w:rFonts w:ascii="Times New Roman" w:hAnsi="Times New Roman" w:cs="Times New Roman"/>
        </w:rPr>
        <w:t xml:space="preserve">, CIPD, 2022, </w:t>
      </w:r>
      <w:hyperlink r:id="rId18" w:history="1">
        <w:r w:rsidRPr="007E081B">
          <w:rPr>
            <w:rStyle w:val="Hyperlink"/>
            <w:rFonts w:ascii="Times New Roman" w:hAnsi="Times New Roman" w:cs="Times New Roman"/>
          </w:rPr>
          <w:t>https://www.peoplemanagement.co.uk/article/1751838/p-o-sackings-ferry-operators-decision-legal</w:t>
        </w:r>
      </w:hyperlink>
      <w:r w:rsidRPr="007E081B">
        <w:rPr>
          <w:rFonts w:ascii="Times New Roman" w:hAnsi="Times New Roman" w:cs="Times New Roman"/>
        </w:rPr>
        <w:t xml:space="preserve"> (accessed: 20 April 2022)</w:t>
      </w:r>
    </w:p>
  </w:footnote>
  <w:footnote w:id="60">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Trade Union and Labour Relations (Consolidation) Act 1992, Chapter 2</w:t>
      </w:r>
    </w:p>
  </w:footnote>
  <w:footnote w:id="61">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CIPD, Redundancy collective consultation Q&amp;As, </w:t>
      </w:r>
      <w:r w:rsidRPr="007E081B">
        <w:rPr>
          <w:rFonts w:ascii="Times New Roman" w:hAnsi="Times New Roman" w:cs="Times New Roman"/>
          <w:i/>
        </w:rPr>
        <w:t>CIPD Web site</w:t>
      </w:r>
      <w:r w:rsidRPr="007E081B">
        <w:rPr>
          <w:rFonts w:ascii="Times New Roman" w:hAnsi="Times New Roman" w:cs="Times New Roman"/>
        </w:rPr>
        <w:t xml:space="preserve">, London, CIPD, 2020, </w:t>
      </w:r>
      <w:hyperlink r:id="rId19" w:history="1">
        <w:r w:rsidRPr="007E081B">
          <w:rPr>
            <w:rStyle w:val="Hyperlink"/>
            <w:rFonts w:ascii="Times New Roman" w:hAnsi="Times New Roman" w:cs="Times New Roman"/>
          </w:rPr>
          <w:t>https://www.cipd.co.uk/knowledge/fundamentals/emp-law/redundancy/redundancy-collective-consultations-questions</w:t>
        </w:r>
      </w:hyperlink>
      <w:r w:rsidRPr="007E081B">
        <w:rPr>
          <w:rFonts w:ascii="Times New Roman" w:hAnsi="Times New Roman" w:cs="Times New Roman"/>
        </w:rPr>
        <w:t xml:space="preserve"> (accessed: 18 April 2022)</w:t>
      </w:r>
    </w:p>
  </w:footnote>
  <w:footnote w:id="62">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w:t>
      </w:r>
      <w:proofErr w:type="gramStart"/>
      <w:r w:rsidRPr="007E081B">
        <w:rPr>
          <w:rFonts w:ascii="Times New Roman" w:hAnsi="Times New Roman" w:cs="Times New Roman"/>
        </w:rPr>
        <w:t>Managing</w:t>
      </w:r>
      <w:proofErr w:type="gramEnd"/>
      <w:r w:rsidRPr="007E081B">
        <w:rPr>
          <w:rFonts w:ascii="Times New Roman" w:hAnsi="Times New Roman" w:cs="Times New Roman"/>
        </w:rPr>
        <w:t xml:space="preserve"> staff redundancies: step by step - Tell employees, </w:t>
      </w:r>
      <w:proofErr w:type="spellStart"/>
      <w:r w:rsidRPr="007E081B">
        <w:rPr>
          <w:rFonts w:ascii="Times New Roman" w:hAnsi="Times New Roman" w:cs="Times New Roman"/>
          <w:i/>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2022, </w:t>
      </w:r>
      <w:hyperlink r:id="rId20" w:history="1">
        <w:r w:rsidRPr="007E081B">
          <w:rPr>
            <w:rStyle w:val="Hyperlink"/>
            <w:rFonts w:ascii="Times New Roman" w:hAnsi="Times New Roman" w:cs="Times New Roman"/>
          </w:rPr>
          <w:t>https://www.acas.org.uk/manage-staff-redundancies/tell-employees</w:t>
        </w:r>
      </w:hyperlink>
      <w:r w:rsidRPr="007E081B">
        <w:rPr>
          <w:rFonts w:ascii="Times New Roman" w:hAnsi="Times New Roman" w:cs="Times New Roman"/>
        </w:rPr>
        <w:t xml:space="preserve"> (accessed: 18 April 2022)</w:t>
      </w:r>
    </w:p>
  </w:footnote>
  <w:footnote w:id="63">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CIPD, Redundancy: An introduction, </w:t>
      </w:r>
      <w:r w:rsidRPr="007E081B">
        <w:rPr>
          <w:rFonts w:ascii="Times New Roman" w:hAnsi="Times New Roman" w:cs="Times New Roman"/>
          <w:i/>
        </w:rPr>
        <w:t>CIPD Web site</w:t>
      </w:r>
      <w:r w:rsidRPr="007E081B">
        <w:rPr>
          <w:rFonts w:ascii="Times New Roman" w:hAnsi="Times New Roman" w:cs="Times New Roman"/>
        </w:rPr>
        <w:t>, London, CIPD, 2021, https://www.cipd.co.uk/knowledge/fundamentals/emp-law/redundancy/factsheet#7113 (accessed: 18 April 2022)</w:t>
      </w:r>
    </w:p>
  </w:footnote>
  <w:footnote w:id="64">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CIPD, Redundancy Q&amp;As, </w:t>
      </w:r>
      <w:r w:rsidRPr="007E081B">
        <w:rPr>
          <w:rFonts w:ascii="Times New Roman" w:hAnsi="Times New Roman" w:cs="Times New Roman"/>
          <w:i/>
        </w:rPr>
        <w:t>CIPD Web site</w:t>
      </w:r>
      <w:r w:rsidRPr="007E081B">
        <w:rPr>
          <w:rFonts w:ascii="Times New Roman" w:hAnsi="Times New Roman" w:cs="Times New Roman"/>
        </w:rPr>
        <w:t xml:space="preserve">, London, CIPD, 2022, </w:t>
      </w:r>
      <w:hyperlink r:id="rId21" w:history="1">
        <w:r w:rsidRPr="007E081B">
          <w:rPr>
            <w:rStyle w:val="Hyperlink"/>
            <w:rFonts w:ascii="Times New Roman" w:hAnsi="Times New Roman" w:cs="Times New Roman"/>
          </w:rPr>
          <w:t>https://www.cipd.co.uk/knowledge/fundamentals/emp-law/redundancy/questions</w:t>
        </w:r>
      </w:hyperlink>
      <w:r w:rsidRPr="007E081B">
        <w:rPr>
          <w:rFonts w:ascii="Times New Roman" w:hAnsi="Times New Roman" w:cs="Times New Roman"/>
        </w:rPr>
        <w:t xml:space="preserve"> (accessed: 17 April 2022)</w:t>
      </w:r>
    </w:p>
  </w:footnote>
  <w:footnote w:id="65">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Managing staff redundancies: step by step – Give employees notice of redundancy, </w:t>
      </w:r>
      <w:proofErr w:type="spellStart"/>
      <w:r w:rsidRPr="007E081B">
        <w:rPr>
          <w:rFonts w:ascii="Times New Roman" w:hAnsi="Times New Roman" w:cs="Times New Roman"/>
          <w:i/>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2022,  </w:t>
      </w:r>
      <w:hyperlink r:id="rId22" w:history="1">
        <w:r w:rsidRPr="007E081B">
          <w:rPr>
            <w:rStyle w:val="Hyperlink"/>
            <w:rFonts w:ascii="Times New Roman" w:hAnsi="Times New Roman" w:cs="Times New Roman"/>
          </w:rPr>
          <w:t>https://www.acas.org.uk/manage-staff-redundancies/give-employees-notice-of-redundancy</w:t>
        </w:r>
      </w:hyperlink>
      <w:r w:rsidRPr="007E081B">
        <w:rPr>
          <w:rFonts w:ascii="Times New Roman" w:hAnsi="Times New Roman" w:cs="Times New Roman"/>
        </w:rPr>
        <w:t xml:space="preserve"> (accessed 18 April 2022)</w:t>
      </w:r>
    </w:p>
  </w:footnote>
  <w:footnote w:id="66">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Managing staff redundancies: step by step – Offer an appeals process, </w:t>
      </w:r>
      <w:proofErr w:type="spellStart"/>
      <w:r w:rsidRPr="007E081B">
        <w:rPr>
          <w:rFonts w:ascii="Times New Roman" w:hAnsi="Times New Roman" w:cs="Times New Roman"/>
          <w:i/>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2022,  </w:t>
      </w:r>
      <w:hyperlink r:id="rId23" w:history="1">
        <w:r w:rsidRPr="007E081B">
          <w:rPr>
            <w:rStyle w:val="Hyperlink"/>
            <w:rFonts w:ascii="Times New Roman" w:hAnsi="Times New Roman" w:cs="Times New Roman"/>
          </w:rPr>
          <w:t>https://www.acas.org.uk/manage-staff-redundancies/offer-an-appeals-process</w:t>
        </w:r>
      </w:hyperlink>
      <w:r w:rsidRPr="007E081B">
        <w:rPr>
          <w:rFonts w:ascii="Times New Roman" w:hAnsi="Times New Roman" w:cs="Times New Roman"/>
        </w:rPr>
        <w:t xml:space="preserve"> (accessed: 18 April 2022)</w:t>
      </w:r>
    </w:p>
  </w:footnote>
  <w:footnote w:id="67">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Managing staff redundancies: step by step – Give employees notice of redundancy, </w:t>
      </w:r>
      <w:proofErr w:type="spellStart"/>
      <w:r w:rsidRPr="007E081B">
        <w:rPr>
          <w:rFonts w:ascii="Times New Roman" w:hAnsi="Times New Roman" w:cs="Times New Roman"/>
          <w:i/>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2022,  </w:t>
      </w:r>
      <w:hyperlink r:id="rId24" w:history="1">
        <w:r w:rsidRPr="007E081B">
          <w:rPr>
            <w:rStyle w:val="Hyperlink"/>
            <w:rFonts w:ascii="Times New Roman" w:hAnsi="Times New Roman" w:cs="Times New Roman"/>
          </w:rPr>
          <w:t>https://www.acas.org.uk/manage-staff-redundancies/give-employees-notice-of-redundancy</w:t>
        </w:r>
      </w:hyperlink>
      <w:r w:rsidRPr="007E081B">
        <w:rPr>
          <w:rFonts w:ascii="Times New Roman" w:hAnsi="Times New Roman" w:cs="Times New Roman"/>
        </w:rPr>
        <w:t xml:space="preserve"> (accessed 18 April 2022)</w:t>
      </w:r>
    </w:p>
  </w:footnote>
  <w:footnote w:id="68">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CIPD, Contracts of employment, 2021, </w:t>
      </w:r>
      <w:r w:rsidRPr="007E081B">
        <w:rPr>
          <w:rFonts w:ascii="Times New Roman" w:hAnsi="Times New Roman" w:cs="Times New Roman"/>
          <w:i/>
        </w:rPr>
        <w:t xml:space="preserve">CIPD Web site, </w:t>
      </w:r>
      <w:r w:rsidRPr="007E081B">
        <w:rPr>
          <w:rFonts w:ascii="Times New Roman" w:hAnsi="Times New Roman" w:cs="Times New Roman"/>
        </w:rPr>
        <w:t xml:space="preserve">London, CIPD, </w:t>
      </w:r>
      <w:hyperlink r:id="rId25" w:history="1">
        <w:r w:rsidRPr="007E081B">
          <w:rPr>
            <w:rStyle w:val="Hyperlink"/>
            <w:rFonts w:ascii="Times New Roman" w:hAnsi="Times New Roman" w:cs="Times New Roman"/>
          </w:rPr>
          <w:t>https://www.cipd.co.uk/knowledge/fundamentals/emp-law/terms-conditions/contracts-factsheet</w:t>
        </w:r>
      </w:hyperlink>
      <w:r w:rsidRPr="007E081B">
        <w:rPr>
          <w:rFonts w:ascii="Times New Roman" w:hAnsi="Times New Roman" w:cs="Times New Roman"/>
        </w:rPr>
        <w:t xml:space="preserve"> (accessed 20 April 2022)</w:t>
      </w:r>
    </w:p>
  </w:footnote>
  <w:footnote w:id="69">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Making changes to employment contracts: employer responsibilities, </w:t>
      </w:r>
      <w:proofErr w:type="spellStart"/>
      <w:r w:rsidRPr="007E081B">
        <w:rPr>
          <w:rFonts w:ascii="Times New Roman" w:hAnsi="Times New Roman" w:cs="Times New Roman"/>
          <w:i/>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2021,  </w:t>
      </w:r>
      <w:hyperlink r:id="rId26" w:history="1">
        <w:r w:rsidRPr="007E081B">
          <w:rPr>
            <w:rStyle w:val="Hyperlink"/>
            <w:rFonts w:ascii="Times New Roman" w:hAnsi="Times New Roman" w:cs="Times New Roman"/>
          </w:rPr>
          <w:t>https://www.acas.org.uk/changing-an-employment-contract/employer-responsibilities/if-employment-contract-changes-cannot-be-agreed</w:t>
        </w:r>
      </w:hyperlink>
      <w:r w:rsidRPr="007E081B">
        <w:rPr>
          <w:rFonts w:ascii="Times New Roman" w:hAnsi="Times New Roman" w:cs="Times New Roman"/>
        </w:rPr>
        <w:t xml:space="preserve"> (accessed 20 April 2022)</w:t>
      </w:r>
    </w:p>
  </w:footnote>
  <w:footnote w:id="70">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“Having employees agree to any variation to their contract of employment is the best outcome”. See, CIPD, Contracts of employment, 2021, </w:t>
      </w:r>
      <w:r w:rsidRPr="007E081B">
        <w:rPr>
          <w:rFonts w:ascii="Times New Roman" w:hAnsi="Times New Roman" w:cs="Times New Roman"/>
          <w:i/>
        </w:rPr>
        <w:t xml:space="preserve">CIPD Web site, </w:t>
      </w:r>
      <w:r w:rsidRPr="007E081B">
        <w:rPr>
          <w:rFonts w:ascii="Times New Roman" w:hAnsi="Times New Roman" w:cs="Times New Roman"/>
        </w:rPr>
        <w:t xml:space="preserve">London, CIPD, </w:t>
      </w:r>
      <w:hyperlink r:id="rId27" w:history="1">
        <w:r w:rsidRPr="007E081B">
          <w:rPr>
            <w:rStyle w:val="Hyperlink"/>
            <w:rFonts w:ascii="Times New Roman" w:hAnsi="Times New Roman" w:cs="Times New Roman"/>
          </w:rPr>
          <w:t>https://www.cipd.co.uk/knowledge/fundamentals/emp-law/terms-conditions/contracts-factsheet</w:t>
        </w:r>
      </w:hyperlink>
      <w:r w:rsidRPr="007E081B">
        <w:rPr>
          <w:rFonts w:ascii="Times New Roman" w:hAnsi="Times New Roman" w:cs="Times New Roman"/>
        </w:rPr>
        <w:t xml:space="preserve"> (accessed 20 April 2022) </w:t>
      </w:r>
    </w:p>
  </w:footnote>
  <w:footnote w:id="71">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Making changes to employment contracts: employer responsibilities, </w:t>
      </w:r>
      <w:proofErr w:type="spellStart"/>
      <w:r w:rsidRPr="007E081B">
        <w:rPr>
          <w:rFonts w:ascii="Times New Roman" w:hAnsi="Times New Roman" w:cs="Times New Roman"/>
          <w:i/>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2021,  </w:t>
      </w:r>
      <w:hyperlink r:id="rId28" w:history="1">
        <w:r w:rsidRPr="007E081B">
          <w:rPr>
            <w:rStyle w:val="Hyperlink"/>
            <w:rFonts w:ascii="Times New Roman" w:hAnsi="Times New Roman" w:cs="Times New Roman"/>
          </w:rPr>
          <w:t>https://www.acas.org.uk/changing-an-employment-contract/employer-responsibilities/if-employment-contract-changes-cannot-be-agreed</w:t>
        </w:r>
      </w:hyperlink>
      <w:r w:rsidRPr="007E081B">
        <w:rPr>
          <w:rFonts w:ascii="Times New Roman" w:hAnsi="Times New Roman" w:cs="Times New Roman"/>
        </w:rPr>
        <w:t xml:space="preserve"> (accessed 20 April 2022)</w:t>
      </w:r>
    </w:p>
  </w:footnote>
  <w:footnote w:id="72">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bookmarkStart w:id="4" w:name="_Hlk101533391"/>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Making changes to employment contracts: employer responsibilities, </w:t>
      </w:r>
      <w:proofErr w:type="spellStart"/>
      <w:r w:rsidRPr="007E081B">
        <w:rPr>
          <w:rFonts w:ascii="Times New Roman" w:hAnsi="Times New Roman" w:cs="Times New Roman"/>
          <w:i/>
        </w:rPr>
        <w:t>Acas</w:t>
      </w:r>
      <w:proofErr w:type="spellEnd"/>
      <w:r w:rsidRPr="007E081B">
        <w:rPr>
          <w:rFonts w:ascii="Times New Roman" w:hAnsi="Times New Roman" w:cs="Times New Roman"/>
          <w:i/>
        </w:rPr>
        <w:t xml:space="preserve"> Web site</w:t>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2021,  </w:t>
      </w:r>
      <w:hyperlink r:id="rId29" w:history="1">
        <w:r w:rsidRPr="007E081B">
          <w:rPr>
            <w:rStyle w:val="Hyperlink"/>
            <w:rFonts w:ascii="Times New Roman" w:hAnsi="Times New Roman" w:cs="Times New Roman"/>
          </w:rPr>
          <w:t>https://www.acas.org.uk/changing-an-employment-contract/employer-responsibilities/if-employment-contract-changes-cannot-be-agreed</w:t>
        </w:r>
      </w:hyperlink>
      <w:r w:rsidRPr="007E081B">
        <w:rPr>
          <w:rFonts w:ascii="Times New Roman" w:hAnsi="Times New Roman" w:cs="Times New Roman"/>
        </w:rPr>
        <w:t xml:space="preserve"> (accessed 20 April 2022)</w:t>
      </w:r>
      <w:bookmarkEnd w:id="4"/>
    </w:p>
  </w:footnote>
  <w:footnote w:id="73">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CIPD, Contracts of employment, 2021, </w:t>
      </w:r>
      <w:r w:rsidRPr="007E081B">
        <w:rPr>
          <w:rFonts w:ascii="Times New Roman" w:hAnsi="Times New Roman" w:cs="Times New Roman"/>
          <w:i/>
        </w:rPr>
        <w:t xml:space="preserve">CIPD Web site, </w:t>
      </w:r>
      <w:r w:rsidRPr="007E081B">
        <w:rPr>
          <w:rFonts w:ascii="Times New Roman" w:hAnsi="Times New Roman" w:cs="Times New Roman"/>
        </w:rPr>
        <w:t xml:space="preserve">London, CIPD, </w:t>
      </w:r>
      <w:hyperlink r:id="rId30" w:history="1">
        <w:r w:rsidRPr="007E081B">
          <w:rPr>
            <w:rStyle w:val="Hyperlink"/>
            <w:rFonts w:ascii="Times New Roman" w:hAnsi="Times New Roman" w:cs="Times New Roman"/>
          </w:rPr>
          <w:t>https://www.cipd.co.uk/knowledge/fundamentals/emp-law/terms-conditions/contracts-factsheet</w:t>
        </w:r>
      </w:hyperlink>
      <w:r w:rsidRPr="007E081B">
        <w:rPr>
          <w:rFonts w:ascii="Times New Roman" w:hAnsi="Times New Roman" w:cs="Times New Roman"/>
        </w:rPr>
        <w:t xml:space="preserve"> (accessed 20 April 2022)</w:t>
      </w:r>
    </w:p>
  </w:footnote>
  <w:footnote w:id="74">
    <w:p w:rsidR="00AE4F38" w:rsidRPr="007E081B" w:rsidRDefault="00AE4F38" w:rsidP="00AE4F38">
      <w:pPr>
        <w:pStyle w:val="FootnoteText"/>
        <w:rPr>
          <w:rFonts w:ascii="Times New Roman" w:hAnsi="Times New Roman" w:cs="Times New Roman"/>
        </w:rPr>
      </w:pPr>
      <w:bookmarkStart w:id="5" w:name="_Hlk101537114"/>
      <w:r w:rsidRPr="007E081B">
        <w:rPr>
          <w:rStyle w:val="FootnoteReference"/>
          <w:rFonts w:ascii="Times New Roman" w:hAnsi="Times New Roman" w:cs="Times New Roman"/>
        </w:rPr>
        <w:footnoteRef/>
      </w:r>
      <w:r w:rsidRPr="007E081B">
        <w:rPr>
          <w:rFonts w:ascii="Times New Roman" w:hAnsi="Times New Roman" w:cs="Times New Roman"/>
        </w:rPr>
        <w:t xml:space="preserve"> </w:t>
      </w:r>
      <w:bookmarkStart w:id="6" w:name="_Hlk101539523"/>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Making changes to employment contracts: employer responsibilities,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Web site,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2021,  </w:t>
      </w:r>
      <w:hyperlink r:id="rId31" w:history="1">
        <w:r w:rsidRPr="007E081B">
          <w:rPr>
            <w:rStyle w:val="Hyperlink"/>
            <w:rFonts w:ascii="Times New Roman" w:hAnsi="Times New Roman" w:cs="Times New Roman"/>
          </w:rPr>
          <w:t>https://www.acas.org.uk/changing-an-employment-contract/employer-responsibilities/if-employment-contract-changes-cannot-be-agreed</w:t>
        </w:r>
      </w:hyperlink>
      <w:r w:rsidRPr="007E081B">
        <w:rPr>
          <w:rFonts w:ascii="Times New Roman" w:hAnsi="Times New Roman" w:cs="Times New Roman"/>
        </w:rPr>
        <w:t xml:space="preserve"> (accessed 20 April 2022)</w:t>
      </w:r>
      <w:bookmarkEnd w:id="5"/>
    </w:p>
    <w:bookmarkEnd w:id="6"/>
  </w:footnote>
  <w:footnote w:id="75">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D. Lewis &amp; M. </w:t>
      </w:r>
      <w:proofErr w:type="spellStart"/>
      <w:r w:rsidRPr="007E081B">
        <w:rPr>
          <w:rFonts w:ascii="Times New Roman" w:hAnsi="Times New Roman" w:cs="Times New Roman"/>
        </w:rPr>
        <w:t>Sargeant</w:t>
      </w:r>
      <w:proofErr w:type="spellEnd"/>
      <w:r w:rsidRPr="007E081B">
        <w:rPr>
          <w:rFonts w:ascii="Times New Roman" w:hAnsi="Times New Roman" w:cs="Times New Roman"/>
        </w:rPr>
        <w:t xml:space="preserve">, Employment Law </w:t>
      </w:r>
      <w:proofErr w:type="gramStart"/>
      <w:r w:rsidRPr="007E081B">
        <w:rPr>
          <w:rFonts w:ascii="Times New Roman" w:hAnsi="Times New Roman" w:cs="Times New Roman"/>
        </w:rPr>
        <w:t>The</w:t>
      </w:r>
      <w:proofErr w:type="gramEnd"/>
      <w:r w:rsidRPr="007E081B">
        <w:rPr>
          <w:rFonts w:ascii="Times New Roman" w:hAnsi="Times New Roman" w:cs="Times New Roman"/>
        </w:rPr>
        <w:t xml:space="preserve"> Essential, Kogan Page, London, 2020, p.238</w:t>
      </w:r>
    </w:p>
  </w:footnote>
  <w:footnote w:id="76">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i/>
        </w:rPr>
        <w:t>Adamas</w:t>
      </w:r>
      <w:proofErr w:type="spellEnd"/>
      <w:r w:rsidRPr="007E081B">
        <w:rPr>
          <w:rFonts w:ascii="Times New Roman" w:hAnsi="Times New Roman" w:cs="Times New Roman"/>
          <w:i/>
        </w:rPr>
        <w:t xml:space="preserve"> Ltd v Cheung </w:t>
      </w:r>
      <w:r w:rsidRPr="007E081B">
        <w:rPr>
          <w:rFonts w:ascii="Times New Roman" w:hAnsi="Times New Roman" w:cs="Times New Roman"/>
        </w:rPr>
        <w:t>[2011] IRLR 1014</w:t>
      </w:r>
    </w:p>
  </w:footnote>
  <w:footnote w:id="77">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See </w:t>
      </w:r>
      <w:proofErr w:type="spellStart"/>
      <w:r w:rsidRPr="007E081B">
        <w:rPr>
          <w:rFonts w:ascii="Times New Roman" w:hAnsi="Times New Roman" w:cs="Times New Roman"/>
          <w:i/>
        </w:rPr>
        <w:t>Aparau</w:t>
      </w:r>
      <w:proofErr w:type="spellEnd"/>
      <w:r w:rsidRPr="007E081B">
        <w:rPr>
          <w:rFonts w:ascii="Times New Roman" w:hAnsi="Times New Roman" w:cs="Times New Roman"/>
          <w:i/>
        </w:rPr>
        <w:t xml:space="preserve"> v Iceland Frozen Foods </w:t>
      </w:r>
      <w:r w:rsidRPr="007E081B">
        <w:rPr>
          <w:rFonts w:ascii="Times New Roman" w:hAnsi="Times New Roman" w:cs="Times New Roman"/>
        </w:rPr>
        <w:t>[1996] IRLR 119</w:t>
      </w:r>
    </w:p>
  </w:footnote>
  <w:footnote w:id="78">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CIPD, Contracts of employment, 2021, </w:t>
      </w:r>
      <w:r w:rsidRPr="007E081B">
        <w:rPr>
          <w:rFonts w:ascii="Times New Roman" w:hAnsi="Times New Roman" w:cs="Times New Roman"/>
          <w:i/>
        </w:rPr>
        <w:t xml:space="preserve">CIPD Web site, </w:t>
      </w:r>
      <w:r w:rsidRPr="007E081B">
        <w:rPr>
          <w:rFonts w:ascii="Times New Roman" w:hAnsi="Times New Roman" w:cs="Times New Roman"/>
        </w:rPr>
        <w:t xml:space="preserve">London, CIPD, </w:t>
      </w:r>
      <w:hyperlink r:id="rId32" w:history="1">
        <w:r w:rsidRPr="007E081B">
          <w:rPr>
            <w:rStyle w:val="Hyperlink"/>
            <w:rFonts w:ascii="Times New Roman" w:hAnsi="Times New Roman" w:cs="Times New Roman"/>
          </w:rPr>
          <w:t>https://www.cipd.co.uk/knowledge/fundamentals/emp-law/terms-conditions/contracts-factsheet</w:t>
        </w:r>
      </w:hyperlink>
      <w:r w:rsidRPr="007E081B">
        <w:rPr>
          <w:rFonts w:ascii="Times New Roman" w:hAnsi="Times New Roman" w:cs="Times New Roman"/>
        </w:rPr>
        <w:t xml:space="preserve"> (accessed 20 April 2022)</w:t>
      </w:r>
    </w:p>
  </w:footnote>
  <w:footnote w:id="79">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Making changes to employment contracts: employer responsibilities,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Web site,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2021,  </w:t>
      </w:r>
      <w:hyperlink r:id="rId33" w:history="1">
        <w:r w:rsidRPr="007E081B">
          <w:rPr>
            <w:rStyle w:val="Hyperlink"/>
            <w:rFonts w:ascii="Times New Roman" w:hAnsi="Times New Roman" w:cs="Times New Roman"/>
          </w:rPr>
          <w:t>https://www.acas.org.uk/changing-an-employment-contract/employer-responsibilities/if-employment-contract-changes-cannot-be-agreed</w:t>
        </w:r>
      </w:hyperlink>
      <w:r w:rsidRPr="007E081B">
        <w:rPr>
          <w:rFonts w:ascii="Times New Roman" w:hAnsi="Times New Roman" w:cs="Times New Roman"/>
        </w:rPr>
        <w:t xml:space="preserve"> (accessed 20 April 2022)</w:t>
      </w:r>
    </w:p>
  </w:footnote>
  <w:footnote w:id="80">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CIPD, Contracts of employment, 2021, CIPD Web site, London, CIPD, </w:t>
      </w:r>
      <w:hyperlink r:id="rId34" w:history="1">
        <w:r w:rsidRPr="007E081B">
          <w:rPr>
            <w:rStyle w:val="Hyperlink"/>
            <w:rFonts w:ascii="Times New Roman" w:hAnsi="Times New Roman" w:cs="Times New Roman"/>
          </w:rPr>
          <w:t>https://www.cipd.co.uk/knowledge/fundamentals/emp-law/terms-conditions/contracts-factsheet</w:t>
        </w:r>
      </w:hyperlink>
      <w:r w:rsidRPr="007E081B">
        <w:rPr>
          <w:rFonts w:ascii="Times New Roman" w:hAnsi="Times New Roman" w:cs="Times New Roman"/>
        </w:rPr>
        <w:t xml:space="preserve"> (accessed 20 April 2022)</w:t>
      </w:r>
    </w:p>
  </w:footnote>
  <w:footnote w:id="81">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Making changes to employment contracts: employer responsibilities,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Web site,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w:t>
      </w:r>
      <w:proofErr w:type="gramStart"/>
      <w:r w:rsidRPr="007E081B">
        <w:rPr>
          <w:rFonts w:ascii="Times New Roman" w:hAnsi="Times New Roman" w:cs="Times New Roman"/>
        </w:rPr>
        <w:t>2021,  https://www.acas.org.uk/changing-an-employment-contract/employer-responsibilities/if-employment-contract-changes-cannot-be-agreed</w:t>
      </w:r>
      <w:proofErr w:type="gramEnd"/>
      <w:r w:rsidRPr="007E081B">
        <w:rPr>
          <w:rFonts w:ascii="Times New Roman" w:hAnsi="Times New Roman" w:cs="Times New Roman"/>
        </w:rPr>
        <w:t xml:space="preserve"> (accessed 20 April 2022)</w:t>
      </w:r>
    </w:p>
  </w:footnote>
  <w:footnote w:id="82">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CIPD, Fire and rehire: guidance for employers, 2022, </w:t>
      </w:r>
      <w:r w:rsidRPr="007E081B">
        <w:rPr>
          <w:rFonts w:ascii="Times New Roman" w:hAnsi="Times New Roman" w:cs="Times New Roman"/>
          <w:i/>
        </w:rPr>
        <w:t xml:space="preserve">CIPD Web site, </w:t>
      </w:r>
      <w:r w:rsidRPr="007E081B">
        <w:rPr>
          <w:rFonts w:ascii="Times New Roman" w:hAnsi="Times New Roman" w:cs="Times New Roman"/>
        </w:rPr>
        <w:t xml:space="preserve">London, CIPD, </w:t>
      </w:r>
      <w:hyperlink r:id="rId35" w:anchor=":~:text=The%20CIPD%E2%80%99s%20view%20is%20that%20such%20%E2%80%98fire%20and,%E2%80%98dismissal%20and%20re-engagement%E2%80%99%20is%20not%20a%20new%20practice" w:history="1">
        <w:r w:rsidRPr="007E081B">
          <w:rPr>
            <w:rStyle w:val="Hyperlink"/>
            <w:rFonts w:ascii="Times New Roman" w:hAnsi="Times New Roman" w:cs="Times New Roman"/>
          </w:rPr>
          <w:t>https://www.cipd.co.uk/knowledge/fundamentals/emp-law/terms-conditions/fire-rehire-employer-guidance#:~:text=The%20CIPD%E2%80%99s%20view%20is%20that%20such%20%E2%80%98fire%20and,%E2%80%98dismissal%20and%20re-engagement%E2%80%99%20is%20not%20a%20new%20practice</w:t>
        </w:r>
      </w:hyperlink>
      <w:r w:rsidRPr="007E081B">
        <w:rPr>
          <w:rFonts w:ascii="Times New Roman" w:hAnsi="Times New Roman" w:cs="Times New Roman"/>
        </w:rPr>
        <w:t xml:space="preserve">  (accessed 22 April 2022)</w:t>
      </w:r>
    </w:p>
  </w:footnote>
  <w:footnote w:id="83">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Making changes to employment contracts: employer responsibilities,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Web site,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2021,  </w:t>
      </w:r>
      <w:hyperlink r:id="rId36" w:history="1">
        <w:r w:rsidRPr="007E081B">
          <w:rPr>
            <w:rStyle w:val="Hyperlink"/>
            <w:rFonts w:ascii="Times New Roman" w:hAnsi="Times New Roman" w:cs="Times New Roman"/>
          </w:rPr>
          <w:t>https://www.acas.org.uk/changing-an-employment-contract/employer-responsibilities/if-employment-contract-changes-cannot-be-agreed</w:t>
        </w:r>
      </w:hyperlink>
      <w:r w:rsidRPr="007E081B">
        <w:rPr>
          <w:rFonts w:ascii="Times New Roman" w:hAnsi="Times New Roman" w:cs="Times New Roman"/>
        </w:rPr>
        <w:t xml:space="preserve"> (accessed 20 April 2022)</w:t>
      </w:r>
    </w:p>
  </w:footnote>
  <w:footnote w:id="84">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CIPD, Fire and rehire: guidance for employers, 2022, CIPD Web site, London, CIPD, </w:t>
      </w:r>
      <w:hyperlink r:id="rId37" w:anchor=":~:text=The%20CIPD%E2%80%99s%20view%20is%20that%20such%20%E2%80%98fire%20and,%E2%80%98dismissal%20and%20re-engagement%E2%80%99%20is%20not%20a%20new%20practice" w:history="1">
        <w:r w:rsidRPr="007E081B">
          <w:rPr>
            <w:rStyle w:val="Hyperlink"/>
            <w:rFonts w:ascii="Times New Roman" w:hAnsi="Times New Roman" w:cs="Times New Roman"/>
          </w:rPr>
          <w:t>https://www.cipd.co.uk/knowledge/fundamentals/emp-law/terms-conditions/fire-rehire-employer-guidance#:~:text=The%20CIPD%E2%80%99s%20view%20is%20that%20such%20%E2%80%98fire%20and,%E2%80%98dismissal%20and%20re-engagement%E2%80%99%20is%20not%20a%20new%20practice</w:t>
        </w:r>
      </w:hyperlink>
      <w:r w:rsidRPr="007E081B">
        <w:rPr>
          <w:rFonts w:ascii="Times New Roman" w:hAnsi="Times New Roman" w:cs="Times New Roman"/>
        </w:rPr>
        <w:t xml:space="preserve"> (accessed 22 April 2022)</w:t>
      </w:r>
    </w:p>
  </w:footnote>
  <w:footnote w:id="85">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r w:rsidRPr="007E081B">
        <w:rPr>
          <w:rFonts w:ascii="Times New Roman" w:hAnsi="Times New Roman" w:cs="Times New Roman"/>
          <w:bCs/>
          <w:i/>
        </w:rPr>
        <w:t xml:space="preserve">Kellogg Brown &amp; Root (UK) Ltd v Fitton &amp; Ewer </w:t>
      </w:r>
      <w:r w:rsidRPr="007E081B">
        <w:rPr>
          <w:rFonts w:ascii="Times New Roman" w:hAnsi="Times New Roman" w:cs="Times New Roman"/>
          <w:bCs/>
        </w:rPr>
        <w:t>[2016]</w:t>
      </w:r>
      <w:r w:rsidRPr="007E081B">
        <w:rPr>
          <w:rFonts w:ascii="Times New Roman" w:hAnsi="Times New Roman" w:cs="Times New Roman"/>
        </w:rPr>
        <w:t> UKEAT/0205/16/BA</w:t>
      </w:r>
    </w:p>
  </w:footnote>
  <w:footnote w:id="86">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Trade Union and Labour Relations (Consolidation) Act 1992, Chapter 2</w:t>
      </w:r>
    </w:p>
  </w:footnote>
  <w:footnote w:id="87">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CIPD, Fire and rehire: guidance for employers, 2022, </w:t>
      </w:r>
      <w:r w:rsidRPr="007E081B">
        <w:rPr>
          <w:rFonts w:ascii="Times New Roman" w:hAnsi="Times New Roman" w:cs="Times New Roman"/>
          <w:i/>
        </w:rPr>
        <w:t xml:space="preserve">CIPD Web site, </w:t>
      </w:r>
      <w:r w:rsidRPr="007E081B">
        <w:rPr>
          <w:rFonts w:ascii="Times New Roman" w:hAnsi="Times New Roman" w:cs="Times New Roman"/>
        </w:rPr>
        <w:t xml:space="preserve">London, CIPD, </w:t>
      </w:r>
      <w:hyperlink r:id="rId38" w:anchor=":~:text=The%20CIPD%E2%80%99s%20view%20is%20that%20such%20%E2%80%98fire%20and,%E2%80%98dismissal%20and%20re-engagement%E2%80%99%20is%20not%20a%20new%20practice" w:history="1">
        <w:r w:rsidRPr="007E081B">
          <w:rPr>
            <w:rStyle w:val="Hyperlink"/>
            <w:rFonts w:ascii="Times New Roman" w:hAnsi="Times New Roman" w:cs="Times New Roman"/>
          </w:rPr>
          <w:t>https://www.cipd.co.uk/knowledge/fundamentals/emp-law/terms-conditions/fire-rehire-employer-guidance#:~:text=The%20CIPD%E2%80%99s%20view%20is%20that%20such%20%E2%80%98fire%20and,%E2%80%98dismissal%20and%20re-engagement%E2%80%99%20is%20not%20a%20new%20practice</w:t>
        </w:r>
      </w:hyperlink>
      <w:r w:rsidRPr="007E081B">
        <w:rPr>
          <w:rFonts w:ascii="Times New Roman" w:hAnsi="Times New Roman" w:cs="Times New Roman"/>
        </w:rPr>
        <w:t xml:space="preserve">  (accessed 22 April 2022)</w:t>
      </w:r>
    </w:p>
  </w:footnote>
  <w:footnote w:id="88">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bookmarkStart w:id="7" w:name="_Hlk101546249"/>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Making changes to employment contracts: employer responsibilities,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Web site,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2021,  </w:t>
      </w:r>
      <w:hyperlink r:id="rId39" w:history="1">
        <w:r w:rsidRPr="007E081B">
          <w:rPr>
            <w:rStyle w:val="Hyperlink"/>
            <w:rFonts w:ascii="Times New Roman" w:hAnsi="Times New Roman" w:cs="Times New Roman"/>
          </w:rPr>
          <w:t>https://www.acas.org.uk/changing-an-employment-contract/employer-responsibilities/if-employment-contract-changes-cannot-be-agreed</w:t>
        </w:r>
      </w:hyperlink>
      <w:r w:rsidRPr="007E081B">
        <w:rPr>
          <w:rFonts w:ascii="Times New Roman" w:hAnsi="Times New Roman" w:cs="Times New Roman"/>
        </w:rPr>
        <w:t xml:space="preserve"> (accessed 20 April 2022)</w:t>
      </w:r>
      <w:bookmarkEnd w:id="7"/>
    </w:p>
  </w:footnote>
  <w:footnote w:id="89">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publishes advice to help employers avoid hire and fire practices,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Web site,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2021,  </w:t>
      </w:r>
      <w:hyperlink r:id="rId40" w:anchor=":~:text=Acas%20advises%20that%20the%20practice%20of%20fire%20and,in%20using%20fire%20and%20rehire%20practices%20can%20include%3A" w:history="1">
        <w:r w:rsidRPr="007E081B">
          <w:rPr>
            <w:rStyle w:val="Hyperlink"/>
            <w:rFonts w:ascii="Times New Roman" w:hAnsi="Times New Roman" w:cs="Times New Roman"/>
          </w:rPr>
          <w:t>https://www.acas.org.uk/acas-publishes-advice-to-help-employers-avoid-fire-and-rehire-practices#:~:text=Acas%20advises%20that%20the%20practice%20of%20fire%20and,in%20using%20fire%20and%20rehire%20practices%20can%20include%3A</w:t>
        </w:r>
      </w:hyperlink>
      <w:r w:rsidRPr="007E081B">
        <w:rPr>
          <w:rFonts w:ascii="Times New Roman" w:hAnsi="Times New Roman" w:cs="Times New Roman"/>
        </w:rPr>
        <w:t xml:space="preserve"> (accessed 22 April 2022)</w:t>
      </w:r>
    </w:p>
  </w:footnote>
  <w:footnote w:id="90">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The Labour Party have called for the ‘fire and rehire’ practice to be outlawed. See, People Management, Labour party calls for ‘fire and rehire’ tactics to be outlawed, </w:t>
      </w:r>
      <w:r w:rsidRPr="007E081B">
        <w:rPr>
          <w:rFonts w:ascii="Times New Roman" w:hAnsi="Times New Roman" w:cs="Times New Roman"/>
          <w:i/>
        </w:rPr>
        <w:t>People Management Web site</w:t>
      </w:r>
      <w:r w:rsidRPr="007E081B">
        <w:rPr>
          <w:rFonts w:ascii="Times New Roman" w:hAnsi="Times New Roman" w:cs="Times New Roman"/>
        </w:rPr>
        <w:t xml:space="preserve">, CIPD, 2021, </w:t>
      </w:r>
      <w:hyperlink r:id="rId41" w:anchor="_ga=2.6200250.803852503.1650197266-1245523057.1646902237" w:history="1">
        <w:r w:rsidRPr="007E081B">
          <w:rPr>
            <w:rStyle w:val="Hyperlink"/>
            <w:rFonts w:ascii="Times New Roman" w:hAnsi="Times New Roman" w:cs="Times New Roman"/>
          </w:rPr>
          <w:t>https://www.peoplemanagement.co.uk/article/1747226/labour-party-calls-for-fire-and-rehire-tactics-to-be-outlawed#_ga=2.6200250.803852503.1650197266-1245523057.1646902237</w:t>
        </w:r>
      </w:hyperlink>
      <w:r w:rsidRPr="007E081B">
        <w:rPr>
          <w:rFonts w:ascii="Times New Roman" w:hAnsi="Times New Roman" w:cs="Times New Roman"/>
        </w:rPr>
        <w:t xml:space="preserve"> (accessed: 22 April 2022)</w:t>
      </w:r>
    </w:p>
  </w:footnote>
  <w:footnote w:id="91">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UK Government, New statutory code to prevent unscrupulous employers using fire and rehire tactics, 2022, </w:t>
      </w:r>
      <w:r w:rsidRPr="007E081B">
        <w:rPr>
          <w:rFonts w:ascii="Times New Roman" w:hAnsi="Times New Roman" w:cs="Times New Roman"/>
          <w:i/>
        </w:rPr>
        <w:t>UK Government Web site</w:t>
      </w:r>
      <w:r w:rsidRPr="007E081B">
        <w:rPr>
          <w:rFonts w:ascii="Times New Roman" w:hAnsi="Times New Roman" w:cs="Times New Roman"/>
        </w:rPr>
        <w:t xml:space="preserve">, UK Government, </w:t>
      </w:r>
      <w:hyperlink r:id="rId42" w:history="1">
        <w:r w:rsidRPr="007E081B">
          <w:rPr>
            <w:rStyle w:val="Hyperlink"/>
            <w:rFonts w:ascii="Times New Roman" w:hAnsi="Times New Roman" w:cs="Times New Roman"/>
          </w:rPr>
          <w:t>https://www.gov.uk/government/news/new-statutory-code-to-prevent-unscrupulous-employers-using-fire-and-rehire-tactics</w:t>
        </w:r>
      </w:hyperlink>
      <w:r w:rsidRPr="007E081B">
        <w:rPr>
          <w:rFonts w:ascii="Times New Roman" w:hAnsi="Times New Roman" w:cs="Times New Roman"/>
        </w:rPr>
        <w:t xml:space="preserve"> (accessed: 22 April 2022)</w:t>
      </w:r>
    </w:p>
  </w:footnote>
  <w:footnote w:id="92">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CIPD, Fire and rehire: guidance for employers, 2022, </w:t>
      </w:r>
      <w:r w:rsidRPr="007E081B">
        <w:rPr>
          <w:rFonts w:ascii="Times New Roman" w:hAnsi="Times New Roman" w:cs="Times New Roman"/>
          <w:i/>
        </w:rPr>
        <w:t xml:space="preserve">CIPD Web site, </w:t>
      </w:r>
      <w:r w:rsidRPr="007E081B">
        <w:rPr>
          <w:rFonts w:ascii="Times New Roman" w:hAnsi="Times New Roman" w:cs="Times New Roman"/>
        </w:rPr>
        <w:t xml:space="preserve">London, CIPD, </w:t>
      </w:r>
      <w:hyperlink r:id="rId43" w:anchor=":~:text=The%20CIPD%E2%80%99s%20view%20is%20that%20such%20%E2%80%98fire%20and,%E2%80%98dismissal%20and%20re-engagement%E2%80%99%20is%20not%20a%20new%20practice" w:history="1">
        <w:r w:rsidRPr="007E081B">
          <w:rPr>
            <w:rStyle w:val="Hyperlink"/>
            <w:rFonts w:ascii="Times New Roman" w:hAnsi="Times New Roman" w:cs="Times New Roman"/>
          </w:rPr>
          <w:t>https://www.cipd.co.uk/knowledge/fundamentals/emp-law/terms-conditions/fire-rehire-employer-guidance#:~:text=The%20CIPD%E2%80%99s%20view%20is%20that%20such%20%E2%80%98fire%20and,%E2%80%98dismissal%20and%20re-engagement%E2%80%99%20is%20not%20a%20new%20practice</w:t>
        </w:r>
      </w:hyperlink>
      <w:r w:rsidRPr="007E081B">
        <w:rPr>
          <w:rFonts w:ascii="Times New Roman" w:hAnsi="Times New Roman" w:cs="Times New Roman"/>
        </w:rPr>
        <w:t xml:space="preserve">  (accessed 22 April 2022)</w:t>
      </w:r>
    </w:p>
  </w:footnote>
  <w:footnote w:id="93">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r w:rsidRPr="007E081B">
        <w:rPr>
          <w:rFonts w:ascii="Times New Roman" w:hAnsi="Times New Roman" w:cs="Times New Roman"/>
          <w:i/>
        </w:rPr>
        <w:t>Norman v National Audit Office</w:t>
      </w:r>
      <w:r w:rsidRPr="007E081B">
        <w:rPr>
          <w:rFonts w:ascii="Times New Roman" w:hAnsi="Times New Roman" w:cs="Times New Roman"/>
        </w:rPr>
        <w:t xml:space="preserve"> [2014] UKEAT/0276/14/BA</w:t>
      </w:r>
    </w:p>
  </w:footnote>
  <w:footnote w:id="94">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CIPD, Contracts of employment, 2021, CIPD Web site, London, CIPD, </w:t>
      </w:r>
      <w:hyperlink r:id="rId44" w:history="1">
        <w:r w:rsidRPr="007E081B">
          <w:rPr>
            <w:rStyle w:val="Hyperlink"/>
            <w:rFonts w:ascii="Times New Roman" w:hAnsi="Times New Roman" w:cs="Times New Roman"/>
          </w:rPr>
          <w:t>https://www.cipd.co.uk/knowledge/fundamentals/emp-law/terms-conditions/contracts-factsheet</w:t>
        </w:r>
      </w:hyperlink>
      <w:r w:rsidRPr="007E081B">
        <w:rPr>
          <w:rFonts w:ascii="Times New Roman" w:hAnsi="Times New Roman" w:cs="Times New Roman"/>
        </w:rPr>
        <w:t xml:space="preserve"> (accessed 20 April 2022)</w:t>
      </w:r>
    </w:p>
  </w:footnote>
  <w:footnote w:id="95">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r w:rsidRPr="007E081B">
        <w:rPr>
          <w:rFonts w:ascii="Times New Roman" w:hAnsi="Times New Roman" w:cs="Times New Roman"/>
          <w:i/>
        </w:rPr>
        <w:t xml:space="preserve">Bateman &amp; Others v Asda Stores </w:t>
      </w:r>
      <w:r w:rsidRPr="007E081B">
        <w:rPr>
          <w:rFonts w:ascii="Times New Roman" w:hAnsi="Times New Roman" w:cs="Times New Roman"/>
        </w:rPr>
        <w:t>[2010] EAT/0221/09</w:t>
      </w:r>
    </w:p>
  </w:footnote>
  <w:footnote w:id="96">
    <w:p w:rsidR="00AE4F38" w:rsidRPr="007E081B" w:rsidRDefault="00AE4F38" w:rsidP="00AE4F38">
      <w:pPr>
        <w:pStyle w:val="FootnoteText"/>
        <w:rPr>
          <w:rFonts w:ascii="Times New Roman" w:hAnsi="Times New Roman" w:cs="Times New Roman"/>
        </w:rPr>
      </w:pPr>
      <w:r w:rsidRPr="007E081B">
        <w:rPr>
          <w:rStyle w:val="FootnoteReference"/>
          <w:rFonts w:ascii="Times New Roman" w:hAnsi="Times New Roman" w:cs="Times New Roman"/>
        </w:rPr>
        <w:footnoteRef/>
      </w:r>
      <w:r w:rsidRPr="007E081B">
        <w:rPr>
          <w:rFonts w:ascii="Times New Roman" w:hAnsi="Times New Roman" w:cs="Times New Roman"/>
        </w:rPr>
        <w:t xml:space="preserv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Making changes to employment contracts: employer responsibilities,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Web site, </w:t>
      </w:r>
      <w:proofErr w:type="spellStart"/>
      <w:r w:rsidRPr="007E081B">
        <w:rPr>
          <w:rFonts w:ascii="Times New Roman" w:hAnsi="Times New Roman" w:cs="Times New Roman"/>
        </w:rPr>
        <w:t>Acas</w:t>
      </w:r>
      <w:proofErr w:type="spellEnd"/>
      <w:r w:rsidRPr="007E081B">
        <w:rPr>
          <w:rFonts w:ascii="Times New Roman" w:hAnsi="Times New Roman" w:cs="Times New Roman"/>
        </w:rPr>
        <w:t xml:space="preserve">, 2021,  </w:t>
      </w:r>
      <w:hyperlink r:id="rId45" w:history="1">
        <w:r w:rsidRPr="007E081B">
          <w:rPr>
            <w:rStyle w:val="Hyperlink"/>
            <w:rFonts w:ascii="Times New Roman" w:hAnsi="Times New Roman" w:cs="Times New Roman"/>
          </w:rPr>
          <w:t>https://www.acas.org.uk/changing-an-employment-contract/employer-responsibilities/if-employment-contract-changes-cannot-be-agreed</w:t>
        </w:r>
      </w:hyperlink>
      <w:r w:rsidRPr="007E081B">
        <w:rPr>
          <w:rFonts w:ascii="Times New Roman" w:hAnsi="Times New Roman" w:cs="Times New Roman"/>
        </w:rPr>
        <w:t xml:space="preserve"> (accessed 20 April 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2680E"/>
    <w:multiLevelType w:val="multilevel"/>
    <w:tmpl w:val="3F643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FB7594"/>
    <w:multiLevelType w:val="multilevel"/>
    <w:tmpl w:val="1CE61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220B87"/>
    <w:multiLevelType w:val="hybridMultilevel"/>
    <w:tmpl w:val="BBD2FD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45FAA"/>
    <w:multiLevelType w:val="multilevel"/>
    <w:tmpl w:val="9D2AD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DA2CF5"/>
    <w:multiLevelType w:val="hybridMultilevel"/>
    <w:tmpl w:val="39107A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5925BB"/>
    <w:multiLevelType w:val="hybridMultilevel"/>
    <w:tmpl w:val="6734D5B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11F3523D"/>
    <w:multiLevelType w:val="multilevel"/>
    <w:tmpl w:val="44028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322229F"/>
    <w:multiLevelType w:val="multilevel"/>
    <w:tmpl w:val="C27243BE"/>
    <w:lvl w:ilvl="0">
      <w:start w:val="1"/>
      <w:numFmt w:val="bullet"/>
      <w:lvlText w:val=""/>
      <w:lvlJc w:val="left"/>
      <w:pPr>
        <w:tabs>
          <w:tab w:val="num" w:pos="566"/>
        </w:tabs>
        <w:ind w:left="566" w:hanging="360"/>
      </w:pPr>
      <w:rPr>
        <w:rFonts w:ascii="Symbol" w:hAnsi="Symbol" w:hint="default"/>
        <w:sz w:val="20"/>
      </w:rPr>
    </w:lvl>
    <w:lvl w:ilvl="1" w:tentative="1">
      <w:start w:val="1"/>
      <w:numFmt w:val="bullet"/>
      <w:lvlText w:val=""/>
      <w:lvlJc w:val="left"/>
      <w:pPr>
        <w:tabs>
          <w:tab w:val="num" w:pos="1286"/>
        </w:tabs>
        <w:ind w:left="1286" w:hanging="360"/>
      </w:pPr>
      <w:rPr>
        <w:rFonts w:ascii="Symbol" w:hAnsi="Symbol" w:hint="default"/>
        <w:sz w:val="20"/>
      </w:rPr>
    </w:lvl>
    <w:lvl w:ilvl="2" w:tentative="1">
      <w:start w:val="1"/>
      <w:numFmt w:val="bullet"/>
      <w:lvlText w:val=""/>
      <w:lvlJc w:val="left"/>
      <w:pPr>
        <w:tabs>
          <w:tab w:val="num" w:pos="2006"/>
        </w:tabs>
        <w:ind w:left="2006" w:hanging="360"/>
      </w:pPr>
      <w:rPr>
        <w:rFonts w:ascii="Symbol" w:hAnsi="Symbol" w:hint="default"/>
        <w:sz w:val="20"/>
      </w:rPr>
    </w:lvl>
    <w:lvl w:ilvl="3" w:tentative="1">
      <w:start w:val="1"/>
      <w:numFmt w:val="bullet"/>
      <w:lvlText w:val=""/>
      <w:lvlJc w:val="left"/>
      <w:pPr>
        <w:tabs>
          <w:tab w:val="num" w:pos="2726"/>
        </w:tabs>
        <w:ind w:left="2726" w:hanging="360"/>
      </w:pPr>
      <w:rPr>
        <w:rFonts w:ascii="Symbol" w:hAnsi="Symbol" w:hint="default"/>
        <w:sz w:val="20"/>
      </w:rPr>
    </w:lvl>
    <w:lvl w:ilvl="4" w:tentative="1">
      <w:start w:val="1"/>
      <w:numFmt w:val="bullet"/>
      <w:lvlText w:val=""/>
      <w:lvlJc w:val="left"/>
      <w:pPr>
        <w:tabs>
          <w:tab w:val="num" w:pos="3446"/>
        </w:tabs>
        <w:ind w:left="3446" w:hanging="360"/>
      </w:pPr>
      <w:rPr>
        <w:rFonts w:ascii="Symbol" w:hAnsi="Symbol" w:hint="default"/>
        <w:sz w:val="20"/>
      </w:rPr>
    </w:lvl>
    <w:lvl w:ilvl="5" w:tentative="1">
      <w:start w:val="1"/>
      <w:numFmt w:val="bullet"/>
      <w:lvlText w:val=""/>
      <w:lvlJc w:val="left"/>
      <w:pPr>
        <w:tabs>
          <w:tab w:val="num" w:pos="4166"/>
        </w:tabs>
        <w:ind w:left="4166" w:hanging="360"/>
      </w:pPr>
      <w:rPr>
        <w:rFonts w:ascii="Symbol" w:hAnsi="Symbol" w:hint="default"/>
        <w:sz w:val="20"/>
      </w:rPr>
    </w:lvl>
    <w:lvl w:ilvl="6" w:tentative="1">
      <w:start w:val="1"/>
      <w:numFmt w:val="bullet"/>
      <w:lvlText w:val=""/>
      <w:lvlJc w:val="left"/>
      <w:pPr>
        <w:tabs>
          <w:tab w:val="num" w:pos="4886"/>
        </w:tabs>
        <w:ind w:left="4886" w:hanging="360"/>
      </w:pPr>
      <w:rPr>
        <w:rFonts w:ascii="Symbol" w:hAnsi="Symbol" w:hint="default"/>
        <w:sz w:val="20"/>
      </w:rPr>
    </w:lvl>
    <w:lvl w:ilvl="7" w:tentative="1">
      <w:start w:val="1"/>
      <w:numFmt w:val="bullet"/>
      <w:lvlText w:val=""/>
      <w:lvlJc w:val="left"/>
      <w:pPr>
        <w:tabs>
          <w:tab w:val="num" w:pos="5606"/>
        </w:tabs>
        <w:ind w:left="5606" w:hanging="360"/>
      </w:pPr>
      <w:rPr>
        <w:rFonts w:ascii="Symbol" w:hAnsi="Symbol" w:hint="default"/>
        <w:sz w:val="20"/>
      </w:rPr>
    </w:lvl>
    <w:lvl w:ilvl="8" w:tentative="1">
      <w:start w:val="1"/>
      <w:numFmt w:val="bullet"/>
      <w:lvlText w:val=""/>
      <w:lvlJc w:val="left"/>
      <w:pPr>
        <w:tabs>
          <w:tab w:val="num" w:pos="6326"/>
        </w:tabs>
        <w:ind w:left="6326" w:hanging="360"/>
      </w:pPr>
      <w:rPr>
        <w:rFonts w:ascii="Symbol" w:hAnsi="Symbol" w:hint="default"/>
        <w:sz w:val="20"/>
      </w:rPr>
    </w:lvl>
  </w:abstractNum>
  <w:abstractNum w:abstractNumId="8" w15:restartNumberingAfterBreak="0">
    <w:nsid w:val="16D2331B"/>
    <w:multiLevelType w:val="multilevel"/>
    <w:tmpl w:val="A1888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CE7C8A"/>
    <w:multiLevelType w:val="hybridMultilevel"/>
    <w:tmpl w:val="0502926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C27C29"/>
    <w:multiLevelType w:val="hybridMultilevel"/>
    <w:tmpl w:val="2DA8F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9E3302"/>
    <w:multiLevelType w:val="multilevel"/>
    <w:tmpl w:val="25A471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CC44E6D"/>
    <w:multiLevelType w:val="hybridMultilevel"/>
    <w:tmpl w:val="EA183B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ED750B"/>
    <w:multiLevelType w:val="hybridMultilevel"/>
    <w:tmpl w:val="DE0CF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9D16DE"/>
    <w:multiLevelType w:val="hybridMultilevel"/>
    <w:tmpl w:val="0EA40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400855"/>
    <w:multiLevelType w:val="multilevel"/>
    <w:tmpl w:val="B1A8F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29D0942"/>
    <w:multiLevelType w:val="hybridMultilevel"/>
    <w:tmpl w:val="B7B41C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2F25136"/>
    <w:multiLevelType w:val="hybridMultilevel"/>
    <w:tmpl w:val="9AE4A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784782"/>
    <w:multiLevelType w:val="hybridMultilevel"/>
    <w:tmpl w:val="2676E76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C11DB2"/>
    <w:multiLevelType w:val="multilevel"/>
    <w:tmpl w:val="CD943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AD3263C"/>
    <w:multiLevelType w:val="hybridMultilevel"/>
    <w:tmpl w:val="0272254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35583D1D"/>
    <w:multiLevelType w:val="hybridMultilevel"/>
    <w:tmpl w:val="D59A12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C96336"/>
    <w:multiLevelType w:val="multilevel"/>
    <w:tmpl w:val="B08EB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8890D35"/>
    <w:multiLevelType w:val="hybridMultilevel"/>
    <w:tmpl w:val="DA1E3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8B5E10"/>
    <w:multiLevelType w:val="hybridMultilevel"/>
    <w:tmpl w:val="D39EE1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36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41407BF"/>
    <w:multiLevelType w:val="hybridMultilevel"/>
    <w:tmpl w:val="A90E1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0A32E8"/>
    <w:multiLevelType w:val="hybridMultilevel"/>
    <w:tmpl w:val="897CD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64D3FAD"/>
    <w:multiLevelType w:val="hybridMultilevel"/>
    <w:tmpl w:val="1E38A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DBB371D"/>
    <w:multiLevelType w:val="hybridMultilevel"/>
    <w:tmpl w:val="897CD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EEF6DAE"/>
    <w:multiLevelType w:val="hybridMultilevel"/>
    <w:tmpl w:val="6D9A3816"/>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5A149E"/>
    <w:multiLevelType w:val="hybridMultilevel"/>
    <w:tmpl w:val="37C84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1D3623"/>
    <w:multiLevelType w:val="multilevel"/>
    <w:tmpl w:val="25A47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4B2761F"/>
    <w:multiLevelType w:val="hybridMultilevel"/>
    <w:tmpl w:val="6D9A3816"/>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A0411D0"/>
    <w:multiLevelType w:val="hybridMultilevel"/>
    <w:tmpl w:val="2F646C2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4" w15:restartNumberingAfterBreak="0">
    <w:nsid w:val="65790D06"/>
    <w:multiLevelType w:val="hybridMultilevel"/>
    <w:tmpl w:val="5E28979C"/>
    <w:lvl w:ilvl="0" w:tplc="08090001">
      <w:start w:val="1"/>
      <w:numFmt w:val="bullet"/>
      <w:lvlText w:val=""/>
      <w:lvlJc w:val="left"/>
      <w:pPr>
        <w:ind w:left="1440" w:hanging="360"/>
      </w:pPr>
      <w:rPr>
        <w:rFonts w:ascii="Symbol" w:hAnsi="Symbol" w:hint="default"/>
      </w:rPr>
    </w:lvl>
    <w:lvl w:ilvl="1" w:tplc="309093D2">
      <w:start w:val="1"/>
      <w:numFmt w:val="lowerRoman"/>
      <w:lvlText w:val="%2)"/>
      <w:lvlJc w:val="left"/>
      <w:pPr>
        <w:ind w:left="2160" w:hanging="360"/>
      </w:pPr>
      <w:rPr>
        <w:rFonts w:hint="default"/>
      </w:rPr>
    </w:lvl>
    <w:lvl w:ilvl="2" w:tplc="309093D2">
      <w:start w:val="1"/>
      <w:numFmt w:val="lowerRoman"/>
      <w:lvlText w:val="%3)"/>
      <w:lvlJc w:val="left"/>
      <w:pPr>
        <w:ind w:left="2880" w:hanging="360"/>
      </w:pPr>
      <w:rPr>
        <w:rFont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810722F"/>
    <w:multiLevelType w:val="multilevel"/>
    <w:tmpl w:val="995CC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B3A534B"/>
    <w:multiLevelType w:val="hybridMultilevel"/>
    <w:tmpl w:val="7388996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C6E0A02"/>
    <w:multiLevelType w:val="multilevel"/>
    <w:tmpl w:val="4FD02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E7D7416"/>
    <w:multiLevelType w:val="multilevel"/>
    <w:tmpl w:val="9454C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D8221F"/>
    <w:multiLevelType w:val="hybridMultilevel"/>
    <w:tmpl w:val="569C38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4D848A8"/>
    <w:multiLevelType w:val="multilevel"/>
    <w:tmpl w:val="25A47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BF35A48"/>
    <w:multiLevelType w:val="hybridMultilevel"/>
    <w:tmpl w:val="7DFE0CEA"/>
    <w:lvl w:ilvl="0" w:tplc="309093D2">
      <w:start w:val="1"/>
      <w:numFmt w:val="lowerRoman"/>
      <w:lvlText w:val="%1)"/>
      <w:lvlJc w:val="left"/>
      <w:pPr>
        <w:ind w:left="3600" w:hanging="720"/>
      </w:pPr>
      <w:rPr>
        <w:rFonts w:hint="default"/>
      </w:rPr>
    </w:lvl>
    <w:lvl w:ilvl="1" w:tplc="08090019">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num w:numId="1">
    <w:abstractNumId w:val="24"/>
  </w:num>
  <w:num w:numId="2">
    <w:abstractNumId w:val="37"/>
  </w:num>
  <w:num w:numId="3">
    <w:abstractNumId w:val="11"/>
  </w:num>
  <w:num w:numId="4">
    <w:abstractNumId w:val="3"/>
  </w:num>
  <w:num w:numId="5">
    <w:abstractNumId w:val="0"/>
  </w:num>
  <w:num w:numId="6">
    <w:abstractNumId w:val="35"/>
  </w:num>
  <w:num w:numId="7">
    <w:abstractNumId w:val="40"/>
  </w:num>
  <w:num w:numId="8">
    <w:abstractNumId w:val="31"/>
  </w:num>
  <w:num w:numId="9">
    <w:abstractNumId w:val="21"/>
  </w:num>
  <w:num w:numId="10">
    <w:abstractNumId w:val="7"/>
  </w:num>
  <w:num w:numId="11">
    <w:abstractNumId w:val="4"/>
  </w:num>
  <w:num w:numId="12">
    <w:abstractNumId w:val="16"/>
  </w:num>
  <w:num w:numId="13">
    <w:abstractNumId w:val="2"/>
  </w:num>
  <w:num w:numId="14">
    <w:abstractNumId w:val="38"/>
  </w:num>
  <w:num w:numId="15">
    <w:abstractNumId w:val="32"/>
  </w:num>
  <w:num w:numId="16">
    <w:abstractNumId w:val="20"/>
  </w:num>
  <w:num w:numId="17">
    <w:abstractNumId w:val="12"/>
  </w:num>
  <w:num w:numId="18">
    <w:abstractNumId w:val="41"/>
  </w:num>
  <w:num w:numId="19">
    <w:abstractNumId w:val="33"/>
  </w:num>
  <w:num w:numId="20">
    <w:abstractNumId w:val="5"/>
  </w:num>
  <w:num w:numId="21">
    <w:abstractNumId w:val="34"/>
  </w:num>
  <w:num w:numId="22">
    <w:abstractNumId w:val="29"/>
  </w:num>
  <w:num w:numId="23">
    <w:abstractNumId w:val="22"/>
  </w:num>
  <w:num w:numId="24">
    <w:abstractNumId w:val="6"/>
  </w:num>
  <w:num w:numId="25">
    <w:abstractNumId w:val="19"/>
  </w:num>
  <w:num w:numId="26">
    <w:abstractNumId w:val="23"/>
  </w:num>
  <w:num w:numId="27">
    <w:abstractNumId w:val="36"/>
  </w:num>
  <w:num w:numId="28">
    <w:abstractNumId w:val="8"/>
  </w:num>
  <w:num w:numId="29">
    <w:abstractNumId w:val="15"/>
  </w:num>
  <w:num w:numId="30">
    <w:abstractNumId w:val="1"/>
  </w:num>
  <w:num w:numId="31">
    <w:abstractNumId w:val="18"/>
  </w:num>
  <w:num w:numId="32">
    <w:abstractNumId w:val="26"/>
  </w:num>
  <w:num w:numId="33">
    <w:abstractNumId w:val="30"/>
  </w:num>
  <w:num w:numId="34">
    <w:abstractNumId w:val="13"/>
  </w:num>
  <w:num w:numId="35">
    <w:abstractNumId w:val="9"/>
  </w:num>
  <w:num w:numId="36">
    <w:abstractNumId w:val="28"/>
  </w:num>
  <w:num w:numId="37">
    <w:abstractNumId w:val="39"/>
  </w:num>
  <w:num w:numId="38">
    <w:abstractNumId w:val="17"/>
  </w:num>
  <w:num w:numId="39">
    <w:abstractNumId w:val="14"/>
  </w:num>
  <w:num w:numId="40">
    <w:abstractNumId w:val="10"/>
  </w:num>
  <w:num w:numId="41">
    <w:abstractNumId w:val="25"/>
  </w:num>
  <w:num w:numId="4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F38"/>
    <w:rsid w:val="00AE4F38"/>
    <w:rsid w:val="00FF15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5419A"/>
  <w15:chartTrackingRefBased/>
  <w15:docId w15:val="{2C8C6D25-E039-44A9-A2D4-F0446CD6A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E4F38"/>
  </w:style>
  <w:style w:type="paragraph" w:styleId="Heading1">
    <w:name w:val="heading 1"/>
    <w:basedOn w:val="Normal"/>
    <w:link w:val="Heading1Char"/>
    <w:uiPriority w:val="9"/>
    <w:qFormat/>
    <w:rsid w:val="00AE4F3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AE4F3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F38"/>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AE4F3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E4F38"/>
    <w:pPr>
      <w:ind w:left="720"/>
      <w:contextualSpacing/>
    </w:pPr>
  </w:style>
  <w:style w:type="paragraph" w:styleId="FootnoteText">
    <w:name w:val="footnote text"/>
    <w:basedOn w:val="Normal"/>
    <w:link w:val="FootnoteTextChar"/>
    <w:uiPriority w:val="99"/>
    <w:unhideWhenUsed/>
    <w:rsid w:val="00AE4F38"/>
    <w:pPr>
      <w:spacing w:after="0" w:line="240" w:lineRule="auto"/>
    </w:pPr>
    <w:rPr>
      <w:sz w:val="20"/>
      <w:szCs w:val="20"/>
    </w:rPr>
  </w:style>
  <w:style w:type="character" w:customStyle="1" w:styleId="FootnoteTextChar">
    <w:name w:val="Footnote Text Char"/>
    <w:basedOn w:val="DefaultParagraphFont"/>
    <w:link w:val="FootnoteText"/>
    <w:uiPriority w:val="99"/>
    <w:rsid w:val="00AE4F38"/>
    <w:rPr>
      <w:sz w:val="20"/>
      <w:szCs w:val="20"/>
    </w:rPr>
  </w:style>
  <w:style w:type="character" w:styleId="FootnoteReference">
    <w:name w:val="footnote reference"/>
    <w:basedOn w:val="DefaultParagraphFont"/>
    <w:uiPriority w:val="99"/>
    <w:semiHidden/>
    <w:unhideWhenUsed/>
    <w:rsid w:val="00AE4F38"/>
    <w:rPr>
      <w:vertAlign w:val="superscript"/>
    </w:rPr>
  </w:style>
  <w:style w:type="character" w:styleId="Hyperlink">
    <w:name w:val="Hyperlink"/>
    <w:basedOn w:val="DefaultParagraphFont"/>
    <w:uiPriority w:val="99"/>
    <w:unhideWhenUsed/>
    <w:rsid w:val="00AE4F38"/>
    <w:rPr>
      <w:color w:val="0000FF"/>
      <w:u w:val="single"/>
    </w:rPr>
  </w:style>
  <w:style w:type="character" w:styleId="UnresolvedMention">
    <w:name w:val="Unresolved Mention"/>
    <w:basedOn w:val="DefaultParagraphFont"/>
    <w:uiPriority w:val="99"/>
    <w:semiHidden/>
    <w:unhideWhenUsed/>
    <w:rsid w:val="00AE4F38"/>
    <w:rPr>
      <w:color w:val="605E5C"/>
      <w:shd w:val="clear" w:color="auto" w:fill="E1DFDD"/>
    </w:rPr>
  </w:style>
  <w:style w:type="character" w:styleId="FollowedHyperlink">
    <w:name w:val="FollowedHyperlink"/>
    <w:basedOn w:val="DefaultParagraphFont"/>
    <w:uiPriority w:val="99"/>
    <w:semiHidden/>
    <w:unhideWhenUsed/>
    <w:rsid w:val="00AE4F38"/>
    <w:rPr>
      <w:color w:val="954F72" w:themeColor="followedHyperlink"/>
      <w:u w:val="single"/>
    </w:rPr>
  </w:style>
  <w:style w:type="paragraph" w:customStyle="1" w:styleId="paragraph">
    <w:name w:val="paragraph"/>
    <w:basedOn w:val="Normal"/>
    <w:rsid w:val="00AE4F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E4F38"/>
  </w:style>
  <w:style w:type="character" w:customStyle="1" w:styleId="eop">
    <w:name w:val="eop"/>
    <w:basedOn w:val="DefaultParagraphFont"/>
    <w:rsid w:val="00AE4F38"/>
  </w:style>
  <w:style w:type="character" w:customStyle="1" w:styleId="contextualspellingandgrammarerror">
    <w:name w:val="contextualspellingandgrammarerror"/>
    <w:basedOn w:val="DefaultParagraphFont"/>
    <w:rsid w:val="00AE4F38"/>
  </w:style>
  <w:style w:type="character" w:customStyle="1" w:styleId="spellingerror">
    <w:name w:val="spellingerror"/>
    <w:basedOn w:val="DefaultParagraphFont"/>
    <w:rsid w:val="00AE4F38"/>
  </w:style>
  <w:style w:type="character" w:styleId="Emphasis">
    <w:name w:val="Emphasis"/>
    <w:basedOn w:val="DefaultParagraphFont"/>
    <w:uiPriority w:val="20"/>
    <w:qFormat/>
    <w:rsid w:val="00AE4F38"/>
    <w:rPr>
      <w:i/>
      <w:iCs/>
    </w:rPr>
  </w:style>
  <w:style w:type="character" w:customStyle="1" w:styleId="attachment-inline">
    <w:name w:val="attachment-inline"/>
    <w:basedOn w:val="DefaultParagraphFont"/>
    <w:rsid w:val="00AE4F38"/>
  </w:style>
  <w:style w:type="paragraph" w:styleId="NormalWeb">
    <w:name w:val="Normal (Web)"/>
    <w:basedOn w:val="Normal"/>
    <w:uiPriority w:val="99"/>
    <w:semiHidden/>
    <w:unhideWhenUsed/>
    <w:rsid w:val="00AE4F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E4F38"/>
    <w:rPr>
      <w:b/>
      <w:bCs/>
    </w:rPr>
  </w:style>
  <w:style w:type="paragraph" w:styleId="EndnoteText">
    <w:name w:val="endnote text"/>
    <w:basedOn w:val="Normal"/>
    <w:link w:val="EndnoteTextChar"/>
    <w:uiPriority w:val="99"/>
    <w:unhideWhenUsed/>
    <w:rsid w:val="00AE4F38"/>
    <w:pPr>
      <w:spacing w:after="0" w:line="240" w:lineRule="auto"/>
    </w:pPr>
    <w:rPr>
      <w:sz w:val="20"/>
      <w:szCs w:val="20"/>
    </w:rPr>
  </w:style>
  <w:style w:type="character" w:customStyle="1" w:styleId="EndnoteTextChar">
    <w:name w:val="Endnote Text Char"/>
    <w:basedOn w:val="DefaultParagraphFont"/>
    <w:link w:val="EndnoteText"/>
    <w:uiPriority w:val="99"/>
    <w:rsid w:val="00AE4F38"/>
    <w:rPr>
      <w:sz w:val="20"/>
      <w:szCs w:val="20"/>
    </w:rPr>
  </w:style>
  <w:style w:type="character" w:styleId="EndnoteReference">
    <w:name w:val="endnote reference"/>
    <w:basedOn w:val="DefaultParagraphFont"/>
    <w:uiPriority w:val="99"/>
    <w:semiHidden/>
    <w:unhideWhenUsed/>
    <w:rsid w:val="00AE4F38"/>
    <w:rPr>
      <w:vertAlign w:val="superscript"/>
    </w:rPr>
  </w:style>
  <w:style w:type="paragraph" w:styleId="Header">
    <w:name w:val="header"/>
    <w:basedOn w:val="Normal"/>
    <w:link w:val="HeaderChar"/>
    <w:uiPriority w:val="99"/>
    <w:unhideWhenUsed/>
    <w:rsid w:val="00AE4F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F38"/>
  </w:style>
  <w:style w:type="paragraph" w:styleId="Footer">
    <w:name w:val="footer"/>
    <w:basedOn w:val="Normal"/>
    <w:link w:val="FooterChar"/>
    <w:uiPriority w:val="99"/>
    <w:unhideWhenUsed/>
    <w:rsid w:val="00AE4F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F38"/>
  </w:style>
  <w:style w:type="table" w:styleId="TableGrid">
    <w:name w:val="Table Grid"/>
    <w:basedOn w:val="TableNormal"/>
    <w:uiPriority w:val="39"/>
    <w:rsid w:val="00AE4F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manage-staff-redundancies/follow-the-right-process" TargetMode="External"/><Relationship Id="rId18" Type="http://schemas.openxmlformats.org/officeDocument/2006/relationships/hyperlink" Target="https://www.cipd.co.uk/knowledge/fundamentals/emp-law/terms-conditions/contracts-factsheet" TargetMode="External"/><Relationship Id="rId26" Type="http://schemas.openxmlformats.org/officeDocument/2006/relationships/hyperlink" Target="https://www.peoplemanagement.co.uk/article/1751838/p-o-sackings-ferry-operators-decision-legal" TargetMode="External"/><Relationship Id="rId39" Type="http://schemas.openxmlformats.org/officeDocument/2006/relationships/hyperlink" Target="https://www.acas.org.uk/sites/default/files/2019-04/Handling-TUPE-Transfers-The-Acas-Guide.pdf" TargetMode="External"/><Relationship Id="rId21" Type="http://schemas.openxmlformats.org/officeDocument/2006/relationships/hyperlink" Target="https://www.cipd.co.uk/knowledge/fundamentals/emp-law/terms-conditions/fire-rehire-employer-guidance" TargetMode="External"/><Relationship Id="rId34" Type="http://schemas.openxmlformats.org/officeDocument/2006/relationships/hyperlink" Target="https://www.gov.uk/dismiss-staff/eligibility-to-claim-unfair-dismissal" TargetMode="External"/><Relationship Id="rId42" Type="http://schemas.openxmlformats.org/officeDocument/2006/relationships/hyperlink" Target="https://www.acas.org.uk/manage-staff-redundancies/follow-the-right-process" TargetMode="External"/><Relationship Id="rId47" Type="http://schemas.openxmlformats.org/officeDocument/2006/relationships/hyperlink" Target="https://www.cipd.co.uk/knowledge/fundamentals/emp-law/terms-conditions/contracts-factsheet" TargetMode="External"/><Relationship Id="rId50" Type="http://schemas.openxmlformats.org/officeDocument/2006/relationships/hyperlink" Target="https://www.cipd.co.uk/knowledge/fundamentals/emp-law/terms-conditions/fire-rehire-employer-guidance" TargetMode="External"/><Relationship Id="rId55" Type="http://schemas.openxmlformats.org/officeDocument/2006/relationships/hyperlink" Target="https://www.peoplemanagement.co.uk/article/1751838/p-o-sackings-ferry-operators-decision-legal" TargetMode="External"/><Relationship Id="rId63" Type="http://schemas.openxmlformats.org/officeDocument/2006/relationships/fontTable" Target="fontTable.xml"/><Relationship Id="rId7" Type="http://schemas.openxmlformats.org/officeDocument/2006/relationships/hyperlink" Target="https://www.acas.org.uk/sites/default/files/2021-03/age-discrimination-key-points-for-the-workplace.pdf" TargetMode="External"/><Relationship Id="rId2" Type="http://schemas.openxmlformats.org/officeDocument/2006/relationships/styles" Target="styles.xml"/><Relationship Id="rId16" Type="http://schemas.openxmlformats.org/officeDocument/2006/relationships/hyperlink" Target="https://www.acas.org.uk/manage-staff-redundancies/tell-employees" TargetMode="External"/><Relationship Id="rId29" Type="http://schemas.openxmlformats.org/officeDocument/2006/relationships/hyperlink" Target="https://www.legislation.gov.uk/ukpga/1992/52/part/I/chapter/II" TargetMode="External"/><Relationship Id="rId11" Type="http://schemas.openxmlformats.org/officeDocument/2006/relationships/hyperlink" Target="https://www.acas.org.uk/changing-an-employment-contract/employer-responsibilities/if-employment-contract-changes-cannot-be-agreed" TargetMode="External"/><Relationship Id="rId24" Type="http://schemas.openxmlformats.org/officeDocument/2006/relationships/hyperlink" Target="https://www.legislation.gov.uk/ukpga/2010/15/section/19" TargetMode="External"/><Relationship Id="rId32" Type="http://schemas.openxmlformats.org/officeDocument/2006/relationships/hyperlink" Target="https://www.legislation.gov.uk/en/uksi/2006/246/regulation/11/made" TargetMode="External"/><Relationship Id="rId37" Type="http://schemas.openxmlformats.org/officeDocument/2006/relationships/hyperlink" Target="https://www.acas.org.uk/acas-publishes-advice-to-help-employers-avoid-fire-and-rehire-practices" TargetMode="External"/><Relationship Id="rId40" Type="http://schemas.openxmlformats.org/officeDocument/2006/relationships/hyperlink" Target="https://www.acas.org.uk/changing-an-employment-contract/employer-responsibilities/if-employment-contract-changes-cannot-be-agreed" TargetMode="External"/><Relationship Id="rId45" Type="http://schemas.openxmlformats.org/officeDocument/2006/relationships/hyperlink" Target="https://www.acas.org.uk/manage-staff-redundancies/tell-employees" TargetMode="External"/><Relationship Id="rId53" Type="http://schemas.openxmlformats.org/officeDocument/2006/relationships/hyperlink" Target="https://www.legislation.gov.uk/ukpga/2010/15/section/19" TargetMode="External"/><Relationship Id="rId58" Type="http://schemas.openxmlformats.org/officeDocument/2006/relationships/hyperlink" Target="https://www.legislation.gov.uk/ukpga/1992/52/part/I/chapter/II" TargetMode="External"/><Relationship Id="rId5" Type="http://schemas.openxmlformats.org/officeDocument/2006/relationships/footnotes" Target="footnotes.xml"/><Relationship Id="rId61" Type="http://schemas.openxmlformats.org/officeDocument/2006/relationships/hyperlink" Target="https://www.gov.uk/government/news/new-statutory-code-to-prevent-unscrupulous-employers-using-fire-and-rehire-tactics" TargetMode="External"/><Relationship Id="rId19" Type="http://schemas.openxmlformats.org/officeDocument/2006/relationships/hyperlink" Target="https://www.cipd.co.uk/knowledge/fundamentals/emp-law/redundancy/factsheet" TargetMode="External"/><Relationship Id="rId14" Type="http://schemas.openxmlformats.org/officeDocument/2006/relationships/hyperlink" Target="https://www.acas.org.uk/manage-staff-redundancies/give-employees-notice-of-redundancy" TargetMode="External"/><Relationship Id="rId22" Type="http://schemas.openxmlformats.org/officeDocument/2006/relationships/hyperlink" Target="https://www.cipd.co.uk/knowledge/fundamentals/emp-law/redundancy/questions" TargetMode="External"/><Relationship Id="rId27" Type="http://schemas.openxmlformats.org/officeDocument/2006/relationships/hyperlink" Target="https://www.legislation.gov.uk/uksi/2014/16/regulation/5/made" TargetMode="External"/><Relationship Id="rId30" Type="http://schemas.openxmlformats.org/officeDocument/2006/relationships/hyperlink" Target="https://www.legislation.gov.uk/en/uksi/2006/246/made" TargetMode="External"/><Relationship Id="rId35" Type="http://schemas.openxmlformats.org/officeDocument/2006/relationships/hyperlink" Target="https://www.gov.uk/government/news/new-statutory-code-to-prevent-unscrupulous-employers-using-fire-and-rehire-tactics" TargetMode="External"/><Relationship Id="rId43" Type="http://schemas.openxmlformats.org/officeDocument/2006/relationships/hyperlink" Target="https://www.acas.org.uk/manage-staff-redundancies/give-employees-notice-of-redundancy" TargetMode="External"/><Relationship Id="rId48" Type="http://schemas.openxmlformats.org/officeDocument/2006/relationships/hyperlink" Target="https://www.cipd.co.uk/knowledge/fundamentals/emp-law/redundancy/factsheet" TargetMode="External"/><Relationship Id="rId56" Type="http://schemas.openxmlformats.org/officeDocument/2006/relationships/hyperlink" Target="https://www.legislation.gov.uk/uksi/2014/16/regulation/5/made" TargetMode="External"/><Relationship Id="rId64" Type="http://schemas.openxmlformats.org/officeDocument/2006/relationships/theme" Target="theme/theme1.xml"/><Relationship Id="rId8" Type="http://schemas.openxmlformats.org/officeDocument/2006/relationships/hyperlink" Target="https://www.acas.org.uk/acas-publishes-advice-to-help-employers-avoid-fire-and-rehire-practices" TargetMode="External"/><Relationship Id="rId51" Type="http://schemas.openxmlformats.org/officeDocument/2006/relationships/hyperlink" Target="https://www.cipd.co.uk/knowledge/fundamentals/emp-law/redundancy/questions" TargetMode="External"/><Relationship Id="rId3" Type="http://schemas.openxmlformats.org/officeDocument/2006/relationships/settings" Target="settings.xml"/><Relationship Id="rId12" Type="http://schemas.openxmlformats.org/officeDocument/2006/relationships/hyperlink" Target="https://www.acas.org.uk/manage-staff-redundancies" TargetMode="External"/><Relationship Id="rId17" Type="http://schemas.openxmlformats.org/officeDocument/2006/relationships/hyperlink" Target="https://www.cipd.co.uk/knowledge/fundamentals/emp-law/redundancy/redundancy-collective-consultations-questions" TargetMode="External"/><Relationship Id="rId25" Type="http://schemas.openxmlformats.org/officeDocument/2006/relationships/hyperlink" Target="https://www.peoplemanagement.co.uk/article/1747226/labour-party-calls-for-fire-and-rehire-tactics-to-be-outlawed" TargetMode="External"/><Relationship Id="rId33" Type="http://schemas.openxmlformats.org/officeDocument/2006/relationships/hyperlink" Target="https://www.legislation.gov.uk/en/uksi/2006/246/regulation/13/made" TargetMode="External"/><Relationship Id="rId38" Type="http://schemas.openxmlformats.org/officeDocument/2006/relationships/hyperlink" Target="https://www.acas.org.uk/employee-rights-during-a-tupe-transfer/how-your-employer-should-inform-and-consult-you-during-tupe" TargetMode="External"/><Relationship Id="rId46" Type="http://schemas.openxmlformats.org/officeDocument/2006/relationships/hyperlink" Target="https://www.cipd.co.uk/knowledge/fundamentals/emp-law/redundancy/redundancy-collective-consultations-questions" TargetMode="External"/><Relationship Id="rId59" Type="http://schemas.openxmlformats.org/officeDocument/2006/relationships/hyperlink" Target="https://www.legislation.gov.uk/en/uksi/2006/246/made" TargetMode="External"/><Relationship Id="rId20" Type="http://schemas.openxmlformats.org/officeDocument/2006/relationships/hyperlink" Target="https://www.cipd.co.uk/Images/8208-a-guide-to-tupe-transfers-web_tcm18-44310.pdf" TargetMode="External"/><Relationship Id="rId41" Type="http://schemas.openxmlformats.org/officeDocument/2006/relationships/hyperlink" Target="https://www.acas.org.uk/manage-staff-redundancies" TargetMode="External"/><Relationship Id="rId54" Type="http://schemas.openxmlformats.org/officeDocument/2006/relationships/hyperlink" Target="https://www.peoplemanagement.co.uk/article/1747226/labour-party-calls-for-fire-and-rehire-tactics-to-be-outlawed"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cas.org.uk/manage-staff-redundancies/offer-an-appeals-process" TargetMode="External"/><Relationship Id="rId23" Type="http://schemas.openxmlformats.org/officeDocument/2006/relationships/hyperlink" Target="https://www.legislation.gov.uk/ukpga/1996/18/section/139" TargetMode="External"/><Relationship Id="rId28" Type="http://schemas.openxmlformats.org/officeDocument/2006/relationships/hyperlink" Target="https://assets.publishing.service.gov.uk/media/5901fde740f0b606e700024c/Mr_P_Thomas_v_BNP_Paribas_Real_Estate_Advisory_and_Property_Management_UK_Ltd_UKEAT_0134_16_JOJ.pdf" TargetMode="External"/><Relationship Id="rId36" Type="http://schemas.openxmlformats.org/officeDocument/2006/relationships/hyperlink" Target="https://www.acas.org.uk/sites/default/files/2021-03/age-discrimination-key-points-for-the-workplace.pdf" TargetMode="External"/><Relationship Id="rId49" Type="http://schemas.openxmlformats.org/officeDocument/2006/relationships/hyperlink" Target="https://www.cipd.co.uk/Images/8208-a-guide-to-tupe-transfers-web_tcm18-44310.pdf" TargetMode="External"/><Relationship Id="rId57" Type="http://schemas.openxmlformats.org/officeDocument/2006/relationships/hyperlink" Target="https://assets.publishing.service.gov.uk/media/5901fde740f0b606e700024c/Mr_P_Thomas_v_BNP_Paribas_Real_Estate_Advisory_and_Property_Management_UK_Ltd_UKEAT_0134_16_JOJ.pdf" TargetMode="External"/><Relationship Id="rId10" Type="http://schemas.openxmlformats.org/officeDocument/2006/relationships/hyperlink" Target="https://www.acas.org.uk/sites/default/files/2019-04/Handling-TUPE-Transfers-The-Acas-Guide.pdf" TargetMode="External"/><Relationship Id="rId31" Type="http://schemas.openxmlformats.org/officeDocument/2006/relationships/hyperlink" Target="https://www.legislation.gov.uk/en/uksi/2006/246/regulation/3/made" TargetMode="External"/><Relationship Id="rId44" Type="http://schemas.openxmlformats.org/officeDocument/2006/relationships/hyperlink" Target="https://www.acas.org.uk/manage-staff-redundancies/offer-an-appeals-process" TargetMode="External"/><Relationship Id="rId52" Type="http://schemas.openxmlformats.org/officeDocument/2006/relationships/hyperlink" Target="https://www.legislation.gov.uk/ukpga/1996/18/section/139" TargetMode="External"/><Relationship Id="rId60" Type="http://schemas.openxmlformats.org/officeDocument/2006/relationships/hyperlink" Target="https://www.gov.uk/dismiss-staff/eligibility-to-claim-unfair-dismissal" TargetMode="External"/><Relationship Id="rId4" Type="http://schemas.openxmlformats.org/officeDocument/2006/relationships/webSettings" Target="webSettings.xml"/><Relationship Id="rId9" Type="http://schemas.openxmlformats.org/officeDocument/2006/relationships/hyperlink" Target="https://www.acas.org.uk/employee-rights-during-a-tupe-transfer/how-your-employer-should-inform-and-consult-you-during-tupe" TargetMode="External"/></Relationships>
</file>

<file path=word/_rels/footnotes.xml.rels><?xml version="1.0" encoding="UTF-8" standalone="yes"?>
<Relationships xmlns="http://schemas.openxmlformats.org/package/2006/relationships"><Relationship Id="rId13" Type="http://schemas.openxmlformats.org/officeDocument/2006/relationships/hyperlink" Target="https://www.cipd.co.uk/knowledge/fundamentals/emp-law/redundancy/factsheet" TargetMode="External"/><Relationship Id="rId18" Type="http://schemas.openxmlformats.org/officeDocument/2006/relationships/hyperlink" Target="https://www.peoplemanagement.co.uk/article/1751838/p-o-sackings-ferry-operators-decision-legal" TargetMode="External"/><Relationship Id="rId26" Type="http://schemas.openxmlformats.org/officeDocument/2006/relationships/hyperlink" Target="https://www.acas.org.uk/changing-an-employment-contract/employer-responsibilities/if-employment-contract-changes-cannot-be-agreed" TargetMode="External"/><Relationship Id="rId39" Type="http://schemas.openxmlformats.org/officeDocument/2006/relationships/hyperlink" Target="https://www.acas.org.uk/changing-an-employment-contract/employer-responsibilities/if-employment-contract-changes-cannot-be-agreed" TargetMode="External"/><Relationship Id="rId21" Type="http://schemas.openxmlformats.org/officeDocument/2006/relationships/hyperlink" Target="https://www.cipd.co.uk/knowledge/fundamentals/emp-law/redundancy/questions" TargetMode="External"/><Relationship Id="rId34" Type="http://schemas.openxmlformats.org/officeDocument/2006/relationships/hyperlink" Target="https://www.cipd.co.uk/knowledge/fundamentals/emp-law/terms-conditions/contracts-factsheet" TargetMode="External"/><Relationship Id="rId42" Type="http://schemas.openxmlformats.org/officeDocument/2006/relationships/hyperlink" Target="https://www.gov.uk/government/news/new-statutory-code-to-prevent-unscrupulous-employers-using-fire-and-rehire-tactics" TargetMode="External"/><Relationship Id="rId7" Type="http://schemas.openxmlformats.org/officeDocument/2006/relationships/hyperlink" Target="https://www.cipd.co.uk/knowledge/fundamentals/emp-law/redundancy/questions" TargetMode="External"/><Relationship Id="rId2" Type="http://schemas.openxmlformats.org/officeDocument/2006/relationships/hyperlink" Target="https://www.acas.org.uk/employee-rights-during-a-tupe-transfer/how-your-employer-should-inform-and-consult-you-during-tupe" TargetMode="External"/><Relationship Id="rId16" Type="http://schemas.openxmlformats.org/officeDocument/2006/relationships/hyperlink" Target="https://www.acas.org.uk/manage-staff-redundancies" TargetMode="External"/><Relationship Id="rId29" Type="http://schemas.openxmlformats.org/officeDocument/2006/relationships/hyperlink" Target="https://www.acas.org.uk/changing-an-employment-contract/employer-responsibilities/if-employment-contract-changes-cannot-be-agreed" TargetMode="External"/><Relationship Id="rId1" Type="http://schemas.openxmlformats.org/officeDocument/2006/relationships/hyperlink" Target="https://www.cipd.co.uk/Images/8208-a-guide-to-tupe-transfers-web_tcm18-44310.pdf" TargetMode="External"/><Relationship Id="rId6" Type="http://schemas.openxmlformats.org/officeDocument/2006/relationships/hyperlink" Target="https://www.cipd.co.uk/knowledge/fundamentals/emp-law/redundancy/questions" TargetMode="External"/><Relationship Id="rId11" Type="http://schemas.openxmlformats.org/officeDocument/2006/relationships/hyperlink" Target="https://www.gov.uk/dismiss-staff/eligibility-to-claim-unfair-dismissal" TargetMode="External"/><Relationship Id="rId24" Type="http://schemas.openxmlformats.org/officeDocument/2006/relationships/hyperlink" Target="https://www.acas.org.uk/manage-staff-redundancies/give-employees-notice-of-redundancy" TargetMode="External"/><Relationship Id="rId32" Type="http://schemas.openxmlformats.org/officeDocument/2006/relationships/hyperlink" Target="https://www.cipd.co.uk/knowledge/fundamentals/emp-law/terms-conditions/contracts-factsheet" TargetMode="External"/><Relationship Id="rId37" Type="http://schemas.openxmlformats.org/officeDocument/2006/relationships/hyperlink" Target="https://www.cipd.co.uk/knowledge/fundamentals/emp-law/terms-conditions/fire-rehire-employer-guidance" TargetMode="External"/><Relationship Id="rId40" Type="http://schemas.openxmlformats.org/officeDocument/2006/relationships/hyperlink" Target="https://www.acas.org.uk/acas-publishes-advice-to-help-employers-avoid-fire-and-rehire-practices" TargetMode="External"/><Relationship Id="rId45" Type="http://schemas.openxmlformats.org/officeDocument/2006/relationships/hyperlink" Target="https://www.acas.org.uk/changing-an-employment-contract/employer-responsibilities/if-employment-contract-changes-cannot-be-agreed" TargetMode="External"/><Relationship Id="rId5" Type="http://schemas.openxmlformats.org/officeDocument/2006/relationships/hyperlink" Target="https://www.acas.org.uk/sites/default/files/2019-04/Handling-TUPE-Transfers-The-Acas-Guide.pdf" TargetMode="External"/><Relationship Id="rId15" Type="http://schemas.openxmlformats.org/officeDocument/2006/relationships/hyperlink" Target="https://www.acas.org.uk/manage-staff-redundancies/follow-the-right-process" TargetMode="External"/><Relationship Id="rId23" Type="http://schemas.openxmlformats.org/officeDocument/2006/relationships/hyperlink" Target="https://www.acas.org.uk/manage-staff-redundancies/offer-an-appeals-process" TargetMode="External"/><Relationship Id="rId28" Type="http://schemas.openxmlformats.org/officeDocument/2006/relationships/hyperlink" Target="https://www.acas.org.uk/changing-an-employment-contract/employer-responsibilities/if-employment-contract-changes-cannot-be-agreed" TargetMode="External"/><Relationship Id="rId36" Type="http://schemas.openxmlformats.org/officeDocument/2006/relationships/hyperlink" Target="https://www.acas.org.uk/changing-an-employment-contract/employer-responsibilities/if-employment-contract-changes-cannot-be-agreed" TargetMode="External"/><Relationship Id="rId10" Type="http://schemas.openxmlformats.org/officeDocument/2006/relationships/hyperlink" Target="https://www.acas.org.uk/employee-rights-during-a-tupe-transfer/transferring-to-your-new-employer" TargetMode="External"/><Relationship Id="rId19" Type="http://schemas.openxmlformats.org/officeDocument/2006/relationships/hyperlink" Target="https://www.cipd.co.uk/knowledge/fundamentals/emp-law/redundancy/redundancy-collective-consultations-questions" TargetMode="External"/><Relationship Id="rId31" Type="http://schemas.openxmlformats.org/officeDocument/2006/relationships/hyperlink" Target="https://www.acas.org.uk/changing-an-employment-contract/employer-responsibilities/if-employment-contract-changes-cannot-be-agreed" TargetMode="External"/><Relationship Id="rId44" Type="http://schemas.openxmlformats.org/officeDocument/2006/relationships/hyperlink" Target="https://www.cipd.co.uk/knowledge/fundamentals/emp-law/terms-conditions/contracts-factsheet" TargetMode="External"/><Relationship Id="rId4" Type="http://schemas.openxmlformats.org/officeDocument/2006/relationships/hyperlink" Target="https://www.acas.org.uk/sites/default/files/2019-04/Handling-TUPE-Transfers-The-Acas-Guide.pdf" TargetMode="External"/><Relationship Id="rId9" Type="http://schemas.openxmlformats.org/officeDocument/2006/relationships/hyperlink" Target="https://www.acas.org.uk/sites/default/files/2021-03/age-discrimination-key-points-for-the-workplace.pdf" TargetMode="External"/><Relationship Id="rId14" Type="http://schemas.openxmlformats.org/officeDocument/2006/relationships/hyperlink" Target="https://www.acas.org.uk/manage-staff-redundancies" TargetMode="External"/><Relationship Id="rId22" Type="http://schemas.openxmlformats.org/officeDocument/2006/relationships/hyperlink" Target="https://www.acas.org.uk/manage-staff-redundancies/give-employees-notice-of-redundancy" TargetMode="External"/><Relationship Id="rId27" Type="http://schemas.openxmlformats.org/officeDocument/2006/relationships/hyperlink" Target="https://www.cipd.co.uk/knowledge/fundamentals/emp-law/terms-conditions/contracts-factsheet" TargetMode="External"/><Relationship Id="rId30" Type="http://schemas.openxmlformats.org/officeDocument/2006/relationships/hyperlink" Target="https://www.cipd.co.uk/knowledge/fundamentals/emp-law/terms-conditions/contracts-factsheet" TargetMode="External"/><Relationship Id="rId35" Type="http://schemas.openxmlformats.org/officeDocument/2006/relationships/hyperlink" Target="https://www.cipd.co.uk/knowledge/fundamentals/emp-law/terms-conditions/fire-rehire-employer-guidance" TargetMode="External"/><Relationship Id="rId43" Type="http://schemas.openxmlformats.org/officeDocument/2006/relationships/hyperlink" Target="https://www.cipd.co.uk/knowledge/fundamentals/emp-law/terms-conditions/fire-rehire-employer-guidance" TargetMode="External"/><Relationship Id="rId8" Type="http://schemas.openxmlformats.org/officeDocument/2006/relationships/hyperlink" Target="https://www.cipd.co.uk/knowledge/fundamentals/emp-law/redundancy/questions" TargetMode="External"/><Relationship Id="rId3" Type="http://schemas.openxmlformats.org/officeDocument/2006/relationships/hyperlink" Target="https://www.acas.org.uk/sites/default/files/2019-04/Handling-TUPE-Transfers-The-Acas-Guide.pdf" TargetMode="External"/><Relationship Id="rId12" Type="http://schemas.openxmlformats.org/officeDocument/2006/relationships/hyperlink" Target="https://www.cipd.co.uk/knowledge/fundamentals/emp-law/redundancy/questions" TargetMode="External"/><Relationship Id="rId17" Type="http://schemas.openxmlformats.org/officeDocument/2006/relationships/hyperlink" Target="https://assets.publishing.service.gov.uk/media/5901fde740f0b606e700024c/Mr_P_Thomas_v_BNP_Paribas_Real_Estate_Advisory_and_Property_Management_UK_Ltd_UKEAT_0134_16_JOJ.pdf" TargetMode="External"/><Relationship Id="rId25" Type="http://schemas.openxmlformats.org/officeDocument/2006/relationships/hyperlink" Target="https://www.cipd.co.uk/knowledge/fundamentals/emp-law/terms-conditions/contracts-factsheet" TargetMode="External"/><Relationship Id="rId33" Type="http://schemas.openxmlformats.org/officeDocument/2006/relationships/hyperlink" Target="https://www.acas.org.uk/changing-an-employment-contract/employer-responsibilities/if-employment-contract-changes-cannot-be-agreed" TargetMode="External"/><Relationship Id="rId38" Type="http://schemas.openxmlformats.org/officeDocument/2006/relationships/hyperlink" Target="https://www.cipd.co.uk/knowledge/fundamentals/emp-law/terms-conditions/fire-rehire-employer-guidance" TargetMode="External"/><Relationship Id="rId20" Type="http://schemas.openxmlformats.org/officeDocument/2006/relationships/hyperlink" Target="https://www.acas.org.uk/manage-staff-redundancies/tell-employees" TargetMode="External"/><Relationship Id="rId41" Type="http://schemas.openxmlformats.org/officeDocument/2006/relationships/hyperlink" Target="https://www.peoplemanagement.co.uk/article/1747226/labour-party-calls-for-fire-and-rehire-tactics-to-be-outlaw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22</Pages>
  <Words>5772</Words>
  <Characters>32906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38601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Mitchell Jones (Cardiff and Vale UHB - Corporate Management)</dc:creator>
  <cp:keywords/>
  <dc:description/>
  <cp:lastModifiedBy>Mitchell Jones (Cardiff and Vale UHB - Corporate Management)</cp:lastModifiedBy>
  <cp:revision>1</cp:revision>
  <dcterms:created xsi:type="dcterms:W3CDTF">2022-04-25T07:59:00Z</dcterms:created>
  <dcterms:modified xsi:type="dcterms:W3CDTF">2022-04-25T08:02:00Z</dcterms:modified>
</cp:coreProperties>
</file>