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131A1C" w14:textId="77777777" w:rsidR="00D64483" w:rsidRDefault="00D64483" w:rsidP="00D64483">
      <w:pPr>
        <w:pStyle w:val="NormalWeb"/>
        <w:rPr>
          <w:color w:val="000000"/>
        </w:rPr>
      </w:pPr>
      <w:r>
        <w:rPr>
          <w:color w:val="000000"/>
        </w:rPr>
        <w:t>In Wales, the Multi-Agency approach has been adopted, which promotes the care, welfare and safeguarding of children and young people. The Multi-Agency approach poses numerous benefits and challenges, as with all legislation or procedures. This essay will explore and discuss the positives and negatives of Multi-Agency networking and its importance, specifically in relation to policies and services in Wales, and the evolution and advancement in terms of safeguarding and child protection practice.</w:t>
      </w:r>
      <w:r>
        <w:rPr>
          <w:rStyle w:val="apple-converted-space"/>
          <w:color w:val="000000"/>
        </w:rPr>
        <w:t> </w:t>
      </w:r>
    </w:p>
    <w:p w14:paraId="52DD6A14" w14:textId="77777777" w:rsidR="00D64483" w:rsidRDefault="00D64483" w:rsidP="00D64483">
      <w:pPr>
        <w:pStyle w:val="NormalWeb"/>
        <w:rPr>
          <w:color w:val="000000"/>
        </w:rPr>
      </w:pPr>
      <w:r>
        <w:rPr>
          <w:color w:val="000000"/>
        </w:rPr>
        <w:t>Multi-Agency working, involves people, staff and professionals from a range of different agencies or establishments cooperating to achieve a mutual goal, keeping all children and young adults safe and free from risk of harm. Duties, roles and responsibilities are shared and distributed in a manner that advocates a high standard of support to children and families at risk of a safeguarding concern, and also accounts for individuals, who may have additional needs. Essentially, the Multi-Agency approach has been deemed a highly effective route to dealing with a range of scenarios, ultimately to reduce and prevent harm or abuse, overall improving quality of life and security of those concerned (</w:t>
      </w:r>
      <w:proofErr w:type="spellStart"/>
      <w:r>
        <w:rPr>
          <w:color w:val="000000"/>
        </w:rPr>
        <w:t>TrainingExpress</w:t>
      </w:r>
      <w:proofErr w:type="spellEnd"/>
      <w:r>
        <w:rPr>
          <w:color w:val="000000"/>
        </w:rPr>
        <w:t>, 2023).</w:t>
      </w:r>
      <w:r>
        <w:rPr>
          <w:rStyle w:val="apple-converted-space"/>
          <w:color w:val="000000"/>
        </w:rPr>
        <w:t> </w:t>
      </w:r>
    </w:p>
    <w:p w14:paraId="133B6D2A" w14:textId="77777777" w:rsidR="00D64483" w:rsidRDefault="00D64483" w:rsidP="00D64483">
      <w:pPr>
        <w:pStyle w:val="NormalWeb"/>
        <w:rPr>
          <w:color w:val="000000"/>
        </w:rPr>
      </w:pPr>
      <w:r>
        <w:rPr>
          <w:color w:val="000000"/>
        </w:rPr>
        <w:t xml:space="preserve">There are many policies and legislations outlining every </w:t>
      </w:r>
      <w:proofErr w:type="gramStart"/>
      <w:r>
        <w:rPr>
          <w:color w:val="000000"/>
        </w:rPr>
        <w:t>individuals</w:t>
      </w:r>
      <w:proofErr w:type="gramEnd"/>
      <w:r>
        <w:rPr>
          <w:color w:val="000000"/>
        </w:rPr>
        <w:t xml:space="preserve"> role in safeguarding children, and highlighting that working together is crucial in order to achieve best possible outcomes. The United Nations Convention on the Rights of the Child (UNCRC, 1989) appointed 42 rights for all children and young people to be happy, safe and healthy. In 2011 Wales became the first country in the UK to make the UNCRC part of its domestic law (Children's Commissioner for Wales). The UNCRC has 54 articles that cover all aspects of a Child’s life, and provides a focus on ways in which adults and governments must conspire to ensure that every child and young person can recognise and utilise their rights (UNICEF).</w:t>
      </w:r>
      <w:r>
        <w:rPr>
          <w:rStyle w:val="apple-converted-space"/>
          <w:color w:val="000000"/>
        </w:rPr>
        <w:t> </w:t>
      </w:r>
    </w:p>
    <w:p w14:paraId="69D7AD50" w14:textId="77777777" w:rsidR="00D64483" w:rsidRDefault="00D64483" w:rsidP="00D64483">
      <w:pPr>
        <w:pStyle w:val="NormalWeb"/>
        <w:rPr>
          <w:color w:val="000000"/>
        </w:rPr>
      </w:pPr>
      <w:r>
        <w:rPr>
          <w:color w:val="000000"/>
        </w:rPr>
        <w:t xml:space="preserve">Later, The Children’s Act (1998), was renewed, at that time due to perceived failings in the cases of Maria Colwell (1973) among 20 other cases of child abuse. Lessons were learnt through individual cases where children, Heidi </w:t>
      </w:r>
      <w:proofErr w:type="spellStart"/>
      <w:r>
        <w:rPr>
          <w:color w:val="000000"/>
        </w:rPr>
        <w:t>Koseda</w:t>
      </w:r>
      <w:proofErr w:type="spellEnd"/>
      <w:r>
        <w:rPr>
          <w:color w:val="000000"/>
        </w:rPr>
        <w:t xml:space="preserve"> (1984) Jasmine Beckford (1985) and Kimberley </w:t>
      </w:r>
      <w:proofErr w:type="spellStart"/>
      <w:r>
        <w:rPr>
          <w:color w:val="000000"/>
        </w:rPr>
        <w:t>Carlile</w:t>
      </w:r>
      <w:proofErr w:type="spellEnd"/>
      <w:r>
        <w:rPr>
          <w:color w:val="000000"/>
        </w:rPr>
        <w:t xml:space="preserve"> (1987) sadly lost their lives after being failed by the system (Bottomley, V, 1988).</w:t>
      </w:r>
      <w:r>
        <w:rPr>
          <w:rStyle w:val="apple-converted-space"/>
          <w:color w:val="000000"/>
        </w:rPr>
        <w:t> </w:t>
      </w:r>
    </w:p>
    <w:p w14:paraId="1220B3BA" w14:textId="77777777" w:rsidR="00D64483" w:rsidRDefault="00D64483" w:rsidP="00D64483">
      <w:pPr>
        <w:pStyle w:val="NormalWeb"/>
        <w:rPr>
          <w:color w:val="000000"/>
        </w:rPr>
      </w:pPr>
      <w:r>
        <w:rPr>
          <w:color w:val="000000"/>
        </w:rPr>
        <w:t xml:space="preserve">Amendments were later made in 2004, since the previous Act which was presented in 1998, after hearings of the </w:t>
      </w:r>
      <w:proofErr w:type="spellStart"/>
      <w:r>
        <w:rPr>
          <w:color w:val="000000"/>
        </w:rPr>
        <w:t>heartbreaking</w:t>
      </w:r>
      <w:proofErr w:type="spellEnd"/>
      <w:r>
        <w:rPr>
          <w:color w:val="000000"/>
        </w:rPr>
        <w:t xml:space="preserve"> story of Victoria Climbie (2000) who was murdered by her great-aunt and her </w:t>
      </w:r>
      <w:proofErr w:type="gramStart"/>
      <w:r>
        <w:rPr>
          <w:color w:val="000000"/>
        </w:rPr>
        <w:t>great-aunts</w:t>
      </w:r>
      <w:proofErr w:type="gramEnd"/>
      <w:r>
        <w:rPr>
          <w:color w:val="000000"/>
        </w:rPr>
        <w:t xml:space="preserve"> boyfriend, leading to a public inquiry, which demanded changes to child protection policies in the UK (Wikipedia, 2025).</w:t>
      </w:r>
      <w:r>
        <w:rPr>
          <w:rStyle w:val="apple-converted-space"/>
          <w:color w:val="000000"/>
        </w:rPr>
        <w:t> </w:t>
      </w:r>
    </w:p>
    <w:p w14:paraId="0B9B9BFF" w14:textId="77777777" w:rsidR="00D64483" w:rsidRDefault="00D64483" w:rsidP="00D64483">
      <w:pPr>
        <w:pStyle w:val="NormalWeb"/>
        <w:rPr>
          <w:color w:val="000000"/>
        </w:rPr>
      </w:pPr>
      <w:r>
        <w:rPr>
          <w:color w:val="000000"/>
        </w:rPr>
        <w:t>Another significant incident which urged the Government to review and strengthen policies was the Soham murders. Schoolgirls Holly Wells and Jessica Chapman were murdered by school caretaker, who had been permitted to work despite being the subject of previous rape and sexual assault complaints (Moore, O, 2023). The Richard Report was also created which ruled that the Disclosure and Barring Service (DBS) would be mandatory for all staff who work directly or indirectly with children or vulnerable adults, with access to sensitive information, including teachers, social workers, healthcare professionals and volunteers in certain settings (MIND, 2022).</w:t>
      </w:r>
      <w:r>
        <w:rPr>
          <w:rStyle w:val="apple-converted-space"/>
          <w:color w:val="000000"/>
        </w:rPr>
        <w:t> </w:t>
      </w:r>
    </w:p>
    <w:p w14:paraId="6BBC4CAB" w14:textId="77777777" w:rsidR="00D64483" w:rsidRDefault="00D64483" w:rsidP="00D64483">
      <w:pPr>
        <w:pStyle w:val="NormalWeb"/>
        <w:rPr>
          <w:color w:val="000000"/>
        </w:rPr>
      </w:pPr>
      <w:r>
        <w:rPr>
          <w:color w:val="000000"/>
        </w:rPr>
        <w:t>The adjustments made to The Children’s Act (2004) highlighted the obligation of adequate inter-agency networking, including information sharing and joint-decision making between the police, local authorities and health services, in the best interest of the children and young people concerned (</w:t>
      </w:r>
      <w:proofErr w:type="spellStart"/>
      <w:r>
        <w:rPr>
          <w:color w:val="000000"/>
        </w:rPr>
        <w:t>ProSafeguarding</w:t>
      </w:r>
      <w:proofErr w:type="spellEnd"/>
      <w:r>
        <w:rPr>
          <w:color w:val="000000"/>
        </w:rPr>
        <w:t>).</w:t>
      </w:r>
      <w:r>
        <w:rPr>
          <w:rStyle w:val="apple-converted-space"/>
          <w:color w:val="000000"/>
        </w:rPr>
        <w:t> </w:t>
      </w:r>
    </w:p>
    <w:p w14:paraId="31D61D74" w14:textId="77777777" w:rsidR="00D64483" w:rsidRDefault="00D64483" w:rsidP="00D64483">
      <w:pPr>
        <w:pStyle w:val="NormalWeb"/>
        <w:rPr>
          <w:color w:val="000000"/>
        </w:rPr>
      </w:pPr>
      <w:r>
        <w:rPr>
          <w:color w:val="000000"/>
        </w:rPr>
        <w:lastRenderedPageBreak/>
        <w:t>As knowledge and understanding in the field of safeguarding progressed further, The Social Services and Well-being (Wales) Act (2014) was produced and implemented. The core principles of the SSWBA focus heavily on voice and control, undertaking a child-centred approach, prevention and early intervention, well-being, co-production; manufacturing new methods which allow practitioners and people to work in harmony when planning, delivering and reviewing care and support, and cooperation, partnership and integration, which is of utmost importance in terms of multi-agency working (</w:t>
      </w:r>
      <w:proofErr w:type="spellStart"/>
      <w:r>
        <w:rPr>
          <w:color w:val="000000"/>
        </w:rPr>
        <w:t>HywelDda</w:t>
      </w:r>
      <w:proofErr w:type="spellEnd"/>
      <w:r>
        <w:rPr>
          <w:color w:val="000000"/>
        </w:rPr>
        <w:t xml:space="preserve"> UHB).</w:t>
      </w:r>
      <w:r>
        <w:rPr>
          <w:rStyle w:val="apple-converted-space"/>
          <w:color w:val="000000"/>
        </w:rPr>
        <w:t> </w:t>
      </w:r>
    </w:p>
    <w:p w14:paraId="488A11C0" w14:textId="77777777" w:rsidR="00D64483" w:rsidRDefault="00D64483" w:rsidP="00D64483">
      <w:pPr>
        <w:pStyle w:val="NormalWeb"/>
        <w:rPr>
          <w:color w:val="000000"/>
        </w:rPr>
      </w:pPr>
      <w:r>
        <w:rPr>
          <w:color w:val="000000"/>
        </w:rPr>
        <w:t>In 2020, The Wales Safeguarding Procedures for children and adults at risk of abuse and neglect were designed to help all those employed in the statutory, third (voluntary) and private sector in health, social care, education, police, justice and other services, to apply legislation; SSWBA (2014) and statutory safeguarding guidance; Working Together to Safeguard People. The procedures provide ‘pointers for practice’. Essentially, the procedures set guidance on what must be done, whereas the ‘pointers for practice’ are more informative in terms of how to complete the task(s), linking to recent findings and reports, and system progression (</w:t>
      </w:r>
      <w:proofErr w:type="spellStart"/>
      <w:r>
        <w:rPr>
          <w:color w:val="000000"/>
        </w:rPr>
        <w:t>Safeguarding.Wales</w:t>
      </w:r>
      <w:proofErr w:type="spellEnd"/>
      <w:r>
        <w:rPr>
          <w:color w:val="000000"/>
        </w:rPr>
        <w:t>).</w:t>
      </w:r>
    </w:p>
    <w:p w14:paraId="73D7C877" w14:textId="77777777" w:rsidR="00D64483" w:rsidRDefault="00D64483" w:rsidP="00D64483">
      <w:pPr>
        <w:pStyle w:val="NormalWeb"/>
        <w:rPr>
          <w:color w:val="000000"/>
        </w:rPr>
      </w:pPr>
      <w:r>
        <w:rPr>
          <w:color w:val="000000"/>
        </w:rPr>
        <w:t>Bronfenbrenner’s Ecological Systems Theory (1977), focusing on the quality and context of a child’s environment with regards to development and wellbeing, compliments the multi-agency approach by emphasising that a child’s development is shaped by multiple levels of influence. The child is always at the centre of the various systems, shaped by people and experiences around them.</w:t>
      </w:r>
      <w:r>
        <w:rPr>
          <w:rStyle w:val="apple-converted-space"/>
          <w:color w:val="000000"/>
        </w:rPr>
        <w:t> </w:t>
      </w:r>
    </w:p>
    <w:p w14:paraId="383275A4" w14:textId="77777777" w:rsidR="00D64483" w:rsidRDefault="00D64483" w:rsidP="00D64483">
      <w:pPr>
        <w:pStyle w:val="NormalWeb"/>
        <w:rPr>
          <w:color w:val="000000"/>
        </w:rPr>
      </w:pPr>
      <w:r>
        <w:rPr>
          <w:color w:val="000000"/>
        </w:rPr>
        <w:t>The primary influence is believed to come from the microsystem, consisting of the elements closest to a child, which have the greatest impact, for example, family, friends, school, neighbours and close relationships.</w:t>
      </w:r>
      <w:r>
        <w:rPr>
          <w:rStyle w:val="apple-converted-space"/>
          <w:color w:val="000000"/>
        </w:rPr>
        <w:t> </w:t>
      </w:r>
    </w:p>
    <w:p w14:paraId="02D7EA86" w14:textId="77777777" w:rsidR="00D64483" w:rsidRDefault="00D64483" w:rsidP="00D64483">
      <w:pPr>
        <w:pStyle w:val="NormalWeb"/>
        <w:rPr>
          <w:color w:val="000000"/>
        </w:rPr>
      </w:pPr>
      <w:r>
        <w:rPr>
          <w:color w:val="000000"/>
        </w:rPr>
        <w:t>The secondary influence is referred to as the mesosystem, where the child’s personal individual Microsystems do not operate independently, but are instead interconnected, and when they are supportive of one another, it creates a more positive environment for the child to grow and succeed. This is also relevant and essential to prosperous multi-agency networking.</w:t>
      </w:r>
      <w:r>
        <w:rPr>
          <w:rStyle w:val="apple-converted-space"/>
          <w:color w:val="000000"/>
        </w:rPr>
        <w:t> </w:t>
      </w:r>
    </w:p>
    <w:p w14:paraId="304CD745" w14:textId="77777777" w:rsidR="00D64483" w:rsidRDefault="00D64483" w:rsidP="00D64483">
      <w:pPr>
        <w:pStyle w:val="NormalWeb"/>
        <w:rPr>
          <w:color w:val="000000"/>
        </w:rPr>
      </w:pPr>
      <w:r>
        <w:rPr>
          <w:color w:val="000000"/>
        </w:rPr>
        <w:t xml:space="preserve">The next system, identified as the </w:t>
      </w:r>
      <w:proofErr w:type="spellStart"/>
      <w:r>
        <w:rPr>
          <w:color w:val="000000"/>
        </w:rPr>
        <w:t>exosystem</w:t>
      </w:r>
      <w:proofErr w:type="spellEnd"/>
      <w:r>
        <w:rPr>
          <w:color w:val="000000"/>
        </w:rPr>
        <w:t>, consists of structures which have an indirect influence on the child, such as health services and extended family. Although the child may come into contact less often, or in times of need, they can still greatly influence the child’s development, especially if they become negative experiences. Fewer social support networks can be a problem as there will be fewer resources to draw upon at difficult times, reinforcing the urge for agencies to collaborate efficiently.</w:t>
      </w:r>
      <w:r>
        <w:rPr>
          <w:rStyle w:val="apple-converted-space"/>
          <w:color w:val="000000"/>
        </w:rPr>
        <w:t> </w:t>
      </w:r>
    </w:p>
    <w:p w14:paraId="0EEB3B94" w14:textId="77777777" w:rsidR="00D64483" w:rsidRDefault="00D64483" w:rsidP="00D64483">
      <w:pPr>
        <w:pStyle w:val="NormalWeb"/>
        <w:rPr>
          <w:color w:val="000000"/>
        </w:rPr>
      </w:pPr>
      <w:r>
        <w:rPr>
          <w:color w:val="000000"/>
        </w:rPr>
        <w:t xml:space="preserve">Following this is the macrosystem, made up of cultural values and ideologies, customs, laws, policy, social norms, attitudes towards gender roles, individualism and social issues, all of which, instead of referring to specific environments of one developing child, draws attention to the </w:t>
      </w:r>
      <w:proofErr w:type="spellStart"/>
      <w:r>
        <w:rPr>
          <w:color w:val="000000"/>
        </w:rPr>
        <w:t>pre established</w:t>
      </w:r>
      <w:proofErr w:type="spellEnd"/>
      <w:r>
        <w:rPr>
          <w:color w:val="000000"/>
        </w:rPr>
        <w:t xml:space="preserve"> society in which the child is developing, where their own views and beliefs will hereby stem from.</w:t>
      </w:r>
      <w:r>
        <w:rPr>
          <w:rStyle w:val="apple-converted-space"/>
          <w:color w:val="000000"/>
        </w:rPr>
        <w:t> </w:t>
      </w:r>
    </w:p>
    <w:p w14:paraId="71594825" w14:textId="77777777" w:rsidR="00D64483" w:rsidRDefault="00D64483" w:rsidP="00D64483">
      <w:pPr>
        <w:pStyle w:val="NormalWeb"/>
        <w:rPr>
          <w:color w:val="000000"/>
        </w:rPr>
      </w:pPr>
      <w:r>
        <w:rPr>
          <w:color w:val="000000"/>
        </w:rPr>
        <w:t>The final system is the chronosystem, relating to changes and progression throughout the child’s life. Some events are expected, for example, starting school, whereas other may be unexpected, for example, parental divorce. A child’s resilience and ability to cope with predicted or unpredicted scenarios will depend greatly on the support of their systems (Guy-</w:t>
      </w:r>
      <w:r>
        <w:rPr>
          <w:color w:val="000000"/>
        </w:rPr>
        <w:lastRenderedPageBreak/>
        <w:t>Evans, O, 2024). Some children may require a significant amount of support from multiple practitioners or other responsible adults if their experiences are mostly negative, placing further emphasis on the need for agencies to cooperate (Antony, E, M, 2022).</w:t>
      </w:r>
      <w:r>
        <w:rPr>
          <w:rStyle w:val="apple-converted-space"/>
          <w:color w:val="000000"/>
        </w:rPr>
        <w:t> </w:t>
      </w:r>
    </w:p>
    <w:p w14:paraId="0931BA2B" w14:textId="77777777" w:rsidR="00D64483" w:rsidRDefault="00D64483" w:rsidP="00D64483">
      <w:pPr>
        <w:pStyle w:val="NormalWeb"/>
        <w:rPr>
          <w:color w:val="000000"/>
        </w:rPr>
      </w:pPr>
      <w:r>
        <w:rPr>
          <w:color w:val="000000"/>
        </w:rPr>
        <w:t xml:space="preserve">Multi-agency working in Wales, has been proven to achieve numerous positive outcomes for children who require care, and their families. Successful multi-agency working can improve the mental health of children who are supported, as a result increasing school attendance and achievement, and improving behaviour both inside and outside school, including reduction of drug or alcohol use. The multi-agency approach also ensures greater family commitment to the care system, as parents/carers are strongly encouraged to attend multi-agency meetings and become familiar with the child’s care plan, which is extended as a whole family focus, where family members are offered parenting training/capacity, adult services and job skills, giving them an opportunity to also benefit themselves. Another benefit of multi-agency working in Wales, is that it ensures fewer disparities in access to services; meaning that support is far more accessible for all children, regardless or circumstances or background, so that no child is left behind. Finally, the approach provides a more holistic view of the child, recognising and acknowledging their wider needs, rather than a ‘reductionist’ view, which would solely address the specific service or requirement of a child at a particular time. Therefore, </w:t>
      </w:r>
      <w:proofErr w:type="gramStart"/>
      <w:r>
        <w:rPr>
          <w:color w:val="000000"/>
        </w:rPr>
        <w:t>overall</w:t>
      </w:r>
      <w:proofErr w:type="gramEnd"/>
      <w:r>
        <w:rPr>
          <w:color w:val="000000"/>
        </w:rPr>
        <w:t xml:space="preserve"> the multi-agency approach has been deemed effective in promoting wellbeing and quality of life for children, families and their communities (WCPP, 2021).</w:t>
      </w:r>
      <w:r>
        <w:rPr>
          <w:rStyle w:val="apple-converted-space"/>
          <w:color w:val="000000"/>
        </w:rPr>
        <w:t> </w:t>
      </w:r>
    </w:p>
    <w:p w14:paraId="53BFA783" w14:textId="77777777" w:rsidR="00D64483" w:rsidRDefault="00D64483" w:rsidP="00D64483">
      <w:pPr>
        <w:pStyle w:val="NormalWeb"/>
        <w:rPr>
          <w:color w:val="000000"/>
        </w:rPr>
      </w:pPr>
      <w:r>
        <w:rPr>
          <w:color w:val="000000"/>
        </w:rPr>
        <w:t>There are numerous other benefits to multi-agency working, such as enhanced information sharing and decision making. Communication is key to effective multi-agency working. It is crucial that professionals are aware of their own roles and responsibilities in terms of safeguarding, and are aware of how to record, evidence, distinguish and transfer information between other professionals/agencies, in addition to confidence in receiving and digesting information from other parties. Not all information needs to be disclosed so it is also vital that a practitioner is able to distinguish between what is necessary and what is additional information. In order to collaborate effectively, it is beneficial to maintain trust and mutual respect between those involved in the process. One of the main benefits of multi-agency working is the reduced and shared work load, ultimately this limits the pressure on individuals, as it remains a team effort. As a result, professionals are under less stress and demand, meaning that tasks can be completed more seamlessly. Staff are more productive and the work environment is pleasant and calming, even in the cases of highly challenging roles (</w:t>
      </w:r>
      <w:proofErr w:type="spellStart"/>
      <w:r>
        <w:rPr>
          <w:color w:val="000000"/>
        </w:rPr>
        <w:t>TrainingExpress</w:t>
      </w:r>
      <w:proofErr w:type="spellEnd"/>
      <w:r>
        <w:rPr>
          <w:color w:val="000000"/>
        </w:rPr>
        <w:t>, 2023).</w:t>
      </w:r>
      <w:r>
        <w:rPr>
          <w:rStyle w:val="apple-converted-space"/>
          <w:color w:val="000000"/>
        </w:rPr>
        <w:t> </w:t>
      </w:r>
    </w:p>
    <w:p w14:paraId="7A8A26A7" w14:textId="77777777" w:rsidR="00D64483" w:rsidRDefault="00D64483" w:rsidP="00D64483">
      <w:pPr>
        <w:pStyle w:val="NormalWeb"/>
        <w:rPr>
          <w:color w:val="000000"/>
        </w:rPr>
      </w:pPr>
      <w:r>
        <w:rPr>
          <w:color w:val="000000"/>
        </w:rPr>
        <w:t xml:space="preserve">While positive communication is a great advantage in relation to the multi-agency approach, a lack of adequate team working and collaboration, can reduce benefits and effectiveness of the approach. Communication can be tricky, especially as it is virtually impossible to arrange meetings for the entire team at one time, this is because the practitioners involved are employed by different agencies, and will therefore have differing working hours, for example, healthcare workers or social workers will follow a varying shift pattern, often with less time off in comparison to educational staff, who work short daytime hours, with regular holidays. This can occasionally act as a barrier to highly effective multi-agency working, as not all professionals will be available at all times. Moreover, it is difficult to coordinate a team of practitioners who are all responsible for different tasks, who often answer to different managers and receive different standards/methods of training, or follow slightly different policies. This inconsistency could lead to variations in the quality of safeguarding practices across different regions. Unfortunately, this can result in delays or disagreements, which may </w:t>
      </w:r>
      <w:r>
        <w:rPr>
          <w:color w:val="000000"/>
        </w:rPr>
        <w:lastRenderedPageBreak/>
        <w:t>require additional work to overcome so that these issues do not consequently impact the individuals in need of care (</w:t>
      </w:r>
      <w:proofErr w:type="spellStart"/>
      <w:r>
        <w:rPr>
          <w:color w:val="000000"/>
        </w:rPr>
        <w:t>VirtualCollege</w:t>
      </w:r>
      <w:proofErr w:type="spellEnd"/>
      <w:r>
        <w:rPr>
          <w:color w:val="000000"/>
        </w:rPr>
        <w:t>).</w:t>
      </w:r>
      <w:r>
        <w:rPr>
          <w:rStyle w:val="apple-converted-space"/>
          <w:color w:val="000000"/>
        </w:rPr>
        <w:t> </w:t>
      </w:r>
    </w:p>
    <w:p w14:paraId="711D5E81" w14:textId="27912CFD" w:rsidR="00D64483" w:rsidRPr="00D64483" w:rsidRDefault="00D64483" w:rsidP="00AC2EA4">
      <w:pPr>
        <w:pStyle w:val="NormalWeb"/>
        <w:rPr>
          <w:color w:val="000000"/>
        </w:rPr>
      </w:pPr>
      <w:r>
        <w:rPr>
          <w:color w:val="000000"/>
        </w:rPr>
        <w:t xml:space="preserve">In conclusion, the multi-agency approach to safeguarding and child protection in Wales, has many benefits and is efficient in ensuring the welfare, safety and overall wellbeing of children and young people, however as with all policies and processes, it comes with several challenges, and there is always room for improvement. There are a number of ways in which the multi-agency approach can be developed further in the future, through improved and consistent training, which can be made universal so that all agencies are on the same page, improved methods of recording and sharing information between relevant agencies, and always adhering to </w:t>
      </w:r>
      <w:proofErr w:type="gramStart"/>
      <w:r>
        <w:rPr>
          <w:color w:val="000000"/>
        </w:rPr>
        <w:t>evidence based</w:t>
      </w:r>
      <w:proofErr w:type="gramEnd"/>
      <w:r>
        <w:rPr>
          <w:color w:val="000000"/>
        </w:rPr>
        <w:t xml:space="preserve"> practice (Devereaux, C, 2023). By focusing on fulfilling all of these areas to a high standard, and correspondence from all parties to act in the best interest of all children and young people, the multi-agency safeguarding arrangements in Wales will continue to support and enhance the lives of children and their families, and have a greater chance of preventing more children and young people from facing risks of abuse or neglect (</w:t>
      </w:r>
      <w:proofErr w:type="spellStart"/>
      <w:r>
        <w:rPr>
          <w:color w:val="000000"/>
        </w:rPr>
        <w:t>NSPCCLearning</w:t>
      </w:r>
      <w:proofErr w:type="spellEnd"/>
      <w:r>
        <w:rPr>
          <w:color w:val="000000"/>
        </w:rPr>
        <w:t>, 2023).</w:t>
      </w:r>
      <w:r>
        <w:rPr>
          <w:rStyle w:val="apple-converted-space"/>
          <w:color w:val="000000"/>
        </w:rPr>
        <w:t> </w:t>
      </w:r>
    </w:p>
    <w:p w14:paraId="6546883F" w14:textId="69CAA8BE" w:rsidR="00FA1900" w:rsidRDefault="00AC2EA4" w:rsidP="00AC2EA4">
      <w:pPr>
        <w:pStyle w:val="NormalWeb"/>
        <w:rPr>
          <w:b/>
          <w:bCs/>
          <w:color w:val="000000"/>
        </w:rPr>
      </w:pPr>
      <w:r w:rsidRPr="00AC2EA4">
        <w:rPr>
          <w:b/>
          <w:bCs/>
          <w:color w:val="000000"/>
        </w:rPr>
        <w:t>Essay References</w:t>
      </w:r>
    </w:p>
    <w:p w14:paraId="3987ABCF" w14:textId="5BF4EA41" w:rsidR="00FA1900" w:rsidRDefault="00FA1900" w:rsidP="00FA1900">
      <w:pPr>
        <w:pStyle w:val="NormalWeb"/>
        <w:rPr>
          <w:rStyle w:val="apple-converted-space"/>
          <w:color w:val="000000"/>
        </w:rPr>
      </w:pPr>
      <w:r w:rsidRPr="00AC2EA4">
        <w:rPr>
          <w:color w:val="000000"/>
        </w:rPr>
        <w:t xml:space="preserve">BBC News (29 December, 2023, Moore, Orla; Cordon, Gavin - BBC News and PA Media) Soham Murders: Papers Reveal Tony Blair Resisted Public Inquiry </w:t>
      </w:r>
      <w:proofErr w:type="gramStart"/>
      <w:r w:rsidRPr="00AC2EA4">
        <w:rPr>
          <w:color w:val="000000"/>
        </w:rPr>
        <w:t>Into</w:t>
      </w:r>
      <w:proofErr w:type="gramEnd"/>
      <w:r w:rsidRPr="00AC2EA4">
        <w:rPr>
          <w:color w:val="000000"/>
        </w:rPr>
        <w:t xml:space="preserve"> Deaths. Available at:</w:t>
      </w:r>
      <w:r w:rsidRPr="00AC2EA4">
        <w:rPr>
          <w:rStyle w:val="apple-converted-space"/>
          <w:color w:val="000000"/>
        </w:rPr>
        <w:t> </w:t>
      </w:r>
      <w:hyperlink r:id="rId4" w:history="1">
        <w:r w:rsidRPr="00AC2EA4">
          <w:rPr>
            <w:rStyle w:val="Hyperlink"/>
            <w:color w:val="1A62FF"/>
          </w:rPr>
          <w:t>https://www.bbc.co.uk/news/uk-england-cambridgeshire-67833161</w:t>
        </w:r>
      </w:hyperlink>
      <w:r w:rsidRPr="00AC2EA4">
        <w:rPr>
          <w:rStyle w:val="apple-converted-space"/>
          <w:color w:val="000000"/>
        </w:rPr>
        <w:t> </w:t>
      </w:r>
      <w:r w:rsidRPr="00AC2EA4">
        <w:rPr>
          <w:color w:val="000000"/>
        </w:rPr>
        <w:t>(Accessed on: 24 April, 2025).</w:t>
      </w:r>
      <w:r w:rsidRPr="00AC2EA4">
        <w:rPr>
          <w:rStyle w:val="apple-converted-space"/>
          <w:color w:val="000000"/>
        </w:rPr>
        <w:t> </w:t>
      </w:r>
    </w:p>
    <w:p w14:paraId="69DB8581" w14:textId="2A076239" w:rsidR="00FA1900" w:rsidRDefault="00FA1900" w:rsidP="00FA1900">
      <w:pPr>
        <w:pStyle w:val="NormalWeb"/>
        <w:rPr>
          <w:color w:val="000000"/>
        </w:rPr>
      </w:pPr>
      <w:r>
        <w:rPr>
          <w:color w:val="000000"/>
        </w:rPr>
        <w:t xml:space="preserve">Cambridge Educational Research e-Journal (30 November, 2022, Antony, Evelyn, Mary-Ann) Framing Childhood Resilience Through Bronfenbrenner’s Ecological Systems Theory: A Discussion Paper. Available at: </w:t>
      </w:r>
      <w:hyperlink r:id="rId5" w:history="1">
        <w:r w:rsidRPr="00972B35">
          <w:rPr>
            <w:rStyle w:val="Hyperlink"/>
          </w:rPr>
          <w:t>https://www.repository.cam.ac.uk/items/5426998f-ade9-490e-80d4-539a2b7eb652</w:t>
        </w:r>
      </w:hyperlink>
      <w:r>
        <w:rPr>
          <w:color w:val="000000"/>
        </w:rPr>
        <w:t xml:space="preserve"> (Accessed on: 24 April, 2025). </w:t>
      </w:r>
    </w:p>
    <w:p w14:paraId="2D6F8EDB" w14:textId="77777777" w:rsidR="00FA1900" w:rsidRPr="00AC2EA4" w:rsidRDefault="00FA1900" w:rsidP="00FA1900">
      <w:pPr>
        <w:pStyle w:val="NormalWeb"/>
        <w:rPr>
          <w:color w:val="000000"/>
        </w:rPr>
      </w:pPr>
      <w:r w:rsidRPr="00AC2EA4">
        <w:rPr>
          <w:color w:val="000000"/>
        </w:rPr>
        <w:t>Children’s Commissioner for Wales (date and author unknown) Children’s Rights. Available at:</w:t>
      </w:r>
      <w:r w:rsidRPr="00AC2EA4">
        <w:rPr>
          <w:rStyle w:val="apple-converted-space"/>
          <w:color w:val="000000"/>
        </w:rPr>
        <w:t> </w:t>
      </w:r>
      <w:hyperlink r:id="rId6" w:history="1">
        <w:r w:rsidRPr="00AC2EA4">
          <w:rPr>
            <w:rStyle w:val="Hyperlink"/>
            <w:color w:val="1A62FF"/>
          </w:rPr>
          <w:t>https://www.childcomwales.org.uk/uncrc-childrens-rights/</w:t>
        </w:r>
      </w:hyperlink>
      <w:r w:rsidRPr="00AC2EA4">
        <w:rPr>
          <w:rStyle w:val="apple-converted-space"/>
          <w:color w:val="000000"/>
        </w:rPr>
        <w:t> </w:t>
      </w:r>
      <w:r w:rsidRPr="00AC2EA4">
        <w:rPr>
          <w:color w:val="000000"/>
        </w:rPr>
        <w:t>(Accessed on: 24 April, 2024).</w:t>
      </w:r>
      <w:r w:rsidRPr="00AC2EA4">
        <w:rPr>
          <w:rStyle w:val="apple-converted-space"/>
          <w:color w:val="000000"/>
        </w:rPr>
        <w:t> </w:t>
      </w:r>
    </w:p>
    <w:p w14:paraId="39B8D7CD" w14:textId="2152804F" w:rsidR="00FA1900" w:rsidRDefault="00FA1900" w:rsidP="00FA1900">
      <w:pPr>
        <w:pStyle w:val="NormalWeb"/>
        <w:rPr>
          <w:color w:val="000000"/>
        </w:rPr>
      </w:pPr>
      <w:r>
        <w:rPr>
          <w:color w:val="000000"/>
        </w:rPr>
        <w:t xml:space="preserve">Hywel </w:t>
      </w:r>
      <w:proofErr w:type="spellStart"/>
      <w:r>
        <w:rPr>
          <w:color w:val="000000"/>
        </w:rPr>
        <w:t>Dda</w:t>
      </w:r>
      <w:proofErr w:type="spellEnd"/>
      <w:r>
        <w:rPr>
          <w:color w:val="000000"/>
        </w:rPr>
        <w:t xml:space="preserve"> University Health Board (date and author unknown) Social Services and Well-being (Wales) Act (2014). Available at: </w:t>
      </w:r>
      <w:hyperlink r:id="rId7" w:history="1">
        <w:r w:rsidRPr="00972B35">
          <w:rPr>
            <w:rStyle w:val="Hyperlink"/>
          </w:rPr>
          <w:t>https://hduhb.nhs.wales/about-us/governance-arrangements/social-services-and-well-being-wales-act-2014/</w:t>
        </w:r>
      </w:hyperlink>
      <w:r>
        <w:rPr>
          <w:color w:val="000000"/>
        </w:rPr>
        <w:t xml:space="preserve"> (Accessed on: 24 April, 2025). </w:t>
      </w:r>
    </w:p>
    <w:p w14:paraId="2C0AAEA4" w14:textId="77777777" w:rsidR="00FA1900" w:rsidRDefault="00FA1900" w:rsidP="00FA1900">
      <w:pPr>
        <w:pStyle w:val="NormalWeb"/>
        <w:rPr>
          <w:color w:val="000000"/>
        </w:rPr>
      </w:pPr>
      <w:r w:rsidRPr="00AC2EA4">
        <w:rPr>
          <w:color w:val="000000"/>
        </w:rPr>
        <w:t>MIND (date and author unknown) DBS Checks and your Mental Health. Available at:</w:t>
      </w:r>
      <w:r w:rsidRPr="00AC2EA4">
        <w:rPr>
          <w:rStyle w:val="apple-converted-space"/>
          <w:color w:val="000000"/>
        </w:rPr>
        <w:t> </w:t>
      </w:r>
      <w:hyperlink r:id="rId8" w:history="1">
        <w:r w:rsidRPr="00AC2EA4">
          <w:rPr>
            <w:rStyle w:val="Hyperlink"/>
            <w:color w:val="1A62FF"/>
          </w:rPr>
          <w:t>https://www.mind.org.uk/information-support/legal-rights/dbs-checks-and-your-mental-health/overview/</w:t>
        </w:r>
      </w:hyperlink>
      <w:r w:rsidRPr="00AC2EA4">
        <w:rPr>
          <w:rStyle w:val="apple-converted-space"/>
          <w:color w:val="000000"/>
        </w:rPr>
        <w:t> </w:t>
      </w:r>
      <w:r w:rsidRPr="00AC2EA4">
        <w:rPr>
          <w:color w:val="000000"/>
        </w:rPr>
        <w:t>(Accessed on: 24 April, 2025).</w:t>
      </w:r>
    </w:p>
    <w:p w14:paraId="4DD05C26" w14:textId="77777777" w:rsidR="00FA1900" w:rsidRDefault="00FA1900" w:rsidP="00FA1900">
      <w:pPr>
        <w:pStyle w:val="NormalWeb"/>
        <w:rPr>
          <w:color w:val="000000"/>
        </w:rPr>
      </w:pPr>
      <w:r>
        <w:rPr>
          <w:color w:val="000000"/>
        </w:rPr>
        <w:t xml:space="preserve">NSPCC Learning (last updated 17 May, 2023, author unknown) Multi-agency Working. Available at: </w:t>
      </w:r>
      <w:hyperlink r:id="rId9" w:history="1">
        <w:r w:rsidRPr="00972B35">
          <w:rPr>
            <w:rStyle w:val="Hyperlink"/>
          </w:rPr>
          <w:t>https://learning.nspcc.org.uk/child-protection-system/multi-agency-working-child-protection</w:t>
        </w:r>
      </w:hyperlink>
      <w:r>
        <w:rPr>
          <w:color w:val="000000"/>
        </w:rPr>
        <w:t xml:space="preserve"> (Accessed on: 24 April, 2025). </w:t>
      </w:r>
    </w:p>
    <w:p w14:paraId="40DD5410" w14:textId="77777777" w:rsidR="00FA1900" w:rsidRPr="00AC2EA4" w:rsidRDefault="00FA1900" w:rsidP="00FA1900">
      <w:pPr>
        <w:pStyle w:val="NormalWeb"/>
        <w:rPr>
          <w:color w:val="000000"/>
        </w:rPr>
      </w:pPr>
      <w:proofErr w:type="spellStart"/>
      <w:r w:rsidRPr="00AC2EA4">
        <w:rPr>
          <w:color w:val="000000"/>
        </w:rPr>
        <w:t>ProSafeguarding</w:t>
      </w:r>
      <w:proofErr w:type="spellEnd"/>
      <w:r w:rsidRPr="00AC2EA4">
        <w:rPr>
          <w:color w:val="000000"/>
        </w:rPr>
        <w:t xml:space="preserve"> (date and author unknown) Children’s Acts 1989 and 2004 - The Influence of the Children Act 1989 and 2004 on Child Protection in the United Kingdom. Available at:</w:t>
      </w:r>
      <w:r w:rsidRPr="00AC2EA4">
        <w:rPr>
          <w:rStyle w:val="apple-converted-space"/>
          <w:color w:val="000000"/>
        </w:rPr>
        <w:t> </w:t>
      </w:r>
      <w:hyperlink r:id="rId10" w:anchor=":~:text=Both%2C%20the%20Children's%20Act%20of,ensuring%20a%20child's%20well%2Dbeing." w:history="1">
        <w:r w:rsidRPr="00AC2EA4">
          <w:rPr>
            <w:rStyle w:val="Hyperlink"/>
            <w:color w:val="1A62FF"/>
          </w:rPr>
          <w:t>https://www.prosafeguarding.co.uk/training/children/video/childrens-act-1989-and-2004#:~:text=Both%2C%20the%20Children's%20Act%20of,ensuring%20a%20child's%20well%2Dbeing.</w:t>
        </w:r>
      </w:hyperlink>
      <w:r w:rsidRPr="00AC2EA4">
        <w:rPr>
          <w:rStyle w:val="apple-converted-space"/>
          <w:color w:val="000000"/>
        </w:rPr>
        <w:t> </w:t>
      </w:r>
      <w:r w:rsidRPr="00AC2EA4">
        <w:rPr>
          <w:color w:val="000000"/>
        </w:rPr>
        <w:t>(Accessed on: 24 April, 2025).</w:t>
      </w:r>
      <w:r w:rsidRPr="00AC2EA4">
        <w:rPr>
          <w:rStyle w:val="apple-converted-space"/>
          <w:color w:val="000000"/>
        </w:rPr>
        <w:t> </w:t>
      </w:r>
    </w:p>
    <w:p w14:paraId="34C064BC" w14:textId="77777777" w:rsidR="00FA1900" w:rsidRDefault="00FA1900" w:rsidP="00FA1900">
      <w:pPr>
        <w:pStyle w:val="NormalWeb"/>
        <w:rPr>
          <w:color w:val="000000"/>
        </w:rPr>
      </w:pPr>
      <w:r>
        <w:rPr>
          <w:color w:val="000000"/>
        </w:rPr>
        <w:lastRenderedPageBreak/>
        <w:t xml:space="preserve">Simply Psychology (last updated January 17, 2024, Guy-Evans, Olivia, MSc; reviewed by McLeod, Saul, PhD) Bronfenbrenner’s Ecological Systems Theory. Available at: </w:t>
      </w:r>
      <w:hyperlink r:id="rId11" w:history="1">
        <w:r w:rsidRPr="00972B35">
          <w:rPr>
            <w:rStyle w:val="Hyperlink"/>
          </w:rPr>
          <w:t>https://www.simplypsychology.org/bronfenbrenner.html</w:t>
        </w:r>
      </w:hyperlink>
      <w:r>
        <w:rPr>
          <w:color w:val="000000"/>
        </w:rPr>
        <w:t xml:space="preserve"> (Accessed on: 24 April, 2025).</w:t>
      </w:r>
    </w:p>
    <w:p w14:paraId="21C8367E" w14:textId="77777777" w:rsidR="00FA1900" w:rsidRDefault="00FA1900" w:rsidP="00FA1900">
      <w:pPr>
        <w:pStyle w:val="NormalWeb"/>
        <w:rPr>
          <w:color w:val="000000"/>
        </w:rPr>
      </w:pPr>
      <w:r>
        <w:rPr>
          <w:color w:val="000000"/>
        </w:rPr>
        <w:t xml:space="preserve">Social Finance (November, 2023, Devereux, Camilla; </w:t>
      </w:r>
      <w:proofErr w:type="spellStart"/>
      <w:r>
        <w:rPr>
          <w:color w:val="000000"/>
        </w:rPr>
        <w:t>Kyriacou</w:t>
      </w:r>
      <w:proofErr w:type="spellEnd"/>
      <w:r>
        <w:rPr>
          <w:color w:val="000000"/>
        </w:rPr>
        <w:t xml:space="preserve">, Jessica; Larkin, Natalie; </w:t>
      </w:r>
      <w:proofErr w:type="spellStart"/>
      <w:r>
        <w:rPr>
          <w:color w:val="000000"/>
        </w:rPr>
        <w:t>Takenaka</w:t>
      </w:r>
      <w:proofErr w:type="spellEnd"/>
      <w:r>
        <w:rPr>
          <w:color w:val="000000"/>
        </w:rPr>
        <w:t xml:space="preserve">, Akira; Luff, Rebecca; Roberts, Jack) Overcoming Behavioural and Cultural Barriers to Multi-agency Information Sharing in Children’s Social Care: A Research Brief. Available at: </w:t>
      </w:r>
      <w:hyperlink r:id="rId12" w:history="1">
        <w:r w:rsidRPr="00972B35">
          <w:rPr>
            <w:rStyle w:val="Hyperlink"/>
          </w:rPr>
          <w:t>https://www.socialfinance.org.uk/insights/overcoming-behavioural-and-cultural-barriers-to-multi-agency-information-sharing-in-childrens-social-care</w:t>
        </w:r>
      </w:hyperlink>
      <w:r>
        <w:rPr>
          <w:color w:val="000000"/>
        </w:rPr>
        <w:t xml:space="preserve"> (Accessed on: 24 April, 2025). </w:t>
      </w:r>
    </w:p>
    <w:p w14:paraId="465928F0" w14:textId="226C26CD" w:rsidR="00FA1900" w:rsidRDefault="00FA1900" w:rsidP="00FA1900">
      <w:pPr>
        <w:pStyle w:val="NormalWeb"/>
        <w:rPr>
          <w:rStyle w:val="apple-converted-space"/>
          <w:color w:val="000000"/>
        </w:rPr>
      </w:pPr>
      <w:r w:rsidRPr="00AC2EA4">
        <w:rPr>
          <w:color w:val="000000"/>
        </w:rPr>
        <w:t>Training Express (2023, author unknown) What is Multi-agency Working in Safeguarding. Available at:</w:t>
      </w:r>
      <w:r w:rsidRPr="00AC2EA4">
        <w:rPr>
          <w:rStyle w:val="apple-converted-space"/>
          <w:color w:val="000000"/>
        </w:rPr>
        <w:t> </w:t>
      </w:r>
      <w:hyperlink r:id="rId13" w:anchor=":~:text=In%20multi%2Dagency%20working%2C%20practitioners,help%20individuals%20grow%20up%20safe." w:history="1">
        <w:r w:rsidRPr="00AC2EA4">
          <w:rPr>
            <w:rStyle w:val="Hyperlink"/>
            <w:color w:val="1A62FF"/>
          </w:rPr>
          <w:t>https://trainingexpress.org.uk/what-is-multi-agency-working-in-safeguarding/#:~:text=In%20multi%2Dagency%20working%2C%20practitioners,help%20individuals%20grow%20up%20safe.</w:t>
        </w:r>
      </w:hyperlink>
      <w:r w:rsidRPr="00AC2EA4">
        <w:rPr>
          <w:rStyle w:val="apple-converted-space"/>
          <w:color w:val="000000"/>
        </w:rPr>
        <w:t> </w:t>
      </w:r>
      <w:r w:rsidRPr="00AC2EA4">
        <w:rPr>
          <w:color w:val="000000"/>
        </w:rPr>
        <w:t>(Accessed on: 24 April, 2025).</w:t>
      </w:r>
      <w:r w:rsidRPr="00AC2EA4">
        <w:rPr>
          <w:rStyle w:val="apple-converted-space"/>
          <w:color w:val="000000"/>
        </w:rPr>
        <w:t> </w:t>
      </w:r>
    </w:p>
    <w:p w14:paraId="28B38434" w14:textId="77777777" w:rsidR="00FA1900" w:rsidRPr="00AC2EA4" w:rsidRDefault="00FA1900" w:rsidP="00FA1900">
      <w:pPr>
        <w:pStyle w:val="NormalWeb"/>
        <w:rPr>
          <w:color w:val="000000"/>
        </w:rPr>
      </w:pPr>
      <w:r w:rsidRPr="00AC2EA4">
        <w:rPr>
          <w:color w:val="000000"/>
        </w:rPr>
        <w:t>UK Parliament, Hansard, House of Commons (13 January, 1988, Bottomley, Mrs. Virginia) Volume 125, Medical Examination of Children at Risk. Available at:</w:t>
      </w:r>
      <w:r w:rsidRPr="00AC2EA4">
        <w:rPr>
          <w:rStyle w:val="apple-converted-space"/>
          <w:color w:val="000000"/>
        </w:rPr>
        <w:t> </w:t>
      </w:r>
      <w:hyperlink r:id="rId14" w:history="1">
        <w:r w:rsidRPr="00AC2EA4">
          <w:rPr>
            <w:rStyle w:val="Hyperlink"/>
            <w:color w:val="1A62FF"/>
          </w:rPr>
          <w:t>https://hansard.parliament.uk/Commons/1988-01-13/debates/0ca1e224-2442-4fb5-8c47-b01a2150c151/MedicalExaminationOfChildrenAtRisk</w:t>
        </w:r>
      </w:hyperlink>
      <w:r w:rsidRPr="00AC2EA4">
        <w:rPr>
          <w:rStyle w:val="apple-converted-space"/>
          <w:color w:val="000000"/>
        </w:rPr>
        <w:t> </w:t>
      </w:r>
      <w:r w:rsidRPr="00AC2EA4">
        <w:rPr>
          <w:color w:val="000000"/>
        </w:rPr>
        <w:t>(Accessed on: 24 April, 2025).</w:t>
      </w:r>
      <w:r w:rsidRPr="00AC2EA4">
        <w:rPr>
          <w:rStyle w:val="apple-converted-space"/>
          <w:color w:val="000000"/>
        </w:rPr>
        <w:t> </w:t>
      </w:r>
    </w:p>
    <w:p w14:paraId="6BDC579D" w14:textId="09E391D7" w:rsidR="00AC2EA4" w:rsidRDefault="00AC2EA4" w:rsidP="00AC2EA4">
      <w:pPr>
        <w:pStyle w:val="NormalWeb"/>
        <w:rPr>
          <w:rStyle w:val="apple-converted-space"/>
          <w:color w:val="000000"/>
        </w:rPr>
      </w:pPr>
      <w:r w:rsidRPr="00AC2EA4">
        <w:rPr>
          <w:color w:val="000000"/>
        </w:rPr>
        <w:t>UNICEF (date and author unknown) How we Protect Children’s Rights with the UN Convention on the Rights of the Child. Available at:</w:t>
      </w:r>
      <w:r w:rsidRPr="00AC2EA4">
        <w:rPr>
          <w:rStyle w:val="apple-converted-space"/>
          <w:color w:val="000000"/>
        </w:rPr>
        <w:t> </w:t>
      </w:r>
      <w:hyperlink r:id="rId15" w:history="1">
        <w:r w:rsidRPr="00AC2EA4">
          <w:rPr>
            <w:rStyle w:val="Hyperlink"/>
            <w:color w:val="1A62FF"/>
          </w:rPr>
          <w:t>https://www.unicef.org.uk/what-we-do/un-convention-child-rights/</w:t>
        </w:r>
      </w:hyperlink>
      <w:r w:rsidRPr="00AC2EA4">
        <w:rPr>
          <w:rStyle w:val="apple-converted-space"/>
          <w:color w:val="000000"/>
        </w:rPr>
        <w:t> </w:t>
      </w:r>
      <w:r w:rsidRPr="00AC2EA4">
        <w:rPr>
          <w:color w:val="000000"/>
        </w:rPr>
        <w:t>(Accessed on: 24 April, 2025).</w:t>
      </w:r>
      <w:r w:rsidRPr="00AC2EA4">
        <w:rPr>
          <w:rStyle w:val="apple-converted-space"/>
          <w:color w:val="000000"/>
        </w:rPr>
        <w:t> </w:t>
      </w:r>
    </w:p>
    <w:p w14:paraId="78EB2757" w14:textId="77777777" w:rsidR="00FA1900" w:rsidRDefault="00FA1900" w:rsidP="00FA1900">
      <w:pPr>
        <w:pStyle w:val="NormalWeb"/>
        <w:rPr>
          <w:color w:val="000000"/>
        </w:rPr>
      </w:pPr>
      <w:r>
        <w:rPr>
          <w:color w:val="000000"/>
        </w:rPr>
        <w:t>Virtual College (date and author unknown) How Does Multi-</w:t>
      </w:r>
      <w:proofErr w:type="gramStart"/>
      <w:r>
        <w:rPr>
          <w:color w:val="000000"/>
        </w:rPr>
        <w:t>agency</w:t>
      </w:r>
      <w:proofErr w:type="gramEnd"/>
      <w:r>
        <w:rPr>
          <w:color w:val="000000"/>
        </w:rPr>
        <w:t xml:space="preserve"> Work Reduce the Risk of Abuse? Available at: </w:t>
      </w:r>
      <w:hyperlink r:id="rId16" w:history="1">
        <w:r w:rsidRPr="00972B35">
          <w:rPr>
            <w:rStyle w:val="Hyperlink"/>
          </w:rPr>
          <w:t>https://www.virtual-college.co.uk/resources/how-does-multi-agency-work-red</w:t>
        </w:r>
        <w:r w:rsidRPr="00972B35">
          <w:rPr>
            <w:rStyle w:val="Hyperlink"/>
          </w:rPr>
          <w:t>u</w:t>
        </w:r>
        <w:r w:rsidRPr="00972B35">
          <w:rPr>
            <w:rStyle w:val="Hyperlink"/>
          </w:rPr>
          <w:t>ce-the-risk-of-abuse</w:t>
        </w:r>
      </w:hyperlink>
      <w:r>
        <w:rPr>
          <w:color w:val="000000"/>
        </w:rPr>
        <w:t xml:space="preserve"> (Accessed on: 24 April, 2025). </w:t>
      </w:r>
    </w:p>
    <w:p w14:paraId="7EE38ADC" w14:textId="77777777" w:rsidR="00FA1900" w:rsidRDefault="00FA1900" w:rsidP="00FA1900">
      <w:pPr>
        <w:pStyle w:val="NormalWeb"/>
        <w:rPr>
          <w:color w:val="000000"/>
        </w:rPr>
      </w:pPr>
      <w:r>
        <w:rPr>
          <w:color w:val="000000"/>
        </w:rPr>
        <w:t xml:space="preserve">Wales Centre for Public Policy (September, 202, author unknown) Policy Briefing – Multi-agency Working and Outcomes for Children Looked After: Evidence Review. Available at: </w:t>
      </w:r>
      <w:hyperlink r:id="rId17" w:history="1">
        <w:r w:rsidRPr="00972B35">
          <w:rPr>
            <w:rStyle w:val="Hyperlink"/>
          </w:rPr>
          <w:t>https://www.wcpp.org.uk/wp-content/uploads/2021/09/Multi-agency-working-and-outcomes-for-children-looked-after-Evidence-review.pdf</w:t>
        </w:r>
      </w:hyperlink>
      <w:r>
        <w:rPr>
          <w:color w:val="000000"/>
        </w:rPr>
        <w:t xml:space="preserve"> (Accessed on: 24 April, 2025). </w:t>
      </w:r>
    </w:p>
    <w:p w14:paraId="60D91279" w14:textId="77777777" w:rsidR="00FA1900" w:rsidRDefault="00FA1900" w:rsidP="00FA1900">
      <w:pPr>
        <w:pStyle w:val="NormalWeb"/>
        <w:rPr>
          <w:color w:val="000000"/>
        </w:rPr>
      </w:pPr>
      <w:r>
        <w:rPr>
          <w:color w:val="000000"/>
        </w:rPr>
        <w:t xml:space="preserve">Wales Safeguarding Procedures (date and author unknown) The Wales Safeguarding Procedures for Children and Adults at Risk of Abuse and Neglect. Available at: </w:t>
      </w:r>
      <w:hyperlink r:id="rId18" w:history="1">
        <w:r w:rsidRPr="00972B35">
          <w:rPr>
            <w:rStyle w:val="Hyperlink"/>
          </w:rPr>
          <w:t>https://www.safeguarding.wales/en/int-i/int-i-i1/i1-p1/</w:t>
        </w:r>
      </w:hyperlink>
      <w:r>
        <w:rPr>
          <w:color w:val="000000"/>
        </w:rPr>
        <w:t xml:space="preserve"> (Accessed on: 24 April, 2025). </w:t>
      </w:r>
    </w:p>
    <w:p w14:paraId="282A7549" w14:textId="77777777" w:rsidR="00AC2EA4" w:rsidRPr="00AC2EA4" w:rsidRDefault="00AC2EA4" w:rsidP="00AC2EA4">
      <w:pPr>
        <w:pStyle w:val="NormalWeb"/>
        <w:rPr>
          <w:color w:val="000000"/>
        </w:rPr>
      </w:pPr>
      <w:r w:rsidRPr="00AC2EA4">
        <w:rPr>
          <w:color w:val="000000"/>
        </w:rPr>
        <w:t>Wikipedia (last updated, 2025, author unknown) Murder of Victoria Climbie. Available at:</w:t>
      </w:r>
      <w:r w:rsidRPr="00AC2EA4">
        <w:rPr>
          <w:rStyle w:val="apple-converted-space"/>
          <w:color w:val="000000"/>
        </w:rPr>
        <w:t> </w:t>
      </w:r>
      <w:hyperlink r:id="rId19" w:history="1">
        <w:r w:rsidRPr="00AC2EA4">
          <w:rPr>
            <w:rStyle w:val="Hyperlink"/>
            <w:color w:val="1A62FF"/>
          </w:rPr>
          <w:t>https://en.wikipedia.org/wiki/Murder_of_Victoria_Climbi%C3%A9</w:t>
        </w:r>
      </w:hyperlink>
      <w:r w:rsidRPr="00AC2EA4">
        <w:rPr>
          <w:rStyle w:val="apple-converted-space"/>
          <w:color w:val="000000"/>
        </w:rPr>
        <w:t> </w:t>
      </w:r>
      <w:r w:rsidRPr="00AC2EA4">
        <w:rPr>
          <w:color w:val="000000"/>
        </w:rPr>
        <w:t>(Accessed on: 24 April, 2025).</w:t>
      </w:r>
      <w:r w:rsidRPr="00AC2EA4">
        <w:rPr>
          <w:rStyle w:val="apple-converted-space"/>
          <w:color w:val="000000"/>
        </w:rPr>
        <w:t> </w:t>
      </w:r>
    </w:p>
    <w:p w14:paraId="586D12F8" w14:textId="77777777" w:rsidR="00AC2EA4" w:rsidRPr="00AC2EA4" w:rsidRDefault="00AC2EA4" w:rsidP="00AC2EA4">
      <w:pPr>
        <w:pStyle w:val="NormalWeb"/>
        <w:rPr>
          <w:color w:val="000000"/>
        </w:rPr>
      </w:pPr>
    </w:p>
    <w:p w14:paraId="271FBC33" w14:textId="77777777" w:rsidR="00635032" w:rsidRDefault="00635032"/>
    <w:sectPr w:rsidR="006350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A4"/>
    <w:rsid w:val="00513044"/>
    <w:rsid w:val="00635032"/>
    <w:rsid w:val="00AC2EA4"/>
    <w:rsid w:val="00B1666E"/>
    <w:rsid w:val="00D64483"/>
    <w:rsid w:val="00FA1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2B5E83"/>
  <w15:chartTrackingRefBased/>
  <w15:docId w15:val="{BF22574B-839B-574D-AEC3-4706E81E0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2EA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C2EA4"/>
  </w:style>
  <w:style w:type="character" w:styleId="Hyperlink">
    <w:name w:val="Hyperlink"/>
    <w:basedOn w:val="DefaultParagraphFont"/>
    <w:uiPriority w:val="99"/>
    <w:unhideWhenUsed/>
    <w:rsid w:val="00AC2EA4"/>
    <w:rPr>
      <w:color w:val="0000FF"/>
      <w:u w:val="single"/>
    </w:rPr>
  </w:style>
  <w:style w:type="character" w:styleId="UnresolvedMention">
    <w:name w:val="Unresolved Mention"/>
    <w:basedOn w:val="DefaultParagraphFont"/>
    <w:uiPriority w:val="99"/>
    <w:semiHidden/>
    <w:unhideWhenUsed/>
    <w:rsid w:val="00AC2EA4"/>
    <w:rPr>
      <w:color w:val="605E5C"/>
      <w:shd w:val="clear" w:color="auto" w:fill="E1DFDD"/>
    </w:rPr>
  </w:style>
  <w:style w:type="character" w:styleId="FollowedHyperlink">
    <w:name w:val="FollowedHyperlink"/>
    <w:basedOn w:val="DefaultParagraphFont"/>
    <w:uiPriority w:val="99"/>
    <w:semiHidden/>
    <w:unhideWhenUsed/>
    <w:rsid w:val="00FA19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443695">
      <w:bodyDiv w:val="1"/>
      <w:marLeft w:val="0"/>
      <w:marRight w:val="0"/>
      <w:marTop w:val="0"/>
      <w:marBottom w:val="0"/>
      <w:divBdr>
        <w:top w:val="none" w:sz="0" w:space="0" w:color="auto"/>
        <w:left w:val="none" w:sz="0" w:space="0" w:color="auto"/>
        <w:bottom w:val="none" w:sz="0" w:space="0" w:color="auto"/>
        <w:right w:val="none" w:sz="0" w:space="0" w:color="auto"/>
      </w:divBdr>
      <w:divsChild>
        <w:div w:id="783965448">
          <w:marLeft w:val="0"/>
          <w:marRight w:val="0"/>
          <w:marTop w:val="0"/>
          <w:marBottom w:val="0"/>
          <w:divBdr>
            <w:top w:val="none" w:sz="0" w:space="0" w:color="auto"/>
            <w:left w:val="none" w:sz="0" w:space="0" w:color="auto"/>
            <w:bottom w:val="none" w:sz="0" w:space="0" w:color="auto"/>
            <w:right w:val="none" w:sz="0" w:space="0" w:color="auto"/>
          </w:divBdr>
        </w:div>
      </w:divsChild>
    </w:div>
    <w:div w:id="970399075">
      <w:bodyDiv w:val="1"/>
      <w:marLeft w:val="0"/>
      <w:marRight w:val="0"/>
      <w:marTop w:val="0"/>
      <w:marBottom w:val="0"/>
      <w:divBdr>
        <w:top w:val="none" w:sz="0" w:space="0" w:color="auto"/>
        <w:left w:val="none" w:sz="0" w:space="0" w:color="auto"/>
        <w:bottom w:val="none" w:sz="0" w:space="0" w:color="auto"/>
        <w:right w:val="none" w:sz="0" w:space="0" w:color="auto"/>
      </w:divBdr>
      <w:divsChild>
        <w:div w:id="435910252">
          <w:marLeft w:val="0"/>
          <w:marRight w:val="0"/>
          <w:marTop w:val="0"/>
          <w:marBottom w:val="0"/>
          <w:divBdr>
            <w:top w:val="none" w:sz="0" w:space="0" w:color="auto"/>
            <w:left w:val="none" w:sz="0" w:space="0" w:color="auto"/>
            <w:bottom w:val="none" w:sz="0" w:space="0" w:color="auto"/>
            <w:right w:val="none" w:sz="0" w:space="0" w:color="auto"/>
          </w:divBdr>
        </w:div>
      </w:divsChild>
    </w:div>
    <w:div w:id="1191333755">
      <w:bodyDiv w:val="1"/>
      <w:marLeft w:val="0"/>
      <w:marRight w:val="0"/>
      <w:marTop w:val="0"/>
      <w:marBottom w:val="0"/>
      <w:divBdr>
        <w:top w:val="none" w:sz="0" w:space="0" w:color="auto"/>
        <w:left w:val="none" w:sz="0" w:space="0" w:color="auto"/>
        <w:bottom w:val="none" w:sz="0" w:space="0" w:color="auto"/>
        <w:right w:val="none" w:sz="0" w:space="0" w:color="auto"/>
      </w:divBdr>
      <w:divsChild>
        <w:div w:id="1784305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legal-rights/dbs-checks-and-your-mental-health/overview/" TargetMode="External"/><Relationship Id="rId13" Type="http://schemas.openxmlformats.org/officeDocument/2006/relationships/hyperlink" Target="https://trainingexpress.org.uk/what-is-multi-agency-working-in-safeguarding/" TargetMode="External"/><Relationship Id="rId18" Type="http://schemas.openxmlformats.org/officeDocument/2006/relationships/hyperlink" Target="https://www.safeguarding.wales/en/int-i/int-i-i1/i1-p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hduhb.nhs.wales/about-us/governance-arrangements/social-services-and-well-being-wales-act-2014/" TargetMode="External"/><Relationship Id="rId12" Type="http://schemas.openxmlformats.org/officeDocument/2006/relationships/hyperlink" Target="https://www.socialfinance.org.uk/insights/overcoming-behavioural-and-cultural-barriers-to-multi-agency-information-sharing-in-childrens-social-care" TargetMode="External"/><Relationship Id="rId17" Type="http://schemas.openxmlformats.org/officeDocument/2006/relationships/hyperlink" Target="https://www.wcpp.org.uk/wp-content/uploads/2021/09/Multi-agency-working-and-outcomes-for-children-looked-after-Evidence-review.pdf" TargetMode="External"/><Relationship Id="rId2" Type="http://schemas.openxmlformats.org/officeDocument/2006/relationships/settings" Target="settings.xml"/><Relationship Id="rId16" Type="http://schemas.openxmlformats.org/officeDocument/2006/relationships/hyperlink" Target="https://www.virtual-college.co.uk/resources/how-does-multi-agency-work-reduce-the-risk-of-abus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hildcomwales.org.uk/uncrc-childrens-rights/" TargetMode="External"/><Relationship Id="rId11" Type="http://schemas.openxmlformats.org/officeDocument/2006/relationships/hyperlink" Target="https://www.simplypsychology.org/bronfenbrenner.html" TargetMode="External"/><Relationship Id="rId5" Type="http://schemas.openxmlformats.org/officeDocument/2006/relationships/hyperlink" Target="https://www.repository.cam.ac.uk/items/5426998f-ade9-490e-80d4-539a2b7eb652" TargetMode="External"/><Relationship Id="rId15" Type="http://schemas.openxmlformats.org/officeDocument/2006/relationships/hyperlink" Target="https://www.unicef.org.uk/what-we-do/un-convention-child-rights/" TargetMode="External"/><Relationship Id="rId10" Type="http://schemas.openxmlformats.org/officeDocument/2006/relationships/hyperlink" Target="https://www.prosafeguarding.co.uk/training/children/video/childrens-act-1989-and-2004" TargetMode="External"/><Relationship Id="rId19" Type="http://schemas.openxmlformats.org/officeDocument/2006/relationships/hyperlink" Target="https://en.wikipedia.org/wiki/Murder_of_Victoria_Climbi%C3%A9" TargetMode="External"/><Relationship Id="rId4" Type="http://schemas.openxmlformats.org/officeDocument/2006/relationships/hyperlink" Target="https://www.bbc.co.uk/news/uk-england-cambridgeshire-67833161" TargetMode="External"/><Relationship Id="rId9" Type="http://schemas.openxmlformats.org/officeDocument/2006/relationships/hyperlink" Target="https://learning.nspcc.org.uk/child-protection-system/multi-agency-working-child-protection" TargetMode="External"/><Relationship Id="rId14" Type="http://schemas.openxmlformats.org/officeDocument/2006/relationships/hyperlink" Target="https://hansard.parliament.uk/Commons/1988-01-13/debates/0ca1e224-2442-4fb5-8c47-b01a2150c151/MedicalExaminationOfChildrenAt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2025-04-24T14:54:00Z</dcterms:created>
  <dcterms:modified xsi:type="dcterms:W3CDTF">2025-04-24T15:26:00Z</dcterms:modified>
</cp:coreProperties>
</file>