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B9D6EA" w14:textId="376318CD" w:rsidR="00C07EB1" w:rsidRPr="00C07EB1" w:rsidRDefault="00C07EB1" w:rsidP="00C07EB1">
      <w:pPr>
        <w:spacing w:after="120" w:line="240" w:lineRule="auto"/>
        <w:rPr>
          <w:rFonts w:ascii="Aptos" w:hAnsi="Aptos"/>
          <w:b/>
          <w:bCs/>
          <w:sz w:val="32"/>
          <w:szCs w:val="32"/>
        </w:rPr>
      </w:pPr>
      <w:r>
        <w:rPr>
          <w:rFonts w:ascii="Aptos" w:hAnsi="Aptos"/>
          <w:b/>
          <w:bCs/>
          <w:sz w:val="32"/>
          <w:szCs w:val="32"/>
        </w:rPr>
        <w:t xml:space="preserve">           </w:t>
      </w:r>
      <w:r w:rsidRPr="00C07EB1">
        <w:rPr>
          <w:rFonts w:ascii="Aptos" w:hAnsi="Aptos"/>
          <w:b/>
          <w:bCs/>
          <w:sz w:val="32"/>
          <w:szCs w:val="32"/>
        </w:rPr>
        <w:t>BA/HND Business and Management</w:t>
      </w:r>
    </w:p>
    <w:p w14:paraId="5D76D08F" w14:textId="2432D7D9" w:rsidR="00C07EB1" w:rsidRPr="00C07EB1" w:rsidRDefault="00C07EB1" w:rsidP="00C07EB1">
      <w:pPr>
        <w:spacing w:after="120" w:line="240" w:lineRule="auto"/>
        <w:rPr>
          <w:rFonts w:ascii="Aptos" w:hAnsi="Aptos"/>
          <w:b/>
          <w:bCs/>
          <w:sz w:val="32"/>
          <w:szCs w:val="32"/>
        </w:rPr>
      </w:pPr>
      <w:r>
        <w:rPr>
          <w:rFonts w:ascii="Aptos" w:hAnsi="Aptos"/>
          <w:b/>
          <w:bCs/>
          <w:sz w:val="32"/>
          <w:szCs w:val="32"/>
        </w:rPr>
        <w:t xml:space="preserve">                             </w:t>
      </w:r>
      <w:r w:rsidRPr="00C07EB1">
        <w:rPr>
          <w:rFonts w:ascii="Aptos" w:hAnsi="Aptos"/>
          <w:b/>
          <w:bCs/>
          <w:sz w:val="32"/>
          <w:szCs w:val="32"/>
        </w:rPr>
        <w:t>BMSP4011</w:t>
      </w:r>
    </w:p>
    <w:p w14:paraId="673F10E0" w14:textId="00DFBB5D" w:rsidR="00C07EB1" w:rsidRDefault="00C07EB1" w:rsidP="00C07EB1">
      <w:pPr>
        <w:spacing w:after="120" w:line="240" w:lineRule="auto"/>
        <w:rPr>
          <w:rFonts w:ascii="Aptos" w:hAnsi="Aptos"/>
          <w:b/>
          <w:bCs/>
          <w:sz w:val="32"/>
          <w:szCs w:val="32"/>
        </w:rPr>
      </w:pPr>
      <w:r>
        <w:rPr>
          <w:rFonts w:ascii="Aptos" w:hAnsi="Aptos"/>
          <w:b/>
          <w:bCs/>
          <w:sz w:val="32"/>
          <w:szCs w:val="32"/>
        </w:rPr>
        <w:t xml:space="preserve">           </w:t>
      </w:r>
      <w:r w:rsidRPr="00C07EB1">
        <w:rPr>
          <w:rFonts w:ascii="Aptos" w:hAnsi="Aptos"/>
          <w:b/>
          <w:bCs/>
          <w:sz w:val="32"/>
          <w:szCs w:val="32"/>
        </w:rPr>
        <w:t>Financial Management for Business Sustainability</w:t>
      </w:r>
      <w:r>
        <w:rPr>
          <w:rFonts w:ascii="Aptos" w:hAnsi="Aptos"/>
          <w:b/>
          <w:bCs/>
          <w:sz w:val="32"/>
          <w:szCs w:val="32"/>
        </w:rPr>
        <w:t xml:space="preserve">       </w:t>
      </w:r>
    </w:p>
    <w:p w14:paraId="45DA6417" w14:textId="239C56DD" w:rsidR="00C07EB1" w:rsidRPr="00C07EB1" w:rsidRDefault="00C07EB1" w:rsidP="00C07EB1">
      <w:pPr>
        <w:spacing w:after="120" w:line="240" w:lineRule="auto"/>
        <w:rPr>
          <w:rFonts w:ascii="Aptos" w:hAnsi="Aptos"/>
          <w:b/>
          <w:bCs/>
          <w:sz w:val="32"/>
          <w:szCs w:val="32"/>
        </w:rPr>
      </w:pPr>
      <w:r>
        <w:rPr>
          <w:rFonts w:ascii="Aptos" w:hAnsi="Aptos"/>
          <w:b/>
          <w:bCs/>
          <w:sz w:val="32"/>
          <w:szCs w:val="32"/>
        </w:rPr>
        <w:t xml:space="preserve">                              </w:t>
      </w:r>
      <w:r w:rsidRPr="00C07EB1">
        <w:rPr>
          <w:rFonts w:ascii="Aptos" w:hAnsi="Aptos"/>
          <w:b/>
          <w:bCs/>
          <w:sz w:val="32"/>
          <w:szCs w:val="32"/>
        </w:rPr>
        <w:t>Financial Analysis</w:t>
      </w:r>
    </w:p>
    <w:p w14:paraId="663EA0CB" w14:textId="15EEE1E2" w:rsidR="00C07EB1" w:rsidRPr="00C07EB1" w:rsidRDefault="00C07EB1" w:rsidP="00C07EB1">
      <w:pPr>
        <w:spacing w:after="120" w:line="240" w:lineRule="auto"/>
        <w:rPr>
          <w:rFonts w:ascii="Aptos" w:hAnsi="Aptos"/>
          <w:b/>
          <w:bCs/>
          <w:sz w:val="32"/>
          <w:szCs w:val="32"/>
        </w:rPr>
      </w:pPr>
      <w:r>
        <w:rPr>
          <w:rFonts w:ascii="Aptos" w:hAnsi="Aptos"/>
          <w:b/>
          <w:bCs/>
          <w:sz w:val="32"/>
          <w:szCs w:val="32"/>
        </w:rPr>
        <w:t xml:space="preserve">         </w:t>
      </w:r>
      <w:r w:rsidRPr="00C07EB1">
        <w:rPr>
          <w:rFonts w:ascii="Aptos" w:hAnsi="Aptos"/>
          <w:b/>
          <w:bCs/>
          <w:sz w:val="32"/>
          <w:szCs w:val="32"/>
        </w:rPr>
        <w:t xml:space="preserve">On "Financial Performance Analysis of J Sainsbury PLC: </w:t>
      </w:r>
      <w:r>
        <w:rPr>
          <w:rFonts w:ascii="Aptos" w:hAnsi="Aptos"/>
          <w:b/>
          <w:bCs/>
          <w:sz w:val="32"/>
          <w:szCs w:val="32"/>
        </w:rPr>
        <w:t xml:space="preserve">                </w:t>
      </w:r>
      <w:r w:rsidRPr="00C07EB1">
        <w:rPr>
          <w:rFonts w:ascii="Aptos" w:hAnsi="Aptos"/>
          <w:b/>
          <w:bCs/>
          <w:sz w:val="32"/>
          <w:szCs w:val="32"/>
        </w:rPr>
        <w:t>Ratio-Based</w:t>
      </w:r>
    </w:p>
    <w:p w14:paraId="5A3C1E8C" w14:textId="77777777" w:rsidR="00C07EB1" w:rsidRDefault="00C07EB1" w:rsidP="00C07EB1">
      <w:pPr>
        <w:spacing w:after="120" w:line="240" w:lineRule="auto"/>
        <w:rPr>
          <w:rFonts w:ascii="Aptos" w:hAnsi="Aptos"/>
          <w:b/>
          <w:bCs/>
          <w:sz w:val="32"/>
          <w:szCs w:val="32"/>
        </w:rPr>
      </w:pPr>
      <w:r>
        <w:rPr>
          <w:rFonts w:ascii="Aptos" w:hAnsi="Aptos"/>
          <w:b/>
          <w:bCs/>
          <w:sz w:val="32"/>
          <w:szCs w:val="32"/>
        </w:rPr>
        <w:t xml:space="preserve">   </w:t>
      </w:r>
      <w:r w:rsidRPr="00C07EB1">
        <w:rPr>
          <w:rFonts w:ascii="Aptos" w:hAnsi="Aptos"/>
          <w:b/>
          <w:bCs/>
          <w:sz w:val="32"/>
          <w:szCs w:val="32"/>
        </w:rPr>
        <w:t>Assessment and Recommendations for Sustainable</w:t>
      </w:r>
    </w:p>
    <w:p w14:paraId="6ADE67A9" w14:textId="2E16FBC2" w:rsidR="00C07EB1" w:rsidRDefault="00C07EB1" w:rsidP="00C07EB1">
      <w:pPr>
        <w:spacing w:after="120" w:line="240" w:lineRule="auto"/>
        <w:rPr>
          <w:rFonts w:ascii="Aptos" w:hAnsi="Aptos"/>
          <w:b/>
          <w:bCs/>
          <w:sz w:val="32"/>
          <w:szCs w:val="32"/>
        </w:rPr>
      </w:pPr>
      <w:r>
        <w:rPr>
          <w:rFonts w:ascii="Aptos" w:hAnsi="Aptos"/>
          <w:b/>
          <w:bCs/>
          <w:sz w:val="32"/>
          <w:szCs w:val="32"/>
        </w:rPr>
        <w:t xml:space="preserve">                                          Student id:2530288</w:t>
      </w:r>
    </w:p>
    <w:p w14:paraId="0B637C35" w14:textId="50419066" w:rsidR="008C3D9F" w:rsidRPr="001016BD" w:rsidRDefault="00C07EB1" w:rsidP="00C07EB1">
      <w:pPr>
        <w:spacing w:after="120" w:line="240" w:lineRule="auto"/>
        <w:rPr>
          <w:rFonts w:ascii="Aptos" w:hAnsi="Aptos"/>
          <w:b/>
          <w:bCs/>
          <w:i/>
          <w:iCs/>
          <w:sz w:val="22"/>
        </w:rPr>
      </w:pPr>
      <w:r>
        <w:rPr>
          <w:rFonts w:ascii="Aptos" w:hAnsi="Aptos"/>
          <w:b/>
          <w:bCs/>
          <w:sz w:val="32"/>
          <w:szCs w:val="32"/>
        </w:rPr>
        <w:t xml:space="preserve">                                         Student </w:t>
      </w:r>
      <w:proofErr w:type="spellStart"/>
      <w:r>
        <w:rPr>
          <w:rFonts w:ascii="Aptos" w:hAnsi="Aptos"/>
          <w:b/>
          <w:bCs/>
          <w:sz w:val="32"/>
          <w:szCs w:val="32"/>
        </w:rPr>
        <w:t>Name:Patrsc</w:t>
      </w:r>
      <w:proofErr w:type="spellEnd"/>
      <w:r>
        <w:rPr>
          <w:rFonts w:ascii="Aptos" w:hAnsi="Aptos"/>
          <w:b/>
          <w:bCs/>
          <w:sz w:val="32"/>
          <w:szCs w:val="32"/>
        </w:rPr>
        <w:t xml:space="preserve"> Liviu Andrei</w:t>
      </w:r>
      <w:r w:rsidR="008C3D9F" w:rsidRPr="001016BD">
        <w:rPr>
          <w:rFonts w:ascii="Aptos" w:hAnsi="Aptos"/>
          <w:b/>
          <w:bCs/>
          <w:i/>
          <w:iCs/>
          <w:sz w:val="22"/>
        </w:rPr>
        <w:br w:type="page"/>
      </w:r>
    </w:p>
    <w:p w14:paraId="5307760D" w14:textId="762C4CA2" w:rsidR="00744188" w:rsidRDefault="00744188" w:rsidP="00744188">
      <w:pPr>
        <w:spacing w:line="240" w:lineRule="auto"/>
      </w:pPr>
      <w:bookmarkStart w:id="0" w:name="_Toc224988387"/>
      <w:r w:rsidRPr="00744188">
        <w:rPr>
          <w:rFonts w:ascii="Aptos" w:eastAsiaTheme="majorEastAsia" w:hAnsi="Aptos" w:cstheme="majorBidi"/>
          <w:b/>
          <w:noProof/>
          <w:szCs w:val="32"/>
        </w:rPr>
        <w:lastRenderedPageBreak/>
        <w:drawing>
          <wp:inline distT="0" distB="0" distL="0" distR="0" wp14:anchorId="1C84E933" wp14:editId="7406B6CF">
            <wp:extent cx="5943600" cy="4749165"/>
            <wp:effectExtent l="0" t="0" r="0" b="0"/>
            <wp:docPr id="1097134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34426" name=""/>
                    <pic:cNvPicPr/>
                  </pic:nvPicPr>
                  <pic:blipFill>
                    <a:blip r:embed="rId8"/>
                    <a:stretch>
                      <a:fillRect/>
                    </a:stretch>
                  </pic:blipFill>
                  <pic:spPr>
                    <a:xfrm>
                      <a:off x="0" y="0"/>
                      <a:ext cx="5943600" cy="4749165"/>
                    </a:xfrm>
                    <a:prstGeom prst="rect">
                      <a:avLst/>
                    </a:prstGeom>
                  </pic:spPr>
                </pic:pic>
              </a:graphicData>
            </a:graphic>
          </wp:inline>
        </w:drawing>
      </w:r>
      <w:r>
        <w:br w:type="page"/>
      </w:r>
    </w:p>
    <w:p w14:paraId="38786659" w14:textId="34B9B2A7" w:rsidR="008C3D9F" w:rsidRPr="001016BD" w:rsidRDefault="008C3D9F" w:rsidP="00C902C3">
      <w:pPr>
        <w:pStyle w:val="Heading1"/>
      </w:pPr>
      <w:bookmarkStart w:id="1" w:name="_Toc225113476"/>
      <w:r w:rsidRPr="001016BD">
        <w:lastRenderedPageBreak/>
        <w:t>Introduction</w:t>
      </w:r>
      <w:bookmarkEnd w:id="0"/>
      <w:bookmarkEnd w:id="1"/>
    </w:p>
    <w:p w14:paraId="27B89DE3" w14:textId="2C7CF4FE" w:rsidR="008C3D9F" w:rsidRPr="001016BD" w:rsidRDefault="00E54FFA" w:rsidP="007A0EA5">
      <w:r w:rsidRPr="001016BD">
        <w:t>This report is a comparison of the financial performance of J Sainsbury plc within two years. The company is a major food retailer in the market in the United Kingdom. The analysis involves the consideration of the 2023/24 and 2024/25 financial reports. This has been analysed using published financial statements to evaluate the general business financial position. The report calculates key accounting ratios in order to establish the profitability, liquidity, efficiency and solvency performance. The comparison is a financial performance between two years to demonstrate the performance improvements or losses (Mishra and Celestin, 2025). The studies evaluate both internal and external forces, which will influence the results of finance. The report presents recommendations to improve financial performance and business sustainability. The discussion employs the concept of financial management to interpret the results of the ratios. It also indicates what could be of concern or what could be enhanced in the findings.</w:t>
      </w:r>
    </w:p>
    <w:p w14:paraId="708DC56F" w14:textId="6DF9C0F0" w:rsidR="008C3D9F" w:rsidRPr="00C902C3" w:rsidRDefault="008C3D9F" w:rsidP="00C902C3">
      <w:pPr>
        <w:pStyle w:val="Heading1"/>
      </w:pPr>
      <w:bookmarkStart w:id="2" w:name="_Toc224988388"/>
      <w:bookmarkStart w:id="3" w:name="_Toc225113477"/>
      <w:r w:rsidRPr="00C902C3">
        <w:t>1. Selection and Overview of Financial Statements</w:t>
      </w:r>
      <w:bookmarkEnd w:id="2"/>
      <w:bookmarkEnd w:id="3"/>
    </w:p>
    <w:p w14:paraId="3F03789E" w14:textId="29F0D682" w:rsidR="00E82FBF" w:rsidRPr="001016BD" w:rsidRDefault="002568F5" w:rsidP="007A0EA5">
      <w:r w:rsidRPr="001016BD">
        <w:t xml:space="preserve">It provides significant financial statements that are being used in the performance analysis of J Sainsbury plc. Annual reports analyse them in the Consolidated Income Statement, Balance Sheet and Cash Flow Statement. It has </w:t>
      </w:r>
      <w:r w:rsidR="007A0EA5">
        <w:t>two</w:t>
      </w:r>
      <w:r w:rsidRPr="001016BD">
        <w:t xml:space="preserve"> years of financial reports, including 2023/24 and 2024/25. These statements offer useful information on revenue, profit, cash flow and financial position (</w:t>
      </w:r>
      <w:proofErr w:type="spellStart"/>
      <w:r w:rsidRPr="001016BD">
        <w:t>Setyopurnomo</w:t>
      </w:r>
      <w:proofErr w:type="spellEnd"/>
      <w:r w:rsidRPr="001016BD">
        <w:t xml:space="preserve"> et al., 2025).</w:t>
      </w:r>
    </w:p>
    <w:p w14:paraId="67D26A5C" w14:textId="6331B33F" w:rsidR="001016BD" w:rsidRDefault="001016BD" w:rsidP="007A0EA5">
      <w:pPr>
        <w:jc w:val="center"/>
        <w:rPr>
          <w:rFonts w:ascii="Aptos" w:hAnsi="Aptos"/>
          <w:sz w:val="22"/>
        </w:rPr>
      </w:pPr>
      <w:r>
        <w:rPr>
          <w:rFonts w:ascii="Aptos" w:hAnsi="Aptos"/>
          <w:noProof/>
          <w:sz w:val="22"/>
        </w:rPr>
        <w:drawing>
          <wp:inline distT="0" distB="0" distL="0" distR="0" wp14:anchorId="7351A59B" wp14:editId="0BCF596A">
            <wp:extent cx="5447942" cy="1984311"/>
            <wp:effectExtent l="0" t="0" r="635" b="0"/>
            <wp:docPr id="14975856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64373" cy="1990296"/>
                    </a:xfrm>
                    <a:prstGeom prst="rect">
                      <a:avLst/>
                    </a:prstGeom>
                    <a:noFill/>
                  </pic:spPr>
                </pic:pic>
              </a:graphicData>
            </a:graphic>
          </wp:inline>
        </w:drawing>
      </w:r>
    </w:p>
    <w:p w14:paraId="4F61B7E3" w14:textId="05D8C38B" w:rsidR="00E82FBF" w:rsidRPr="001016BD" w:rsidRDefault="00A3366E" w:rsidP="00C902C3">
      <w:r w:rsidRPr="001016BD">
        <w:lastRenderedPageBreak/>
        <w:t>The table shows revenue and profit are higher with a decrease in cash flow and an increase in debt margin. Numbers enable further ratio analysis and help evaluate the overall trend in financial performance.</w:t>
      </w:r>
    </w:p>
    <w:p w14:paraId="53E03A8A" w14:textId="303D2F5E" w:rsidR="008C3D9F" w:rsidRPr="00C902C3" w:rsidRDefault="008C3D9F" w:rsidP="00C902C3">
      <w:pPr>
        <w:pStyle w:val="Heading1"/>
      </w:pPr>
      <w:bookmarkStart w:id="4" w:name="_Toc224988389"/>
      <w:bookmarkStart w:id="5" w:name="_Toc225113478"/>
      <w:r w:rsidRPr="00C902C3">
        <w:t>2. Ratio Analysis and Interpretation</w:t>
      </w:r>
      <w:bookmarkEnd w:id="4"/>
      <w:bookmarkEnd w:id="5"/>
    </w:p>
    <w:p w14:paraId="14BDED25" w14:textId="77777777" w:rsidR="00E82FBF" w:rsidRPr="00C902C3" w:rsidRDefault="00E82FBF" w:rsidP="00C902C3">
      <w:pPr>
        <w:pStyle w:val="Heading2"/>
      </w:pPr>
      <w:bookmarkStart w:id="6" w:name="_Toc224988390"/>
      <w:bookmarkStart w:id="7" w:name="_Toc225113479"/>
      <w:r w:rsidRPr="00C902C3">
        <w:t>2.1 Liquidity Ratios</w:t>
      </w:r>
      <w:bookmarkEnd w:id="6"/>
      <w:bookmarkEnd w:id="7"/>
    </w:p>
    <w:p w14:paraId="553F6E3F" w14:textId="779C1170" w:rsidR="00E82FBF" w:rsidRPr="001016BD" w:rsidRDefault="00E63C59" w:rsidP="00C902C3">
      <w:pPr>
        <w:rPr>
          <w:lang w:eastAsia="en-GB"/>
        </w:rPr>
      </w:pPr>
      <w:r w:rsidRPr="001016BD">
        <w:rPr>
          <w:lang w:eastAsia="en-GB"/>
        </w:rPr>
        <w:t>Liquidity ratios determine the ability of J. Sainsbury plc to settle short-term obligations. The ratios will help determine the short-term financial performance and effectiveness of working capital.</w:t>
      </w:r>
    </w:p>
    <w:p w14:paraId="15C556CE" w14:textId="0F2BC130" w:rsidR="00E82FBF" w:rsidRPr="00736CED" w:rsidRDefault="00E82FBF" w:rsidP="006D45F7">
      <w:pPr>
        <w:spacing w:line="240" w:lineRule="auto"/>
        <w:rPr>
          <w:rFonts w:ascii="Aptos" w:hAnsi="Aptos"/>
          <w:b/>
          <w:bCs/>
          <w:sz w:val="22"/>
          <w:u w:val="single"/>
          <w:lang w:eastAsia="en-GB"/>
        </w:rPr>
      </w:pPr>
      <w:r w:rsidRPr="00736CED">
        <w:rPr>
          <w:rFonts w:ascii="Aptos" w:hAnsi="Aptos"/>
          <w:b/>
          <w:bCs/>
          <w:sz w:val="22"/>
          <w:u w:val="single"/>
          <w:lang w:eastAsia="en-GB"/>
        </w:rPr>
        <w:t>a) Current Ratio</w:t>
      </w:r>
      <w:r w:rsidR="00736CED" w:rsidRPr="00736CED">
        <w:rPr>
          <w:rFonts w:ascii="Aptos" w:hAnsi="Aptos"/>
          <w:b/>
          <w:bCs/>
          <w:sz w:val="22"/>
          <w:u w:val="single"/>
          <w:lang w:eastAsia="en-GB"/>
        </w:rPr>
        <w:t xml:space="preserve"> = </w:t>
      </w:r>
      <w:r w:rsidRPr="00736CED">
        <w:rPr>
          <w:rFonts w:ascii="Aptos" w:hAnsi="Aptos"/>
          <w:b/>
          <w:bCs/>
          <w:sz w:val="22"/>
          <w:u w:val="single"/>
          <w:lang w:eastAsia="en-GB"/>
        </w:rPr>
        <w:t>Current Assets ÷ Current Liabilities</w:t>
      </w:r>
    </w:p>
    <w:tbl>
      <w:tblPr>
        <w:tblStyle w:val="PlainTable1"/>
        <w:tblW w:w="40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8"/>
        <w:gridCol w:w="2458"/>
      </w:tblGrid>
      <w:tr w:rsidR="00E82FBF" w:rsidRPr="001016BD" w14:paraId="6F9B3992" w14:textId="77777777" w:rsidTr="00842B58">
        <w:trPr>
          <w:cnfStyle w:val="100000000000" w:firstRow="1" w:lastRow="0" w:firstColumn="0" w:lastColumn="0" w:oddVBand="0" w:evenVBand="0" w:oddHBand="0" w:evenHBand="0" w:firstRowFirstColumn="0" w:firstRowLastColumn="0" w:lastRowFirstColumn="0" w:lastRowLastColumn="0"/>
          <w:trHeight w:val="2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4E9FE7B0" w14:textId="77777777" w:rsidR="00E82FBF" w:rsidRPr="001016BD" w:rsidRDefault="00E82FBF" w:rsidP="00842B58">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Year</w:t>
            </w:r>
          </w:p>
        </w:tc>
        <w:tc>
          <w:tcPr>
            <w:tcW w:w="0" w:type="auto"/>
            <w:hideMark/>
          </w:tcPr>
          <w:p w14:paraId="67883662" w14:textId="77777777" w:rsidR="00E82FBF" w:rsidRPr="001016BD" w:rsidRDefault="00E82FBF" w:rsidP="00842B58">
            <w:pPr>
              <w:spacing w:before="60" w:after="60"/>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Current Ratio</w:t>
            </w:r>
          </w:p>
        </w:tc>
      </w:tr>
      <w:tr w:rsidR="00E82FBF" w:rsidRPr="001016BD" w14:paraId="274C19E1" w14:textId="77777777" w:rsidTr="00842B58">
        <w:trPr>
          <w:cnfStyle w:val="000000100000" w:firstRow="0" w:lastRow="0" w:firstColumn="0" w:lastColumn="0" w:oddVBand="0" w:evenVBand="0" w:oddHBand="1" w:evenHBand="0" w:firstRowFirstColumn="0" w:firstRowLastColumn="0" w:lastRowFirstColumn="0" w:lastRowLastColumn="0"/>
          <w:trHeight w:val="214"/>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FC8C6D" w14:textId="77777777" w:rsidR="00E82FBF" w:rsidRPr="001016BD" w:rsidRDefault="00E82FBF" w:rsidP="00842B58">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2023/24</w:t>
            </w:r>
          </w:p>
        </w:tc>
        <w:tc>
          <w:tcPr>
            <w:tcW w:w="0" w:type="auto"/>
            <w:hideMark/>
          </w:tcPr>
          <w:p w14:paraId="63A40B23" w14:textId="77777777" w:rsidR="00E82FBF" w:rsidRPr="001016BD" w:rsidRDefault="00E82FBF" w:rsidP="00842B58">
            <w:pPr>
              <w:spacing w:before="60" w:after="60"/>
              <w:jc w:val="cente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0.66</w:t>
            </w:r>
          </w:p>
        </w:tc>
      </w:tr>
      <w:tr w:rsidR="00E82FBF" w:rsidRPr="001016BD" w14:paraId="055857AA" w14:textId="77777777" w:rsidTr="00842B58">
        <w:trPr>
          <w:trHeight w:val="206"/>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D899040" w14:textId="77777777" w:rsidR="00E82FBF" w:rsidRPr="001016BD" w:rsidRDefault="00E82FBF" w:rsidP="00842B58">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2024/25</w:t>
            </w:r>
          </w:p>
        </w:tc>
        <w:tc>
          <w:tcPr>
            <w:tcW w:w="0" w:type="auto"/>
            <w:hideMark/>
          </w:tcPr>
          <w:p w14:paraId="116FB3FB" w14:textId="77777777" w:rsidR="00E82FBF" w:rsidRPr="001016BD" w:rsidRDefault="00E82FBF" w:rsidP="00842B58">
            <w:pPr>
              <w:spacing w:before="60" w:after="60"/>
              <w:jc w:val="cente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0.74</w:t>
            </w:r>
          </w:p>
        </w:tc>
      </w:tr>
    </w:tbl>
    <w:p w14:paraId="2927C011" w14:textId="1CA232DE" w:rsidR="00E82FBF" w:rsidRPr="001016BD" w:rsidRDefault="00E63C59" w:rsidP="00C902C3">
      <w:pPr>
        <w:rPr>
          <w:lang w:eastAsia="en-GB"/>
        </w:rPr>
      </w:pPr>
      <w:r w:rsidRPr="001016BD">
        <w:rPr>
          <w:lang w:eastAsia="en-GB"/>
        </w:rPr>
        <w:t>A current ratio below one means that there are insufficient current assets to cover the current liabilities. An increase of 0.66 to 0.74 shows a slight change in liquidity management. These are subject to improved inventory and supplier payment management (</w:t>
      </w:r>
      <w:proofErr w:type="spellStart"/>
      <w:r w:rsidRPr="001016BD">
        <w:rPr>
          <w:lang w:eastAsia="en-GB"/>
        </w:rPr>
        <w:t>Saristiana</w:t>
      </w:r>
      <w:proofErr w:type="spellEnd"/>
      <w:r w:rsidRPr="001016BD">
        <w:rPr>
          <w:lang w:eastAsia="en-GB"/>
        </w:rPr>
        <w:t xml:space="preserve"> et al., 2025).</w:t>
      </w:r>
    </w:p>
    <w:p w14:paraId="21ADF9E7" w14:textId="3325A789" w:rsidR="00E82FBF" w:rsidRPr="00736CED" w:rsidRDefault="00E82FBF" w:rsidP="006D45F7">
      <w:pPr>
        <w:spacing w:line="240" w:lineRule="auto"/>
        <w:rPr>
          <w:rFonts w:ascii="Aptos" w:hAnsi="Aptos"/>
          <w:b/>
          <w:bCs/>
          <w:sz w:val="22"/>
          <w:u w:val="single"/>
          <w:lang w:eastAsia="en-GB"/>
        </w:rPr>
      </w:pPr>
      <w:r w:rsidRPr="00736CED">
        <w:rPr>
          <w:rFonts w:ascii="Aptos" w:hAnsi="Aptos"/>
          <w:b/>
          <w:bCs/>
          <w:sz w:val="22"/>
          <w:u w:val="single"/>
          <w:lang w:eastAsia="en-GB"/>
        </w:rPr>
        <w:t>b) Quick Ratio</w:t>
      </w:r>
      <w:r w:rsidR="00736CED" w:rsidRPr="00736CED">
        <w:rPr>
          <w:rFonts w:ascii="Aptos" w:hAnsi="Aptos"/>
          <w:b/>
          <w:bCs/>
          <w:sz w:val="22"/>
          <w:u w:val="single"/>
          <w:lang w:eastAsia="en-GB"/>
        </w:rPr>
        <w:t xml:space="preserve"> = </w:t>
      </w:r>
      <w:r w:rsidRPr="00736CED">
        <w:rPr>
          <w:rFonts w:ascii="Aptos" w:hAnsi="Aptos"/>
          <w:b/>
          <w:bCs/>
          <w:sz w:val="22"/>
          <w:u w:val="single"/>
          <w:lang w:eastAsia="en-GB"/>
        </w:rPr>
        <w:t>(Current Assets − Inventory) ÷ Current Liabilities</w:t>
      </w:r>
    </w:p>
    <w:tbl>
      <w:tblPr>
        <w:tblStyle w:val="TableGrid"/>
        <w:tblW w:w="4390" w:type="dxa"/>
        <w:jc w:val="center"/>
        <w:tblLook w:val="04A0" w:firstRow="1" w:lastRow="0" w:firstColumn="1" w:lastColumn="0" w:noHBand="0" w:noVBand="1"/>
      </w:tblPr>
      <w:tblGrid>
        <w:gridCol w:w="2277"/>
        <w:gridCol w:w="2113"/>
      </w:tblGrid>
      <w:tr w:rsidR="00E82FBF" w:rsidRPr="001016BD" w14:paraId="2F79E7C0" w14:textId="77777777" w:rsidTr="00842B58">
        <w:trPr>
          <w:trHeight w:val="323"/>
          <w:jc w:val="center"/>
        </w:trPr>
        <w:tc>
          <w:tcPr>
            <w:tcW w:w="0" w:type="auto"/>
            <w:hideMark/>
          </w:tcPr>
          <w:p w14:paraId="2A58DEAC" w14:textId="77777777" w:rsidR="00E82FBF" w:rsidRPr="001016BD" w:rsidRDefault="00E82FBF" w:rsidP="00842B58">
            <w:pPr>
              <w:spacing w:before="60" w:after="60"/>
              <w:jc w:val="center"/>
              <w:rPr>
                <w:rFonts w:ascii="Aptos" w:eastAsia="Times New Roman" w:hAnsi="Aptos" w:cs="Times New Roman"/>
                <w:b/>
                <w:bCs/>
                <w:kern w:val="0"/>
                <w:sz w:val="22"/>
                <w:lang w:eastAsia="en-GB"/>
                <w14:ligatures w14:val="none"/>
              </w:rPr>
            </w:pPr>
            <w:r w:rsidRPr="001016BD">
              <w:rPr>
                <w:rFonts w:ascii="Aptos" w:eastAsia="Times New Roman" w:hAnsi="Aptos" w:cs="Times New Roman"/>
                <w:b/>
                <w:bCs/>
                <w:kern w:val="0"/>
                <w:sz w:val="22"/>
                <w:lang w:eastAsia="en-GB"/>
                <w14:ligatures w14:val="none"/>
              </w:rPr>
              <w:t>Year</w:t>
            </w:r>
          </w:p>
        </w:tc>
        <w:tc>
          <w:tcPr>
            <w:tcW w:w="2113" w:type="dxa"/>
            <w:hideMark/>
          </w:tcPr>
          <w:p w14:paraId="2E633877" w14:textId="77777777" w:rsidR="00E82FBF" w:rsidRPr="001016BD" w:rsidRDefault="00E82FBF" w:rsidP="00842B58">
            <w:pPr>
              <w:spacing w:before="60" w:after="60"/>
              <w:jc w:val="center"/>
              <w:rPr>
                <w:rFonts w:ascii="Aptos" w:eastAsia="Times New Roman" w:hAnsi="Aptos" w:cs="Times New Roman"/>
                <w:b/>
                <w:bCs/>
                <w:kern w:val="0"/>
                <w:sz w:val="22"/>
                <w:lang w:eastAsia="en-GB"/>
                <w14:ligatures w14:val="none"/>
              </w:rPr>
            </w:pPr>
            <w:r w:rsidRPr="001016BD">
              <w:rPr>
                <w:rFonts w:ascii="Aptos" w:eastAsia="Times New Roman" w:hAnsi="Aptos" w:cs="Times New Roman"/>
                <w:b/>
                <w:bCs/>
                <w:kern w:val="0"/>
                <w:sz w:val="22"/>
                <w:lang w:eastAsia="en-GB"/>
                <w14:ligatures w14:val="none"/>
              </w:rPr>
              <w:t>Quick Ratio</w:t>
            </w:r>
          </w:p>
        </w:tc>
      </w:tr>
      <w:tr w:rsidR="00E82FBF" w:rsidRPr="001016BD" w14:paraId="62507A45" w14:textId="77777777" w:rsidTr="00842B58">
        <w:trPr>
          <w:trHeight w:val="335"/>
          <w:jc w:val="center"/>
        </w:trPr>
        <w:tc>
          <w:tcPr>
            <w:tcW w:w="0" w:type="auto"/>
            <w:hideMark/>
          </w:tcPr>
          <w:p w14:paraId="72BC8544" w14:textId="77777777" w:rsidR="00E82FBF" w:rsidRPr="001016BD" w:rsidRDefault="00E82FBF" w:rsidP="00842B58">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2023/24</w:t>
            </w:r>
          </w:p>
        </w:tc>
        <w:tc>
          <w:tcPr>
            <w:tcW w:w="2113" w:type="dxa"/>
            <w:hideMark/>
          </w:tcPr>
          <w:p w14:paraId="45517DB6" w14:textId="77777777" w:rsidR="00E82FBF" w:rsidRPr="001016BD" w:rsidRDefault="00E82FBF" w:rsidP="00842B58">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0.48</w:t>
            </w:r>
          </w:p>
        </w:tc>
      </w:tr>
      <w:tr w:rsidR="00E82FBF" w:rsidRPr="001016BD" w14:paraId="0440E8A6" w14:textId="77777777" w:rsidTr="00842B58">
        <w:trPr>
          <w:trHeight w:val="323"/>
          <w:jc w:val="center"/>
        </w:trPr>
        <w:tc>
          <w:tcPr>
            <w:tcW w:w="0" w:type="auto"/>
            <w:hideMark/>
          </w:tcPr>
          <w:p w14:paraId="446F8A06" w14:textId="77777777" w:rsidR="00E82FBF" w:rsidRPr="001016BD" w:rsidRDefault="00E82FBF" w:rsidP="00842B58">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2024/25</w:t>
            </w:r>
          </w:p>
        </w:tc>
        <w:tc>
          <w:tcPr>
            <w:tcW w:w="2113" w:type="dxa"/>
            <w:hideMark/>
          </w:tcPr>
          <w:p w14:paraId="060EE3AC" w14:textId="77777777" w:rsidR="00E82FBF" w:rsidRPr="001016BD" w:rsidRDefault="00E82FBF" w:rsidP="00842B58">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0.33</w:t>
            </w:r>
          </w:p>
        </w:tc>
      </w:tr>
    </w:tbl>
    <w:p w14:paraId="4277246B" w14:textId="77777777" w:rsidR="002C7E4A" w:rsidRPr="001016BD" w:rsidRDefault="002C7E4A" w:rsidP="00842B58">
      <w:pPr>
        <w:rPr>
          <w:lang w:eastAsia="en-GB"/>
        </w:rPr>
      </w:pPr>
      <w:r w:rsidRPr="001016BD">
        <w:rPr>
          <w:lang w:eastAsia="en-GB"/>
        </w:rPr>
        <w:t>A sudden reduction in ratio indicates a reduced ability to meet the short-term liability without stock. The quick ratio is lower since a retailing business needs a huge inventory. The fall is a sign of greater reliance on inventory to build cash to fund daily operations.</w:t>
      </w:r>
    </w:p>
    <w:p w14:paraId="6FBCE660" w14:textId="77777777" w:rsidR="002C7E4A" w:rsidRPr="006D45F7" w:rsidRDefault="002C7E4A" w:rsidP="00C902C3">
      <w:pPr>
        <w:pStyle w:val="Heading2"/>
      </w:pPr>
      <w:bookmarkStart w:id="8" w:name="_Toc224988391"/>
      <w:bookmarkStart w:id="9" w:name="_Toc225113480"/>
      <w:r w:rsidRPr="001016BD">
        <w:rPr>
          <w:lang w:eastAsia="en-GB"/>
        </w:rPr>
        <w:t xml:space="preserve">2.2 </w:t>
      </w:r>
      <w:r w:rsidRPr="00C902C3">
        <w:t>Profitability</w:t>
      </w:r>
      <w:r w:rsidRPr="001016BD">
        <w:rPr>
          <w:lang w:eastAsia="en-GB"/>
        </w:rPr>
        <w:t xml:space="preserve"> Ratios</w:t>
      </w:r>
      <w:bookmarkEnd w:id="8"/>
      <w:bookmarkEnd w:id="9"/>
    </w:p>
    <w:p w14:paraId="5C5D59E5" w14:textId="0A65F832" w:rsidR="00E82FBF" w:rsidRPr="001016BD" w:rsidRDefault="002C7E4A" w:rsidP="00E31704">
      <w:pPr>
        <w:rPr>
          <w:lang w:eastAsia="en-GB"/>
        </w:rPr>
      </w:pPr>
      <w:r w:rsidRPr="001016BD">
        <w:rPr>
          <w:lang w:eastAsia="en-GB"/>
        </w:rPr>
        <w:t>Profitability ratios refer to the means by which a business can be profitable as a result of operations and sales. The ratios evaluate the general financial performance and cost management effectiveness.</w:t>
      </w:r>
    </w:p>
    <w:p w14:paraId="574CAE21" w14:textId="0CA31C10" w:rsidR="00E82FBF" w:rsidRPr="006D45F7" w:rsidRDefault="00E82FBF" w:rsidP="006D45F7">
      <w:pPr>
        <w:spacing w:line="240" w:lineRule="auto"/>
        <w:rPr>
          <w:rFonts w:ascii="Aptos" w:hAnsi="Aptos"/>
          <w:b/>
          <w:bCs/>
          <w:sz w:val="22"/>
          <w:u w:val="single"/>
          <w:lang w:eastAsia="en-GB"/>
        </w:rPr>
      </w:pPr>
      <w:r w:rsidRPr="006D45F7">
        <w:rPr>
          <w:rFonts w:ascii="Aptos" w:hAnsi="Aptos"/>
          <w:b/>
          <w:bCs/>
          <w:sz w:val="22"/>
          <w:u w:val="single"/>
          <w:lang w:eastAsia="en-GB"/>
        </w:rPr>
        <w:lastRenderedPageBreak/>
        <w:t>a) Return on Capital Employed (ROCE)</w:t>
      </w:r>
      <w:r w:rsidR="006D45F7" w:rsidRPr="006D45F7">
        <w:rPr>
          <w:rFonts w:ascii="Aptos" w:hAnsi="Aptos"/>
          <w:b/>
          <w:bCs/>
          <w:sz w:val="22"/>
          <w:u w:val="single"/>
          <w:lang w:eastAsia="en-GB"/>
        </w:rPr>
        <w:t xml:space="preserve"> = </w:t>
      </w:r>
      <w:r w:rsidRPr="006D45F7">
        <w:rPr>
          <w:rFonts w:ascii="Aptos" w:hAnsi="Aptos"/>
          <w:b/>
          <w:bCs/>
          <w:sz w:val="22"/>
          <w:u w:val="single"/>
          <w:lang w:eastAsia="en-GB"/>
        </w:rPr>
        <w:t>Operating Profit ÷ Capital Employed</w:t>
      </w:r>
    </w:p>
    <w:tbl>
      <w:tblPr>
        <w:tblStyle w:val="PlainTable1"/>
        <w:tblW w:w="4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6"/>
        <w:gridCol w:w="2290"/>
      </w:tblGrid>
      <w:tr w:rsidR="00E82FBF" w:rsidRPr="001016BD" w14:paraId="65703B93" w14:textId="77777777" w:rsidTr="006D45F7">
        <w:trPr>
          <w:cnfStyle w:val="100000000000" w:firstRow="1" w:lastRow="0" w:firstColumn="0" w:lastColumn="0" w:oddVBand="0" w:evenVBand="0" w:oddHBand="0" w:evenHBand="0" w:firstRowFirstColumn="0" w:firstRowLastColumn="0" w:lastRowFirstColumn="0" w:lastRowLastColumn="0"/>
          <w:trHeight w:val="293"/>
          <w:jc w:val="center"/>
        </w:trPr>
        <w:tc>
          <w:tcPr>
            <w:cnfStyle w:val="001000000000" w:firstRow="0" w:lastRow="0" w:firstColumn="1" w:lastColumn="0" w:oddVBand="0" w:evenVBand="0" w:oddHBand="0" w:evenHBand="0" w:firstRowFirstColumn="0" w:firstRowLastColumn="0" w:lastRowFirstColumn="0" w:lastRowLastColumn="0"/>
            <w:tcW w:w="2246" w:type="dxa"/>
            <w:hideMark/>
          </w:tcPr>
          <w:p w14:paraId="33C11F20"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Year</w:t>
            </w:r>
          </w:p>
        </w:tc>
        <w:tc>
          <w:tcPr>
            <w:tcW w:w="2290" w:type="dxa"/>
            <w:hideMark/>
          </w:tcPr>
          <w:p w14:paraId="12D3E120" w14:textId="77777777" w:rsidR="00E82FBF" w:rsidRPr="001016BD" w:rsidRDefault="00E82FBF" w:rsidP="006D45F7">
            <w:pPr>
              <w:spacing w:before="60" w:after="60"/>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ROCE (%)</w:t>
            </w:r>
          </w:p>
        </w:tc>
      </w:tr>
      <w:tr w:rsidR="00E82FBF" w:rsidRPr="001016BD" w14:paraId="2AAA86B1" w14:textId="77777777" w:rsidTr="006D45F7">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2246" w:type="dxa"/>
            <w:hideMark/>
          </w:tcPr>
          <w:p w14:paraId="1DAA6406"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2023/24</w:t>
            </w:r>
          </w:p>
        </w:tc>
        <w:tc>
          <w:tcPr>
            <w:tcW w:w="2290" w:type="dxa"/>
            <w:hideMark/>
          </w:tcPr>
          <w:p w14:paraId="2CCC0A0E" w14:textId="77777777" w:rsidR="00E82FBF" w:rsidRPr="001016BD" w:rsidRDefault="00E82FBF" w:rsidP="006D45F7">
            <w:pPr>
              <w:spacing w:before="60" w:after="60"/>
              <w:jc w:val="cente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8.3%</w:t>
            </w:r>
          </w:p>
        </w:tc>
      </w:tr>
      <w:tr w:rsidR="00E82FBF" w:rsidRPr="001016BD" w14:paraId="588EC5C7" w14:textId="77777777" w:rsidTr="006D45F7">
        <w:trPr>
          <w:trHeight w:val="293"/>
          <w:jc w:val="center"/>
        </w:trPr>
        <w:tc>
          <w:tcPr>
            <w:cnfStyle w:val="001000000000" w:firstRow="0" w:lastRow="0" w:firstColumn="1" w:lastColumn="0" w:oddVBand="0" w:evenVBand="0" w:oddHBand="0" w:evenHBand="0" w:firstRowFirstColumn="0" w:firstRowLastColumn="0" w:lastRowFirstColumn="0" w:lastRowLastColumn="0"/>
            <w:tcW w:w="2246" w:type="dxa"/>
            <w:hideMark/>
          </w:tcPr>
          <w:p w14:paraId="6AFDF257"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2024/25</w:t>
            </w:r>
          </w:p>
        </w:tc>
        <w:tc>
          <w:tcPr>
            <w:tcW w:w="2290" w:type="dxa"/>
            <w:hideMark/>
          </w:tcPr>
          <w:p w14:paraId="2B46DCBB" w14:textId="77777777" w:rsidR="00E82FBF" w:rsidRPr="001016BD" w:rsidRDefault="00E82FBF" w:rsidP="006D45F7">
            <w:pPr>
              <w:spacing w:before="60" w:after="60"/>
              <w:jc w:val="cente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9.0%</w:t>
            </w:r>
          </w:p>
        </w:tc>
      </w:tr>
    </w:tbl>
    <w:p w14:paraId="784646F2" w14:textId="7B5671C2" w:rsidR="00E82FBF" w:rsidRPr="001016BD" w:rsidRDefault="002C7E4A" w:rsidP="006D45F7">
      <w:pPr>
        <w:rPr>
          <w:lang w:eastAsia="en-GB"/>
        </w:rPr>
      </w:pPr>
      <w:r w:rsidRPr="001016BD">
        <w:rPr>
          <w:lang w:eastAsia="en-GB"/>
        </w:rPr>
        <w:t>Positive ROCE means that capital is better utilised to generate operating profits. The growth can be achieved by the increased operating income and better cost-control measures.</w:t>
      </w:r>
    </w:p>
    <w:p w14:paraId="5482D652" w14:textId="560CD6C4" w:rsidR="00E82FBF" w:rsidRPr="006D45F7" w:rsidRDefault="00E82FBF" w:rsidP="006D45F7">
      <w:pPr>
        <w:spacing w:line="240" w:lineRule="auto"/>
        <w:rPr>
          <w:rFonts w:ascii="Aptos" w:hAnsi="Aptos"/>
          <w:b/>
          <w:bCs/>
          <w:sz w:val="22"/>
          <w:u w:val="single"/>
          <w:lang w:eastAsia="en-GB"/>
        </w:rPr>
      </w:pPr>
      <w:r w:rsidRPr="006D45F7">
        <w:rPr>
          <w:rFonts w:ascii="Aptos" w:hAnsi="Aptos"/>
          <w:b/>
          <w:bCs/>
          <w:sz w:val="22"/>
          <w:u w:val="single"/>
          <w:lang w:eastAsia="en-GB"/>
        </w:rPr>
        <w:t>b) Net Profit Margin</w:t>
      </w:r>
      <w:r w:rsidR="006D45F7">
        <w:rPr>
          <w:rFonts w:ascii="Aptos" w:hAnsi="Aptos"/>
          <w:b/>
          <w:bCs/>
          <w:sz w:val="22"/>
          <w:u w:val="single"/>
          <w:lang w:eastAsia="en-GB"/>
        </w:rPr>
        <w:t xml:space="preserve"> = </w:t>
      </w:r>
      <w:r w:rsidRPr="006D45F7">
        <w:rPr>
          <w:rFonts w:ascii="Aptos" w:hAnsi="Aptos"/>
          <w:b/>
          <w:bCs/>
          <w:sz w:val="22"/>
          <w:u w:val="single"/>
          <w:lang w:eastAsia="en-GB"/>
        </w:rPr>
        <w:t>(Profit after Tax ÷ Revenue) × 100</w:t>
      </w:r>
    </w:p>
    <w:tbl>
      <w:tblPr>
        <w:tblStyle w:val="TableGrid"/>
        <w:tblW w:w="6994" w:type="dxa"/>
        <w:jc w:val="center"/>
        <w:tblLook w:val="04A0" w:firstRow="1" w:lastRow="0" w:firstColumn="1" w:lastColumn="0" w:noHBand="0" w:noVBand="1"/>
      </w:tblPr>
      <w:tblGrid>
        <w:gridCol w:w="1371"/>
        <w:gridCol w:w="1727"/>
        <w:gridCol w:w="2166"/>
        <w:gridCol w:w="1730"/>
      </w:tblGrid>
      <w:tr w:rsidR="00E82FBF" w:rsidRPr="001016BD" w14:paraId="18FC6F08" w14:textId="77777777" w:rsidTr="00E82FBF">
        <w:trPr>
          <w:trHeight w:val="317"/>
          <w:jc w:val="center"/>
        </w:trPr>
        <w:tc>
          <w:tcPr>
            <w:tcW w:w="0" w:type="auto"/>
            <w:hideMark/>
          </w:tcPr>
          <w:p w14:paraId="3A64E7B3" w14:textId="77777777" w:rsidR="00E82FBF" w:rsidRPr="001016BD" w:rsidRDefault="00E82FBF" w:rsidP="006D45F7">
            <w:pPr>
              <w:spacing w:before="60" w:after="60"/>
              <w:jc w:val="center"/>
              <w:rPr>
                <w:rFonts w:ascii="Aptos" w:eastAsia="Times New Roman" w:hAnsi="Aptos" w:cs="Times New Roman"/>
                <w:b/>
                <w:bCs/>
                <w:kern w:val="0"/>
                <w:sz w:val="22"/>
                <w:lang w:eastAsia="en-GB"/>
                <w14:ligatures w14:val="none"/>
              </w:rPr>
            </w:pPr>
            <w:r w:rsidRPr="001016BD">
              <w:rPr>
                <w:rFonts w:ascii="Aptos" w:eastAsia="Times New Roman" w:hAnsi="Aptos" w:cs="Times New Roman"/>
                <w:b/>
                <w:bCs/>
                <w:kern w:val="0"/>
                <w:sz w:val="22"/>
                <w:lang w:eastAsia="en-GB"/>
                <w14:ligatures w14:val="none"/>
              </w:rPr>
              <w:t>Year</w:t>
            </w:r>
          </w:p>
        </w:tc>
        <w:tc>
          <w:tcPr>
            <w:tcW w:w="0" w:type="auto"/>
            <w:hideMark/>
          </w:tcPr>
          <w:p w14:paraId="4C1984AF" w14:textId="77777777" w:rsidR="00E82FBF" w:rsidRPr="001016BD" w:rsidRDefault="00E82FBF" w:rsidP="006D45F7">
            <w:pPr>
              <w:spacing w:before="60" w:after="60"/>
              <w:jc w:val="center"/>
              <w:rPr>
                <w:rFonts w:ascii="Aptos" w:eastAsia="Times New Roman" w:hAnsi="Aptos" w:cs="Times New Roman"/>
                <w:b/>
                <w:bCs/>
                <w:kern w:val="0"/>
                <w:sz w:val="22"/>
                <w:lang w:eastAsia="en-GB"/>
                <w14:ligatures w14:val="none"/>
              </w:rPr>
            </w:pPr>
            <w:r w:rsidRPr="001016BD">
              <w:rPr>
                <w:rFonts w:ascii="Aptos" w:eastAsia="Times New Roman" w:hAnsi="Aptos" w:cs="Times New Roman"/>
                <w:b/>
                <w:bCs/>
                <w:kern w:val="0"/>
                <w:sz w:val="22"/>
                <w:lang w:eastAsia="en-GB"/>
                <w14:ligatures w14:val="none"/>
              </w:rPr>
              <w:t>Profit (£m)</w:t>
            </w:r>
          </w:p>
        </w:tc>
        <w:tc>
          <w:tcPr>
            <w:tcW w:w="0" w:type="auto"/>
            <w:hideMark/>
          </w:tcPr>
          <w:p w14:paraId="0A04126E" w14:textId="77777777" w:rsidR="00E82FBF" w:rsidRPr="001016BD" w:rsidRDefault="00E82FBF" w:rsidP="006D45F7">
            <w:pPr>
              <w:spacing w:before="60" w:after="60"/>
              <w:jc w:val="center"/>
              <w:rPr>
                <w:rFonts w:ascii="Aptos" w:eastAsia="Times New Roman" w:hAnsi="Aptos" w:cs="Times New Roman"/>
                <w:b/>
                <w:bCs/>
                <w:kern w:val="0"/>
                <w:sz w:val="22"/>
                <w:lang w:eastAsia="en-GB"/>
                <w14:ligatures w14:val="none"/>
              </w:rPr>
            </w:pPr>
            <w:r w:rsidRPr="001016BD">
              <w:rPr>
                <w:rFonts w:ascii="Aptos" w:eastAsia="Times New Roman" w:hAnsi="Aptos" w:cs="Times New Roman"/>
                <w:b/>
                <w:bCs/>
                <w:kern w:val="0"/>
                <w:sz w:val="22"/>
                <w:lang w:eastAsia="en-GB"/>
                <w14:ligatures w14:val="none"/>
              </w:rPr>
              <w:t>Revenue (£m)</w:t>
            </w:r>
          </w:p>
        </w:tc>
        <w:tc>
          <w:tcPr>
            <w:tcW w:w="0" w:type="auto"/>
            <w:hideMark/>
          </w:tcPr>
          <w:p w14:paraId="5943CC2B" w14:textId="77777777" w:rsidR="00E82FBF" w:rsidRPr="001016BD" w:rsidRDefault="00E82FBF" w:rsidP="006D45F7">
            <w:pPr>
              <w:spacing w:before="60" w:after="60"/>
              <w:jc w:val="center"/>
              <w:rPr>
                <w:rFonts w:ascii="Aptos" w:eastAsia="Times New Roman" w:hAnsi="Aptos" w:cs="Times New Roman"/>
                <w:b/>
                <w:bCs/>
                <w:kern w:val="0"/>
                <w:sz w:val="22"/>
                <w:lang w:eastAsia="en-GB"/>
                <w14:ligatures w14:val="none"/>
              </w:rPr>
            </w:pPr>
            <w:r w:rsidRPr="001016BD">
              <w:rPr>
                <w:rFonts w:ascii="Aptos" w:eastAsia="Times New Roman" w:hAnsi="Aptos" w:cs="Times New Roman"/>
                <w:b/>
                <w:bCs/>
                <w:kern w:val="0"/>
                <w:sz w:val="22"/>
                <w:lang w:eastAsia="en-GB"/>
                <w14:ligatures w14:val="none"/>
              </w:rPr>
              <w:t>Margin (%)</w:t>
            </w:r>
          </w:p>
        </w:tc>
      </w:tr>
      <w:tr w:rsidR="00E82FBF" w:rsidRPr="001016BD" w14:paraId="338ECACC" w14:textId="77777777" w:rsidTr="00E82FBF">
        <w:trPr>
          <w:trHeight w:val="328"/>
          <w:jc w:val="center"/>
        </w:trPr>
        <w:tc>
          <w:tcPr>
            <w:tcW w:w="0" w:type="auto"/>
            <w:hideMark/>
          </w:tcPr>
          <w:p w14:paraId="273C3E7B"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2023/24</w:t>
            </w:r>
          </w:p>
        </w:tc>
        <w:tc>
          <w:tcPr>
            <w:tcW w:w="0" w:type="auto"/>
            <w:hideMark/>
          </w:tcPr>
          <w:p w14:paraId="4D35AD7B"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137</w:t>
            </w:r>
          </w:p>
        </w:tc>
        <w:tc>
          <w:tcPr>
            <w:tcW w:w="0" w:type="auto"/>
            <w:hideMark/>
          </w:tcPr>
          <w:p w14:paraId="1F4D1563"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30,615</w:t>
            </w:r>
          </w:p>
        </w:tc>
        <w:tc>
          <w:tcPr>
            <w:tcW w:w="0" w:type="auto"/>
            <w:hideMark/>
          </w:tcPr>
          <w:p w14:paraId="6B3A384D"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0.45%</w:t>
            </w:r>
          </w:p>
        </w:tc>
      </w:tr>
      <w:tr w:rsidR="00E82FBF" w:rsidRPr="001016BD" w14:paraId="7851B139" w14:textId="77777777" w:rsidTr="00E82FBF">
        <w:trPr>
          <w:trHeight w:val="317"/>
          <w:jc w:val="center"/>
        </w:trPr>
        <w:tc>
          <w:tcPr>
            <w:tcW w:w="0" w:type="auto"/>
            <w:hideMark/>
          </w:tcPr>
          <w:p w14:paraId="0806D273"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2024/25</w:t>
            </w:r>
          </w:p>
        </w:tc>
        <w:tc>
          <w:tcPr>
            <w:tcW w:w="0" w:type="auto"/>
            <w:hideMark/>
          </w:tcPr>
          <w:p w14:paraId="08C42D31"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242</w:t>
            </w:r>
          </w:p>
        </w:tc>
        <w:tc>
          <w:tcPr>
            <w:tcW w:w="0" w:type="auto"/>
            <w:hideMark/>
          </w:tcPr>
          <w:p w14:paraId="6906791B"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31,555</w:t>
            </w:r>
          </w:p>
        </w:tc>
        <w:tc>
          <w:tcPr>
            <w:tcW w:w="0" w:type="auto"/>
            <w:hideMark/>
          </w:tcPr>
          <w:p w14:paraId="3860E583"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0.77%</w:t>
            </w:r>
          </w:p>
        </w:tc>
      </w:tr>
    </w:tbl>
    <w:p w14:paraId="2E1D6209" w14:textId="77777777" w:rsidR="002C7E4A" w:rsidRPr="001016BD" w:rsidRDefault="002C7E4A" w:rsidP="006D45F7">
      <w:pPr>
        <w:rPr>
          <w:lang w:eastAsia="en-GB"/>
        </w:rPr>
      </w:pPr>
      <w:r w:rsidRPr="001016BD">
        <w:rPr>
          <w:lang w:eastAsia="en-GB"/>
        </w:rPr>
        <w:t>An increase in net profit margin indicates more profitability and financial performance (</w:t>
      </w:r>
      <w:proofErr w:type="spellStart"/>
      <w:r w:rsidRPr="001016BD">
        <w:rPr>
          <w:lang w:eastAsia="en-GB"/>
        </w:rPr>
        <w:t>Zavalii</w:t>
      </w:r>
      <w:proofErr w:type="spellEnd"/>
      <w:r w:rsidRPr="001016BD">
        <w:rPr>
          <w:lang w:eastAsia="en-GB"/>
        </w:rPr>
        <w:t xml:space="preserve"> et al., 2025). It can be improved by better sales, good operations and customer demand.</w:t>
      </w:r>
    </w:p>
    <w:p w14:paraId="3846C29F" w14:textId="77777777" w:rsidR="002C7E4A" w:rsidRPr="00C902C3" w:rsidRDefault="002C7E4A" w:rsidP="00C902C3">
      <w:pPr>
        <w:pStyle w:val="Heading2"/>
      </w:pPr>
      <w:bookmarkStart w:id="10" w:name="_Toc224988392"/>
      <w:bookmarkStart w:id="11" w:name="_Toc225113481"/>
      <w:r w:rsidRPr="001016BD">
        <w:rPr>
          <w:lang w:eastAsia="en-GB"/>
        </w:rPr>
        <w:t>2.3 Efficiency Ratios</w:t>
      </w:r>
      <w:bookmarkEnd w:id="10"/>
      <w:bookmarkEnd w:id="11"/>
    </w:p>
    <w:p w14:paraId="183F568B" w14:textId="0A3786F2" w:rsidR="00E82FBF" w:rsidRPr="001016BD" w:rsidRDefault="002C7E4A" w:rsidP="006D45F7">
      <w:pPr>
        <w:rPr>
          <w:lang w:eastAsia="en-GB"/>
        </w:rPr>
      </w:pPr>
      <w:r w:rsidRPr="001016BD">
        <w:rPr>
          <w:lang w:eastAsia="en-GB"/>
        </w:rPr>
        <w:t>Efficiency ratios are calculated to see how the firm uses resources to generate sales and profits.</w:t>
      </w:r>
    </w:p>
    <w:p w14:paraId="6AD00304" w14:textId="1E19784B" w:rsidR="00E82FBF" w:rsidRPr="006D45F7" w:rsidRDefault="006D45F7" w:rsidP="006D45F7">
      <w:pPr>
        <w:spacing w:line="240" w:lineRule="auto"/>
        <w:rPr>
          <w:rFonts w:ascii="Aptos" w:hAnsi="Aptos"/>
          <w:b/>
          <w:bCs/>
          <w:sz w:val="22"/>
          <w:u w:val="single"/>
          <w:lang w:eastAsia="en-GB"/>
        </w:rPr>
      </w:pPr>
      <w:r w:rsidRPr="006D45F7">
        <w:rPr>
          <w:rFonts w:ascii="Aptos" w:hAnsi="Aptos"/>
          <w:b/>
          <w:bCs/>
          <w:sz w:val="22"/>
          <w:u w:val="single"/>
          <w:lang w:eastAsia="en-GB"/>
        </w:rPr>
        <w:t xml:space="preserve">a) </w:t>
      </w:r>
      <w:r w:rsidR="00E82FBF" w:rsidRPr="006D45F7">
        <w:rPr>
          <w:rFonts w:ascii="Aptos" w:hAnsi="Aptos"/>
          <w:b/>
          <w:bCs/>
          <w:sz w:val="22"/>
          <w:u w:val="single"/>
          <w:lang w:eastAsia="en-GB"/>
        </w:rPr>
        <w:t>Inventory Turnover (Days)</w:t>
      </w:r>
      <w:r w:rsidRPr="006D45F7">
        <w:rPr>
          <w:rFonts w:ascii="Aptos" w:hAnsi="Aptos"/>
          <w:b/>
          <w:bCs/>
          <w:sz w:val="22"/>
          <w:u w:val="single"/>
          <w:lang w:eastAsia="en-GB"/>
        </w:rPr>
        <w:t xml:space="preserve"> = </w:t>
      </w:r>
      <w:r w:rsidR="00E82FBF" w:rsidRPr="006D45F7">
        <w:rPr>
          <w:rFonts w:ascii="Aptos" w:hAnsi="Aptos"/>
          <w:b/>
          <w:bCs/>
          <w:sz w:val="22"/>
          <w:u w:val="single"/>
          <w:lang w:eastAsia="en-GB"/>
        </w:rPr>
        <w:t>(Average Inventory ÷ Cost of Sales) × 365</w:t>
      </w:r>
    </w:p>
    <w:tbl>
      <w:tblPr>
        <w:tblStyle w:val="PlainTable1"/>
        <w:tblW w:w="39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9"/>
        <w:gridCol w:w="2240"/>
      </w:tblGrid>
      <w:tr w:rsidR="00E82FBF" w:rsidRPr="001016BD" w14:paraId="238FF31F" w14:textId="77777777" w:rsidTr="006D45F7">
        <w:trPr>
          <w:cnfStyle w:val="100000000000" w:firstRow="1" w:lastRow="0" w:firstColumn="0" w:lastColumn="0" w:oddVBand="0" w:evenVBand="0" w:oddHBand="0" w:evenHBand="0" w:firstRowFirstColumn="0" w:firstRowLastColumn="0" w:lastRowFirstColumn="0" w:lastRowLastColumn="0"/>
          <w:trHeight w:val="293"/>
          <w:jc w:val="center"/>
        </w:trPr>
        <w:tc>
          <w:tcPr>
            <w:cnfStyle w:val="001000000000" w:firstRow="0" w:lastRow="0" w:firstColumn="1" w:lastColumn="0" w:oddVBand="0" w:evenVBand="0" w:oddHBand="0" w:evenHBand="0" w:firstRowFirstColumn="0" w:firstRowLastColumn="0" w:lastRowFirstColumn="0" w:lastRowLastColumn="0"/>
            <w:tcW w:w="1729" w:type="dxa"/>
            <w:hideMark/>
          </w:tcPr>
          <w:p w14:paraId="4910B1B4"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Year</w:t>
            </w:r>
          </w:p>
        </w:tc>
        <w:tc>
          <w:tcPr>
            <w:tcW w:w="2240" w:type="dxa"/>
            <w:hideMark/>
          </w:tcPr>
          <w:p w14:paraId="207E2CF8" w14:textId="77777777" w:rsidR="00E82FBF" w:rsidRPr="001016BD" w:rsidRDefault="00E82FBF" w:rsidP="006D45F7">
            <w:pPr>
              <w:spacing w:before="60" w:after="60"/>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Inventory Days</w:t>
            </w:r>
          </w:p>
        </w:tc>
      </w:tr>
      <w:tr w:rsidR="00E82FBF" w:rsidRPr="001016BD" w14:paraId="79F36098" w14:textId="77777777" w:rsidTr="006D45F7">
        <w:trPr>
          <w:cnfStyle w:val="000000100000" w:firstRow="0" w:lastRow="0" w:firstColumn="0" w:lastColumn="0" w:oddVBand="0" w:evenVBand="0" w:oddHBand="1" w:evenHBand="0" w:firstRowFirstColumn="0" w:firstRowLastColumn="0" w:lastRowFirstColumn="0" w:lastRowLastColumn="0"/>
          <w:trHeight w:val="304"/>
          <w:jc w:val="center"/>
        </w:trPr>
        <w:tc>
          <w:tcPr>
            <w:cnfStyle w:val="001000000000" w:firstRow="0" w:lastRow="0" w:firstColumn="1" w:lastColumn="0" w:oddVBand="0" w:evenVBand="0" w:oddHBand="0" w:evenHBand="0" w:firstRowFirstColumn="0" w:firstRowLastColumn="0" w:lastRowFirstColumn="0" w:lastRowLastColumn="0"/>
            <w:tcW w:w="1729" w:type="dxa"/>
            <w:hideMark/>
          </w:tcPr>
          <w:p w14:paraId="646EBB9C"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2023/24</w:t>
            </w:r>
          </w:p>
        </w:tc>
        <w:tc>
          <w:tcPr>
            <w:tcW w:w="2240" w:type="dxa"/>
            <w:hideMark/>
          </w:tcPr>
          <w:p w14:paraId="0720373A" w14:textId="77777777" w:rsidR="00E82FBF" w:rsidRPr="001016BD" w:rsidRDefault="00E82FBF" w:rsidP="006D45F7">
            <w:pPr>
              <w:spacing w:before="60" w:after="60"/>
              <w:jc w:val="cente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23.20</w:t>
            </w:r>
          </w:p>
        </w:tc>
      </w:tr>
      <w:tr w:rsidR="00E82FBF" w:rsidRPr="001016BD" w14:paraId="5923DC2C" w14:textId="77777777" w:rsidTr="006D45F7">
        <w:trPr>
          <w:trHeight w:val="293"/>
          <w:jc w:val="center"/>
        </w:trPr>
        <w:tc>
          <w:tcPr>
            <w:cnfStyle w:val="001000000000" w:firstRow="0" w:lastRow="0" w:firstColumn="1" w:lastColumn="0" w:oddVBand="0" w:evenVBand="0" w:oddHBand="0" w:evenHBand="0" w:firstRowFirstColumn="0" w:firstRowLastColumn="0" w:lastRowFirstColumn="0" w:lastRowLastColumn="0"/>
            <w:tcW w:w="1729" w:type="dxa"/>
            <w:hideMark/>
          </w:tcPr>
          <w:p w14:paraId="08CD8DB9"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2024/25</w:t>
            </w:r>
          </w:p>
        </w:tc>
        <w:tc>
          <w:tcPr>
            <w:tcW w:w="2240" w:type="dxa"/>
            <w:hideMark/>
          </w:tcPr>
          <w:p w14:paraId="50C2B844" w14:textId="77777777" w:rsidR="00E82FBF" w:rsidRPr="001016BD" w:rsidRDefault="00E82FBF" w:rsidP="006D45F7">
            <w:pPr>
              <w:spacing w:before="60" w:after="60"/>
              <w:jc w:val="cente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23.10</w:t>
            </w:r>
          </w:p>
        </w:tc>
      </w:tr>
    </w:tbl>
    <w:p w14:paraId="462AD0E7" w14:textId="77777777" w:rsidR="00174A64" w:rsidRPr="001016BD" w:rsidRDefault="00174A64" w:rsidP="006D45F7">
      <w:pPr>
        <w:rPr>
          <w:lang w:eastAsia="en-GB"/>
        </w:rPr>
      </w:pPr>
      <w:r w:rsidRPr="001016BD">
        <w:rPr>
          <w:lang w:eastAsia="en-GB"/>
        </w:rPr>
        <w:t>Efficiency ratios are calculated to see how the firm uses resources to generate sales and profits.</w:t>
      </w:r>
    </w:p>
    <w:p w14:paraId="739D0AD4" w14:textId="77777777" w:rsidR="00174A64" w:rsidRPr="006D45F7" w:rsidRDefault="00174A64" w:rsidP="00C902C3">
      <w:pPr>
        <w:pStyle w:val="Heading2"/>
      </w:pPr>
      <w:bookmarkStart w:id="12" w:name="_Toc224988393"/>
      <w:bookmarkStart w:id="13" w:name="_Toc225113482"/>
      <w:r w:rsidRPr="001016BD">
        <w:rPr>
          <w:lang w:eastAsia="en-GB"/>
        </w:rPr>
        <w:t xml:space="preserve">2.4 Gearing and Solvency </w:t>
      </w:r>
      <w:r w:rsidRPr="00C902C3">
        <w:t>Ratios</w:t>
      </w:r>
      <w:bookmarkEnd w:id="12"/>
      <w:bookmarkEnd w:id="13"/>
    </w:p>
    <w:p w14:paraId="41179F15" w14:textId="497F9B75" w:rsidR="00E82FBF" w:rsidRPr="001016BD" w:rsidRDefault="00174A64" w:rsidP="006D45F7">
      <w:pPr>
        <w:rPr>
          <w:lang w:eastAsia="en-GB"/>
        </w:rPr>
      </w:pPr>
      <w:r w:rsidRPr="001016BD">
        <w:rPr>
          <w:lang w:eastAsia="en-GB"/>
        </w:rPr>
        <w:t>The gearing ratios show financial risk and the extent of debt use in business operations.</w:t>
      </w:r>
    </w:p>
    <w:p w14:paraId="797B6C82" w14:textId="65F3EA8B" w:rsidR="00E82FBF" w:rsidRPr="006D45F7" w:rsidRDefault="006D45F7" w:rsidP="006D45F7">
      <w:pPr>
        <w:spacing w:line="240" w:lineRule="auto"/>
        <w:rPr>
          <w:rFonts w:ascii="Aptos" w:hAnsi="Aptos"/>
          <w:b/>
          <w:bCs/>
          <w:sz w:val="22"/>
          <w:u w:val="single"/>
          <w:lang w:eastAsia="en-GB"/>
        </w:rPr>
      </w:pPr>
      <w:r w:rsidRPr="006D45F7">
        <w:rPr>
          <w:rFonts w:ascii="Aptos" w:hAnsi="Aptos"/>
          <w:b/>
          <w:bCs/>
          <w:sz w:val="22"/>
          <w:u w:val="single"/>
          <w:lang w:eastAsia="en-GB"/>
        </w:rPr>
        <w:t xml:space="preserve">a) </w:t>
      </w:r>
      <w:r w:rsidR="00174A64" w:rsidRPr="006D45F7">
        <w:rPr>
          <w:rFonts w:ascii="Aptos" w:hAnsi="Aptos"/>
          <w:b/>
          <w:bCs/>
          <w:sz w:val="22"/>
          <w:u w:val="single"/>
          <w:lang w:eastAsia="en-GB"/>
        </w:rPr>
        <w:t>Debt-to-Equity Ratio</w:t>
      </w:r>
      <w:r w:rsidRPr="006D45F7">
        <w:rPr>
          <w:rFonts w:ascii="Aptos" w:hAnsi="Aptos"/>
          <w:b/>
          <w:bCs/>
          <w:sz w:val="22"/>
          <w:u w:val="single"/>
          <w:lang w:eastAsia="en-GB"/>
        </w:rPr>
        <w:t xml:space="preserve"> = </w:t>
      </w:r>
      <w:r w:rsidR="00E82FBF" w:rsidRPr="006D45F7">
        <w:rPr>
          <w:rFonts w:ascii="Aptos" w:hAnsi="Aptos"/>
          <w:b/>
          <w:bCs/>
          <w:sz w:val="22"/>
          <w:u w:val="single"/>
          <w:lang w:eastAsia="en-GB"/>
        </w:rPr>
        <w:t>Total Debt ÷ Total Equity</w:t>
      </w:r>
    </w:p>
    <w:tbl>
      <w:tblPr>
        <w:tblStyle w:val="PlainTable1"/>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2"/>
        <w:gridCol w:w="1891"/>
        <w:gridCol w:w="2120"/>
        <w:gridCol w:w="2462"/>
      </w:tblGrid>
      <w:tr w:rsidR="00E82FBF" w:rsidRPr="001016BD" w14:paraId="5641A9AF" w14:textId="77777777" w:rsidTr="006D45F7">
        <w:trPr>
          <w:cnfStyle w:val="100000000000" w:firstRow="1" w:lastRow="0" w:firstColumn="0" w:lastColumn="0" w:oddVBand="0" w:evenVBand="0" w:oddHBand="0"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EFEB496"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Year</w:t>
            </w:r>
          </w:p>
        </w:tc>
        <w:tc>
          <w:tcPr>
            <w:tcW w:w="0" w:type="auto"/>
            <w:hideMark/>
          </w:tcPr>
          <w:p w14:paraId="5C628D9F" w14:textId="77777777" w:rsidR="00E82FBF" w:rsidRPr="001016BD" w:rsidRDefault="00E82FBF" w:rsidP="006D45F7">
            <w:pPr>
              <w:spacing w:before="60" w:after="60"/>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Debt (£m)</w:t>
            </w:r>
          </w:p>
        </w:tc>
        <w:tc>
          <w:tcPr>
            <w:tcW w:w="0" w:type="auto"/>
            <w:hideMark/>
          </w:tcPr>
          <w:p w14:paraId="4BDFF044" w14:textId="77777777" w:rsidR="00E82FBF" w:rsidRPr="001016BD" w:rsidRDefault="00E82FBF" w:rsidP="006D45F7">
            <w:pPr>
              <w:spacing w:before="60" w:after="60"/>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Equity (£m)</w:t>
            </w:r>
          </w:p>
        </w:tc>
        <w:tc>
          <w:tcPr>
            <w:tcW w:w="2462" w:type="dxa"/>
            <w:hideMark/>
          </w:tcPr>
          <w:p w14:paraId="691142EF" w14:textId="77777777" w:rsidR="00E82FBF" w:rsidRPr="001016BD" w:rsidRDefault="00E82FBF" w:rsidP="006D45F7">
            <w:pPr>
              <w:spacing w:before="60" w:after="60"/>
              <w:jc w:val="center"/>
              <w:cnfStyle w:val="100000000000" w:firstRow="1"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Debt/Equity (%)</w:t>
            </w:r>
          </w:p>
        </w:tc>
      </w:tr>
      <w:tr w:rsidR="00E82FBF" w:rsidRPr="001016BD" w14:paraId="755DC11E" w14:textId="77777777" w:rsidTr="006D45F7">
        <w:trPr>
          <w:cnfStyle w:val="000000100000" w:firstRow="0" w:lastRow="0" w:firstColumn="0" w:lastColumn="0" w:oddVBand="0" w:evenVBand="0" w:oddHBand="1" w:evenHBand="0" w:firstRowFirstColumn="0" w:firstRowLastColumn="0" w:lastRowFirstColumn="0" w:lastRowLastColumn="0"/>
          <w:trHeight w:val="299"/>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01776C4"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2023/24</w:t>
            </w:r>
          </w:p>
        </w:tc>
        <w:tc>
          <w:tcPr>
            <w:tcW w:w="0" w:type="auto"/>
            <w:hideMark/>
          </w:tcPr>
          <w:p w14:paraId="0F340F07" w14:textId="77777777" w:rsidR="00E82FBF" w:rsidRPr="001016BD" w:rsidRDefault="00E82FBF" w:rsidP="006D45F7">
            <w:pPr>
              <w:spacing w:before="60" w:after="60"/>
              <w:jc w:val="cente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6,549</w:t>
            </w:r>
          </w:p>
        </w:tc>
        <w:tc>
          <w:tcPr>
            <w:tcW w:w="0" w:type="auto"/>
            <w:hideMark/>
          </w:tcPr>
          <w:p w14:paraId="5B314081" w14:textId="77777777" w:rsidR="00E82FBF" w:rsidRPr="001016BD" w:rsidRDefault="00E82FBF" w:rsidP="006D45F7">
            <w:pPr>
              <w:spacing w:before="60" w:after="60"/>
              <w:jc w:val="cente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8,420</w:t>
            </w:r>
          </w:p>
        </w:tc>
        <w:tc>
          <w:tcPr>
            <w:tcW w:w="2462" w:type="dxa"/>
            <w:hideMark/>
          </w:tcPr>
          <w:p w14:paraId="0B848137" w14:textId="1A1AFC83" w:rsidR="00E82FBF" w:rsidRPr="001016BD" w:rsidRDefault="00E82FBF" w:rsidP="006D45F7">
            <w:pPr>
              <w:spacing w:before="60" w:after="60"/>
              <w:jc w:val="center"/>
              <w:cnfStyle w:val="000000100000" w:firstRow="0" w:lastRow="0" w:firstColumn="0" w:lastColumn="0" w:oddVBand="0" w:evenVBand="0" w:oddHBand="1"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77.8</w:t>
            </w:r>
            <w:r w:rsidR="006D45F7">
              <w:rPr>
                <w:rFonts w:ascii="Aptos" w:eastAsia="Times New Roman" w:hAnsi="Aptos" w:cs="Times New Roman"/>
                <w:kern w:val="0"/>
                <w:sz w:val="22"/>
                <w:lang w:eastAsia="en-GB"/>
                <w14:ligatures w14:val="none"/>
              </w:rPr>
              <w:t>%</w:t>
            </w:r>
          </w:p>
        </w:tc>
      </w:tr>
      <w:tr w:rsidR="00E82FBF" w:rsidRPr="001016BD" w14:paraId="1A3D7DFA" w14:textId="77777777" w:rsidTr="006D45F7">
        <w:trPr>
          <w:trHeight w:val="288"/>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8C68733" w14:textId="77777777" w:rsidR="00E82FBF" w:rsidRPr="001016BD" w:rsidRDefault="00E82FBF" w:rsidP="006D45F7">
            <w:pPr>
              <w:spacing w:before="60" w:after="60"/>
              <w:jc w:val="center"/>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2024/25</w:t>
            </w:r>
          </w:p>
        </w:tc>
        <w:tc>
          <w:tcPr>
            <w:tcW w:w="0" w:type="auto"/>
            <w:hideMark/>
          </w:tcPr>
          <w:p w14:paraId="633D6732" w14:textId="77777777" w:rsidR="00E82FBF" w:rsidRPr="001016BD" w:rsidRDefault="00E82FBF" w:rsidP="006D45F7">
            <w:pPr>
              <w:spacing w:before="60" w:after="60"/>
              <w:jc w:val="cente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6,608</w:t>
            </w:r>
          </w:p>
        </w:tc>
        <w:tc>
          <w:tcPr>
            <w:tcW w:w="0" w:type="auto"/>
            <w:hideMark/>
          </w:tcPr>
          <w:p w14:paraId="45ACE7CB" w14:textId="77777777" w:rsidR="00E82FBF" w:rsidRPr="001016BD" w:rsidRDefault="00E82FBF" w:rsidP="006D45F7">
            <w:pPr>
              <w:spacing w:before="60" w:after="60"/>
              <w:jc w:val="cente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7,693</w:t>
            </w:r>
          </w:p>
        </w:tc>
        <w:tc>
          <w:tcPr>
            <w:tcW w:w="2462" w:type="dxa"/>
            <w:hideMark/>
          </w:tcPr>
          <w:p w14:paraId="15452F8A" w14:textId="1855FAB2" w:rsidR="00E82FBF" w:rsidRPr="001016BD" w:rsidRDefault="00E82FBF" w:rsidP="006D45F7">
            <w:pPr>
              <w:spacing w:before="60" w:after="60"/>
              <w:jc w:val="center"/>
              <w:cnfStyle w:val="000000000000" w:firstRow="0" w:lastRow="0" w:firstColumn="0" w:lastColumn="0" w:oddVBand="0" w:evenVBand="0" w:oddHBand="0" w:evenHBand="0" w:firstRowFirstColumn="0" w:firstRowLastColumn="0" w:lastRowFirstColumn="0" w:lastRowLastColumn="0"/>
              <w:rPr>
                <w:rFonts w:ascii="Aptos" w:eastAsia="Times New Roman" w:hAnsi="Aptos" w:cs="Times New Roman"/>
                <w:kern w:val="0"/>
                <w:sz w:val="22"/>
                <w:lang w:eastAsia="en-GB"/>
                <w14:ligatures w14:val="none"/>
              </w:rPr>
            </w:pPr>
            <w:r w:rsidRPr="001016BD">
              <w:rPr>
                <w:rFonts w:ascii="Aptos" w:eastAsia="Times New Roman" w:hAnsi="Aptos" w:cs="Times New Roman"/>
                <w:kern w:val="0"/>
                <w:sz w:val="22"/>
                <w:lang w:eastAsia="en-GB"/>
                <w14:ligatures w14:val="none"/>
              </w:rPr>
              <w:t>85.9</w:t>
            </w:r>
            <w:r w:rsidR="006D45F7">
              <w:rPr>
                <w:rFonts w:ascii="Aptos" w:eastAsia="Times New Roman" w:hAnsi="Aptos" w:cs="Times New Roman"/>
                <w:kern w:val="0"/>
                <w:sz w:val="22"/>
                <w:lang w:eastAsia="en-GB"/>
                <w14:ligatures w14:val="none"/>
              </w:rPr>
              <w:t>%</w:t>
            </w:r>
          </w:p>
        </w:tc>
      </w:tr>
    </w:tbl>
    <w:p w14:paraId="0B39554C" w14:textId="758A260D" w:rsidR="008C3D9F" w:rsidRPr="001016BD" w:rsidRDefault="00071945" w:rsidP="006D45F7">
      <w:pPr>
        <w:rPr>
          <w:lang w:eastAsia="en-GB"/>
        </w:rPr>
      </w:pPr>
      <w:r w:rsidRPr="001016BD">
        <w:rPr>
          <w:lang w:eastAsia="en-GB"/>
        </w:rPr>
        <w:lastRenderedPageBreak/>
        <w:t xml:space="preserve">The high gearing ratio is an indication that more debt financing has been used to operate the business. An increase in the debt level may elevate the financial risks in the uncertain economies (Abubakar and </w:t>
      </w:r>
      <w:proofErr w:type="spellStart"/>
      <w:r w:rsidRPr="001016BD">
        <w:rPr>
          <w:lang w:eastAsia="en-GB"/>
        </w:rPr>
        <w:t>Anyonje</w:t>
      </w:r>
      <w:proofErr w:type="spellEnd"/>
      <w:r w:rsidRPr="001016BD">
        <w:rPr>
          <w:lang w:eastAsia="en-GB"/>
        </w:rPr>
        <w:t>, 2025).</w:t>
      </w:r>
    </w:p>
    <w:p w14:paraId="318A081F" w14:textId="5F0BE957" w:rsidR="008C3D9F" w:rsidRPr="006D45F7" w:rsidRDefault="008C3D9F" w:rsidP="00C902C3">
      <w:pPr>
        <w:pStyle w:val="Heading1"/>
      </w:pPr>
      <w:bookmarkStart w:id="14" w:name="_Toc224988394"/>
      <w:bookmarkStart w:id="15" w:name="_Toc225113483"/>
      <w:r w:rsidRPr="001016BD">
        <w:t>3. Comparative Performance Analysis</w:t>
      </w:r>
      <w:bookmarkEnd w:id="14"/>
      <w:bookmarkEnd w:id="15"/>
    </w:p>
    <w:p w14:paraId="53E3CF50" w14:textId="77777777" w:rsidR="00101ECB" w:rsidRPr="00C902C3" w:rsidRDefault="00101ECB" w:rsidP="00C902C3">
      <w:pPr>
        <w:pStyle w:val="Heading2"/>
      </w:pPr>
      <w:bookmarkStart w:id="16" w:name="_Toc224988395"/>
      <w:bookmarkStart w:id="17" w:name="_Toc225113484"/>
      <w:r w:rsidRPr="001016BD">
        <w:t>3.1 Revenue and Profit Trends</w:t>
      </w:r>
      <w:bookmarkEnd w:id="16"/>
      <w:bookmarkEnd w:id="17"/>
    </w:p>
    <w:p w14:paraId="56C537DB" w14:textId="77777777" w:rsidR="000D4AF1" w:rsidRPr="001016BD" w:rsidRDefault="000D4AF1" w:rsidP="006D45F7">
      <w:r w:rsidRPr="001016BD">
        <w:t>J Sainsbury plc generated more revenue in the 2023/24-2024/25 financial years. The growth stood at approximately 940 million, and the level of sales performance kept improving. Good food sales and good control of costs were the main drivers of growth. Its underlying operating profit also increased, which reflects improved operations in the core retail business (Wang et al., 2026). Statutory profit after tax increased with good overall financial performance of the company. All improvements are better cost management, better margins, and reduced non-underlying financial losses.</w:t>
      </w:r>
    </w:p>
    <w:p w14:paraId="66FCB2D5" w14:textId="77777777" w:rsidR="000D4AF1" w:rsidRPr="006D45F7" w:rsidRDefault="000D4AF1" w:rsidP="006D45F7">
      <w:pPr>
        <w:pStyle w:val="Heading2"/>
      </w:pPr>
      <w:bookmarkStart w:id="18" w:name="_Toc224988396"/>
      <w:bookmarkStart w:id="19" w:name="_Toc225113485"/>
      <w:r w:rsidRPr="001016BD">
        <w:t>3.2 Cash Flow and Free Cash Generation</w:t>
      </w:r>
      <w:bookmarkEnd w:id="18"/>
      <w:bookmarkEnd w:id="19"/>
    </w:p>
    <w:p w14:paraId="07659343" w14:textId="77777777" w:rsidR="000D4AF1" w:rsidRPr="001016BD" w:rsidRDefault="000D4AF1" w:rsidP="000D4AF1">
      <w:pPr>
        <w:rPr>
          <w:rFonts w:ascii="Aptos" w:hAnsi="Aptos"/>
          <w:sz w:val="22"/>
        </w:rPr>
      </w:pPr>
      <w:r w:rsidRPr="001016BD">
        <w:rPr>
          <w:rFonts w:ascii="Aptos" w:hAnsi="Aptos"/>
          <w:sz w:val="22"/>
        </w:rPr>
        <w:t>The same financial period had increased profit but decreased the retail free cash flow. The cash flow declined to £531 million during the two reporting years as opposed to £639 million in the last year. It declined because of high capital expenditure and low working capital inflows. Low cash flow may strain short-term liquidity and day-to-day operations of the business. The company expects future cash flows to remain stable to support dividends and shareholder returns.</w:t>
      </w:r>
    </w:p>
    <w:p w14:paraId="5ECF2ACF" w14:textId="77777777" w:rsidR="000D4AF1" w:rsidRPr="006D45F7" w:rsidRDefault="000D4AF1" w:rsidP="006D45F7">
      <w:pPr>
        <w:pStyle w:val="Heading2"/>
      </w:pPr>
      <w:bookmarkStart w:id="20" w:name="_Toc224988397"/>
      <w:bookmarkStart w:id="21" w:name="_Toc225113486"/>
      <w:r w:rsidRPr="001016BD">
        <w:t>3.3 Operational and Competitive Factors</w:t>
      </w:r>
      <w:bookmarkEnd w:id="20"/>
      <w:bookmarkEnd w:id="21"/>
    </w:p>
    <w:p w14:paraId="4DEADEC1" w14:textId="72C37E21" w:rsidR="008C3D9F" w:rsidRPr="001016BD" w:rsidRDefault="000D4AF1" w:rsidP="008C3D9F">
      <w:pPr>
        <w:rPr>
          <w:rFonts w:ascii="Aptos" w:hAnsi="Aptos"/>
          <w:sz w:val="22"/>
        </w:rPr>
      </w:pPr>
      <w:r w:rsidRPr="001016BD">
        <w:rPr>
          <w:rFonts w:ascii="Aptos" w:hAnsi="Aptos"/>
          <w:sz w:val="22"/>
        </w:rPr>
        <w:t>The retail business environment of J. Sainsbury plc is very competitive, and the intensity of the industry is high. Business faces the challenge of increasing costs, wage rates and customer buying behaviour. The firm implemented cost-cutting initiatives to manage the increased operation and labour expenses (Efendi et al., 2025). Part of the actions included layoffs and savings in different areas of operation. The measures helped the company to stay profitable amid the external forces of the economy and market competition.</w:t>
      </w:r>
    </w:p>
    <w:p w14:paraId="467072FF" w14:textId="09D7296C" w:rsidR="008C3D9F" w:rsidRPr="001016BD" w:rsidRDefault="008C3D9F" w:rsidP="00C902C3">
      <w:pPr>
        <w:pStyle w:val="Heading1"/>
      </w:pPr>
      <w:bookmarkStart w:id="22" w:name="_Toc224988398"/>
      <w:bookmarkStart w:id="23" w:name="_Toc225113487"/>
      <w:r w:rsidRPr="001016BD">
        <w:lastRenderedPageBreak/>
        <w:t xml:space="preserve">4. Why Performance </w:t>
      </w:r>
      <w:r w:rsidRPr="00C902C3">
        <w:t>Changed</w:t>
      </w:r>
      <w:r w:rsidRPr="001016BD">
        <w:t xml:space="preserve"> Year</w:t>
      </w:r>
      <w:r w:rsidRPr="001016BD">
        <w:noBreakHyphen/>
        <w:t>on</w:t>
      </w:r>
      <w:r w:rsidRPr="001016BD">
        <w:noBreakHyphen/>
        <w:t>Year</w:t>
      </w:r>
      <w:bookmarkEnd w:id="22"/>
      <w:bookmarkEnd w:id="23"/>
    </w:p>
    <w:p w14:paraId="143B4F45" w14:textId="77777777" w:rsidR="00437D4F" w:rsidRPr="00C902C3" w:rsidRDefault="00437D4F" w:rsidP="00C902C3">
      <w:pPr>
        <w:pStyle w:val="Heading2"/>
      </w:pPr>
      <w:bookmarkStart w:id="24" w:name="_Toc224988399"/>
      <w:bookmarkStart w:id="25" w:name="_Toc225113488"/>
      <w:r w:rsidRPr="001016BD">
        <w:t>4.1 Positive Drivers</w:t>
      </w:r>
      <w:bookmarkEnd w:id="24"/>
      <w:bookmarkEnd w:id="25"/>
    </w:p>
    <w:p w14:paraId="425CCDCD" w14:textId="77777777" w:rsidR="00437D4F" w:rsidRPr="001016BD" w:rsidRDefault="00437D4F" w:rsidP="00C902C3">
      <w:pPr>
        <w:pStyle w:val="ListParagraph"/>
        <w:numPr>
          <w:ilvl w:val="0"/>
          <w:numId w:val="13"/>
        </w:numPr>
      </w:pPr>
      <w:r w:rsidRPr="00C902C3">
        <w:rPr>
          <w:b/>
          <w:bCs/>
        </w:rPr>
        <w:t>Effective Cost Management:</w:t>
      </w:r>
      <w:r w:rsidRPr="001016BD">
        <w:t xml:space="preserve"> The effective cost management improved the operating margins and the overall profitability of business operations. The company had introduced tight control of the cost and increased efficiency in the different retail business activities.</w:t>
      </w:r>
    </w:p>
    <w:p w14:paraId="7D50131A" w14:textId="77777777" w:rsidR="00437D4F" w:rsidRPr="001016BD" w:rsidRDefault="00437D4F" w:rsidP="00C902C3">
      <w:pPr>
        <w:pStyle w:val="ListParagraph"/>
        <w:numPr>
          <w:ilvl w:val="0"/>
          <w:numId w:val="13"/>
        </w:numPr>
      </w:pPr>
      <w:r w:rsidRPr="00C902C3">
        <w:rPr>
          <w:b/>
          <w:bCs/>
        </w:rPr>
        <w:t>Strength in Food Sales:</w:t>
      </w:r>
      <w:r w:rsidRPr="001016BD">
        <w:t xml:space="preserve"> The positive growth in the competitive retail market was reflected in high food sales in terms of revenue and market share. Grocer products specialisation appeared to bring in more customers and an increase in the cumulative sales volume rates (Salisa et al., 2025).</w:t>
      </w:r>
    </w:p>
    <w:p w14:paraId="03F9C04A" w14:textId="77777777" w:rsidR="00437D4F" w:rsidRPr="001016BD" w:rsidRDefault="00437D4F" w:rsidP="00C902C3">
      <w:pPr>
        <w:pStyle w:val="ListParagraph"/>
        <w:numPr>
          <w:ilvl w:val="0"/>
          <w:numId w:val="13"/>
        </w:numPr>
      </w:pPr>
      <w:r w:rsidRPr="00C902C3">
        <w:rPr>
          <w:b/>
          <w:bCs/>
        </w:rPr>
        <w:t>Strategic Reallocations:</w:t>
      </w:r>
      <w:r w:rsidRPr="001016BD">
        <w:t xml:space="preserve"> The strategic relocations led to better store performance in terms of space maximising and high-demand product areas. The entry into EV charging and clothing also added to additional income and business growth.</w:t>
      </w:r>
    </w:p>
    <w:p w14:paraId="1F528378" w14:textId="77777777" w:rsidR="00437D4F" w:rsidRPr="006D45F7" w:rsidRDefault="00437D4F" w:rsidP="00C902C3">
      <w:pPr>
        <w:pStyle w:val="Heading2"/>
      </w:pPr>
      <w:bookmarkStart w:id="26" w:name="_Toc224988400"/>
      <w:bookmarkStart w:id="27" w:name="_Toc225113489"/>
      <w:r w:rsidRPr="001016BD">
        <w:t xml:space="preserve">4.2 </w:t>
      </w:r>
      <w:r w:rsidRPr="00C902C3">
        <w:t>Challenges</w:t>
      </w:r>
      <w:r w:rsidRPr="001016BD">
        <w:t xml:space="preserve"> Affecting Performance</w:t>
      </w:r>
      <w:bookmarkEnd w:id="26"/>
      <w:bookmarkEnd w:id="27"/>
    </w:p>
    <w:p w14:paraId="3B8A48FE" w14:textId="77777777" w:rsidR="00437D4F" w:rsidRPr="001016BD" w:rsidRDefault="00437D4F" w:rsidP="00C902C3">
      <w:pPr>
        <w:pStyle w:val="ListParagraph"/>
        <w:numPr>
          <w:ilvl w:val="0"/>
          <w:numId w:val="12"/>
        </w:numPr>
      </w:pPr>
      <w:r w:rsidRPr="00C902C3">
        <w:rPr>
          <w:b/>
          <w:bCs/>
        </w:rPr>
        <w:t>Cash Flow Decline:</w:t>
      </w:r>
      <w:r w:rsidRPr="001016BD">
        <w:t xml:space="preserve"> The decline in cash flow put a strain on the liquidity despite the company recording an improved result in terms of profits within the identical period.</w:t>
      </w:r>
    </w:p>
    <w:p w14:paraId="431F0D2B" w14:textId="77777777" w:rsidR="00437D4F" w:rsidRPr="001016BD" w:rsidRDefault="00437D4F" w:rsidP="00C902C3">
      <w:pPr>
        <w:pStyle w:val="ListParagraph"/>
        <w:numPr>
          <w:ilvl w:val="0"/>
          <w:numId w:val="12"/>
        </w:numPr>
      </w:pPr>
      <w:r w:rsidRPr="00C902C3">
        <w:rPr>
          <w:b/>
          <w:bCs/>
        </w:rPr>
        <w:t>Rising Labour Costs:</w:t>
      </w:r>
      <w:r w:rsidRPr="001016BD">
        <w:t xml:space="preserve"> The rising prices of labour were added to the prices of operations, the wages grew, and the state policies were changed.</w:t>
      </w:r>
    </w:p>
    <w:p w14:paraId="7D198564" w14:textId="0229846F" w:rsidR="008C3D9F" w:rsidRPr="001016BD" w:rsidRDefault="00437D4F" w:rsidP="00C902C3">
      <w:pPr>
        <w:pStyle w:val="ListParagraph"/>
        <w:numPr>
          <w:ilvl w:val="0"/>
          <w:numId w:val="12"/>
        </w:numPr>
      </w:pPr>
      <w:r w:rsidRPr="00C902C3">
        <w:rPr>
          <w:b/>
          <w:bCs/>
        </w:rPr>
        <w:t xml:space="preserve">Debt Pressure: </w:t>
      </w:r>
      <w:r w:rsidRPr="00C902C3">
        <w:t>The</w:t>
      </w:r>
      <w:r w:rsidRPr="001016BD">
        <w:t xml:space="preserve"> debt level also went high, financial risk also increased and solvency concerns in the long term increased.</w:t>
      </w:r>
    </w:p>
    <w:p w14:paraId="571F3CAC" w14:textId="7C53C6E6" w:rsidR="008C3D9F" w:rsidRPr="006D45F7" w:rsidRDefault="008C3D9F" w:rsidP="00C902C3">
      <w:pPr>
        <w:pStyle w:val="Heading1"/>
      </w:pPr>
      <w:bookmarkStart w:id="28" w:name="_Toc224988401"/>
      <w:bookmarkStart w:id="29" w:name="_Toc225113490"/>
      <w:r w:rsidRPr="001016BD">
        <w:t>5. Recommendations for Improving Financial Sustainability</w:t>
      </w:r>
      <w:bookmarkEnd w:id="28"/>
      <w:bookmarkEnd w:id="29"/>
    </w:p>
    <w:p w14:paraId="34C1878D" w14:textId="77777777" w:rsidR="00315A36" w:rsidRPr="001016BD" w:rsidRDefault="00315A36" w:rsidP="00315A36">
      <w:pPr>
        <w:rPr>
          <w:rFonts w:ascii="Aptos" w:hAnsi="Aptos"/>
          <w:sz w:val="22"/>
        </w:rPr>
      </w:pPr>
      <w:r w:rsidRPr="001016BD">
        <w:rPr>
          <w:rFonts w:ascii="Aptos" w:hAnsi="Aptos"/>
          <w:sz w:val="22"/>
        </w:rPr>
        <w:t>To improve future financial performance and sustainability, it is possible to recommend the following:</w:t>
      </w:r>
    </w:p>
    <w:p w14:paraId="042E092F" w14:textId="77777777" w:rsidR="00315A36" w:rsidRPr="00C902C3" w:rsidRDefault="00315A36" w:rsidP="00C902C3">
      <w:pPr>
        <w:pStyle w:val="ListParagraph"/>
        <w:numPr>
          <w:ilvl w:val="0"/>
          <w:numId w:val="11"/>
        </w:numPr>
        <w:rPr>
          <w:rFonts w:ascii="Aptos" w:hAnsi="Aptos"/>
          <w:sz w:val="22"/>
        </w:rPr>
      </w:pPr>
      <w:r w:rsidRPr="00C902C3">
        <w:rPr>
          <w:rFonts w:ascii="Aptos" w:hAnsi="Aptos"/>
          <w:sz w:val="22"/>
        </w:rPr>
        <w:t>Companies should work to improve the efficiency of working capital to enable financial performance and stability. The inventory should be controlled, and the management should bargain with the suppliers. Demand forecasting technology will also assist in reducing excess stock and improving inventory turnover.</w:t>
      </w:r>
    </w:p>
    <w:p w14:paraId="593B21B0" w14:textId="77777777" w:rsidR="00315A36" w:rsidRPr="00C902C3" w:rsidRDefault="00315A36" w:rsidP="00C902C3">
      <w:pPr>
        <w:pStyle w:val="ListParagraph"/>
        <w:numPr>
          <w:ilvl w:val="0"/>
          <w:numId w:val="11"/>
        </w:numPr>
        <w:rPr>
          <w:rFonts w:ascii="Aptos" w:hAnsi="Aptos"/>
          <w:sz w:val="22"/>
        </w:rPr>
      </w:pPr>
      <w:r w:rsidRPr="00C902C3">
        <w:rPr>
          <w:rFonts w:ascii="Aptos" w:hAnsi="Aptos"/>
          <w:sz w:val="22"/>
        </w:rPr>
        <w:lastRenderedPageBreak/>
        <w:t>Businesses ought to improve liquidity positions by raising cash reserves and enhancing cash flow management (</w:t>
      </w:r>
      <w:proofErr w:type="spellStart"/>
      <w:r w:rsidRPr="00C902C3">
        <w:rPr>
          <w:rFonts w:ascii="Aptos" w:hAnsi="Aptos"/>
          <w:sz w:val="22"/>
        </w:rPr>
        <w:t>Ndruru</w:t>
      </w:r>
      <w:proofErr w:type="spellEnd"/>
      <w:r w:rsidRPr="00C902C3">
        <w:rPr>
          <w:rFonts w:ascii="Aptos" w:hAnsi="Aptos"/>
          <w:sz w:val="22"/>
        </w:rPr>
        <w:t>, 2025). The company has the duty to manage receivables and payables to facilitate day-to-day operations.</w:t>
      </w:r>
    </w:p>
    <w:p w14:paraId="25058FCA" w14:textId="77777777" w:rsidR="00315A36" w:rsidRPr="00C902C3" w:rsidRDefault="00315A36" w:rsidP="00C902C3">
      <w:pPr>
        <w:pStyle w:val="ListParagraph"/>
        <w:numPr>
          <w:ilvl w:val="0"/>
          <w:numId w:val="11"/>
        </w:numPr>
        <w:rPr>
          <w:rFonts w:ascii="Aptos" w:hAnsi="Aptos"/>
          <w:sz w:val="22"/>
        </w:rPr>
      </w:pPr>
      <w:r w:rsidRPr="00C902C3">
        <w:rPr>
          <w:rFonts w:ascii="Aptos" w:hAnsi="Aptos"/>
          <w:sz w:val="22"/>
        </w:rPr>
        <w:t>The management ought to reduce the management debt as days progress to reduce financial risk and the cost of paying interest. Less debt coverage will improve solvency status and long-term financial sustainability.</w:t>
      </w:r>
    </w:p>
    <w:p w14:paraId="3226A574" w14:textId="259869F4" w:rsidR="008C3D9F" w:rsidRPr="00C902C3" w:rsidRDefault="00315A36" w:rsidP="00C902C3">
      <w:pPr>
        <w:pStyle w:val="ListParagraph"/>
        <w:numPr>
          <w:ilvl w:val="0"/>
          <w:numId w:val="11"/>
        </w:numPr>
        <w:rPr>
          <w:rFonts w:ascii="Aptos" w:hAnsi="Aptos"/>
          <w:sz w:val="22"/>
        </w:rPr>
      </w:pPr>
      <w:r w:rsidRPr="00C902C3">
        <w:rPr>
          <w:rFonts w:ascii="Aptos" w:hAnsi="Aptos"/>
          <w:sz w:val="22"/>
        </w:rPr>
        <w:t>Companies should invest in high-margin products to improve profitability and general business. Focusing on own-label manufacturing and retailing can help increase revenue and profit margins. The literature also establishes that working capital management is part of the degree of liquidity and profitability. It is discovered that less financial leverage has the stability of a business during hard economic times.</w:t>
      </w:r>
    </w:p>
    <w:p w14:paraId="0FA63440" w14:textId="7B9C7D36" w:rsidR="008C3D9F" w:rsidRPr="00C902C3" w:rsidRDefault="008C3D9F" w:rsidP="00C902C3">
      <w:pPr>
        <w:pStyle w:val="Heading1"/>
      </w:pPr>
      <w:bookmarkStart w:id="30" w:name="_Toc224988406"/>
      <w:bookmarkStart w:id="31" w:name="_Toc225113491"/>
      <w:r w:rsidRPr="001016BD">
        <w:t>Conclusion</w:t>
      </w:r>
      <w:bookmarkEnd w:id="30"/>
      <w:bookmarkEnd w:id="31"/>
    </w:p>
    <w:p w14:paraId="0D764C59" w14:textId="279DCE1B" w:rsidR="008C3D9F" w:rsidRPr="001016BD" w:rsidRDefault="00A31C41" w:rsidP="008C3D9F">
      <w:pPr>
        <w:rPr>
          <w:rFonts w:ascii="Aptos" w:hAnsi="Aptos"/>
          <w:sz w:val="22"/>
        </w:rPr>
      </w:pPr>
      <w:r w:rsidRPr="001016BD">
        <w:rPr>
          <w:rFonts w:ascii="Aptos" w:hAnsi="Aptos"/>
          <w:sz w:val="22"/>
        </w:rPr>
        <w:t>In summary, this report evaluates the two-year financial performance of J Sainsbury plc. Analysis shows that the company has increased in profit and has improved overall performance of operations during the study period. Increasing ROCE and profit margins indicate that costs are controlled and value is created. Results have shown a positive growth in revenue and increased efficiency in the biggest retail operations. However, liquidity ratios are low and indicate the risk of short-term financial stress. Cash flow performance worsened and showed that it was struggling to stay at high levels of financial flexibility (Ullah et al., 2025). Ratio analysis presents weaknesses and strengths and helps to comprehend financial position. Findings reveal that financial ratios are critical in evaluating business performance and decision-making. Future focus on working capital and debt reduction can bring about long-term sustainability. In addition to this, an increment in profitability margin and minimisation of cost in terms of operation can also support the overall financial well-being.</w:t>
      </w:r>
    </w:p>
    <w:p w14:paraId="161FCE62" w14:textId="77777777" w:rsidR="009673F6" w:rsidRPr="001016BD" w:rsidRDefault="009673F6">
      <w:pPr>
        <w:rPr>
          <w:rFonts w:ascii="Aptos" w:hAnsi="Aptos"/>
          <w:b/>
          <w:bCs/>
          <w:sz w:val="22"/>
        </w:rPr>
      </w:pPr>
      <w:r w:rsidRPr="001016BD">
        <w:rPr>
          <w:rFonts w:ascii="Aptos" w:hAnsi="Aptos"/>
          <w:b/>
          <w:bCs/>
          <w:sz w:val="22"/>
        </w:rPr>
        <w:br w:type="page"/>
      </w:r>
    </w:p>
    <w:p w14:paraId="0E5B9853" w14:textId="36C747F2" w:rsidR="008C3D9F" w:rsidRPr="00C902C3" w:rsidRDefault="008C3D9F" w:rsidP="00C902C3">
      <w:pPr>
        <w:pStyle w:val="Heading1"/>
      </w:pPr>
      <w:bookmarkStart w:id="32" w:name="_Toc224988407"/>
      <w:bookmarkStart w:id="33" w:name="_Toc225113492"/>
      <w:r w:rsidRPr="001016BD">
        <w:lastRenderedPageBreak/>
        <w:t>References</w:t>
      </w:r>
      <w:bookmarkEnd w:id="32"/>
      <w:bookmarkEnd w:id="33"/>
    </w:p>
    <w:p w14:paraId="7F0E1B4F" w14:textId="77777777" w:rsidR="008D319D" w:rsidRPr="001016BD" w:rsidRDefault="008D319D" w:rsidP="008D319D">
      <w:pPr>
        <w:rPr>
          <w:rFonts w:ascii="Aptos" w:hAnsi="Aptos"/>
          <w:sz w:val="22"/>
        </w:rPr>
      </w:pPr>
      <w:r w:rsidRPr="001016BD">
        <w:rPr>
          <w:rFonts w:ascii="Aptos" w:hAnsi="Aptos"/>
          <w:sz w:val="22"/>
        </w:rPr>
        <w:t xml:space="preserve">Abubakar, A.O. &amp; </w:t>
      </w:r>
      <w:proofErr w:type="spellStart"/>
      <w:r w:rsidRPr="001016BD">
        <w:rPr>
          <w:rFonts w:ascii="Aptos" w:hAnsi="Aptos"/>
          <w:sz w:val="22"/>
        </w:rPr>
        <w:t>Anyonje</w:t>
      </w:r>
      <w:proofErr w:type="spellEnd"/>
      <w:r w:rsidRPr="001016BD">
        <w:rPr>
          <w:rFonts w:ascii="Aptos" w:hAnsi="Aptos"/>
          <w:sz w:val="22"/>
        </w:rPr>
        <w:t xml:space="preserve">, S.A., 2025. Financial leverage and corporate financial performance: A comprehensive review. </w:t>
      </w:r>
      <w:r w:rsidRPr="001016BD">
        <w:rPr>
          <w:rFonts w:ascii="Aptos" w:hAnsi="Aptos"/>
          <w:i/>
          <w:iCs/>
          <w:sz w:val="22"/>
        </w:rPr>
        <w:t>East African Finance Journal</w:t>
      </w:r>
      <w:r w:rsidRPr="001016BD">
        <w:rPr>
          <w:rFonts w:ascii="Aptos" w:hAnsi="Aptos"/>
          <w:sz w:val="22"/>
        </w:rPr>
        <w:t>, 4(2), pp.34–54.</w:t>
      </w:r>
    </w:p>
    <w:p w14:paraId="5B3AA560" w14:textId="77777777" w:rsidR="008D319D" w:rsidRPr="001016BD" w:rsidRDefault="008D319D" w:rsidP="008D319D">
      <w:pPr>
        <w:rPr>
          <w:rFonts w:ascii="Aptos" w:hAnsi="Aptos"/>
          <w:sz w:val="22"/>
        </w:rPr>
      </w:pPr>
      <w:r w:rsidRPr="001016BD">
        <w:rPr>
          <w:rFonts w:ascii="Aptos" w:hAnsi="Aptos"/>
          <w:sz w:val="22"/>
        </w:rPr>
        <w:t xml:space="preserve">Efendi, R., Fauzi, F. &amp; Putri, A., 2025. Managerial accounting strategies to improve efficiency and effectiveness of operational costs. </w:t>
      </w:r>
      <w:r w:rsidRPr="001016BD">
        <w:rPr>
          <w:rFonts w:ascii="Aptos" w:hAnsi="Aptos"/>
          <w:i/>
          <w:iCs/>
          <w:sz w:val="22"/>
        </w:rPr>
        <w:t>The Journal of Academic Science</w:t>
      </w:r>
      <w:r w:rsidRPr="001016BD">
        <w:rPr>
          <w:rFonts w:ascii="Aptos" w:hAnsi="Aptos"/>
          <w:sz w:val="22"/>
        </w:rPr>
        <w:t>, 2(5), pp.1450–1458.</w:t>
      </w:r>
    </w:p>
    <w:p w14:paraId="73E7417E" w14:textId="77777777" w:rsidR="008D319D" w:rsidRPr="001016BD" w:rsidRDefault="008D319D" w:rsidP="008D319D">
      <w:pPr>
        <w:rPr>
          <w:rFonts w:ascii="Aptos" w:hAnsi="Aptos"/>
          <w:sz w:val="22"/>
        </w:rPr>
      </w:pPr>
      <w:r w:rsidRPr="001016BD">
        <w:rPr>
          <w:rFonts w:ascii="Aptos" w:hAnsi="Aptos"/>
          <w:sz w:val="22"/>
        </w:rPr>
        <w:t xml:space="preserve">Mishra, K. &amp; Celestin, P., 2025. From paper-based reports to AI-generated financial statements: Examining automation's role in enhancing accuracy, efficiency, and compliance. </w:t>
      </w:r>
      <w:r w:rsidRPr="001016BD">
        <w:rPr>
          <w:rFonts w:ascii="Aptos" w:hAnsi="Aptos"/>
          <w:i/>
          <w:iCs/>
          <w:sz w:val="22"/>
        </w:rPr>
        <w:t>Working paper</w:t>
      </w:r>
      <w:r w:rsidRPr="001016BD">
        <w:rPr>
          <w:rFonts w:ascii="Aptos" w:hAnsi="Aptos"/>
          <w:sz w:val="22"/>
        </w:rPr>
        <w:t>, 28 April.</w:t>
      </w:r>
    </w:p>
    <w:p w14:paraId="09C87504" w14:textId="77777777" w:rsidR="008D319D" w:rsidRPr="001016BD" w:rsidRDefault="008D319D" w:rsidP="008D319D">
      <w:pPr>
        <w:rPr>
          <w:rFonts w:ascii="Aptos" w:hAnsi="Aptos"/>
          <w:sz w:val="22"/>
        </w:rPr>
      </w:pPr>
      <w:proofErr w:type="spellStart"/>
      <w:r w:rsidRPr="001016BD">
        <w:rPr>
          <w:rFonts w:ascii="Aptos" w:hAnsi="Aptos"/>
          <w:sz w:val="22"/>
        </w:rPr>
        <w:t>Ndruru</w:t>
      </w:r>
      <w:proofErr w:type="spellEnd"/>
      <w:r w:rsidRPr="001016BD">
        <w:rPr>
          <w:rFonts w:ascii="Aptos" w:hAnsi="Aptos"/>
          <w:sz w:val="22"/>
        </w:rPr>
        <w:t xml:space="preserve">, F., 2025. The role of liquidity management in enhancing corporate financial stability: A systematic literature review on cash reserves and marketable securities strategies. </w:t>
      </w:r>
      <w:r w:rsidRPr="001016BD">
        <w:rPr>
          <w:rFonts w:ascii="Aptos" w:hAnsi="Aptos"/>
          <w:i/>
          <w:iCs/>
          <w:sz w:val="22"/>
        </w:rPr>
        <w:t>PRODUCTIVITY: Journal of Integrated Business, Management, and Accounting Research</w:t>
      </w:r>
      <w:r w:rsidRPr="001016BD">
        <w:rPr>
          <w:rFonts w:ascii="Aptos" w:hAnsi="Aptos"/>
          <w:sz w:val="22"/>
        </w:rPr>
        <w:t>, 2(1), pp.09–17.</w:t>
      </w:r>
    </w:p>
    <w:p w14:paraId="6A3DBFD7" w14:textId="77777777" w:rsidR="008D319D" w:rsidRPr="001016BD" w:rsidRDefault="008D319D" w:rsidP="008D319D">
      <w:pPr>
        <w:rPr>
          <w:rFonts w:ascii="Aptos" w:hAnsi="Aptos"/>
          <w:sz w:val="22"/>
        </w:rPr>
      </w:pPr>
      <w:proofErr w:type="spellStart"/>
      <w:r w:rsidRPr="001016BD">
        <w:rPr>
          <w:rFonts w:ascii="Aptos" w:hAnsi="Aptos"/>
          <w:sz w:val="22"/>
        </w:rPr>
        <w:t>Setyopurnomo</w:t>
      </w:r>
      <w:proofErr w:type="spellEnd"/>
      <w:r w:rsidRPr="001016BD">
        <w:rPr>
          <w:rFonts w:ascii="Aptos" w:hAnsi="Aptos"/>
          <w:sz w:val="22"/>
        </w:rPr>
        <w:t xml:space="preserve">, R., </w:t>
      </w:r>
      <w:proofErr w:type="spellStart"/>
      <w:r w:rsidRPr="001016BD">
        <w:rPr>
          <w:rFonts w:ascii="Aptos" w:hAnsi="Aptos"/>
          <w:sz w:val="22"/>
        </w:rPr>
        <w:t>Wiryono</w:t>
      </w:r>
      <w:proofErr w:type="spellEnd"/>
      <w:r w:rsidRPr="001016BD">
        <w:rPr>
          <w:rFonts w:ascii="Aptos" w:hAnsi="Aptos"/>
          <w:sz w:val="22"/>
        </w:rPr>
        <w:t xml:space="preserve">, S.K., Lestari, Y.D. &amp; Sukarno, S., 2025. Incorporating earned value management into income statements to improve project management profitability and elevate application in business and management. </w:t>
      </w:r>
      <w:r w:rsidRPr="001016BD">
        <w:rPr>
          <w:rFonts w:ascii="Aptos" w:hAnsi="Aptos"/>
          <w:i/>
          <w:iCs/>
          <w:sz w:val="22"/>
        </w:rPr>
        <w:t>PLOS ONE</w:t>
      </w:r>
      <w:r w:rsidRPr="001016BD">
        <w:rPr>
          <w:rFonts w:ascii="Aptos" w:hAnsi="Aptos"/>
          <w:sz w:val="22"/>
        </w:rPr>
        <w:t>, 20(1), p.e0312956.</w:t>
      </w:r>
    </w:p>
    <w:p w14:paraId="5DF58D72" w14:textId="77777777" w:rsidR="008D319D" w:rsidRPr="001016BD" w:rsidRDefault="008D319D" w:rsidP="008D319D">
      <w:pPr>
        <w:rPr>
          <w:rFonts w:ascii="Aptos" w:hAnsi="Aptos"/>
          <w:sz w:val="22"/>
        </w:rPr>
      </w:pPr>
      <w:r w:rsidRPr="001016BD">
        <w:rPr>
          <w:rFonts w:ascii="Aptos" w:hAnsi="Aptos"/>
          <w:sz w:val="22"/>
        </w:rPr>
        <w:t xml:space="preserve">Salisa, A.R., Sari, P.A., Astuti, R.P. &amp; Khabib, A., 2025. The role of the Grab application in increasing sales of culinary SME products from </w:t>
      </w:r>
      <w:proofErr w:type="spellStart"/>
      <w:r w:rsidRPr="001016BD">
        <w:rPr>
          <w:rFonts w:ascii="Aptos" w:hAnsi="Aptos"/>
          <w:sz w:val="22"/>
        </w:rPr>
        <w:t>Shari’ah</w:t>
      </w:r>
      <w:proofErr w:type="spellEnd"/>
      <w:r w:rsidRPr="001016BD">
        <w:rPr>
          <w:rFonts w:ascii="Aptos" w:hAnsi="Aptos"/>
          <w:sz w:val="22"/>
        </w:rPr>
        <w:t xml:space="preserve"> marketing perspective in </w:t>
      </w:r>
      <w:proofErr w:type="spellStart"/>
      <w:r w:rsidRPr="001016BD">
        <w:rPr>
          <w:rFonts w:ascii="Aptos" w:hAnsi="Aptos"/>
          <w:sz w:val="22"/>
        </w:rPr>
        <w:t>Wonosobo</w:t>
      </w:r>
      <w:proofErr w:type="spellEnd"/>
      <w:r w:rsidRPr="001016BD">
        <w:rPr>
          <w:rFonts w:ascii="Aptos" w:hAnsi="Aptos"/>
          <w:sz w:val="22"/>
        </w:rPr>
        <w:t xml:space="preserve"> Subdistrict. </w:t>
      </w:r>
      <w:r w:rsidRPr="001016BD">
        <w:rPr>
          <w:rFonts w:ascii="Aptos" w:hAnsi="Aptos"/>
          <w:i/>
          <w:iCs/>
          <w:sz w:val="22"/>
        </w:rPr>
        <w:t>Proceedings Series on Social Sciences &amp; Humanities</w:t>
      </w:r>
      <w:r w:rsidRPr="001016BD">
        <w:rPr>
          <w:rFonts w:ascii="Aptos" w:hAnsi="Aptos"/>
          <w:sz w:val="22"/>
        </w:rPr>
        <w:t>, 22, pp.41–48.</w:t>
      </w:r>
    </w:p>
    <w:p w14:paraId="30402F4C" w14:textId="77777777" w:rsidR="008D319D" w:rsidRPr="001016BD" w:rsidRDefault="008D319D" w:rsidP="008D319D">
      <w:pPr>
        <w:rPr>
          <w:rFonts w:ascii="Aptos" w:hAnsi="Aptos"/>
          <w:sz w:val="22"/>
        </w:rPr>
      </w:pPr>
      <w:proofErr w:type="spellStart"/>
      <w:r w:rsidRPr="001016BD">
        <w:rPr>
          <w:rFonts w:ascii="Aptos" w:hAnsi="Aptos"/>
          <w:sz w:val="22"/>
        </w:rPr>
        <w:t>Saristiana</w:t>
      </w:r>
      <w:proofErr w:type="spellEnd"/>
      <w:r w:rsidRPr="001016BD">
        <w:rPr>
          <w:rFonts w:ascii="Aptos" w:hAnsi="Aptos"/>
          <w:sz w:val="22"/>
        </w:rPr>
        <w:t xml:space="preserve">, Y., </w:t>
      </w:r>
      <w:proofErr w:type="spellStart"/>
      <w:r w:rsidRPr="001016BD">
        <w:rPr>
          <w:rFonts w:ascii="Aptos" w:hAnsi="Aptos"/>
          <w:sz w:val="22"/>
        </w:rPr>
        <w:t>Prasetyawan</w:t>
      </w:r>
      <w:proofErr w:type="spellEnd"/>
      <w:r w:rsidRPr="001016BD">
        <w:rPr>
          <w:rFonts w:ascii="Aptos" w:hAnsi="Aptos"/>
          <w:sz w:val="22"/>
        </w:rPr>
        <w:t xml:space="preserve">, F., Fadel, M.N., Besan, E.J. &amp; </w:t>
      </w:r>
      <w:proofErr w:type="spellStart"/>
      <w:r w:rsidRPr="001016BD">
        <w:rPr>
          <w:rFonts w:ascii="Aptos" w:hAnsi="Aptos"/>
          <w:sz w:val="22"/>
        </w:rPr>
        <w:t>Mildwati</w:t>
      </w:r>
      <w:proofErr w:type="spellEnd"/>
      <w:r w:rsidRPr="001016BD">
        <w:rPr>
          <w:rFonts w:ascii="Aptos" w:hAnsi="Aptos"/>
          <w:sz w:val="22"/>
        </w:rPr>
        <w:t xml:space="preserve">, R., 2025. Analysis of the current ratio of drug stock inventory in pharmaceutical management in the context of </w:t>
      </w:r>
      <w:proofErr w:type="spellStart"/>
      <w:r w:rsidRPr="001016BD">
        <w:rPr>
          <w:rFonts w:ascii="Aptos" w:hAnsi="Aptos"/>
          <w:sz w:val="22"/>
        </w:rPr>
        <w:t>pharmacoeconomics</w:t>
      </w:r>
      <w:proofErr w:type="spellEnd"/>
      <w:r w:rsidRPr="001016BD">
        <w:rPr>
          <w:rFonts w:ascii="Aptos" w:hAnsi="Aptos"/>
          <w:sz w:val="22"/>
        </w:rPr>
        <w:t xml:space="preserve"> at the pharmacy. </w:t>
      </w:r>
      <w:r w:rsidRPr="001016BD">
        <w:rPr>
          <w:rFonts w:ascii="Aptos" w:hAnsi="Aptos"/>
          <w:i/>
          <w:iCs/>
          <w:sz w:val="22"/>
        </w:rPr>
        <w:t>Mingzhi International Journal of Business</w:t>
      </w:r>
      <w:r w:rsidRPr="001016BD">
        <w:rPr>
          <w:rFonts w:ascii="Aptos" w:hAnsi="Aptos"/>
          <w:sz w:val="22"/>
        </w:rPr>
        <w:t>, 1(1), pp.41–46.</w:t>
      </w:r>
    </w:p>
    <w:p w14:paraId="29634B21" w14:textId="77777777" w:rsidR="008D319D" w:rsidRPr="001016BD" w:rsidRDefault="008D319D" w:rsidP="008D319D">
      <w:pPr>
        <w:rPr>
          <w:rFonts w:ascii="Aptos" w:hAnsi="Aptos"/>
          <w:sz w:val="22"/>
        </w:rPr>
      </w:pPr>
      <w:r w:rsidRPr="001016BD">
        <w:rPr>
          <w:rFonts w:ascii="Aptos" w:hAnsi="Aptos"/>
          <w:sz w:val="22"/>
        </w:rPr>
        <w:t xml:space="preserve">Ullah, A., Irfan, A., Abid, H.M.S., Gul, H. &amp; Manzoor, A., 2025. Optimizing SME financial performance through supply chain financing: An integrated approach to working capital and cash flow management. </w:t>
      </w:r>
      <w:r w:rsidRPr="001016BD">
        <w:rPr>
          <w:rFonts w:ascii="Aptos" w:hAnsi="Aptos"/>
          <w:i/>
          <w:iCs/>
          <w:sz w:val="22"/>
        </w:rPr>
        <w:t>Research Journal for Social Affairs</w:t>
      </w:r>
      <w:r w:rsidRPr="001016BD">
        <w:rPr>
          <w:rFonts w:ascii="Aptos" w:hAnsi="Aptos"/>
          <w:sz w:val="22"/>
        </w:rPr>
        <w:t>, 3(2), pp.209–220.</w:t>
      </w:r>
    </w:p>
    <w:p w14:paraId="614606A1" w14:textId="77777777" w:rsidR="008D319D" w:rsidRPr="001016BD" w:rsidRDefault="008D319D" w:rsidP="008D319D">
      <w:pPr>
        <w:rPr>
          <w:rFonts w:ascii="Aptos" w:hAnsi="Aptos"/>
          <w:sz w:val="22"/>
        </w:rPr>
      </w:pPr>
      <w:r w:rsidRPr="001016BD">
        <w:rPr>
          <w:rFonts w:ascii="Aptos" w:hAnsi="Aptos"/>
          <w:sz w:val="22"/>
        </w:rPr>
        <w:t xml:space="preserve">Wang, X., Zhao, M. &amp; Cheng, L., 2026. Lies behind the green: Can business strategy lead to greenwashing? </w:t>
      </w:r>
      <w:r w:rsidRPr="001016BD">
        <w:rPr>
          <w:rFonts w:ascii="Aptos" w:hAnsi="Aptos"/>
          <w:i/>
          <w:iCs/>
          <w:sz w:val="22"/>
        </w:rPr>
        <w:t>Business Process Management Journal</w:t>
      </w:r>
      <w:r w:rsidRPr="001016BD">
        <w:rPr>
          <w:rFonts w:ascii="Aptos" w:hAnsi="Aptos"/>
          <w:sz w:val="22"/>
        </w:rPr>
        <w:t>, 32(1), pp.170–197.</w:t>
      </w:r>
    </w:p>
    <w:p w14:paraId="56793FEE" w14:textId="77777777" w:rsidR="008D319D" w:rsidRPr="001016BD" w:rsidRDefault="008D319D" w:rsidP="008D319D">
      <w:pPr>
        <w:rPr>
          <w:rFonts w:ascii="Aptos" w:hAnsi="Aptos"/>
          <w:sz w:val="22"/>
        </w:rPr>
      </w:pPr>
      <w:proofErr w:type="spellStart"/>
      <w:r w:rsidRPr="001016BD">
        <w:rPr>
          <w:rFonts w:ascii="Aptos" w:hAnsi="Aptos"/>
          <w:sz w:val="22"/>
        </w:rPr>
        <w:lastRenderedPageBreak/>
        <w:t>Zavalii</w:t>
      </w:r>
      <w:proofErr w:type="spellEnd"/>
      <w:r w:rsidRPr="001016BD">
        <w:rPr>
          <w:rFonts w:ascii="Aptos" w:hAnsi="Aptos"/>
          <w:sz w:val="22"/>
        </w:rPr>
        <w:t xml:space="preserve">, T., </w:t>
      </w:r>
      <w:proofErr w:type="spellStart"/>
      <w:r w:rsidRPr="001016BD">
        <w:rPr>
          <w:rFonts w:ascii="Aptos" w:hAnsi="Aptos"/>
          <w:sz w:val="22"/>
        </w:rPr>
        <w:t>Zhyhlei</w:t>
      </w:r>
      <w:proofErr w:type="spellEnd"/>
      <w:r w:rsidRPr="001016BD">
        <w:rPr>
          <w:rFonts w:ascii="Aptos" w:hAnsi="Aptos"/>
          <w:sz w:val="22"/>
        </w:rPr>
        <w:t xml:space="preserve">, I., Ivashko, O. &amp; </w:t>
      </w:r>
      <w:proofErr w:type="spellStart"/>
      <w:r w:rsidRPr="001016BD">
        <w:rPr>
          <w:rFonts w:ascii="Aptos" w:hAnsi="Aptos"/>
          <w:sz w:val="22"/>
        </w:rPr>
        <w:t>Kornatka</w:t>
      </w:r>
      <w:proofErr w:type="spellEnd"/>
      <w:r w:rsidRPr="001016BD">
        <w:rPr>
          <w:rFonts w:ascii="Aptos" w:hAnsi="Aptos"/>
          <w:sz w:val="22"/>
        </w:rPr>
        <w:t xml:space="preserve">, A., 2025. Does size determine financial performance of advertising and marketing companies? Evidence from Western Europe on SDGs. </w:t>
      </w:r>
      <w:r w:rsidRPr="001016BD">
        <w:rPr>
          <w:rFonts w:ascii="Aptos" w:hAnsi="Aptos"/>
          <w:i/>
          <w:iCs/>
          <w:sz w:val="22"/>
        </w:rPr>
        <w:t>Sustainability</w:t>
      </w:r>
      <w:r w:rsidRPr="001016BD">
        <w:rPr>
          <w:rFonts w:ascii="Aptos" w:hAnsi="Aptos"/>
          <w:sz w:val="22"/>
        </w:rPr>
        <w:t>, 17(13), p.5812.</w:t>
      </w:r>
    </w:p>
    <w:p w14:paraId="44FDABA9" w14:textId="77777777" w:rsidR="00817077" w:rsidRPr="001016BD" w:rsidRDefault="00817077">
      <w:pPr>
        <w:rPr>
          <w:rFonts w:ascii="Aptos" w:hAnsi="Aptos"/>
          <w:sz w:val="22"/>
        </w:rPr>
      </w:pPr>
    </w:p>
    <w:sectPr w:rsidR="00817077" w:rsidRPr="001016BD" w:rsidSect="00406C7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F1695" w14:textId="77777777" w:rsidR="002C06EA" w:rsidRDefault="002C06EA" w:rsidP="00ED315D">
      <w:pPr>
        <w:spacing w:before="0" w:after="0" w:line="240" w:lineRule="auto"/>
      </w:pPr>
      <w:r>
        <w:separator/>
      </w:r>
    </w:p>
  </w:endnote>
  <w:endnote w:type="continuationSeparator" w:id="0">
    <w:p w14:paraId="38B3B187" w14:textId="77777777" w:rsidR="002C06EA" w:rsidRDefault="002C06EA" w:rsidP="00ED315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35C5B9" w14:textId="77777777" w:rsidR="002C06EA" w:rsidRDefault="002C06EA" w:rsidP="00ED315D">
      <w:pPr>
        <w:spacing w:before="0" w:after="0" w:line="240" w:lineRule="auto"/>
      </w:pPr>
      <w:r>
        <w:separator/>
      </w:r>
    </w:p>
  </w:footnote>
  <w:footnote w:type="continuationSeparator" w:id="0">
    <w:p w14:paraId="5AC557D9" w14:textId="77777777" w:rsidR="002C06EA" w:rsidRDefault="002C06EA" w:rsidP="00ED315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E6CA5"/>
    <w:multiLevelType w:val="multilevel"/>
    <w:tmpl w:val="9DF8C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7406B"/>
    <w:multiLevelType w:val="hybridMultilevel"/>
    <w:tmpl w:val="142C2DF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2" w15:restartNumberingAfterBreak="0">
    <w:nsid w:val="063A0D55"/>
    <w:multiLevelType w:val="hybridMultilevel"/>
    <w:tmpl w:val="760648E0"/>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3" w15:restartNumberingAfterBreak="0">
    <w:nsid w:val="0EAE5E36"/>
    <w:multiLevelType w:val="multilevel"/>
    <w:tmpl w:val="0C7AE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BB5ADD"/>
    <w:multiLevelType w:val="multilevel"/>
    <w:tmpl w:val="25B277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8675B95"/>
    <w:multiLevelType w:val="multilevel"/>
    <w:tmpl w:val="65E6B9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BE72FE"/>
    <w:multiLevelType w:val="multilevel"/>
    <w:tmpl w:val="40985D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8C720D"/>
    <w:multiLevelType w:val="multilevel"/>
    <w:tmpl w:val="490CC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533393"/>
    <w:multiLevelType w:val="multilevel"/>
    <w:tmpl w:val="82B28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15665CD"/>
    <w:multiLevelType w:val="multilevel"/>
    <w:tmpl w:val="59D6C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B1657A"/>
    <w:multiLevelType w:val="multilevel"/>
    <w:tmpl w:val="99D65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1FD3BF6"/>
    <w:multiLevelType w:val="hybridMultilevel"/>
    <w:tmpl w:val="15C46F2A"/>
    <w:lvl w:ilvl="0" w:tplc="48090001">
      <w:start w:val="1"/>
      <w:numFmt w:val="bullet"/>
      <w:lvlText w:val=""/>
      <w:lvlJc w:val="left"/>
      <w:pPr>
        <w:ind w:left="720" w:hanging="360"/>
      </w:pPr>
      <w:rPr>
        <w:rFonts w:ascii="Symbol" w:hAnsi="Symbol" w:hint="default"/>
      </w:rPr>
    </w:lvl>
    <w:lvl w:ilvl="1" w:tplc="48090003" w:tentative="1">
      <w:start w:val="1"/>
      <w:numFmt w:val="bullet"/>
      <w:lvlText w:val="o"/>
      <w:lvlJc w:val="left"/>
      <w:pPr>
        <w:ind w:left="1440" w:hanging="360"/>
      </w:pPr>
      <w:rPr>
        <w:rFonts w:ascii="Courier New" w:hAnsi="Courier New" w:cs="Courier New" w:hint="default"/>
      </w:rPr>
    </w:lvl>
    <w:lvl w:ilvl="2" w:tplc="48090005" w:tentative="1">
      <w:start w:val="1"/>
      <w:numFmt w:val="bullet"/>
      <w:lvlText w:val=""/>
      <w:lvlJc w:val="left"/>
      <w:pPr>
        <w:ind w:left="2160" w:hanging="360"/>
      </w:pPr>
      <w:rPr>
        <w:rFonts w:ascii="Wingdings" w:hAnsi="Wingdings" w:hint="default"/>
      </w:rPr>
    </w:lvl>
    <w:lvl w:ilvl="3" w:tplc="48090001" w:tentative="1">
      <w:start w:val="1"/>
      <w:numFmt w:val="bullet"/>
      <w:lvlText w:val=""/>
      <w:lvlJc w:val="left"/>
      <w:pPr>
        <w:ind w:left="2880" w:hanging="360"/>
      </w:pPr>
      <w:rPr>
        <w:rFonts w:ascii="Symbol" w:hAnsi="Symbol" w:hint="default"/>
      </w:rPr>
    </w:lvl>
    <w:lvl w:ilvl="4" w:tplc="48090003" w:tentative="1">
      <w:start w:val="1"/>
      <w:numFmt w:val="bullet"/>
      <w:lvlText w:val="o"/>
      <w:lvlJc w:val="left"/>
      <w:pPr>
        <w:ind w:left="3600" w:hanging="360"/>
      </w:pPr>
      <w:rPr>
        <w:rFonts w:ascii="Courier New" w:hAnsi="Courier New" w:cs="Courier New" w:hint="default"/>
      </w:rPr>
    </w:lvl>
    <w:lvl w:ilvl="5" w:tplc="48090005" w:tentative="1">
      <w:start w:val="1"/>
      <w:numFmt w:val="bullet"/>
      <w:lvlText w:val=""/>
      <w:lvlJc w:val="left"/>
      <w:pPr>
        <w:ind w:left="4320" w:hanging="360"/>
      </w:pPr>
      <w:rPr>
        <w:rFonts w:ascii="Wingdings" w:hAnsi="Wingdings" w:hint="default"/>
      </w:rPr>
    </w:lvl>
    <w:lvl w:ilvl="6" w:tplc="48090001" w:tentative="1">
      <w:start w:val="1"/>
      <w:numFmt w:val="bullet"/>
      <w:lvlText w:val=""/>
      <w:lvlJc w:val="left"/>
      <w:pPr>
        <w:ind w:left="5040" w:hanging="360"/>
      </w:pPr>
      <w:rPr>
        <w:rFonts w:ascii="Symbol" w:hAnsi="Symbol" w:hint="default"/>
      </w:rPr>
    </w:lvl>
    <w:lvl w:ilvl="7" w:tplc="48090003" w:tentative="1">
      <w:start w:val="1"/>
      <w:numFmt w:val="bullet"/>
      <w:lvlText w:val="o"/>
      <w:lvlJc w:val="left"/>
      <w:pPr>
        <w:ind w:left="5760" w:hanging="360"/>
      </w:pPr>
      <w:rPr>
        <w:rFonts w:ascii="Courier New" w:hAnsi="Courier New" w:cs="Courier New" w:hint="default"/>
      </w:rPr>
    </w:lvl>
    <w:lvl w:ilvl="8" w:tplc="48090005" w:tentative="1">
      <w:start w:val="1"/>
      <w:numFmt w:val="bullet"/>
      <w:lvlText w:val=""/>
      <w:lvlJc w:val="left"/>
      <w:pPr>
        <w:ind w:left="6480" w:hanging="360"/>
      </w:pPr>
      <w:rPr>
        <w:rFonts w:ascii="Wingdings" w:hAnsi="Wingdings" w:hint="default"/>
      </w:rPr>
    </w:lvl>
  </w:abstractNum>
  <w:abstractNum w:abstractNumId="12" w15:restartNumberingAfterBreak="0">
    <w:nsid w:val="73A014B0"/>
    <w:multiLevelType w:val="multilevel"/>
    <w:tmpl w:val="AD96E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8573058">
    <w:abstractNumId w:val="6"/>
  </w:num>
  <w:num w:numId="2" w16cid:durableId="450130995">
    <w:abstractNumId w:val="7"/>
  </w:num>
  <w:num w:numId="3" w16cid:durableId="331950384">
    <w:abstractNumId w:val="3"/>
  </w:num>
  <w:num w:numId="4" w16cid:durableId="1520852473">
    <w:abstractNumId w:val="8"/>
  </w:num>
  <w:num w:numId="5" w16cid:durableId="757559206">
    <w:abstractNumId w:val="9"/>
  </w:num>
  <w:num w:numId="6" w16cid:durableId="2068602437">
    <w:abstractNumId w:val="0"/>
  </w:num>
  <w:num w:numId="7" w16cid:durableId="559829356">
    <w:abstractNumId w:val="5"/>
  </w:num>
  <w:num w:numId="8" w16cid:durableId="965038769">
    <w:abstractNumId w:val="12"/>
  </w:num>
  <w:num w:numId="9" w16cid:durableId="114638851">
    <w:abstractNumId w:val="4"/>
  </w:num>
  <w:num w:numId="10" w16cid:durableId="779032371">
    <w:abstractNumId w:val="10"/>
  </w:num>
  <w:num w:numId="11" w16cid:durableId="105273002">
    <w:abstractNumId w:val="2"/>
  </w:num>
  <w:num w:numId="12" w16cid:durableId="1474835024">
    <w:abstractNumId w:val="11"/>
  </w:num>
  <w:num w:numId="13" w16cid:durableId="12650674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799"/>
    <w:rsid w:val="00013594"/>
    <w:rsid w:val="00071945"/>
    <w:rsid w:val="00090E6D"/>
    <w:rsid w:val="000B2E1F"/>
    <w:rsid w:val="000D4AF1"/>
    <w:rsid w:val="001016BD"/>
    <w:rsid w:val="00101ECB"/>
    <w:rsid w:val="00145A72"/>
    <w:rsid w:val="00174A64"/>
    <w:rsid w:val="001A0EE4"/>
    <w:rsid w:val="001C1449"/>
    <w:rsid w:val="002568F5"/>
    <w:rsid w:val="002C06EA"/>
    <w:rsid w:val="002C7E4A"/>
    <w:rsid w:val="002E50EA"/>
    <w:rsid w:val="00315A36"/>
    <w:rsid w:val="00327BAC"/>
    <w:rsid w:val="00347096"/>
    <w:rsid w:val="003611A6"/>
    <w:rsid w:val="00404011"/>
    <w:rsid w:val="00406C75"/>
    <w:rsid w:val="00407DD4"/>
    <w:rsid w:val="00437D4F"/>
    <w:rsid w:val="00521927"/>
    <w:rsid w:val="00566DEB"/>
    <w:rsid w:val="006224F7"/>
    <w:rsid w:val="0064770F"/>
    <w:rsid w:val="006547E1"/>
    <w:rsid w:val="006A3340"/>
    <w:rsid w:val="006D45F7"/>
    <w:rsid w:val="00736CED"/>
    <w:rsid w:val="00744188"/>
    <w:rsid w:val="00750004"/>
    <w:rsid w:val="00784DDC"/>
    <w:rsid w:val="007A0EA5"/>
    <w:rsid w:val="007A3665"/>
    <w:rsid w:val="007D0D38"/>
    <w:rsid w:val="007F4283"/>
    <w:rsid w:val="00817077"/>
    <w:rsid w:val="00842B58"/>
    <w:rsid w:val="008A0936"/>
    <w:rsid w:val="008C3D9F"/>
    <w:rsid w:val="008D319D"/>
    <w:rsid w:val="008E2615"/>
    <w:rsid w:val="009673F6"/>
    <w:rsid w:val="009835EE"/>
    <w:rsid w:val="009F5BA0"/>
    <w:rsid w:val="00A31C41"/>
    <w:rsid w:val="00A3366E"/>
    <w:rsid w:val="00AE2799"/>
    <w:rsid w:val="00B41D4F"/>
    <w:rsid w:val="00B472FC"/>
    <w:rsid w:val="00BC0277"/>
    <w:rsid w:val="00BC2EB3"/>
    <w:rsid w:val="00C07EB1"/>
    <w:rsid w:val="00C61767"/>
    <w:rsid w:val="00C902C3"/>
    <w:rsid w:val="00CA5541"/>
    <w:rsid w:val="00CC06C5"/>
    <w:rsid w:val="00CE7D88"/>
    <w:rsid w:val="00CF5947"/>
    <w:rsid w:val="00D471B1"/>
    <w:rsid w:val="00D76EDA"/>
    <w:rsid w:val="00DE0294"/>
    <w:rsid w:val="00E23DD4"/>
    <w:rsid w:val="00E31704"/>
    <w:rsid w:val="00E54FFA"/>
    <w:rsid w:val="00E63C59"/>
    <w:rsid w:val="00E73F4C"/>
    <w:rsid w:val="00E82FBF"/>
    <w:rsid w:val="00EA0784"/>
    <w:rsid w:val="00ED315D"/>
    <w:rsid w:val="00EF0F1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6493E"/>
  <w15:chartTrackingRefBased/>
  <w15:docId w15:val="{0E65BE48-6D2B-4480-B3ED-6E660CF16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before="12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D9F"/>
    <w:rPr>
      <w:rFonts w:ascii="Calibri" w:hAnsi="Calibri"/>
      <w:sz w:val="24"/>
    </w:rPr>
  </w:style>
  <w:style w:type="paragraph" w:styleId="Heading1">
    <w:name w:val="heading 1"/>
    <w:basedOn w:val="Normal"/>
    <w:next w:val="Normal"/>
    <w:link w:val="Heading1Char"/>
    <w:uiPriority w:val="9"/>
    <w:qFormat/>
    <w:rsid w:val="001016BD"/>
    <w:pPr>
      <w:keepNext/>
      <w:keepLines/>
      <w:spacing w:line="240" w:lineRule="auto"/>
      <w:outlineLvl w:val="0"/>
    </w:pPr>
    <w:rPr>
      <w:rFonts w:ascii="Aptos" w:eastAsiaTheme="majorEastAsia" w:hAnsi="Aptos" w:cstheme="majorBidi"/>
      <w:b/>
      <w:szCs w:val="32"/>
    </w:rPr>
  </w:style>
  <w:style w:type="paragraph" w:styleId="Heading2">
    <w:name w:val="heading 2"/>
    <w:basedOn w:val="Normal"/>
    <w:next w:val="Normal"/>
    <w:link w:val="Heading2Char"/>
    <w:uiPriority w:val="9"/>
    <w:unhideWhenUsed/>
    <w:qFormat/>
    <w:rsid w:val="00C61767"/>
    <w:pPr>
      <w:keepNext/>
      <w:keepLines/>
      <w:spacing w:before="40" w:after="0"/>
      <w:outlineLvl w:val="1"/>
    </w:pPr>
    <w:rPr>
      <w:rFonts w:eastAsiaTheme="majorEastAsia" w:cstheme="majorBidi"/>
      <w:b/>
      <w:i/>
      <w:sz w:val="26"/>
      <w:szCs w:val="26"/>
    </w:rPr>
  </w:style>
  <w:style w:type="paragraph" w:styleId="Heading3">
    <w:name w:val="heading 3"/>
    <w:basedOn w:val="Normal"/>
    <w:next w:val="Normal"/>
    <w:link w:val="Heading3Char"/>
    <w:uiPriority w:val="9"/>
    <w:unhideWhenUsed/>
    <w:qFormat/>
    <w:rsid w:val="00BC0277"/>
    <w:pPr>
      <w:keepNext/>
      <w:keepLines/>
      <w:spacing w:before="40" w:after="0"/>
      <w:outlineLvl w:val="2"/>
    </w:pPr>
    <w:rPr>
      <w:rFonts w:eastAsiaTheme="majorEastAsia" w:cstheme="majorBidi"/>
      <w:b/>
      <w:i/>
      <w:szCs w:val="24"/>
    </w:rPr>
  </w:style>
  <w:style w:type="paragraph" w:styleId="Heading4">
    <w:name w:val="heading 4"/>
    <w:basedOn w:val="Normal"/>
    <w:next w:val="Normal"/>
    <w:link w:val="Heading4Char"/>
    <w:uiPriority w:val="9"/>
    <w:unhideWhenUsed/>
    <w:qFormat/>
    <w:rsid w:val="00784DDC"/>
    <w:pPr>
      <w:keepNext/>
      <w:keepLines/>
      <w:spacing w:before="80" w:after="40"/>
      <w:outlineLvl w:val="3"/>
    </w:pPr>
    <w:rPr>
      <w:rFonts w:eastAsiaTheme="majorEastAsia" w:cstheme="majorBidi"/>
      <w:b/>
      <w:i/>
      <w:iCs/>
    </w:rPr>
  </w:style>
  <w:style w:type="paragraph" w:styleId="Heading5">
    <w:name w:val="heading 5"/>
    <w:basedOn w:val="Normal"/>
    <w:next w:val="Normal"/>
    <w:link w:val="Heading5Char"/>
    <w:uiPriority w:val="9"/>
    <w:semiHidden/>
    <w:unhideWhenUsed/>
    <w:qFormat/>
    <w:rsid w:val="00AE279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E279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E279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E2799"/>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E2799"/>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16BD"/>
    <w:rPr>
      <w:rFonts w:ascii="Aptos" w:eastAsiaTheme="majorEastAsia" w:hAnsi="Aptos" w:cstheme="majorBidi"/>
      <w:b/>
      <w:sz w:val="24"/>
      <w:szCs w:val="32"/>
    </w:rPr>
  </w:style>
  <w:style w:type="character" w:customStyle="1" w:styleId="Heading2Char">
    <w:name w:val="Heading 2 Char"/>
    <w:basedOn w:val="DefaultParagraphFont"/>
    <w:link w:val="Heading2"/>
    <w:uiPriority w:val="9"/>
    <w:rsid w:val="00C61767"/>
    <w:rPr>
      <w:rFonts w:ascii="Times New Roman" w:eastAsiaTheme="majorEastAsia" w:hAnsi="Times New Roman" w:cstheme="majorBidi"/>
      <w:b/>
      <w:i/>
      <w:sz w:val="26"/>
      <w:szCs w:val="26"/>
    </w:rPr>
  </w:style>
  <w:style w:type="character" w:customStyle="1" w:styleId="Heading3Char">
    <w:name w:val="Heading 3 Char"/>
    <w:basedOn w:val="DefaultParagraphFont"/>
    <w:link w:val="Heading3"/>
    <w:uiPriority w:val="9"/>
    <w:rsid w:val="00BC0277"/>
    <w:rPr>
      <w:rFonts w:ascii="Times New Roman" w:eastAsiaTheme="majorEastAsia" w:hAnsi="Times New Roman" w:cstheme="majorBidi"/>
      <w:b/>
      <w:i/>
      <w:sz w:val="24"/>
      <w:szCs w:val="24"/>
    </w:rPr>
  </w:style>
  <w:style w:type="character" w:customStyle="1" w:styleId="Heading4Char">
    <w:name w:val="Heading 4 Char"/>
    <w:basedOn w:val="DefaultParagraphFont"/>
    <w:link w:val="Heading4"/>
    <w:uiPriority w:val="9"/>
    <w:rsid w:val="00784DDC"/>
    <w:rPr>
      <w:rFonts w:ascii="Times New Roman" w:eastAsiaTheme="majorEastAsia" w:hAnsi="Times New Roman" w:cstheme="majorBidi"/>
      <w:b/>
      <w:i/>
      <w:iCs/>
      <w:sz w:val="24"/>
    </w:rPr>
  </w:style>
  <w:style w:type="paragraph" w:styleId="TOC1">
    <w:name w:val="toc 1"/>
    <w:basedOn w:val="Normal"/>
    <w:next w:val="Normal"/>
    <w:autoRedefine/>
    <w:uiPriority w:val="39"/>
    <w:unhideWhenUsed/>
    <w:rsid w:val="00145A72"/>
    <w:pPr>
      <w:spacing w:after="100"/>
    </w:pPr>
    <w:rPr>
      <w:color w:val="000000" w:themeColor="text1"/>
    </w:rPr>
  </w:style>
  <w:style w:type="paragraph" w:customStyle="1" w:styleId="Style1">
    <w:name w:val="Style1"/>
    <w:basedOn w:val="TOCHeading"/>
    <w:link w:val="Style1Char"/>
    <w:rsid w:val="00327BAC"/>
    <w:rPr>
      <w:rFonts w:ascii="Times New Roman" w:hAnsi="Times New Roman"/>
      <w:b/>
      <w:color w:val="000000" w:themeColor="text1"/>
      <w:kern w:val="0"/>
      <w:sz w:val="28"/>
      <w:lang w:val="en-US"/>
      <w14:ligatures w14:val="none"/>
    </w:rPr>
  </w:style>
  <w:style w:type="character" w:customStyle="1" w:styleId="Style1Char">
    <w:name w:val="Style1 Char"/>
    <w:basedOn w:val="DefaultParagraphFont"/>
    <w:link w:val="Style1"/>
    <w:rsid w:val="00327BAC"/>
    <w:rPr>
      <w:rFonts w:ascii="Times New Roman" w:eastAsiaTheme="majorEastAsia" w:hAnsi="Times New Roman" w:cstheme="majorBidi"/>
      <w:b/>
      <w:color w:val="000000" w:themeColor="text1"/>
      <w:kern w:val="0"/>
      <w:sz w:val="28"/>
      <w:szCs w:val="32"/>
      <w:lang w:val="en-US"/>
      <w14:ligatures w14:val="none"/>
    </w:rPr>
  </w:style>
  <w:style w:type="paragraph" w:styleId="TOCHeading">
    <w:name w:val="TOC Heading"/>
    <w:basedOn w:val="Heading1"/>
    <w:next w:val="Normal"/>
    <w:uiPriority w:val="39"/>
    <w:unhideWhenUsed/>
    <w:qFormat/>
    <w:rsid w:val="00327BAC"/>
    <w:pPr>
      <w:outlineLvl w:val="9"/>
    </w:pPr>
    <w:rPr>
      <w:rFonts w:asciiTheme="majorHAnsi" w:hAnsiTheme="majorHAnsi"/>
      <w:b w:val="0"/>
      <w:color w:val="2F5496" w:themeColor="accent1" w:themeShade="BF"/>
      <w:sz w:val="32"/>
    </w:rPr>
  </w:style>
  <w:style w:type="paragraph" w:customStyle="1" w:styleId="H">
    <w:name w:val="H"/>
    <w:basedOn w:val="Heading1"/>
    <w:link w:val="HChar"/>
    <w:rsid w:val="009835EE"/>
    <w:rPr>
      <w:b w:val="0"/>
      <w:color w:val="000000" w:themeColor="text1"/>
      <w:kern w:val="0"/>
      <w:lang w:val="en-US"/>
      <w14:ligatures w14:val="none"/>
    </w:rPr>
  </w:style>
  <w:style w:type="character" w:customStyle="1" w:styleId="HChar">
    <w:name w:val="H Char"/>
    <w:basedOn w:val="DefaultParagraphFont"/>
    <w:link w:val="H"/>
    <w:rsid w:val="009835EE"/>
    <w:rPr>
      <w:rFonts w:ascii="Times New Roman" w:eastAsiaTheme="majorEastAsia" w:hAnsi="Times New Roman" w:cstheme="majorBidi"/>
      <w:color w:val="000000" w:themeColor="text1"/>
      <w:kern w:val="0"/>
      <w:sz w:val="28"/>
      <w:szCs w:val="32"/>
      <w:lang w:val="en-US"/>
      <w14:ligatures w14:val="none"/>
    </w:rPr>
  </w:style>
  <w:style w:type="character" w:customStyle="1" w:styleId="Heading5Char">
    <w:name w:val="Heading 5 Char"/>
    <w:basedOn w:val="DefaultParagraphFont"/>
    <w:link w:val="Heading5"/>
    <w:uiPriority w:val="9"/>
    <w:semiHidden/>
    <w:rsid w:val="00AE2799"/>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AE2799"/>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AE2799"/>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AE2799"/>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AE2799"/>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AE2799"/>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7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79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7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79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E2799"/>
    <w:rPr>
      <w:rFonts w:ascii="Times New Roman" w:hAnsi="Times New Roman"/>
      <w:i/>
      <w:iCs/>
      <w:color w:val="404040" w:themeColor="text1" w:themeTint="BF"/>
      <w:sz w:val="24"/>
    </w:rPr>
  </w:style>
  <w:style w:type="paragraph" w:styleId="ListParagraph">
    <w:name w:val="List Paragraph"/>
    <w:basedOn w:val="Normal"/>
    <w:uiPriority w:val="34"/>
    <w:qFormat/>
    <w:rsid w:val="00AE2799"/>
    <w:pPr>
      <w:ind w:left="720"/>
      <w:contextualSpacing/>
    </w:pPr>
  </w:style>
  <w:style w:type="character" w:styleId="IntenseEmphasis">
    <w:name w:val="Intense Emphasis"/>
    <w:basedOn w:val="DefaultParagraphFont"/>
    <w:uiPriority w:val="21"/>
    <w:qFormat/>
    <w:rsid w:val="00AE2799"/>
    <w:rPr>
      <w:i/>
      <w:iCs/>
      <w:color w:val="2F5496" w:themeColor="accent1" w:themeShade="BF"/>
    </w:rPr>
  </w:style>
  <w:style w:type="paragraph" w:styleId="IntenseQuote">
    <w:name w:val="Intense Quote"/>
    <w:basedOn w:val="Normal"/>
    <w:next w:val="Normal"/>
    <w:link w:val="IntenseQuoteChar"/>
    <w:uiPriority w:val="30"/>
    <w:qFormat/>
    <w:rsid w:val="00AE279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E2799"/>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AE2799"/>
    <w:rPr>
      <w:b/>
      <w:bCs/>
      <w:smallCaps/>
      <w:color w:val="2F5496" w:themeColor="accent1" w:themeShade="BF"/>
      <w:spacing w:val="5"/>
    </w:rPr>
  </w:style>
  <w:style w:type="paragraph" w:styleId="NoSpacing">
    <w:name w:val="No Spacing"/>
    <w:uiPriority w:val="1"/>
    <w:qFormat/>
    <w:rsid w:val="001C1449"/>
    <w:pPr>
      <w:spacing w:before="0" w:after="0" w:line="240" w:lineRule="auto"/>
    </w:pPr>
    <w:rPr>
      <w:rFonts w:ascii="Calibri" w:hAnsi="Calibri"/>
      <w:sz w:val="24"/>
    </w:rPr>
  </w:style>
  <w:style w:type="table" w:styleId="PlainTable1">
    <w:name w:val="Plain Table 1"/>
    <w:basedOn w:val="TableNormal"/>
    <w:uiPriority w:val="41"/>
    <w:rsid w:val="00E82FB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
    <w:name w:val="Table Grid"/>
    <w:basedOn w:val="TableNormal"/>
    <w:uiPriority w:val="39"/>
    <w:rsid w:val="00E82FB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2FBF"/>
    <w:rPr>
      <w:b/>
      <w:bCs/>
    </w:rPr>
  </w:style>
  <w:style w:type="paragraph" w:styleId="NormalWeb">
    <w:name w:val="Normal (Web)"/>
    <w:basedOn w:val="Normal"/>
    <w:uiPriority w:val="99"/>
    <w:semiHidden/>
    <w:unhideWhenUsed/>
    <w:rsid w:val="00101ECB"/>
    <w:rPr>
      <w:rFonts w:ascii="Times New Roman" w:hAnsi="Times New Roman" w:cs="Times New Roman"/>
      <w:szCs w:val="24"/>
    </w:rPr>
  </w:style>
  <w:style w:type="paragraph" w:styleId="Header">
    <w:name w:val="header"/>
    <w:basedOn w:val="Normal"/>
    <w:link w:val="HeaderChar"/>
    <w:uiPriority w:val="99"/>
    <w:unhideWhenUsed/>
    <w:rsid w:val="00ED315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ED315D"/>
    <w:rPr>
      <w:rFonts w:ascii="Calibri" w:hAnsi="Calibri"/>
      <w:sz w:val="24"/>
    </w:rPr>
  </w:style>
  <w:style w:type="paragraph" w:styleId="Footer">
    <w:name w:val="footer"/>
    <w:basedOn w:val="Normal"/>
    <w:link w:val="FooterChar"/>
    <w:uiPriority w:val="99"/>
    <w:unhideWhenUsed/>
    <w:rsid w:val="00ED315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ED315D"/>
    <w:rPr>
      <w:rFonts w:ascii="Calibri" w:hAnsi="Calibri"/>
      <w:sz w:val="24"/>
    </w:rPr>
  </w:style>
  <w:style w:type="paragraph" w:styleId="TOC2">
    <w:name w:val="toc 2"/>
    <w:basedOn w:val="Normal"/>
    <w:next w:val="Normal"/>
    <w:autoRedefine/>
    <w:uiPriority w:val="39"/>
    <w:unhideWhenUsed/>
    <w:rsid w:val="00A31C41"/>
    <w:pPr>
      <w:spacing w:after="100"/>
      <w:ind w:left="240"/>
    </w:pPr>
  </w:style>
  <w:style w:type="character" w:styleId="Hyperlink">
    <w:name w:val="Hyperlink"/>
    <w:basedOn w:val="DefaultParagraphFont"/>
    <w:uiPriority w:val="99"/>
    <w:unhideWhenUsed/>
    <w:rsid w:val="00A31C4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87309-577A-4B0A-8E9E-2920E4A9AE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1891</Words>
  <Characters>10782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Lidia Antonache (2025569)</cp:lastModifiedBy>
  <cp:revision>2</cp:revision>
  <dcterms:created xsi:type="dcterms:W3CDTF">2026-04-28T18:29:00Z</dcterms:created>
  <dcterms:modified xsi:type="dcterms:W3CDTF">2026-04-28T18:29:00Z</dcterms:modified>
</cp:coreProperties>
</file>