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B1E169E" w:rsidR="7908378C" w:rsidRDefault="7908378C" w:rsidP="33572C6E">
            <w:pPr>
              <w:ind w:right="237"/>
              <w:rPr>
                <w:b/>
                <w:bCs/>
                <w:color w:val="auto"/>
                <w:sz w:val="32"/>
                <w:szCs w:val="32"/>
              </w:rPr>
            </w:pPr>
            <w:r w:rsidRPr="33572C6E">
              <w:rPr>
                <w:b/>
                <w:bCs/>
                <w:color w:val="auto"/>
                <w:sz w:val="32"/>
                <w:szCs w:val="32"/>
              </w:rPr>
              <w:t xml:space="preserve">Learner name: </w:t>
            </w:r>
            <w:r w:rsidR="00BB50C6">
              <w:rPr>
                <w:b/>
                <w:bCs/>
                <w:color w:val="auto"/>
                <w:sz w:val="32"/>
                <w:szCs w:val="32"/>
              </w:rPr>
              <w:t>Alice Newton</w:t>
            </w:r>
          </w:p>
          <w:p w14:paraId="3A3A802D" w14:textId="77777777" w:rsidR="33572C6E" w:rsidRDefault="33572C6E" w:rsidP="33572C6E">
            <w:pPr>
              <w:ind w:right="237"/>
              <w:rPr>
                <w:b/>
                <w:bCs/>
                <w:color w:val="auto"/>
                <w:sz w:val="32"/>
                <w:szCs w:val="32"/>
              </w:rPr>
            </w:pPr>
          </w:p>
          <w:p w14:paraId="7883A53E" w14:textId="374A8E08" w:rsidR="7908378C" w:rsidRDefault="7908378C" w:rsidP="33572C6E">
            <w:pPr>
              <w:ind w:right="237"/>
              <w:rPr>
                <w:b/>
                <w:bCs/>
                <w:color w:val="auto"/>
                <w:sz w:val="32"/>
                <w:szCs w:val="32"/>
              </w:rPr>
            </w:pPr>
            <w:r w:rsidRPr="33572C6E">
              <w:rPr>
                <w:b/>
                <w:bCs/>
                <w:color w:val="auto"/>
                <w:sz w:val="32"/>
                <w:szCs w:val="32"/>
              </w:rPr>
              <w:t>Learner’s University Registration Number:</w:t>
            </w:r>
            <w:r w:rsidR="00BB50C6">
              <w:rPr>
                <w:b/>
                <w:bCs/>
                <w:color w:val="auto"/>
                <w:sz w:val="32"/>
                <w:szCs w:val="32"/>
              </w:rPr>
              <w:t xml:space="preserve"> 231</w:t>
            </w:r>
            <w:r w:rsidR="00D43FB7">
              <w:rPr>
                <w:b/>
                <w:bCs/>
                <w:color w:val="auto"/>
                <w:sz w:val="32"/>
                <w:szCs w:val="32"/>
              </w:rPr>
              <w:t>9931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60DBF055"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b/>
          <w:bCs/>
          <w:color w:val="auto"/>
          <w:kern w:val="2"/>
          <w:sz w:val="24"/>
          <w:szCs w:val="24"/>
          <w:lang w:eastAsia="en-US"/>
          <w14:ligatures w14:val="standardContextual"/>
        </w:rPr>
      </w:pPr>
    </w:p>
    <w:p w14:paraId="709FD15B"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In this essay I will define what is meant by vulnerability and use a policing incident in which I was involved, to critically evaluate the appropriateness of both police and professional support and management approaches in relation to vulnerable people through Gibbs reflective cycle. In addition to this, I will explore methods of tackling repeat victimisation and the necessity for their implementation.</w:t>
      </w:r>
    </w:p>
    <w:p w14:paraId="3E2F8027"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3F5427D1"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Vulnerability can be understood as a state when an individual is unable to safeguard themselves or others from harm or maltreatment due to their personal circumstances (College of Policing, 2021). This state is </w:t>
      </w:r>
      <w:proofErr w:type="gramStart"/>
      <w:r w:rsidRPr="00D43FB7">
        <w:rPr>
          <w:rFonts w:ascii="Aptos" w:eastAsia="Aptos" w:hAnsi="Aptos" w:cs="Times New Roman"/>
          <w:color w:val="auto"/>
          <w:kern w:val="2"/>
          <w:sz w:val="24"/>
          <w:szCs w:val="24"/>
          <w:lang w:eastAsia="en-US"/>
          <w14:ligatures w14:val="standardContextual"/>
        </w:rPr>
        <w:t>fluid</w:t>
      </w:r>
      <w:proofErr w:type="gramEnd"/>
      <w:r w:rsidRPr="00D43FB7">
        <w:rPr>
          <w:rFonts w:ascii="Aptos" w:eastAsia="Aptos" w:hAnsi="Aptos" w:cs="Times New Roman"/>
          <w:color w:val="auto"/>
          <w:kern w:val="2"/>
          <w:sz w:val="24"/>
          <w:szCs w:val="24"/>
          <w:lang w:eastAsia="en-US"/>
          <w14:ligatures w14:val="standardContextual"/>
        </w:rPr>
        <w:t xml:space="preserve"> and vulnerability can heighten or dimmish at any given point due to a change in circumstances (Williams, 2023). </w:t>
      </w:r>
    </w:p>
    <w:p w14:paraId="1A8859FD"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BF10950"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Vulnerability can present in a variety of personal areas including, but not limited to, emotionally, physically, mentally and financially. Due to their vulnerability the individual needs assistance or safeguarding (Williams, 2023). This is where the police service and other agencies are required to meet the individual’s needs that they cannot </w:t>
      </w:r>
      <w:r w:rsidRPr="00D43FB7">
        <w:rPr>
          <w:rFonts w:ascii="Aptos" w:eastAsia="Aptos" w:hAnsi="Aptos" w:cs="Times New Roman"/>
          <w:color w:val="auto"/>
          <w:kern w:val="2"/>
          <w:sz w:val="24"/>
          <w:szCs w:val="24"/>
          <w:lang w:eastAsia="en-US"/>
          <w14:ligatures w14:val="standardContextual"/>
        </w:rPr>
        <w:lastRenderedPageBreak/>
        <w:t>meet themselves. The absence of this assistance may result in the individual being left susceptible to harm.</w:t>
      </w:r>
    </w:p>
    <w:p w14:paraId="68FF2A10"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1FFD8626"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In this essay the policing incident that I will be critically evaluating was initially detailed as an ongoing domestic disturbance, with limited details of a distressed female caller who was reluctant to speak. </w:t>
      </w:r>
    </w:p>
    <w:p w14:paraId="5C102D94"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3B1756F"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On attendance at the incident there were no signs of a disturbance inside of the address and I have identified a female who presented very withdrawn and emotional. A male was also located within the address, however in comparison he presented very confident and arrogant in his demeanour towards </w:t>
      </w:r>
      <w:proofErr w:type="gramStart"/>
      <w:r w:rsidRPr="00D43FB7">
        <w:rPr>
          <w:rFonts w:ascii="Aptos" w:eastAsia="Aptos" w:hAnsi="Aptos" w:cs="Times New Roman"/>
          <w:color w:val="auto"/>
          <w:kern w:val="2"/>
          <w:sz w:val="24"/>
          <w:szCs w:val="24"/>
          <w:lang w:eastAsia="en-US"/>
          <w14:ligatures w14:val="standardContextual"/>
        </w:rPr>
        <w:t>myself</w:t>
      </w:r>
      <w:proofErr w:type="gramEnd"/>
      <w:r w:rsidRPr="00D43FB7">
        <w:rPr>
          <w:rFonts w:ascii="Aptos" w:eastAsia="Aptos" w:hAnsi="Aptos" w:cs="Times New Roman"/>
          <w:color w:val="auto"/>
          <w:kern w:val="2"/>
          <w:sz w:val="24"/>
          <w:szCs w:val="24"/>
          <w:lang w:eastAsia="en-US"/>
          <w14:ligatures w14:val="standardContextual"/>
        </w:rPr>
        <w:t xml:space="preserve">, other officers and the female. </w:t>
      </w:r>
    </w:p>
    <w:p w14:paraId="79F30806"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B87D32D"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Through engaging with the female multiple injuries were identified on her body and she disclosed that these had been cause by the male. Further to this, concerns were raised regarding the male’s behaviour and attitude towards the female. Through this, aspects of coercive and controlling behaviour began to be highlighted.  </w:t>
      </w:r>
    </w:p>
    <w:p w14:paraId="24BD4F13"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0D8F4AC5"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Coercive control is defined within section 76 of the Serious Crime Act 2015, which states, </w:t>
      </w:r>
    </w:p>
    <w:p w14:paraId="4D342A41"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‘(1)A person (A) commits an offence if—</w:t>
      </w:r>
    </w:p>
    <w:p w14:paraId="6545CC6A"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(a)A repeatedly or continuously engages in behaviour towards another person (B) that is controlling or coercive,</w:t>
      </w:r>
    </w:p>
    <w:p w14:paraId="41BFDF51"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(b)at the time of the behaviour, A and B are personally connected</w:t>
      </w:r>
    </w:p>
    <w:p w14:paraId="78E6F3F9"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(c)the behaviour has a serious effect on B, and</w:t>
      </w:r>
    </w:p>
    <w:p w14:paraId="4F2A9795"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(d)A knows or ought to know that the behaviour will have a serious effect on B.’ (legislation.gov.uk, 2015).</w:t>
      </w:r>
    </w:p>
    <w:p w14:paraId="30062059"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613BB6A" w14:textId="3AC6F07A"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Coercive control is a course of prolonged behaviour, that aims to significantly impact the behaviour of another person, to whom the aggressor is personally associated to. Coercvie control has many impacts on the victim, including isolation and fear (Myhill and Hohl, 2019). The oppressive and manipulative nature of coercive control often extends across all aspects of the victims’ life having an emotional, financial, physical, sexual and psychological impact on them. The </w:t>
      </w:r>
      <w:r w:rsidRPr="00A63105">
        <w:rPr>
          <w:rFonts w:ascii="Aptos" w:eastAsia="Aptos" w:hAnsi="Aptos" w:cs="Times New Roman"/>
          <w:color w:val="auto"/>
          <w:kern w:val="2"/>
          <w:sz w:val="24"/>
          <w:szCs w:val="24"/>
          <w:lang w:eastAsia="en-US"/>
          <w14:ligatures w14:val="standardContextual"/>
        </w:rPr>
        <w:t>widespread</w:t>
      </w:r>
      <w:r w:rsidRPr="00D43FB7">
        <w:rPr>
          <w:rFonts w:ascii="Aptos" w:eastAsia="Aptos" w:hAnsi="Aptos" w:cs="Times New Roman"/>
          <w:color w:val="auto"/>
          <w:kern w:val="2"/>
          <w:sz w:val="24"/>
          <w:szCs w:val="24"/>
          <w:lang w:eastAsia="en-US"/>
          <w14:ligatures w14:val="standardContextual"/>
        </w:rPr>
        <w:t xml:space="preserve"> impact often results in the victim becoming trapped and seemingly helpless in their situation. This </w:t>
      </w:r>
      <w:r w:rsidRPr="00D43FB7">
        <w:rPr>
          <w:rFonts w:ascii="Aptos" w:eastAsia="Aptos" w:hAnsi="Aptos" w:cs="Times New Roman"/>
          <w:color w:val="auto"/>
          <w:kern w:val="2"/>
          <w:sz w:val="24"/>
          <w:szCs w:val="24"/>
          <w:lang w:eastAsia="en-US"/>
          <w14:ligatures w14:val="standardContextual"/>
        </w:rPr>
        <w:lastRenderedPageBreak/>
        <w:t xml:space="preserve">understanding highlights that an individual being subjected to coercive control is severely vulnerable, thus outside intervention becomes the only viable disruption and termination option (Wiener, 2017).  </w:t>
      </w:r>
    </w:p>
    <w:p w14:paraId="6E09BD7A"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06B6E7C9"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Regarding the policing of this incident, it was essential to consider the social contexts and their influence. The incident took place within the home address, this is a location which is universally accepted as a private and confidential place, which is out of public sight. This social context aids to the creation of an environment where crime often goes undetected, and where vulnerability is concealed (Barrow-Grint, Sebire and Turton, 2022).  </w:t>
      </w:r>
    </w:p>
    <w:p w14:paraId="31E6C43D"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D03372A"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Additionally, within the social context of society the family structure whereby male dominance over females is highly accepted. This ideology is supported by the concept of the nuclear family structure which promotes males as the ‘bread winning’ superior and females as servers of males and other dependants within the household (Cutas and Chan, 2012).</w:t>
      </w:r>
    </w:p>
    <w:p w14:paraId="7F6852BF"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603B5967"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A significant cultural issue was also identified within this policing incident. The male and female were both of </w:t>
      </w:r>
      <w:proofErr w:type="spellStart"/>
      <w:r w:rsidRPr="00D43FB7">
        <w:rPr>
          <w:rFonts w:ascii="Aptos" w:eastAsia="Aptos" w:hAnsi="Aptos" w:cs="Times New Roman"/>
          <w:color w:val="auto"/>
          <w:kern w:val="2"/>
          <w:sz w:val="24"/>
          <w:szCs w:val="24"/>
          <w:lang w:eastAsia="en-US"/>
          <w14:ligatures w14:val="standardContextual"/>
        </w:rPr>
        <w:t>Nigerina</w:t>
      </w:r>
      <w:proofErr w:type="spellEnd"/>
      <w:r w:rsidRPr="00D43FB7">
        <w:rPr>
          <w:rFonts w:ascii="Aptos" w:eastAsia="Aptos" w:hAnsi="Aptos" w:cs="Times New Roman"/>
          <w:color w:val="auto"/>
          <w:kern w:val="2"/>
          <w:sz w:val="24"/>
          <w:szCs w:val="24"/>
          <w:lang w:eastAsia="en-US"/>
          <w14:ligatures w14:val="standardContextual"/>
        </w:rPr>
        <w:t xml:space="preserve"> nationality. Throughout the investigation it became clear that there were disparities in the acceptance of certain behaviour between British and Nigerian culture. </w:t>
      </w:r>
    </w:p>
    <w:p w14:paraId="5FE1B389"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0B176EB"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Briefly, within Nigerian culture physical violence and control behaviour exerted by a husband onto his wife is widely accepted as wives are viewed as products belonging to their husbands. Contrasting to this, British culture has criminalised such behaviour. </w:t>
      </w:r>
    </w:p>
    <w:p w14:paraId="632C01A4"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2A47DC8D"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It is crucial when policing an incident to consider all contexts and factors to ensure the most effective and appropriate course of action is taken. In relation to this incident, I will now use Gibbs Reflective Cycle (</w:t>
      </w:r>
      <w:proofErr w:type="spellStart"/>
      <w:r w:rsidRPr="00D43FB7">
        <w:rPr>
          <w:rFonts w:ascii="Aptos" w:eastAsia="Aptos" w:hAnsi="Aptos" w:cs="Times New Roman"/>
          <w:color w:val="auto"/>
          <w:kern w:val="2"/>
          <w:sz w:val="24"/>
          <w:szCs w:val="24"/>
          <w:lang w:eastAsia="en-US"/>
          <w14:ligatures w14:val="standardContextual"/>
        </w:rPr>
        <w:t>Adeani</w:t>
      </w:r>
      <w:proofErr w:type="spellEnd"/>
      <w:r w:rsidRPr="00D43FB7">
        <w:rPr>
          <w:rFonts w:ascii="Aptos" w:eastAsia="Aptos" w:hAnsi="Aptos" w:cs="Times New Roman"/>
          <w:color w:val="auto"/>
          <w:kern w:val="2"/>
          <w:sz w:val="24"/>
          <w:szCs w:val="24"/>
          <w:lang w:eastAsia="en-US"/>
          <w14:ligatures w14:val="standardContextual"/>
        </w:rPr>
        <w:t xml:space="preserve">, </w:t>
      </w:r>
      <w:proofErr w:type="spellStart"/>
      <w:r w:rsidRPr="00D43FB7">
        <w:rPr>
          <w:rFonts w:ascii="Aptos" w:eastAsia="Aptos" w:hAnsi="Aptos" w:cs="Times New Roman"/>
          <w:color w:val="auto"/>
          <w:kern w:val="2"/>
          <w:sz w:val="24"/>
          <w:szCs w:val="24"/>
          <w:lang w:eastAsia="en-US"/>
          <w14:ligatures w14:val="standardContextual"/>
        </w:rPr>
        <w:t>Febriani</w:t>
      </w:r>
      <w:proofErr w:type="spellEnd"/>
      <w:r w:rsidRPr="00D43FB7">
        <w:rPr>
          <w:rFonts w:ascii="Aptos" w:eastAsia="Aptos" w:hAnsi="Aptos" w:cs="Times New Roman"/>
          <w:color w:val="auto"/>
          <w:kern w:val="2"/>
          <w:sz w:val="24"/>
          <w:szCs w:val="24"/>
          <w:lang w:eastAsia="en-US"/>
          <w14:ligatures w14:val="standardContextual"/>
        </w:rPr>
        <w:t xml:space="preserve"> and </w:t>
      </w:r>
      <w:proofErr w:type="spellStart"/>
      <w:r w:rsidRPr="00D43FB7">
        <w:rPr>
          <w:rFonts w:ascii="Aptos" w:eastAsia="Aptos" w:hAnsi="Aptos" w:cs="Times New Roman"/>
          <w:color w:val="auto"/>
          <w:kern w:val="2"/>
          <w:sz w:val="24"/>
          <w:szCs w:val="24"/>
          <w:lang w:eastAsia="en-US"/>
          <w14:ligatures w14:val="standardContextual"/>
        </w:rPr>
        <w:t>Syafryadin</w:t>
      </w:r>
      <w:proofErr w:type="spellEnd"/>
      <w:r w:rsidRPr="00D43FB7">
        <w:rPr>
          <w:rFonts w:ascii="Aptos" w:eastAsia="Aptos" w:hAnsi="Aptos" w:cs="Times New Roman"/>
          <w:color w:val="auto"/>
          <w:kern w:val="2"/>
          <w:sz w:val="24"/>
          <w:szCs w:val="24"/>
          <w:lang w:eastAsia="en-US"/>
          <w14:ligatures w14:val="standardContextual"/>
        </w:rPr>
        <w:t xml:space="preserve">, 2020), to consider and evaluate the appropriateness of different approaches undertaken by both police and professionals in supporting and managing vulnerability of individuals.  </w:t>
      </w:r>
    </w:p>
    <w:p w14:paraId="21E4DD40"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6408936D"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Details of the incident itself have already been provided. Furthering from this however the primary outcome of the incident was the arrest of the male for DV coercive </w:t>
      </w:r>
      <w:r w:rsidRPr="00D43FB7">
        <w:rPr>
          <w:rFonts w:ascii="Aptos" w:eastAsia="Aptos" w:hAnsi="Aptos" w:cs="Times New Roman"/>
          <w:color w:val="auto"/>
          <w:kern w:val="2"/>
          <w:sz w:val="24"/>
          <w:szCs w:val="24"/>
          <w:lang w:eastAsia="en-US"/>
          <w14:ligatures w14:val="standardContextual"/>
        </w:rPr>
        <w:lastRenderedPageBreak/>
        <w:t xml:space="preserve">and controlling behaviour and DV common assault. The latter is defined under section 39 of the Criminal Justice Act 1988, which states that it is a criminal offence for any individual to assault or beat another individual (legislation.gov.uk, 1988). </w:t>
      </w:r>
    </w:p>
    <w:p w14:paraId="380C98C3"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564D3459"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The police have a variety of different approaches that can aid in the support and managing of vulnerable victims. In relation to the incident discussed, one such approach that was implemented was the completion of a Domestic Abuse, Stalking and Honour based violence (DASH) assessment. This is a tool used by South Wales Police and partner agencies to identify the level of risk an individual is at, in relation to the offences named. The assessment consists of twenty-seven questions, which are answered by the victim (Myhill, Hohl and Johnson, 2023), enabling an educated review of the victims safeguarding needs to be made, aiding the implementation of appropriate support.  </w:t>
      </w:r>
    </w:p>
    <w:p w14:paraId="6ADE2D6B"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68816212"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The term ‘risk’ itself is very contentious and based on individual interpretation (Myhill, Hohl and Johnson, 2023). The assessment tool therefore produces a standardised assessment across all victims, maximising the possibility of victims being provided with the extent of support that they require. Referring to the policing incident detailed, the victim was highlighted as a high-risk victim of domestic violence through this assessment tool. A high-risk criterion highlights that serious harm could take place at any given time (Almond et al, 2016). Appropriate referrals to both intra-partner and inter-partner agencies were therefore able to be made. Some of which will be discussed later. </w:t>
      </w:r>
    </w:p>
    <w:p w14:paraId="469C44A6"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40274A9"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A limitation of the DASH assessment tool is that it relies upon the engagement of the victim. If a victim is unsupportive of police action, then the assessment </w:t>
      </w:r>
      <w:proofErr w:type="spellStart"/>
      <w:r w:rsidRPr="00D43FB7">
        <w:rPr>
          <w:rFonts w:ascii="Aptos" w:eastAsia="Aptos" w:hAnsi="Aptos" w:cs="Times New Roman"/>
          <w:color w:val="auto"/>
          <w:kern w:val="2"/>
          <w:sz w:val="24"/>
          <w:szCs w:val="24"/>
          <w:lang w:eastAsia="en-US"/>
          <w14:ligatures w14:val="standardContextual"/>
        </w:rPr>
        <w:t>can not</w:t>
      </w:r>
      <w:proofErr w:type="spellEnd"/>
      <w:r w:rsidRPr="00D43FB7">
        <w:rPr>
          <w:rFonts w:ascii="Aptos" w:eastAsia="Aptos" w:hAnsi="Aptos" w:cs="Times New Roman"/>
          <w:color w:val="auto"/>
          <w:kern w:val="2"/>
          <w:sz w:val="24"/>
          <w:szCs w:val="24"/>
          <w:lang w:eastAsia="en-US"/>
          <w14:ligatures w14:val="standardContextual"/>
        </w:rPr>
        <w:t xml:space="preserve"> be completed. Further to this, the assessment when completed reflects the victims’ personal thoughts and understandings. Due to this it is important to consider the possibilities of impact factors such as underreporting, information inflation and personal biases (Almond et al, 2016). These factors may cause an inaccurate risk evaluation and could result in the implemented support being unproportionate. </w:t>
      </w:r>
    </w:p>
    <w:p w14:paraId="1D4267DD"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 </w:t>
      </w:r>
    </w:p>
    <w:p w14:paraId="1797557D"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Another approach to managing vulnerability carried out during with policing incident was the implementation of police bail conditions. The Police and Criminal Evidence Act 1984 (legislation.gov.uk, 1984) outlines the ability of a police constable to implement bail conditions following the lawful arrest and detention of a suspect. Bail condition can be implemented for a variety of reasons including to aid in the </w:t>
      </w:r>
      <w:r w:rsidRPr="00D43FB7">
        <w:rPr>
          <w:rFonts w:ascii="Aptos" w:eastAsia="Aptos" w:hAnsi="Aptos" w:cs="Times New Roman"/>
          <w:color w:val="auto"/>
          <w:kern w:val="2"/>
          <w:sz w:val="24"/>
          <w:szCs w:val="24"/>
          <w:lang w:eastAsia="en-US"/>
          <w14:ligatures w14:val="standardContextual"/>
        </w:rPr>
        <w:lastRenderedPageBreak/>
        <w:t xml:space="preserve">safeguarding of victims. During this incident the suspect was bailed with multiple conditions preventing him from contacting, approaching, visiting or seeing the victim. </w:t>
      </w:r>
    </w:p>
    <w:p w14:paraId="23B76BD6"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4EB0B8E6"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The implementation of these conditions was effective in safeguarding the victim as it created clear boundaries in terms of physical and electronic communications and visiting for the suspect. Additionally, the conditions not only physically safeguarded the victims, but also provided psychological safeguarding. Research has shown that bail conditions provide victims with a sense of safety and reassurance (GOV.UK, 2022), in turn having a positive impact on their support of the investigation process and confidence in the police. </w:t>
      </w:r>
    </w:p>
    <w:p w14:paraId="6CB22652"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0974FEAB"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Despite the positive impacts, police bail conditions have their limitations. The conditions themselves are enforceable by police and breaches carry the power of arrest; however, any breaches are only enabled to be acted upon if they are reported to or identified by police. Victims are consulted during the implementation of police bail conditions and in the case of a victim being unsupportive of this tension can be generated between the victim and the police. </w:t>
      </w:r>
    </w:p>
    <w:p w14:paraId="685AA8BB"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907FA20"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In addition to police, independent professional strategies are also implemented with the aim of supporting and managing vulnerable individuals. Independent domestic violence advisors (IDVAs) are trained professionals who act for the intention of the safety of high-risk domestic violence victims (South Wales Victim Focus, no date). </w:t>
      </w:r>
    </w:p>
    <w:p w14:paraId="4213A8EB"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07440CA0" w14:textId="7D043A6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In relation to this policing incident, the victim was designated an IDVA, with whom she engaged with. The IDVA was able to provide support across multiple sectors including housing. The address previously occupied by the victim was a shared commodity of her and the suspect, and due to this</w:t>
      </w:r>
      <w:r w:rsidRPr="00A63105">
        <w:rPr>
          <w:rFonts w:ascii="Aptos" w:eastAsia="Aptos" w:hAnsi="Aptos" w:cs="Times New Roman"/>
          <w:color w:val="auto"/>
          <w:kern w:val="2"/>
          <w:sz w:val="24"/>
          <w:szCs w:val="24"/>
          <w:lang w:eastAsia="en-US"/>
          <w14:ligatures w14:val="standardContextual"/>
        </w:rPr>
        <w:t>,</w:t>
      </w:r>
      <w:r w:rsidRPr="00D43FB7">
        <w:rPr>
          <w:rFonts w:ascii="Aptos" w:eastAsia="Aptos" w:hAnsi="Aptos" w:cs="Times New Roman"/>
          <w:color w:val="auto"/>
          <w:kern w:val="2"/>
          <w:sz w:val="24"/>
          <w:szCs w:val="24"/>
          <w:lang w:eastAsia="en-US"/>
          <w14:ligatures w14:val="standardContextual"/>
        </w:rPr>
        <w:t xml:space="preserve"> civil proceedings commenced shortly after police involvement. The presence of an IDVA through this time allowed the victim to be supported and guided through each step of the process. Involvement in criminal proceedings are proven to take a negative effect on individuals mental health (Parsons and Bergin, 2010). This negative impact can result in victims becoming overwhelmed and therefore unsupportive of the police investigation. The presence of an IDVA aids in combatting this by providing a single point of contact for assistance and guidance. </w:t>
      </w:r>
    </w:p>
    <w:p w14:paraId="58A51404"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4FFDB8A4"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lastRenderedPageBreak/>
        <w:t xml:space="preserve">A complication of an IDVA is that they are completely independent from the police and optional for victims. Due to this, victims often do not engage with IDVAs as they do not have a full understanding of their role and the support that they offer. Additionally, the sheer amount of contact from a variety of agencies and police is often overpowering for victims, causing them to become withdrawn from the investigation and support networks available. </w:t>
      </w:r>
    </w:p>
    <w:p w14:paraId="53A14797"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6D4447CA"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The adoption of support and management strategies play a crucial element in preventing repeat victimisation. Repeat victimisation is the reoccurring criminal targeting of an individual or group, which occurs within a specific </w:t>
      </w:r>
      <w:proofErr w:type="gramStart"/>
      <w:r w:rsidRPr="00D43FB7">
        <w:rPr>
          <w:rFonts w:ascii="Aptos" w:eastAsia="Aptos" w:hAnsi="Aptos" w:cs="Times New Roman"/>
          <w:color w:val="auto"/>
          <w:kern w:val="2"/>
          <w:sz w:val="24"/>
          <w:szCs w:val="24"/>
          <w:lang w:eastAsia="en-US"/>
          <w14:ligatures w14:val="standardContextual"/>
        </w:rPr>
        <w:t>time period</w:t>
      </w:r>
      <w:proofErr w:type="gramEnd"/>
      <w:r w:rsidRPr="00D43FB7">
        <w:rPr>
          <w:rFonts w:ascii="Aptos" w:eastAsia="Aptos" w:hAnsi="Aptos" w:cs="Times New Roman"/>
          <w:color w:val="auto"/>
          <w:kern w:val="2"/>
          <w:sz w:val="24"/>
          <w:szCs w:val="24"/>
          <w:lang w:eastAsia="en-US"/>
          <w14:ligatures w14:val="standardContextual"/>
        </w:rPr>
        <w:t xml:space="preserve"> (</w:t>
      </w:r>
      <w:proofErr w:type="spellStart"/>
      <w:r w:rsidRPr="00D43FB7">
        <w:rPr>
          <w:rFonts w:ascii="Aptos" w:eastAsia="Aptos" w:hAnsi="Aptos" w:cs="Times New Roman"/>
          <w:color w:val="auto"/>
          <w:kern w:val="2"/>
          <w:sz w:val="24"/>
          <w:szCs w:val="24"/>
          <w:lang w:eastAsia="en-US"/>
          <w14:ligatures w14:val="standardContextual"/>
        </w:rPr>
        <w:t>Tseloni</w:t>
      </w:r>
      <w:proofErr w:type="spellEnd"/>
      <w:r w:rsidRPr="00D43FB7">
        <w:rPr>
          <w:rFonts w:ascii="Aptos" w:eastAsia="Aptos" w:hAnsi="Aptos" w:cs="Times New Roman"/>
          <w:color w:val="auto"/>
          <w:kern w:val="2"/>
          <w:sz w:val="24"/>
          <w:szCs w:val="24"/>
          <w:lang w:eastAsia="en-US"/>
          <w14:ligatures w14:val="standardContextual"/>
        </w:rPr>
        <w:t xml:space="preserve">, </w:t>
      </w:r>
      <w:proofErr w:type="spellStart"/>
      <w:r w:rsidRPr="00D43FB7">
        <w:rPr>
          <w:rFonts w:ascii="Aptos" w:eastAsia="Aptos" w:hAnsi="Aptos" w:cs="Times New Roman"/>
          <w:color w:val="auto"/>
          <w:kern w:val="2"/>
          <w:sz w:val="24"/>
          <w:szCs w:val="24"/>
          <w:lang w:eastAsia="en-US"/>
          <w14:ligatures w14:val="standardContextual"/>
        </w:rPr>
        <w:t>Knusstsson</w:t>
      </w:r>
      <w:proofErr w:type="spellEnd"/>
      <w:r w:rsidRPr="00D43FB7">
        <w:rPr>
          <w:rFonts w:ascii="Aptos" w:eastAsia="Aptos" w:hAnsi="Aptos" w:cs="Times New Roman"/>
          <w:color w:val="auto"/>
          <w:kern w:val="2"/>
          <w:sz w:val="24"/>
          <w:szCs w:val="24"/>
          <w:lang w:eastAsia="en-US"/>
          <w14:ligatures w14:val="standardContextual"/>
        </w:rPr>
        <w:t xml:space="preserve"> and Laycock, 2005). Post initial victimisation, an individual’s vulnerability can cause them to become more susceptible to further victimisation due to their diminished physical and mental well-being. </w:t>
      </w:r>
    </w:p>
    <w:p w14:paraId="6F830BB6"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116544B9"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Multi-agency victim support post initial victimisation has been found to play an intrinsic role in minimising the risk of repeat victimisation by providing targeted intervention, coordinated responses and support to individuals (Robinson, 2006). </w:t>
      </w:r>
    </w:p>
    <w:p w14:paraId="750A2D91"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22831501"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A crucial stage within this strategy is highlighting to the individual that they have been the victim of a crime. In relation to this policing incident, the nature of coercive control often masks its </w:t>
      </w:r>
      <w:proofErr w:type="gramStart"/>
      <w:r w:rsidRPr="00D43FB7">
        <w:rPr>
          <w:rFonts w:ascii="Aptos" w:eastAsia="Aptos" w:hAnsi="Aptos" w:cs="Times New Roman"/>
          <w:color w:val="auto"/>
          <w:kern w:val="2"/>
          <w:sz w:val="24"/>
          <w:szCs w:val="24"/>
          <w:lang w:eastAsia="en-US"/>
          <w14:ligatures w14:val="standardContextual"/>
        </w:rPr>
        <w:t>severity</w:t>
      </w:r>
      <w:proofErr w:type="gramEnd"/>
      <w:r w:rsidRPr="00D43FB7">
        <w:rPr>
          <w:rFonts w:ascii="Aptos" w:eastAsia="Aptos" w:hAnsi="Aptos" w:cs="Times New Roman"/>
          <w:color w:val="auto"/>
          <w:kern w:val="2"/>
          <w:sz w:val="24"/>
          <w:szCs w:val="24"/>
          <w:lang w:eastAsia="en-US"/>
          <w14:ligatures w14:val="standardContextual"/>
        </w:rPr>
        <w:t xml:space="preserve"> and victims normalise the behaviour as a means of accepting it. Despite this, by an individual understanding their need for help, they will be more likely to engage with any support offered to them. </w:t>
      </w:r>
    </w:p>
    <w:p w14:paraId="19C98E9F"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647139A2"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Further to this, employment can have a positive impact on preventing repeat victimisation. Through employment, individuals gain their own financial independence and create an additional support and social network. Financial independence assists individuals in creating a new life without being dependant or controlled by the finances of another person (Robinson, 2006). Additionally, employment provides structure and routine to individuals. This routine helps to aid to a sense of belonging and </w:t>
      </w:r>
      <w:proofErr w:type="gramStart"/>
      <w:r w:rsidRPr="00D43FB7">
        <w:rPr>
          <w:rFonts w:ascii="Aptos" w:eastAsia="Aptos" w:hAnsi="Aptos" w:cs="Times New Roman"/>
          <w:color w:val="auto"/>
          <w:kern w:val="2"/>
          <w:sz w:val="24"/>
          <w:szCs w:val="24"/>
          <w:lang w:eastAsia="en-US"/>
          <w14:ligatures w14:val="standardContextual"/>
        </w:rPr>
        <w:t>purpose, and</w:t>
      </w:r>
      <w:proofErr w:type="gramEnd"/>
      <w:r w:rsidRPr="00D43FB7">
        <w:rPr>
          <w:rFonts w:ascii="Aptos" w:eastAsia="Aptos" w:hAnsi="Aptos" w:cs="Times New Roman"/>
          <w:color w:val="auto"/>
          <w:kern w:val="2"/>
          <w:sz w:val="24"/>
          <w:szCs w:val="24"/>
          <w:lang w:eastAsia="en-US"/>
          <w14:ligatures w14:val="standardContextual"/>
        </w:rPr>
        <w:t xml:space="preserve"> gives victims a new found ambition in life (Swanberg and Logan, 2005).</w:t>
      </w:r>
    </w:p>
    <w:p w14:paraId="66BCEDD1"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8FC4F54"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Evidence-based policing is a critical element within policing our communities. This can be understood as the practice of utilizing available information and evidence to produce an informed decision-making process along with enabling knowledgeable challenges or procedures. (Spooner, Hughes and Jones, 2022) The use of evidence-</w:t>
      </w:r>
      <w:r w:rsidRPr="00D43FB7">
        <w:rPr>
          <w:rFonts w:ascii="Aptos" w:eastAsia="Aptos" w:hAnsi="Aptos" w:cs="Times New Roman"/>
          <w:color w:val="auto"/>
          <w:kern w:val="2"/>
          <w:sz w:val="24"/>
          <w:szCs w:val="24"/>
          <w:lang w:eastAsia="en-US"/>
          <w14:ligatures w14:val="standardContextual"/>
        </w:rPr>
        <w:lastRenderedPageBreak/>
        <w:t xml:space="preserve">based policing enables decisions to be well grounded and informed regarding the circumstances at hand. </w:t>
      </w:r>
    </w:p>
    <w:p w14:paraId="027C32A5"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1AF916C"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The implementation of vulnerability support and management techniques are most successful when driven by research of appropriateness and capability. Full knowledge and context of a situation will enable an educated system of approach to be planned. In turn this will aid to the success of tackling vulnerability and prevent the victim from being discouraged due to failings in preventing their victimisation. </w:t>
      </w:r>
    </w:p>
    <w:p w14:paraId="776ABFE3"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55506EB6" w14:textId="77777777" w:rsidR="00D43FB7" w:rsidRPr="00D43FB7" w:rsidRDefault="00D43FB7" w:rsidP="00D43FB7">
      <w:pPr>
        <w:overflowPunct/>
        <w:autoSpaceDE/>
        <w:autoSpaceDN/>
        <w:adjustRightInd/>
        <w:spacing w:after="160" w:line="278" w:lineRule="auto"/>
        <w:ind w:firstLine="720"/>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In conclusion it is evident that vulnerability is a fluid state possessed by an individual that can be caused to alter due to a change in circumstances. Individual vulnerability is hard to prevent due to its individuality however management approaches by both police and professions </w:t>
      </w:r>
      <w:proofErr w:type="gramStart"/>
      <w:r w:rsidRPr="00D43FB7">
        <w:rPr>
          <w:rFonts w:ascii="Aptos" w:eastAsia="Aptos" w:hAnsi="Aptos" w:cs="Times New Roman"/>
          <w:color w:val="auto"/>
          <w:kern w:val="2"/>
          <w:sz w:val="24"/>
          <w:szCs w:val="24"/>
          <w:lang w:eastAsia="en-US"/>
          <w14:ligatures w14:val="standardContextual"/>
        </w:rPr>
        <w:t>have the ability to</w:t>
      </w:r>
      <w:proofErr w:type="gramEnd"/>
      <w:r w:rsidRPr="00D43FB7">
        <w:rPr>
          <w:rFonts w:ascii="Aptos" w:eastAsia="Aptos" w:hAnsi="Aptos" w:cs="Times New Roman"/>
          <w:color w:val="auto"/>
          <w:kern w:val="2"/>
          <w:sz w:val="24"/>
          <w:szCs w:val="24"/>
          <w:lang w:eastAsia="en-US"/>
          <w14:ligatures w14:val="standardContextual"/>
        </w:rPr>
        <w:t xml:space="preserve"> effectively support individuals and navigate them through their vulnerabilities with the aim of tackling them. </w:t>
      </w:r>
    </w:p>
    <w:p w14:paraId="06491356" w14:textId="3815DDF0"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08D6C955" w14:textId="77777777" w:rsidR="00A63105" w:rsidRDefault="00A63105" w:rsidP="00211695">
      <w:pPr>
        <w:overflowPunct/>
        <w:autoSpaceDE/>
        <w:autoSpaceDN/>
        <w:adjustRightInd/>
        <w:textAlignment w:val="auto"/>
        <w:rPr>
          <w:b/>
          <w:bCs/>
          <w:sz w:val="24"/>
          <w:szCs w:val="24"/>
        </w:rPr>
      </w:pPr>
    </w:p>
    <w:p w14:paraId="3573C50C" w14:textId="77777777" w:rsidR="00A63105" w:rsidRDefault="00A63105" w:rsidP="00211695">
      <w:pPr>
        <w:overflowPunct/>
        <w:autoSpaceDE/>
        <w:autoSpaceDN/>
        <w:adjustRightInd/>
        <w:textAlignment w:val="auto"/>
        <w:rPr>
          <w:b/>
          <w:bCs/>
          <w:sz w:val="24"/>
          <w:szCs w:val="24"/>
        </w:rPr>
      </w:pPr>
    </w:p>
    <w:p w14:paraId="0822088A" w14:textId="77777777" w:rsidR="00A63105" w:rsidRDefault="00A63105" w:rsidP="00211695">
      <w:pPr>
        <w:overflowPunct/>
        <w:autoSpaceDE/>
        <w:autoSpaceDN/>
        <w:adjustRightInd/>
        <w:textAlignment w:val="auto"/>
        <w:rPr>
          <w:b/>
          <w:bCs/>
          <w:sz w:val="24"/>
          <w:szCs w:val="24"/>
        </w:rPr>
      </w:pPr>
    </w:p>
    <w:p w14:paraId="6417252E" w14:textId="77777777" w:rsidR="00A63105" w:rsidRDefault="00A63105" w:rsidP="00211695">
      <w:pPr>
        <w:overflowPunct/>
        <w:autoSpaceDE/>
        <w:autoSpaceDN/>
        <w:adjustRightInd/>
        <w:textAlignment w:val="auto"/>
        <w:rPr>
          <w:b/>
          <w:bCs/>
          <w:sz w:val="24"/>
          <w:szCs w:val="24"/>
        </w:rPr>
      </w:pPr>
    </w:p>
    <w:p w14:paraId="29C505F4" w14:textId="77777777" w:rsidR="00A63105" w:rsidRDefault="00A6310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3B4734CD" w14:textId="77777777" w:rsidR="00D43FB7" w:rsidRDefault="00D43FB7" w:rsidP="009370AE">
      <w:pPr>
        <w:ind w:right="237"/>
        <w:jc w:val="both"/>
        <w:rPr>
          <w:b/>
          <w:bCs/>
          <w:color w:val="000000" w:themeColor="text1"/>
          <w:sz w:val="28"/>
          <w:szCs w:val="28"/>
        </w:rPr>
      </w:pPr>
    </w:p>
    <w:p w14:paraId="5D3C44A7" w14:textId="77777777" w:rsidR="00D43FB7" w:rsidRDefault="00D43FB7" w:rsidP="009370AE">
      <w:pPr>
        <w:ind w:right="237"/>
        <w:jc w:val="both"/>
        <w:rPr>
          <w:b/>
          <w:bCs/>
          <w:color w:val="000000" w:themeColor="text1"/>
          <w:sz w:val="28"/>
          <w:szCs w:val="28"/>
        </w:rPr>
      </w:pPr>
    </w:p>
    <w:p w14:paraId="76FF2255"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In this essay I will be critically evaluating the processes employed in a complex investigation where I played a significant role as a police constable. Additionally, I will evaluate that support that was provided to the individuals involved and I will discuss the importance of the management of personal values and attitudes. I will detail the policing investigation in question throughout the essay providing relevant information to inform my evaluations. </w:t>
      </w:r>
    </w:p>
    <w:p w14:paraId="34D4FDC2"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6A17BE16"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A criminal investigation can be understood as a strategic method of evidence gathering performed by police officers whereby their goal is to establish whether an individual should be charged with an offence. Additionally, it’s purpose is to determine an individual’s guilt of the offence that is under investigation (legislation.gov.uk, 1996). </w:t>
      </w:r>
    </w:p>
    <w:p w14:paraId="2BE43E31"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6E329C5D"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Every investigation undertaken by the police is unique and governed by the circumstances of the incident. The circumstances work to influence the response and actions that are required by investigators to enable the most successful and thorough gathering of evidence and following of reasonable lines of enquiry, (College of Policing, 2013a).  </w:t>
      </w:r>
    </w:p>
    <w:p w14:paraId="26A58F54"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38784097"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The incident that I will be exploring within this essay is a stranger rape that took place in a public place. The offence of rape is defined in section one of the Sexual Offences Act 2003 which </w:t>
      </w:r>
      <w:proofErr w:type="gramStart"/>
      <w:r w:rsidRPr="00D43FB7">
        <w:rPr>
          <w:rFonts w:asciiTheme="minorHAnsi" w:eastAsiaTheme="minorHAnsi" w:hAnsiTheme="minorHAnsi" w:cstheme="minorBidi"/>
          <w:color w:val="auto"/>
          <w:kern w:val="2"/>
          <w:sz w:val="24"/>
          <w:szCs w:val="24"/>
          <w:lang w:eastAsia="en-US"/>
          <w14:ligatures w14:val="standardContextual"/>
        </w:rPr>
        <w:t>states;</w:t>
      </w:r>
      <w:proofErr w:type="gramEnd"/>
    </w:p>
    <w:p w14:paraId="7852A7BC"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‘A person (A) commits an offence if—</w:t>
      </w:r>
    </w:p>
    <w:p w14:paraId="15F9D10F"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(a)he intentionally penetrates the vagina, anus or mouth of another person (B) with his penis,</w:t>
      </w:r>
    </w:p>
    <w:p w14:paraId="2BD5E65F"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(b)B does not consent to the penetration, and</w:t>
      </w:r>
    </w:p>
    <w:p w14:paraId="47F38DA6"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(c)A does not reasonably believe that B consents.’ (legislation.gov.uk, 2003). </w:t>
      </w:r>
    </w:p>
    <w:p w14:paraId="658DE98D"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1045B4AC"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This investigation was deemed complex in nature due to the severity of the offence’s nature and the pleather of enquiry lines present. From the offset of the investigation, the following areas of enquiry were identified, forensic evidence, digital evidence, surveillance, physical evidence, witnesses and scene identification and preservation. </w:t>
      </w:r>
    </w:p>
    <w:p w14:paraId="5D30D3EB"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353EC95F"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The initiation of an investigation is crucial in establishing a plan and strategy to enable all assisting personals to understand their individual roles and responsibilities. The designation of roles during this incident was undertaken by a senior investigating officer (SIO). The role of the SIO is to manage the investigation and device strategies and procedures in line with policies and powers that are available to them (Cook, 2023). Additionally, their role includes the continuous reassessment of threat, risk and harm during the investigation. </w:t>
      </w:r>
    </w:p>
    <w:p w14:paraId="44C003AC"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1559C63D"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Criminal investigations, regardless of their complexity, are devised around a set of five stages, these being preserve life and prevent harm, preserve scenes, secure evidence, identify victims and identify suspects (College of Policing, 2013b). I will now critically evaluate each of these stages in relation to the policing incident introduced above. </w:t>
      </w:r>
    </w:p>
    <w:p w14:paraId="3016C317"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74471448"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The preservation of life and preventing of harm, concerns the safety of the public, community and individuals involved in relation to the incident. In relation to this, the identification of vulnerability and application of safeguarding is implemented. It is of high importance that as investigating officers, actions are not only taken to protect the victim of the incident, but also to prevent further harm being caused whether that be to the same or further victims. </w:t>
      </w:r>
    </w:p>
    <w:p w14:paraId="65E20092"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2A3CC8F7"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lastRenderedPageBreak/>
        <w:t xml:space="preserve">Applying this to the policing incident, the main concern regarding this point was the protection of the public. As previously stated, the incident was a stranger rape, where the victim and suspect did not previously know each other. Due to this and suspect being unidentified, there was large concern that further incidents could take place. To contest this the decision was made to publish a social media appeal briefly detailing the incident to inform and alert the surrounding community of the incident that had taken place. </w:t>
      </w:r>
    </w:p>
    <w:p w14:paraId="78F68318"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241027FB"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Social media appeals are used widely by the police force with a variety of agendas as it acts as an engagement platform between the public and the police (Bullock, 2017). The use of social media in this investigation process was successful in informing the public of the incident and suggesting inferable advice that could be taken by individual to safeguard themselves. Although the true success of the social media post is preventing further victimisation could not be directly measured, it is believed that it had a positive impact on this. </w:t>
      </w:r>
    </w:p>
    <w:p w14:paraId="1ADA9031"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4DDA70A1"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Despite this however, negative consequences of this use of social media must also be highlighted. The severe nature of the incident detailed on the social media post caused, what Cohen (2002) describes as, ‘moral panic’ within the community. Moral panic is the feeling of fear within a society that a cultural behaviour has become dangerously deviant and threatening towards them.  Due to the limited amount of information published by the police on social media at this time, individuals within the surrounding community began to speculate regarding the ethnicity and cultural beliefs of the suspect. This caused widespread distress among the community as there was disparities between fact and fiction were not being made by them. </w:t>
      </w:r>
    </w:p>
    <w:p w14:paraId="501FBF9B"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6D068575"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Further to the prevention of harm, the preservation of identified scenes played a crucial role within the police investigation. Due to the nature of the offence, forensic evidence held the ability to directly link the suspect to the crime scene (Johnson et al, 2012). The victim in this incident, was the reporting person and due to the </w:t>
      </w:r>
      <w:proofErr w:type="gramStart"/>
      <w:r w:rsidRPr="00D43FB7">
        <w:rPr>
          <w:rFonts w:asciiTheme="minorHAnsi" w:eastAsiaTheme="minorHAnsi" w:hAnsiTheme="minorHAnsi" w:cstheme="minorBidi"/>
          <w:color w:val="auto"/>
          <w:kern w:val="2"/>
          <w:sz w:val="24"/>
          <w:szCs w:val="24"/>
          <w:lang w:eastAsia="en-US"/>
          <w14:ligatures w14:val="standardContextual"/>
        </w:rPr>
        <w:t>disclosure</w:t>
      </w:r>
      <w:proofErr w:type="gramEnd"/>
      <w:r w:rsidRPr="00D43FB7">
        <w:rPr>
          <w:rFonts w:asciiTheme="minorHAnsi" w:eastAsiaTheme="minorHAnsi" w:hAnsiTheme="minorHAnsi" w:cstheme="minorBidi"/>
          <w:color w:val="auto"/>
          <w:kern w:val="2"/>
          <w:sz w:val="24"/>
          <w:szCs w:val="24"/>
          <w:lang w:eastAsia="en-US"/>
          <w14:ligatures w14:val="standardContextual"/>
        </w:rPr>
        <w:t xml:space="preserve"> she made to police on initial attendance, she was identified as the primary scene of the incident. The presence of forensic evidence is limited by time, and it is therefore essential to obtain this evidence at the earliest opportunity.   </w:t>
      </w:r>
    </w:p>
    <w:p w14:paraId="2E3AC5C7"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1FC228E7"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Following discussions with the victim, it was decided that she would be taken to the Sexual Assault Referral Centre (SARC) at the earliest opportunity to enable bodily swabs to be obtained. This was an essential process within the investigation and the prompt actioning of this allowed for the investigation to advance more effectively. Research has identified five reactions that can occur during a sexual offence, these are, fight, friend, flop, flight and freeze (Rape crisis, no date). The traumatic experience of the incident also can affect an individual’s recollection of the events that took place. During this investigation it became </w:t>
      </w:r>
      <w:r w:rsidRPr="00D43FB7">
        <w:rPr>
          <w:rFonts w:asciiTheme="minorHAnsi" w:eastAsiaTheme="minorHAnsi" w:hAnsiTheme="minorHAnsi" w:cstheme="minorBidi"/>
          <w:color w:val="auto"/>
          <w:kern w:val="2"/>
          <w:sz w:val="24"/>
          <w:szCs w:val="24"/>
          <w:lang w:eastAsia="en-US"/>
          <w14:ligatures w14:val="standardContextual"/>
        </w:rPr>
        <w:lastRenderedPageBreak/>
        <w:t xml:space="preserve">clear that the victim was not aware of the extent of the sexual offence, however the examination carried out at the SARC was able to establish this. </w:t>
      </w:r>
    </w:p>
    <w:p w14:paraId="76A7F5F0"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2492F818"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Due to the suspect in this investigation being unidentified and outstanding, the preservation of him as a scene was not able to take place. Due to the time scale of forensic evidence unfortunately this was passed at the time of the identification and detention of the suspect. This was a weakness in the investigation as a full forensic picture could not be drawn. On reflection I do not believe that any more could have been done to identify and locate the suspect quicker as this was limited by the resources that were available. </w:t>
      </w:r>
    </w:p>
    <w:p w14:paraId="35446698"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1C209FB3"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Following on from this, the securing of evidence is critical within police investigations. Police are often referred to as evidence gatherers due to one of the core roles and responsibilities being to impartially gather all evidence available to them. The complexity of this investigation was heightened due to the vast amount of evidence available to police. In relation to this policing incident, I was designated the role of completing a surveillance troll in the surrounding area. The main aim of this action at the time was to aid in identifying the suspect. This line of enquiry was fast-tracked during the golden hour of the investigation due to the suspect being outstanding and unidentified. Fast-track enquiries are essential for collating available evidence at the earliest possible stage within the investigation, to enable the investigation to be directed and led appropriately. </w:t>
      </w:r>
    </w:p>
    <w:p w14:paraId="2A9B5EA2"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258A4711"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To effectively complete this enquiry, it was essential that I prepared a plan and prepared the framework for my investigation. I established a suitable time frame relevant to the time of the incident and the location of the potential footage. Additionally, I brief description of the suspect was provided by the victim. A challenge within the preparation of the completion of this enquiry was that no direction of travel was known for the suspect for either before or after the incident. </w:t>
      </w:r>
    </w:p>
    <w:p w14:paraId="44D52553"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4005CC4D"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On reflection, I believe that I completed a through surveillance troll within the surrounding area and effectively used the incident details provided to guide and direct my funnelling of footage available. Despite this however, the large amount of potential footage became evident quickly and this was not matched by resource availability. Further to this, the functioning of the variety of different digital software containing the CCTV footage produced a further challenge. Due to its complexity in accessing the footage to review, time diminished quickly resulting in certain CCTV prospects being lost and having to be revisited later within the investigation. An increase in resources would have enabled this loss to have been reduced and maximum evidence to be gathered. </w:t>
      </w:r>
    </w:p>
    <w:p w14:paraId="397B7612"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506D710C"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lastRenderedPageBreak/>
        <w:t xml:space="preserve">The final two building blocks of a police investigation have been discussed throughout the previous points. In brief, the victim self-identified due to making the report to police herself. The identification of the suspect was challenged due to hi being unknown to the victim, there being no witnesses identified and only a partial description being provided by the victim. Through the forensic evidence gathered from the scene and the CCTV footage that was obtained, the suspect however was identified and arrested at the earliest opportunity. </w:t>
      </w:r>
    </w:p>
    <w:p w14:paraId="1196B167"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5D20804D"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Throughout an investigation it is of high importance that individuals involved are provided with appropriate and effective support from both police and professionals. This support should be made available to the individual during the earliest stages of the investigation as it not only safeguards them but also aids to their confidence in police actions. </w:t>
      </w:r>
    </w:p>
    <w:p w14:paraId="42E6F98B"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32000EBB"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The Code of Practice for Victims of crime in England and Wales set out numerous rights of the victim that help govern how they are dealt with during an investigation (Ministry of Justice, 2020). In relation to supporting the victims during the investigation, the code of practice states that a victim has the right to receive personalised referrals to services available that have the capability of providing tailored support for their personal needs (Ministry of Justice, 2020). </w:t>
      </w:r>
    </w:p>
    <w:p w14:paraId="4741EF7B"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478D0977"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Due to the sexual nature of the offence committed against the victim in this policing incident, the victim was entitled to a Victim Liaison Officer, under the Victim Contact Scheme (GOV.UK, no date).  A Victim Liaison Officer’s role is to update and guide the victim in relation to the court and custodial processes. This form of support had a positive impact on the victim as she stated that increased education in this area aided her understanding of the investigative process and their time scales. </w:t>
      </w:r>
    </w:p>
    <w:p w14:paraId="08B0F486"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07A16770"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In addition to this, the victim was also appointed a Sexual Violence Advisor, who acted as the victims’ single point of contact throughout the investigation. The role of this advisor is to provide tailored and personalised support and guidance to victims covering a variety of aspects including available therapy, counselling, accommodation advise and financial support (Home Office, 2017).</w:t>
      </w:r>
    </w:p>
    <w:p w14:paraId="5609F459"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56EFF12B"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Throughout this investigation process the victim expressed that the presence of her Sexual Violence Advisor created a sense of stability and dependence. This had a positive impact on the victim’s confidence in the police as she felt that they performed beyond their roles to ensure her safety and wellbeing. An implication of this, however, was that when the investigation came to completion and the victim opted to decrease her involvement with her </w:t>
      </w:r>
      <w:proofErr w:type="gramStart"/>
      <w:r w:rsidRPr="00D43FB7">
        <w:rPr>
          <w:rFonts w:asciiTheme="minorHAnsi" w:eastAsiaTheme="minorHAnsi" w:hAnsiTheme="minorHAnsi" w:cstheme="minorBidi"/>
          <w:color w:val="auto"/>
          <w:kern w:val="2"/>
          <w:sz w:val="24"/>
          <w:szCs w:val="24"/>
          <w:lang w:eastAsia="en-US"/>
          <w14:ligatures w14:val="standardContextual"/>
        </w:rPr>
        <w:lastRenderedPageBreak/>
        <w:t>advisors</w:t>
      </w:r>
      <w:proofErr w:type="gramEnd"/>
      <w:r w:rsidRPr="00D43FB7">
        <w:rPr>
          <w:rFonts w:asciiTheme="minorHAnsi" w:eastAsiaTheme="minorHAnsi" w:hAnsiTheme="minorHAnsi" w:cstheme="minorBidi"/>
          <w:color w:val="auto"/>
          <w:kern w:val="2"/>
          <w:sz w:val="24"/>
          <w:szCs w:val="24"/>
          <w:lang w:eastAsia="en-US"/>
          <w14:ligatures w14:val="standardContextual"/>
        </w:rPr>
        <w:t xml:space="preserve"> she lost the sense of familiarity that she had developed. Due to this the victim expressed feelings of seclusion and withdrawal from society. </w:t>
      </w:r>
    </w:p>
    <w:p w14:paraId="4E03DB9B"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050CB31C"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Whilst undertaking the role of a police officer it is important to effectively manage your personal values and attitudes. By doing this it enables you to not only ensure an impartial mindset is maintained but it also contributes to biases being consciously avoided. It is essential to not respond to any policing incident with a developed preconceived idea of the details and outcomes. By doing this, any ideas are established and formed because of the evidence which has been gathered. </w:t>
      </w:r>
    </w:p>
    <w:p w14:paraId="533FFEEE"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5923CE6B"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The codes of practice set out guidelines for behaviour and attitudes to ensure ethical policing standards are maintained (GOV.UK, 2023). From this empathy and respect have been identified as key characteristics to exhibit (College of Policing, 2024). During this policing investigation I ensured that I demonstrated this by actively listening and working to understand the information provided by the victim and witnesses, and through reassuring them that failure to remember or recall certain aspects of the incident was not a failure but a normal human response to an incident. By doing this the individuals were supported in their presentation of information, increasing their likelihood of providing further information with remembrance. </w:t>
      </w:r>
    </w:p>
    <w:p w14:paraId="4DB2D688"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60DCFC51"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Although it is important to create this safe space for victims and witnesses to share their evidence, it is also important that they do not feel rewarded for their information. A feeling of rewards has been shown to influence the dramatization and exaggeration of information provided by individuals when they feel that they are ‘congratulated’ for their contribution (Gollwitzer, </w:t>
      </w:r>
      <w:proofErr w:type="spellStart"/>
      <w:r w:rsidRPr="00D43FB7">
        <w:rPr>
          <w:rFonts w:asciiTheme="minorHAnsi" w:eastAsiaTheme="minorHAnsi" w:hAnsiTheme="minorHAnsi" w:cstheme="minorBidi"/>
          <w:color w:val="auto"/>
          <w:kern w:val="2"/>
          <w:sz w:val="24"/>
          <w:szCs w:val="24"/>
          <w:lang w:eastAsia="en-US"/>
          <w14:ligatures w14:val="standardContextual"/>
        </w:rPr>
        <w:t>Sussenbach</w:t>
      </w:r>
      <w:proofErr w:type="spellEnd"/>
      <w:r w:rsidRPr="00D43FB7">
        <w:rPr>
          <w:rFonts w:asciiTheme="minorHAnsi" w:eastAsiaTheme="minorHAnsi" w:hAnsiTheme="minorHAnsi" w:cstheme="minorBidi"/>
          <w:color w:val="auto"/>
          <w:kern w:val="2"/>
          <w:sz w:val="24"/>
          <w:szCs w:val="24"/>
          <w:lang w:eastAsia="en-US"/>
          <w14:ligatures w14:val="standardContextual"/>
        </w:rPr>
        <w:t xml:space="preserve"> and </w:t>
      </w:r>
      <w:proofErr w:type="spellStart"/>
      <w:r w:rsidRPr="00D43FB7">
        <w:rPr>
          <w:rFonts w:asciiTheme="minorHAnsi" w:eastAsiaTheme="minorHAnsi" w:hAnsiTheme="minorHAnsi" w:cstheme="minorBidi"/>
          <w:color w:val="auto"/>
          <w:kern w:val="2"/>
          <w:sz w:val="24"/>
          <w:szCs w:val="24"/>
          <w:lang w:eastAsia="en-US"/>
          <w14:ligatures w14:val="standardContextual"/>
        </w:rPr>
        <w:t>Hannuschke</w:t>
      </w:r>
      <w:proofErr w:type="spellEnd"/>
      <w:r w:rsidRPr="00D43FB7">
        <w:rPr>
          <w:rFonts w:asciiTheme="minorHAnsi" w:eastAsiaTheme="minorHAnsi" w:hAnsiTheme="minorHAnsi" w:cstheme="minorBidi"/>
          <w:color w:val="auto"/>
          <w:kern w:val="2"/>
          <w:sz w:val="24"/>
          <w:szCs w:val="24"/>
          <w:lang w:eastAsia="en-US"/>
          <w14:ligatures w14:val="standardContextual"/>
        </w:rPr>
        <w:t>, 2015).</w:t>
      </w:r>
    </w:p>
    <w:p w14:paraId="18C89242"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619FB7DB" w14:textId="77777777" w:rsidR="00D43FB7" w:rsidRPr="00D43FB7" w:rsidRDefault="00D43FB7" w:rsidP="00D43FB7">
      <w:pPr>
        <w:overflowPunct/>
        <w:autoSpaceDE/>
        <w:autoSpaceDN/>
        <w:adjustRightInd/>
        <w:spacing w:after="160" w:line="259" w:lineRule="auto"/>
        <w:ind w:firstLine="720"/>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In conclusion, it is evident that each policing investigation is unique in its circumstances and therefore requires a tailored and individual response. The processes employed during this investigation were reactive to the evidence and information available and thus enabled a suitable course of action to be carried out. Reflecting on an incident allows short comings and areas of improvement to be highlighted both as a force and individual, however overall, I believe that the investigation was evidence led, that the victim was provided plentiful support and that performances were professional and respectful in nature. </w:t>
      </w:r>
    </w:p>
    <w:p w14:paraId="0A623A75" w14:textId="77777777" w:rsidR="00D43FB7" w:rsidRDefault="00D43FB7" w:rsidP="009370AE">
      <w:pPr>
        <w:ind w:right="237"/>
        <w:jc w:val="both"/>
        <w:rPr>
          <w:b/>
          <w:bCs/>
          <w:color w:val="000000" w:themeColor="text1"/>
          <w:sz w:val="28"/>
          <w:szCs w:val="28"/>
        </w:rPr>
      </w:pPr>
    </w:p>
    <w:p w14:paraId="6288775F" w14:textId="77777777" w:rsidR="00D43FB7" w:rsidRDefault="00D43FB7" w:rsidP="009370AE">
      <w:pPr>
        <w:ind w:right="237"/>
        <w:jc w:val="both"/>
        <w:rPr>
          <w:b/>
          <w:bCs/>
          <w:color w:val="000000" w:themeColor="text1"/>
          <w:sz w:val="28"/>
          <w:szCs w:val="28"/>
        </w:rPr>
      </w:pPr>
    </w:p>
    <w:p w14:paraId="5F79612C" w14:textId="4E91C753" w:rsidR="009370AE" w:rsidRDefault="009370AE" w:rsidP="009370AE">
      <w:pPr>
        <w:ind w:right="237"/>
        <w:jc w:val="both"/>
        <w:rPr>
          <w:b/>
          <w:bCs/>
          <w:color w:val="000000" w:themeColor="text1"/>
          <w:sz w:val="28"/>
          <w:szCs w:val="28"/>
        </w:rPr>
      </w:pPr>
    </w:p>
    <w:p w14:paraId="6952FECB" w14:textId="77777777" w:rsidR="00A63105" w:rsidRDefault="00A63105" w:rsidP="009370AE">
      <w:pPr>
        <w:ind w:right="237"/>
        <w:jc w:val="both"/>
        <w:rPr>
          <w:b/>
          <w:bCs/>
          <w:color w:val="000000" w:themeColor="text1"/>
          <w:sz w:val="28"/>
          <w:szCs w:val="28"/>
        </w:rPr>
      </w:pPr>
    </w:p>
    <w:p w14:paraId="2B58C3FA" w14:textId="77777777" w:rsidR="00A63105" w:rsidRDefault="00A63105" w:rsidP="009370AE">
      <w:pPr>
        <w:ind w:right="237"/>
        <w:jc w:val="both"/>
        <w:rPr>
          <w:b/>
          <w:bCs/>
          <w:color w:val="000000" w:themeColor="text1"/>
          <w:sz w:val="28"/>
          <w:szCs w:val="28"/>
        </w:rPr>
      </w:pPr>
    </w:p>
    <w:p w14:paraId="7E2F7B84" w14:textId="77777777" w:rsidR="00A63105" w:rsidRDefault="00A63105"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BC67944" w:rsidR="0FF883D4" w:rsidRDefault="5CE196A1" w:rsidP="5CE196A1">
      <w:r w:rsidRPr="5CE196A1">
        <w:rPr>
          <w:rFonts w:eastAsia="Arial"/>
          <w:b/>
          <w:bCs/>
          <w:color w:val="000000" w:themeColor="text1"/>
          <w:sz w:val="24"/>
          <w:szCs w:val="24"/>
        </w:rPr>
        <w:t xml:space="preserve">Signed: </w:t>
      </w:r>
      <w:r w:rsidR="00334C29">
        <w:rPr>
          <w:rFonts w:eastAsia="Arial"/>
          <w:b/>
          <w:bCs/>
          <w:color w:val="000000" w:themeColor="text1"/>
          <w:sz w:val="24"/>
          <w:szCs w:val="24"/>
        </w:rPr>
        <w:t>Alice Newton</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3DD56A1" w:rsidR="0FF883D4" w:rsidRPr="00334C29" w:rsidRDefault="5CE196A1" w:rsidP="00334C29">
      <w:pPr>
        <w:sectPr w:rsidR="0FF883D4" w:rsidRPr="00334C29"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334C29">
        <w:rPr>
          <w:rFonts w:eastAsia="Arial"/>
          <w:b/>
          <w:bCs/>
          <w:color w:val="000000" w:themeColor="text1"/>
          <w:sz w:val="24"/>
          <w:szCs w:val="24"/>
        </w:rPr>
        <w:t>: 27/02/2025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05CDC6C" w14:textId="77777777" w:rsidR="00D43FB7" w:rsidRDefault="00D43FB7" w:rsidP="00EA28F1">
      <w:pPr>
        <w:keepNext/>
        <w:spacing w:before="240" w:after="60"/>
        <w:ind w:right="237"/>
        <w:jc w:val="both"/>
        <w:rPr>
          <w:sz w:val="24"/>
          <w:szCs w:val="24"/>
        </w:rPr>
      </w:pPr>
    </w:p>
    <w:p w14:paraId="5A07EBA7"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roofErr w:type="spellStart"/>
      <w:r w:rsidRPr="00D43FB7">
        <w:rPr>
          <w:rFonts w:ascii="Aptos" w:eastAsia="Aptos" w:hAnsi="Aptos" w:cs="Times New Roman"/>
          <w:color w:val="auto"/>
          <w:kern w:val="2"/>
          <w:sz w:val="24"/>
          <w:szCs w:val="24"/>
          <w:lang w:eastAsia="en-US"/>
          <w14:ligatures w14:val="standardContextual"/>
        </w:rPr>
        <w:t>Adeani</w:t>
      </w:r>
      <w:proofErr w:type="spellEnd"/>
      <w:r w:rsidRPr="00D43FB7">
        <w:rPr>
          <w:rFonts w:ascii="Aptos" w:eastAsia="Aptos" w:hAnsi="Aptos" w:cs="Times New Roman"/>
          <w:color w:val="auto"/>
          <w:kern w:val="2"/>
          <w:sz w:val="24"/>
          <w:szCs w:val="24"/>
          <w:lang w:eastAsia="en-US"/>
          <w14:ligatures w14:val="standardContextual"/>
        </w:rPr>
        <w:t xml:space="preserve">, I, S. </w:t>
      </w:r>
      <w:proofErr w:type="spellStart"/>
      <w:r w:rsidRPr="00D43FB7">
        <w:rPr>
          <w:rFonts w:ascii="Aptos" w:eastAsia="Aptos" w:hAnsi="Aptos" w:cs="Times New Roman"/>
          <w:color w:val="auto"/>
          <w:kern w:val="2"/>
          <w:sz w:val="24"/>
          <w:szCs w:val="24"/>
          <w:lang w:eastAsia="en-US"/>
          <w14:ligatures w14:val="standardContextual"/>
        </w:rPr>
        <w:t>Febriani</w:t>
      </w:r>
      <w:proofErr w:type="spellEnd"/>
      <w:r w:rsidRPr="00D43FB7">
        <w:rPr>
          <w:rFonts w:ascii="Aptos" w:eastAsia="Aptos" w:hAnsi="Aptos" w:cs="Times New Roman"/>
          <w:color w:val="auto"/>
          <w:kern w:val="2"/>
          <w:sz w:val="24"/>
          <w:szCs w:val="24"/>
          <w:lang w:eastAsia="en-US"/>
          <w14:ligatures w14:val="standardContextual"/>
        </w:rPr>
        <w:t xml:space="preserve">, R. B. and </w:t>
      </w:r>
      <w:proofErr w:type="spellStart"/>
      <w:r w:rsidRPr="00D43FB7">
        <w:rPr>
          <w:rFonts w:ascii="Aptos" w:eastAsia="Aptos" w:hAnsi="Aptos" w:cs="Times New Roman"/>
          <w:color w:val="auto"/>
          <w:kern w:val="2"/>
          <w:sz w:val="24"/>
          <w:szCs w:val="24"/>
          <w:lang w:eastAsia="en-US"/>
          <w14:ligatures w14:val="standardContextual"/>
        </w:rPr>
        <w:t>Syafryadin</w:t>
      </w:r>
      <w:proofErr w:type="spellEnd"/>
      <w:r w:rsidRPr="00D43FB7">
        <w:rPr>
          <w:rFonts w:ascii="Aptos" w:eastAsia="Aptos" w:hAnsi="Aptos" w:cs="Times New Roman"/>
          <w:color w:val="auto"/>
          <w:kern w:val="2"/>
          <w:sz w:val="24"/>
          <w:szCs w:val="24"/>
          <w:lang w:eastAsia="en-US"/>
          <w14:ligatures w14:val="standardContextual"/>
        </w:rPr>
        <w:t xml:space="preserve">, S. (2020). ‘USING GIBBS REFLECTIVE CYCLE IN MAKING REFLECTIONS OF LITERARY ANALYSIS’, </w:t>
      </w:r>
      <w:r w:rsidRPr="00D43FB7">
        <w:rPr>
          <w:rFonts w:ascii="Aptos" w:eastAsia="Aptos" w:hAnsi="Aptos" w:cs="Times New Roman"/>
          <w:i/>
          <w:iCs/>
          <w:color w:val="auto"/>
          <w:kern w:val="2"/>
          <w:sz w:val="24"/>
          <w:szCs w:val="24"/>
          <w:lang w:eastAsia="en-US"/>
          <w14:ligatures w14:val="standardContextual"/>
        </w:rPr>
        <w:t>Indonesian EFL Journal</w:t>
      </w:r>
      <w:r w:rsidRPr="00D43FB7">
        <w:rPr>
          <w:rFonts w:ascii="Aptos" w:eastAsia="Aptos" w:hAnsi="Aptos" w:cs="Times New Roman"/>
          <w:color w:val="auto"/>
          <w:kern w:val="2"/>
          <w:sz w:val="24"/>
          <w:szCs w:val="24"/>
          <w:lang w:eastAsia="en-US"/>
          <w14:ligatures w14:val="standardContextual"/>
        </w:rPr>
        <w:t>, 6(2), pp. 139 – 148.</w:t>
      </w:r>
    </w:p>
    <w:p w14:paraId="7CE841C0"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52F6C04"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Almond, L. McManus, M. Brian, D. and </w:t>
      </w:r>
      <w:proofErr w:type="spellStart"/>
      <w:r w:rsidRPr="00D43FB7">
        <w:rPr>
          <w:rFonts w:ascii="Aptos" w:eastAsia="Aptos" w:hAnsi="Aptos" w:cs="Times New Roman"/>
          <w:color w:val="auto"/>
          <w:kern w:val="2"/>
          <w:sz w:val="24"/>
          <w:szCs w:val="24"/>
          <w:lang w:eastAsia="en-US"/>
          <w14:ligatures w14:val="standardContextual"/>
        </w:rPr>
        <w:t>Merrington</w:t>
      </w:r>
      <w:proofErr w:type="spellEnd"/>
      <w:r w:rsidRPr="00D43FB7">
        <w:rPr>
          <w:rFonts w:ascii="Aptos" w:eastAsia="Aptos" w:hAnsi="Aptos" w:cs="Times New Roman"/>
          <w:color w:val="auto"/>
          <w:kern w:val="2"/>
          <w:sz w:val="24"/>
          <w:szCs w:val="24"/>
          <w:lang w:eastAsia="en-US"/>
          <w14:ligatures w14:val="standardContextual"/>
        </w:rPr>
        <w:t xml:space="preserve">, D. P. (2016). ‘Exploration of the risk factors contained within the UK’s existing domestic abuse risk assessment tool (DASH): do these risk factors have individua; predictive validity regarding recidivism?’, </w:t>
      </w:r>
      <w:r w:rsidRPr="00D43FB7">
        <w:rPr>
          <w:rFonts w:ascii="Aptos" w:eastAsia="Aptos" w:hAnsi="Aptos" w:cs="Times New Roman"/>
          <w:i/>
          <w:iCs/>
          <w:color w:val="auto"/>
          <w:kern w:val="2"/>
          <w:sz w:val="24"/>
          <w:szCs w:val="24"/>
          <w:lang w:eastAsia="en-US"/>
          <w14:ligatures w14:val="standardContextual"/>
        </w:rPr>
        <w:t>Journal of Aggression, Conflict and Peace Research</w:t>
      </w:r>
      <w:r w:rsidRPr="00D43FB7">
        <w:rPr>
          <w:rFonts w:ascii="Aptos" w:eastAsia="Aptos" w:hAnsi="Aptos" w:cs="Times New Roman"/>
          <w:color w:val="auto"/>
          <w:kern w:val="2"/>
          <w:sz w:val="24"/>
          <w:szCs w:val="24"/>
          <w:lang w:eastAsia="en-US"/>
          <w14:ligatures w14:val="standardContextual"/>
        </w:rPr>
        <w:t xml:space="preserve">, 9(1), pp. 58 – 68. (Online). Available at: </w:t>
      </w:r>
      <w:hyperlink r:id="rId21" w:history="1">
        <w:proofErr w:type="spellStart"/>
        <w:r w:rsidRPr="00D43FB7">
          <w:rPr>
            <w:rFonts w:ascii="Aptos" w:eastAsia="Aptos" w:hAnsi="Aptos" w:cs="Times New Roman"/>
            <w:color w:val="467886"/>
            <w:kern w:val="2"/>
            <w:sz w:val="24"/>
            <w:szCs w:val="24"/>
            <w:u w:val="single"/>
            <w:lang w:eastAsia="en-US"/>
            <w14:ligatures w14:val="standardContextual"/>
          </w:rPr>
          <w:t>Exploration_of_the_risk_factor</w:t>
        </w:r>
        <w:proofErr w:type="spellEnd"/>
        <w:r w:rsidRPr="00D43FB7">
          <w:rPr>
            <w:rFonts w:ascii="Aptos" w:eastAsia="Aptos" w:hAnsi="Aptos" w:cs="Times New Roman"/>
            <w:color w:val="467886"/>
            <w:kern w:val="2"/>
            <w:sz w:val="24"/>
            <w:szCs w:val="24"/>
            <w:u w:val="single"/>
            <w:lang w:eastAsia="en-US"/>
            <w14:ligatures w14:val="standardContextual"/>
          </w:rPr>
          <w:t xml:space="preserve"> (1).pdf</w:t>
        </w:r>
      </w:hyperlink>
      <w:r w:rsidRPr="00D43FB7">
        <w:rPr>
          <w:rFonts w:ascii="Aptos" w:eastAsia="Aptos" w:hAnsi="Aptos" w:cs="Times New Roman"/>
          <w:color w:val="auto"/>
          <w:kern w:val="2"/>
          <w:sz w:val="24"/>
          <w:szCs w:val="24"/>
          <w:lang w:eastAsia="en-US"/>
          <w14:ligatures w14:val="standardContextual"/>
        </w:rPr>
        <w:t xml:space="preserve">. (Accessed: 22/04/2025). </w:t>
      </w:r>
    </w:p>
    <w:p w14:paraId="374FCCAA"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416DDF65"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Bullock, K. (2017). ‘The Police Use of Social Media: Transformation or Normalisation?’, </w:t>
      </w:r>
      <w:r w:rsidRPr="00D43FB7">
        <w:rPr>
          <w:rFonts w:asciiTheme="minorHAnsi" w:eastAsiaTheme="minorHAnsi" w:hAnsiTheme="minorHAnsi" w:cstheme="minorBidi"/>
          <w:i/>
          <w:iCs/>
          <w:color w:val="auto"/>
          <w:kern w:val="2"/>
          <w:sz w:val="24"/>
          <w:szCs w:val="24"/>
          <w:lang w:eastAsia="en-US"/>
          <w14:ligatures w14:val="standardContextual"/>
        </w:rPr>
        <w:t>Social Policy and Society</w:t>
      </w:r>
      <w:r w:rsidRPr="00D43FB7">
        <w:rPr>
          <w:rFonts w:asciiTheme="minorHAnsi" w:eastAsiaTheme="minorHAnsi" w:hAnsiTheme="minorHAnsi" w:cstheme="minorBidi"/>
          <w:color w:val="auto"/>
          <w:kern w:val="2"/>
          <w:sz w:val="24"/>
          <w:szCs w:val="24"/>
          <w:lang w:eastAsia="en-US"/>
          <w14:ligatures w14:val="standardContextual"/>
        </w:rPr>
        <w:t xml:space="preserve">, 17(2), pp. 245 – 258. (Online). Available at: </w:t>
      </w:r>
      <w:hyperlink r:id="rId22" w:history="1">
        <w:r w:rsidRPr="00D43FB7">
          <w:rPr>
            <w:rFonts w:asciiTheme="minorHAnsi" w:eastAsiaTheme="minorHAnsi" w:hAnsiTheme="minorHAnsi" w:cstheme="minorBidi"/>
            <w:color w:val="0563C1" w:themeColor="hyperlink"/>
            <w:kern w:val="2"/>
            <w:sz w:val="24"/>
            <w:szCs w:val="24"/>
            <w:u w:val="single"/>
            <w:lang w:eastAsia="en-US"/>
            <w14:ligatures w14:val="standardContextual"/>
          </w:rPr>
          <w:t>The_Police_Use_of_Social_Media.pdf</w:t>
        </w:r>
      </w:hyperlink>
      <w:r w:rsidRPr="00D43FB7">
        <w:rPr>
          <w:rFonts w:asciiTheme="minorHAnsi" w:eastAsiaTheme="minorHAnsi" w:hAnsiTheme="minorHAnsi" w:cstheme="minorBidi"/>
          <w:color w:val="auto"/>
          <w:kern w:val="2"/>
          <w:sz w:val="24"/>
          <w:szCs w:val="24"/>
          <w:lang w:eastAsia="en-US"/>
          <w14:ligatures w14:val="standardContextual"/>
        </w:rPr>
        <w:t xml:space="preserve">. (Accessed: 21/04/2025). </w:t>
      </w:r>
    </w:p>
    <w:p w14:paraId="57DD43AC"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0B6B6F4D"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Burrow-Grint, K. Sebire, J. and Turton, J. (2022). </w:t>
      </w:r>
      <w:r w:rsidRPr="00D43FB7">
        <w:rPr>
          <w:rFonts w:ascii="Aptos" w:eastAsia="Aptos" w:hAnsi="Aptos" w:cs="Times New Roman"/>
          <w:i/>
          <w:iCs/>
          <w:color w:val="auto"/>
          <w:kern w:val="2"/>
          <w:sz w:val="24"/>
          <w:szCs w:val="24"/>
          <w:lang w:eastAsia="en-US"/>
          <w14:ligatures w14:val="standardContextual"/>
        </w:rPr>
        <w:t>Policing domestic abuse: risk, policy, and practice</w:t>
      </w:r>
      <w:r w:rsidRPr="00D43FB7">
        <w:rPr>
          <w:rFonts w:ascii="Aptos" w:eastAsia="Aptos" w:hAnsi="Aptos" w:cs="Times New Roman"/>
          <w:color w:val="auto"/>
          <w:kern w:val="2"/>
          <w:sz w:val="24"/>
          <w:szCs w:val="24"/>
          <w:lang w:eastAsia="en-US"/>
          <w14:ligatures w14:val="standardContextual"/>
        </w:rPr>
        <w:t xml:space="preserve">. London: Routledge. </w:t>
      </w:r>
    </w:p>
    <w:p w14:paraId="339992C6"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173534F8"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Cohen, S. (2002). </w:t>
      </w:r>
      <w:r w:rsidRPr="00D43FB7">
        <w:rPr>
          <w:rFonts w:asciiTheme="minorHAnsi" w:eastAsiaTheme="minorHAnsi" w:hAnsiTheme="minorHAnsi" w:cstheme="minorBidi"/>
          <w:i/>
          <w:iCs/>
          <w:color w:val="auto"/>
          <w:kern w:val="2"/>
          <w:sz w:val="24"/>
          <w:szCs w:val="24"/>
          <w:lang w:eastAsia="en-US"/>
          <w14:ligatures w14:val="standardContextual"/>
        </w:rPr>
        <w:t>Folk Devils and Moral Panics: The Creation of the Mods and Rockers</w:t>
      </w:r>
      <w:r w:rsidRPr="00D43FB7">
        <w:rPr>
          <w:rFonts w:asciiTheme="minorHAnsi" w:eastAsiaTheme="minorHAnsi" w:hAnsiTheme="minorHAnsi" w:cstheme="minorBidi"/>
          <w:color w:val="auto"/>
          <w:kern w:val="2"/>
          <w:sz w:val="24"/>
          <w:szCs w:val="24"/>
          <w:lang w:eastAsia="en-US"/>
          <w14:ligatures w14:val="standardContextual"/>
        </w:rPr>
        <w:t>. 3</w:t>
      </w:r>
      <w:r w:rsidRPr="00D43FB7">
        <w:rPr>
          <w:rFonts w:asciiTheme="minorHAnsi" w:eastAsiaTheme="minorHAnsi" w:hAnsiTheme="minorHAnsi" w:cstheme="minorBidi"/>
          <w:color w:val="auto"/>
          <w:kern w:val="2"/>
          <w:sz w:val="24"/>
          <w:szCs w:val="24"/>
          <w:vertAlign w:val="superscript"/>
          <w:lang w:eastAsia="en-US"/>
          <w14:ligatures w14:val="standardContextual"/>
        </w:rPr>
        <w:t>rd</w:t>
      </w:r>
      <w:r w:rsidRPr="00D43FB7">
        <w:rPr>
          <w:rFonts w:asciiTheme="minorHAnsi" w:eastAsiaTheme="minorHAnsi" w:hAnsiTheme="minorHAnsi" w:cstheme="minorBidi"/>
          <w:color w:val="auto"/>
          <w:kern w:val="2"/>
          <w:sz w:val="24"/>
          <w:szCs w:val="24"/>
          <w:lang w:eastAsia="en-US"/>
          <w14:ligatures w14:val="standardContextual"/>
        </w:rPr>
        <w:t xml:space="preserve"> </w:t>
      </w:r>
      <w:proofErr w:type="spellStart"/>
      <w:r w:rsidRPr="00D43FB7">
        <w:rPr>
          <w:rFonts w:asciiTheme="minorHAnsi" w:eastAsiaTheme="minorHAnsi" w:hAnsiTheme="minorHAnsi" w:cstheme="minorBidi"/>
          <w:color w:val="auto"/>
          <w:kern w:val="2"/>
          <w:sz w:val="24"/>
          <w:szCs w:val="24"/>
          <w:lang w:eastAsia="en-US"/>
          <w14:ligatures w14:val="standardContextual"/>
        </w:rPr>
        <w:t>edn</w:t>
      </w:r>
      <w:proofErr w:type="spellEnd"/>
      <w:r w:rsidRPr="00D43FB7">
        <w:rPr>
          <w:rFonts w:asciiTheme="minorHAnsi" w:eastAsiaTheme="minorHAnsi" w:hAnsiTheme="minorHAnsi" w:cstheme="minorBidi"/>
          <w:color w:val="auto"/>
          <w:kern w:val="2"/>
          <w:sz w:val="24"/>
          <w:szCs w:val="24"/>
          <w:lang w:eastAsia="en-US"/>
          <w14:ligatures w14:val="standardContextual"/>
        </w:rPr>
        <w:t xml:space="preserve">. London: Routledge. </w:t>
      </w:r>
    </w:p>
    <w:p w14:paraId="4C6D1F36"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5721D0D4"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College of Policing. (2013a). </w:t>
      </w:r>
      <w:r w:rsidRPr="00D43FB7">
        <w:rPr>
          <w:rFonts w:asciiTheme="minorHAnsi" w:eastAsiaTheme="minorHAnsi" w:hAnsiTheme="minorHAnsi" w:cstheme="minorBidi"/>
          <w:i/>
          <w:iCs/>
          <w:color w:val="auto"/>
          <w:kern w:val="2"/>
          <w:sz w:val="24"/>
          <w:szCs w:val="24"/>
          <w:lang w:eastAsia="en-US"/>
          <w14:ligatures w14:val="standardContextual"/>
        </w:rPr>
        <w:t>Managing effective investigations</w:t>
      </w:r>
      <w:r w:rsidRPr="00D43FB7">
        <w:rPr>
          <w:rFonts w:asciiTheme="minorHAnsi" w:eastAsiaTheme="minorHAnsi" w:hAnsiTheme="minorHAnsi" w:cstheme="minorBidi"/>
          <w:color w:val="auto"/>
          <w:kern w:val="2"/>
          <w:sz w:val="24"/>
          <w:szCs w:val="24"/>
          <w:lang w:eastAsia="en-US"/>
          <w14:ligatures w14:val="standardContextual"/>
        </w:rPr>
        <w:t xml:space="preserve">. (Online). Available at: </w:t>
      </w:r>
      <w:hyperlink r:id="rId23" w:history="1">
        <w:r w:rsidRPr="00D43FB7">
          <w:rPr>
            <w:rFonts w:asciiTheme="minorHAnsi" w:eastAsiaTheme="minorHAnsi" w:hAnsiTheme="minorHAnsi" w:cstheme="minorBidi"/>
            <w:color w:val="0563C1" w:themeColor="hyperlink"/>
            <w:kern w:val="2"/>
            <w:sz w:val="24"/>
            <w:szCs w:val="24"/>
            <w:u w:val="single"/>
            <w:lang w:eastAsia="en-US"/>
            <w14:ligatures w14:val="standardContextual"/>
          </w:rPr>
          <w:t>Managing effective investigations | College of Policing</w:t>
        </w:r>
      </w:hyperlink>
      <w:r w:rsidRPr="00D43FB7">
        <w:rPr>
          <w:rFonts w:asciiTheme="minorHAnsi" w:eastAsiaTheme="minorHAnsi" w:hAnsiTheme="minorHAnsi" w:cstheme="minorBidi"/>
          <w:color w:val="auto"/>
          <w:kern w:val="2"/>
          <w:sz w:val="24"/>
          <w:szCs w:val="24"/>
          <w:lang w:eastAsia="en-US"/>
          <w14:ligatures w14:val="standardContextual"/>
        </w:rPr>
        <w:t xml:space="preserve">. (Accessed: 25/04/2025). </w:t>
      </w:r>
    </w:p>
    <w:p w14:paraId="47553573"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2AF04DDA"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College of Policing. (2013b). </w:t>
      </w:r>
      <w:r w:rsidRPr="00D43FB7">
        <w:rPr>
          <w:rFonts w:asciiTheme="minorHAnsi" w:eastAsiaTheme="minorHAnsi" w:hAnsiTheme="minorHAnsi" w:cstheme="minorBidi"/>
          <w:i/>
          <w:iCs/>
          <w:color w:val="auto"/>
          <w:kern w:val="2"/>
          <w:sz w:val="24"/>
          <w:szCs w:val="24"/>
          <w:lang w:eastAsia="en-US"/>
          <w14:ligatures w14:val="standardContextual"/>
        </w:rPr>
        <w:t>Investigation process</w:t>
      </w:r>
      <w:r w:rsidRPr="00D43FB7">
        <w:rPr>
          <w:rFonts w:asciiTheme="minorHAnsi" w:eastAsiaTheme="minorHAnsi" w:hAnsiTheme="minorHAnsi" w:cstheme="minorBidi"/>
          <w:color w:val="auto"/>
          <w:kern w:val="2"/>
          <w:sz w:val="24"/>
          <w:szCs w:val="24"/>
          <w:lang w:eastAsia="en-US"/>
          <w14:ligatures w14:val="standardContextual"/>
        </w:rPr>
        <w:t xml:space="preserve">. (Online). Available at: </w:t>
      </w:r>
      <w:hyperlink r:id="rId24" w:history="1">
        <w:r w:rsidRPr="00D43FB7">
          <w:rPr>
            <w:rFonts w:asciiTheme="minorHAnsi" w:eastAsiaTheme="minorHAnsi" w:hAnsiTheme="minorHAnsi" w:cstheme="minorBidi"/>
            <w:color w:val="0563C1" w:themeColor="hyperlink"/>
            <w:kern w:val="2"/>
            <w:sz w:val="24"/>
            <w:szCs w:val="24"/>
            <w:u w:val="single"/>
            <w:lang w:eastAsia="en-US"/>
            <w14:ligatures w14:val="standardContextual"/>
          </w:rPr>
          <w:t>Investigation process | College of Policing</w:t>
        </w:r>
      </w:hyperlink>
      <w:r w:rsidRPr="00D43FB7">
        <w:rPr>
          <w:rFonts w:asciiTheme="minorHAnsi" w:eastAsiaTheme="minorHAnsi" w:hAnsiTheme="minorHAnsi" w:cstheme="minorBidi"/>
          <w:color w:val="auto"/>
          <w:kern w:val="2"/>
          <w:sz w:val="24"/>
          <w:szCs w:val="24"/>
          <w:lang w:eastAsia="en-US"/>
          <w14:ligatures w14:val="standardContextual"/>
        </w:rPr>
        <w:t xml:space="preserve">. (Accessed: 23/04/2025). </w:t>
      </w:r>
    </w:p>
    <w:p w14:paraId="7D2631D6"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25A07971"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lastRenderedPageBreak/>
        <w:t xml:space="preserve">College of Policing. (2021). </w:t>
      </w:r>
      <w:r w:rsidRPr="00D43FB7">
        <w:rPr>
          <w:rFonts w:ascii="Aptos" w:eastAsia="Aptos" w:hAnsi="Aptos" w:cs="Times New Roman"/>
          <w:i/>
          <w:iCs/>
          <w:color w:val="auto"/>
          <w:kern w:val="2"/>
          <w:sz w:val="24"/>
          <w:szCs w:val="24"/>
          <w:lang w:eastAsia="en-US"/>
          <w14:ligatures w14:val="standardContextual"/>
        </w:rPr>
        <w:t>Introduction to vulnerability-related risk</w:t>
      </w:r>
      <w:r w:rsidRPr="00D43FB7">
        <w:rPr>
          <w:rFonts w:ascii="Aptos" w:eastAsia="Aptos" w:hAnsi="Aptos" w:cs="Times New Roman"/>
          <w:color w:val="auto"/>
          <w:kern w:val="2"/>
          <w:sz w:val="24"/>
          <w:szCs w:val="24"/>
          <w:lang w:eastAsia="en-US"/>
          <w14:ligatures w14:val="standardContextual"/>
        </w:rPr>
        <w:t xml:space="preserve">. (Online). Available at: </w:t>
      </w:r>
      <w:hyperlink r:id="rId25" w:history="1">
        <w:r w:rsidRPr="00D43FB7">
          <w:rPr>
            <w:rFonts w:ascii="Aptos" w:eastAsia="Aptos" w:hAnsi="Aptos" w:cs="Times New Roman"/>
            <w:color w:val="467886"/>
            <w:kern w:val="2"/>
            <w:sz w:val="24"/>
            <w:szCs w:val="24"/>
            <w:u w:val="single"/>
            <w:lang w:eastAsia="en-US"/>
            <w14:ligatures w14:val="standardContextual"/>
          </w:rPr>
          <w:t>Introduction to vulnerability-related risk | College of Policing</w:t>
        </w:r>
      </w:hyperlink>
      <w:r w:rsidRPr="00D43FB7">
        <w:rPr>
          <w:rFonts w:ascii="Aptos" w:eastAsia="Aptos" w:hAnsi="Aptos" w:cs="Times New Roman"/>
          <w:color w:val="auto"/>
          <w:kern w:val="2"/>
          <w:sz w:val="24"/>
          <w:szCs w:val="24"/>
          <w:lang w:eastAsia="en-US"/>
          <w14:ligatures w14:val="standardContextual"/>
        </w:rPr>
        <w:t xml:space="preserve">. (Accessed: 25/02/2025). </w:t>
      </w:r>
    </w:p>
    <w:p w14:paraId="19EE965D"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5F9418E9"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College of Policing. (2024). </w:t>
      </w:r>
      <w:r w:rsidRPr="00D43FB7">
        <w:rPr>
          <w:rFonts w:asciiTheme="minorHAnsi" w:eastAsiaTheme="minorHAnsi" w:hAnsiTheme="minorHAnsi" w:cstheme="minorBidi"/>
          <w:i/>
          <w:iCs/>
          <w:color w:val="auto"/>
          <w:kern w:val="2"/>
          <w:sz w:val="24"/>
          <w:szCs w:val="24"/>
          <w:lang w:eastAsia="en-US"/>
          <w14:ligatures w14:val="standardContextual"/>
        </w:rPr>
        <w:t>Values</w:t>
      </w:r>
      <w:r w:rsidRPr="00D43FB7">
        <w:rPr>
          <w:rFonts w:asciiTheme="minorHAnsi" w:eastAsiaTheme="minorHAnsi" w:hAnsiTheme="minorHAnsi" w:cstheme="minorBidi"/>
          <w:color w:val="auto"/>
          <w:kern w:val="2"/>
          <w:sz w:val="24"/>
          <w:szCs w:val="24"/>
          <w:lang w:eastAsia="en-US"/>
          <w14:ligatures w14:val="standardContextual"/>
        </w:rPr>
        <w:t xml:space="preserve">. (Online). Available at: </w:t>
      </w:r>
      <w:hyperlink r:id="rId26" w:anchor="757b566f-c47a-4c13-ad14-c024ad77154f" w:history="1">
        <w:r w:rsidRPr="00D43FB7">
          <w:rPr>
            <w:rFonts w:asciiTheme="minorHAnsi" w:eastAsiaTheme="minorHAnsi" w:hAnsiTheme="minorHAnsi" w:cstheme="minorBidi"/>
            <w:color w:val="0563C1" w:themeColor="hyperlink"/>
            <w:kern w:val="2"/>
            <w:sz w:val="24"/>
            <w:szCs w:val="24"/>
            <w:u w:val="single"/>
            <w:lang w:eastAsia="en-US"/>
            <w14:ligatures w14:val="standardContextual"/>
          </w:rPr>
          <w:t>Values | College of Policing</w:t>
        </w:r>
      </w:hyperlink>
      <w:r w:rsidRPr="00D43FB7">
        <w:rPr>
          <w:rFonts w:asciiTheme="minorHAnsi" w:eastAsiaTheme="minorHAnsi" w:hAnsiTheme="minorHAnsi" w:cstheme="minorBidi"/>
          <w:color w:val="auto"/>
          <w:kern w:val="2"/>
          <w:sz w:val="24"/>
          <w:szCs w:val="24"/>
          <w:lang w:eastAsia="en-US"/>
          <w14:ligatures w14:val="standardContextual"/>
        </w:rPr>
        <w:t xml:space="preserve">. (Accessed: 27/04/2025). </w:t>
      </w:r>
    </w:p>
    <w:p w14:paraId="4F8C827A"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570FCA95" w14:textId="2FAEF586"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Cook, T. (2023). </w:t>
      </w:r>
      <w:r w:rsidRPr="00D43FB7">
        <w:rPr>
          <w:rFonts w:asciiTheme="minorHAnsi" w:eastAsiaTheme="minorHAnsi" w:hAnsiTheme="minorHAnsi" w:cstheme="minorBidi"/>
          <w:i/>
          <w:iCs/>
          <w:color w:val="auto"/>
          <w:kern w:val="2"/>
          <w:sz w:val="24"/>
          <w:szCs w:val="24"/>
          <w:lang w:eastAsia="en-US"/>
          <w14:ligatures w14:val="standardContextual"/>
        </w:rPr>
        <w:t>Senior investigating officers’ handbook</w:t>
      </w:r>
      <w:r w:rsidRPr="00D43FB7">
        <w:rPr>
          <w:rFonts w:asciiTheme="minorHAnsi" w:eastAsiaTheme="minorHAnsi" w:hAnsiTheme="minorHAnsi" w:cstheme="minorBidi"/>
          <w:color w:val="auto"/>
          <w:kern w:val="2"/>
          <w:sz w:val="24"/>
          <w:szCs w:val="24"/>
          <w:lang w:eastAsia="en-US"/>
          <w14:ligatures w14:val="standardContextual"/>
        </w:rPr>
        <w:t xml:space="preserve">. (Online). Available at: </w:t>
      </w:r>
      <w:hyperlink r:id="rId27" w:history="1">
        <w:r w:rsidRPr="00D43FB7">
          <w:rPr>
            <w:rFonts w:asciiTheme="minorHAnsi" w:eastAsiaTheme="minorHAnsi" w:hAnsiTheme="minorHAnsi" w:cstheme="minorBidi"/>
            <w:color w:val="0563C1" w:themeColor="hyperlink"/>
            <w:kern w:val="2"/>
            <w:sz w:val="24"/>
            <w:szCs w:val="24"/>
            <w:u w:val="single"/>
            <w:lang w:eastAsia="en-US"/>
            <w14:ligatures w14:val="standardContextual"/>
          </w:rPr>
          <w:t>Role of the Senior Investigating Officer (SIO) | Blackstone's Police</w:t>
        </w:r>
      </w:hyperlink>
      <w:r w:rsidRPr="00D43FB7">
        <w:rPr>
          <w:rFonts w:asciiTheme="minorHAnsi" w:eastAsiaTheme="minorHAnsi" w:hAnsiTheme="minorHAnsi" w:cstheme="minorBidi"/>
          <w:color w:val="auto"/>
          <w:kern w:val="2"/>
          <w:sz w:val="24"/>
          <w:szCs w:val="24"/>
          <w:lang w:eastAsia="en-US"/>
          <w14:ligatures w14:val="standardContextual"/>
        </w:rPr>
        <w:t xml:space="preserve">. (Accessed: 21/04/2025). </w:t>
      </w:r>
    </w:p>
    <w:p w14:paraId="185FB0C8"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2A0D9C22"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Cutas, D. and Chan, S. (2012). </w:t>
      </w:r>
      <w:r w:rsidRPr="00D43FB7">
        <w:rPr>
          <w:rFonts w:ascii="Aptos" w:eastAsia="Aptos" w:hAnsi="Aptos" w:cs="Times New Roman"/>
          <w:i/>
          <w:iCs/>
          <w:color w:val="auto"/>
          <w:kern w:val="2"/>
          <w:sz w:val="24"/>
          <w:szCs w:val="24"/>
          <w:lang w:eastAsia="en-US"/>
          <w14:ligatures w14:val="standardContextual"/>
        </w:rPr>
        <w:t>Families – beyond the nuclear ideal</w:t>
      </w:r>
      <w:r w:rsidRPr="00D43FB7">
        <w:rPr>
          <w:rFonts w:ascii="Aptos" w:eastAsia="Aptos" w:hAnsi="Aptos" w:cs="Times New Roman"/>
          <w:color w:val="auto"/>
          <w:kern w:val="2"/>
          <w:sz w:val="24"/>
          <w:szCs w:val="24"/>
          <w:lang w:eastAsia="en-US"/>
          <w14:ligatures w14:val="standardContextual"/>
        </w:rPr>
        <w:t xml:space="preserve">. London: Bloomsbury Academic. </w:t>
      </w:r>
    </w:p>
    <w:p w14:paraId="672B9605"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2D848EBB" w14:textId="45747E65" w:rsidR="00D43FB7" w:rsidRPr="00A63105"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Gollwitzer, M. </w:t>
      </w:r>
      <w:proofErr w:type="spellStart"/>
      <w:r w:rsidRPr="00D43FB7">
        <w:rPr>
          <w:rFonts w:asciiTheme="minorHAnsi" w:eastAsiaTheme="minorHAnsi" w:hAnsiTheme="minorHAnsi" w:cstheme="minorBidi"/>
          <w:color w:val="auto"/>
          <w:kern w:val="2"/>
          <w:sz w:val="24"/>
          <w:szCs w:val="24"/>
          <w:lang w:eastAsia="en-US"/>
          <w14:ligatures w14:val="standardContextual"/>
        </w:rPr>
        <w:t>Sussenbach</w:t>
      </w:r>
      <w:proofErr w:type="spellEnd"/>
      <w:r w:rsidRPr="00D43FB7">
        <w:rPr>
          <w:rFonts w:asciiTheme="minorHAnsi" w:eastAsiaTheme="minorHAnsi" w:hAnsiTheme="minorHAnsi" w:cstheme="minorBidi"/>
          <w:color w:val="auto"/>
          <w:kern w:val="2"/>
          <w:sz w:val="24"/>
          <w:szCs w:val="24"/>
          <w:lang w:eastAsia="en-US"/>
          <w14:ligatures w14:val="standardContextual"/>
        </w:rPr>
        <w:t xml:space="preserve">, P. and </w:t>
      </w:r>
      <w:proofErr w:type="spellStart"/>
      <w:r w:rsidRPr="00D43FB7">
        <w:rPr>
          <w:rFonts w:asciiTheme="minorHAnsi" w:eastAsiaTheme="minorHAnsi" w:hAnsiTheme="minorHAnsi" w:cstheme="minorBidi"/>
          <w:color w:val="auto"/>
          <w:kern w:val="2"/>
          <w:sz w:val="24"/>
          <w:szCs w:val="24"/>
          <w:lang w:eastAsia="en-US"/>
          <w14:ligatures w14:val="standardContextual"/>
        </w:rPr>
        <w:t>Hannuschke</w:t>
      </w:r>
      <w:proofErr w:type="spellEnd"/>
      <w:r w:rsidRPr="00D43FB7">
        <w:rPr>
          <w:rFonts w:asciiTheme="minorHAnsi" w:eastAsiaTheme="minorHAnsi" w:hAnsiTheme="minorHAnsi" w:cstheme="minorBidi"/>
          <w:color w:val="auto"/>
          <w:kern w:val="2"/>
          <w:sz w:val="24"/>
          <w:szCs w:val="24"/>
          <w:lang w:eastAsia="en-US"/>
          <w14:ligatures w14:val="standardContextual"/>
        </w:rPr>
        <w:t xml:space="preserve">, M. (2015). ‘Victimization experiences and the stabilization of victim sensitivity’, frontiers in Psychology, 14(6), pp. 1 – 12. (Online). Available at: </w:t>
      </w:r>
      <w:hyperlink r:id="rId28" w:history="1">
        <w:r w:rsidRPr="00D43FB7">
          <w:rPr>
            <w:rFonts w:asciiTheme="minorHAnsi" w:eastAsiaTheme="minorHAnsi" w:hAnsiTheme="minorHAnsi" w:cstheme="minorBidi"/>
            <w:color w:val="0563C1" w:themeColor="hyperlink"/>
            <w:kern w:val="2"/>
            <w:sz w:val="24"/>
            <w:szCs w:val="24"/>
            <w:u w:val="single"/>
            <w:lang w:eastAsia="en-US"/>
            <w14:ligatures w14:val="standardContextual"/>
          </w:rPr>
          <w:t>Victimization experiences and the stabilization of victim sensitivity</w:t>
        </w:r>
      </w:hyperlink>
      <w:r w:rsidRPr="00D43FB7">
        <w:rPr>
          <w:rFonts w:asciiTheme="minorHAnsi" w:eastAsiaTheme="minorHAnsi" w:hAnsiTheme="minorHAnsi" w:cstheme="minorBidi"/>
          <w:color w:val="auto"/>
          <w:kern w:val="2"/>
          <w:sz w:val="24"/>
          <w:szCs w:val="24"/>
          <w:lang w:eastAsia="en-US"/>
          <w14:ligatures w14:val="standardContextual"/>
        </w:rPr>
        <w:t xml:space="preserve">. (Accessed: 27/04/2025). </w:t>
      </w:r>
    </w:p>
    <w:p w14:paraId="11A5F10B"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0E273D93"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GOV.UK. (2022). A duty to protect: </w:t>
      </w:r>
      <w:r w:rsidRPr="00D43FB7">
        <w:rPr>
          <w:rFonts w:ascii="Aptos" w:eastAsia="Aptos" w:hAnsi="Aptos" w:cs="Times New Roman"/>
          <w:i/>
          <w:iCs/>
          <w:color w:val="auto"/>
          <w:kern w:val="2"/>
          <w:sz w:val="24"/>
          <w:szCs w:val="24"/>
          <w:lang w:eastAsia="en-US"/>
          <w14:ligatures w14:val="standardContextual"/>
        </w:rPr>
        <w:t>Police use of protective measures in cases involving violence against women and girls.</w:t>
      </w:r>
      <w:r w:rsidRPr="00D43FB7">
        <w:rPr>
          <w:rFonts w:ascii="Aptos" w:eastAsia="Aptos" w:hAnsi="Aptos" w:cs="Times New Roman"/>
          <w:color w:val="auto"/>
          <w:kern w:val="2"/>
          <w:sz w:val="24"/>
          <w:szCs w:val="24"/>
          <w:lang w:eastAsia="en-US"/>
          <w14:ligatures w14:val="standardContextual"/>
        </w:rPr>
        <w:t xml:space="preserve"> (Online). Available at: </w:t>
      </w:r>
      <w:hyperlink r:id="rId29" w:history="1">
        <w:r w:rsidRPr="00D43FB7">
          <w:rPr>
            <w:rFonts w:ascii="Aptos" w:eastAsia="Aptos" w:hAnsi="Aptos" w:cs="Times New Roman"/>
            <w:color w:val="467886"/>
            <w:kern w:val="2"/>
            <w:sz w:val="24"/>
            <w:szCs w:val="24"/>
            <w:u w:val="single"/>
            <w:lang w:eastAsia="en-US"/>
            <w14:ligatures w14:val="standardContextual"/>
          </w:rPr>
          <w:t>A duty to protect: Police use of protective measures in cases involving violence against women and girls - GOV.UK</w:t>
        </w:r>
      </w:hyperlink>
      <w:r w:rsidRPr="00D43FB7">
        <w:rPr>
          <w:rFonts w:ascii="Aptos" w:eastAsia="Aptos" w:hAnsi="Aptos" w:cs="Times New Roman"/>
          <w:color w:val="auto"/>
          <w:kern w:val="2"/>
          <w:sz w:val="24"/>
          <w:szCs w:val="24"/>
          <w:lang w:eastAsia="en-US"/>
          <w14:ligatures w14:val="standardContextual"/>
        </w:rPr>
        <w:t xml:space="preserve">. (Accessed: 23/03/2025). </w:t>
      </w:r>
    </w:p>
    <w:p w14:paraId="0403F369"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661C37A"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GOV.UK. (2023). </w:t>
      </w:r>
      <w:r w:rsidRPr="00D43FB7">
        <w:rPr>
          <w:rFonts w:asciiTheme="minorHAnsi" w:eastAsiaTheme="minorHAnsi" w:hAnsiTheme="minorHAnsi" w:cstheme="minorBidi"/>
          <w:i/>
          <w:iCs/>
          <w:color w:val="auto"/>
          <w:kern w:val="2"/>
          <w:sz w:val="24"/>
          <w:szCs w:val="24"/>
          <w:lang w:eastAsia="en-US"/>
          <w14:ligatures w14:val="standardContextual"/>
        </w:rPr>
        <w:t>Ethical policing: code of practice</w:t>
      </w:r>
      <w:r w:rsidRPr="00D43FB7">
        <w:rPr>
          <w:rFonts w:asciiTheme="minorHAnsi" w:eastAsiaTheme="minorHAnsi" w:hAnsiTheme="minorHAnsi" w:cstheme="minorBidi"/>
          <w:color w:val="auto"/>
          <w:kern w:val="2"/>
          <w:sz w:val="24"/>
          <w:szCs w:val="24"/>
          <w:lang w:eastAsia="en-US"/>
          <w14:ligatures w14:val="standardContextual"/>
        </w:rPr>
        <w:t xml:space="preserve">. (Online). Available at: </w:t>
      </w:r>
      <w:hyperlink r:id="rId30" w:history="1">
        <w:r w:rsidRPr="00D43FB7">
          <w:rPr>
            <w:rFonts w:asciiTheme="minorHAnsi" w:eastAsiaTheme="minorHAnsi" w:hAnsiTheme="minorHAnsi" w:cstheme="minorBidi"/>
            <w:color w:val="0563C1" w:themeColor="hyperlink"/>
            <w:kern w:val="2"/>
            <w:sz w:val="24"/>
            <w:szCs w:val="24"/>
            <w:u w:val="single"/>
            <w:lang w:eastAsia="en-US"/>
            <w14:ligatures w14:val="standardContextual"/>
          </w:rPr>
          <w:t>Ethical policing: code of practice (accessible) - GOV.UK</w:t>
        </w:r>
      </w:hyperlink>
      <w:r w:rsidRPr="00D43FB7">
        <w:rPr>
          <w:rFonts w:asciiTheme="minorHAnsi" w:eastAsiaTheme="minorHAnsi" w:hAnsiTheme="minorHAnsi" w:cstheme="minorBidi"/>
          <w:color w:val="auto"/>
          <w:kern w:val="2"/>
          <w:sz w:val="24"/>
          <w:szCs w:val="24"/>
          <w:lang w:eastAsia="en-US"/>
          <w14:ligatures w14:val="standardContextual"/>
        </w:rPr>
        <w:t xml:space="preserve">. (Accessed: 25/04/2025). </w:t>
      </w:r>
    </w:p>
    <w:p w14:paraId="1F950586"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3301B63B" w14:textId="77777777" w:rsidR="00D43FB7" w:rsidRPr="00A63105"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GOV.UK. (No date). </w:t>
      </w:r>
      <w:r w:rsidRPr="00D43FB7">
        <w:rPr>
          <w:rFonts w:asciiTheme="minorHAnsi" w:eastAsiaTheme="minorHAnsi" w:hAnsiTheme="minorHAnsi" w:cstheme="minorBidi"/>
          <w:i/>
          <w:iCs/>
          <w:color w:val="auto"/>
          <w:kern w:val="2"/>
          <w:sz w:val="24"/>
          <w:szCs w:val="24"/>
          <w:lang w:eastAsia="en-US"/>
          <w14:ligatures w14:val="standardContextual"/>
        </w:rPr>
        <w:t>Get support as a victim of crime</w:t>
      </w:r>
      <w:r w:rsidRPr="00D43FB7">
        <w:rPr>
          <w:rFonts w:asciiTheme="minorHAnsi" w:eastAsiaTheme="minorHAnsi" w:hAnsiTheme="minorHAnsi" w:cstheme="minorBidi"/>
          <w:color w:val="auto"/>
          <w:kern w:val="2"/>
          <w:sz w:val="24"/>
          <w:szCs w:val="24"/>
          <w:lang w:eastAsia="en-US"/>
          <w14:ligatures w14:val="standardContextual"/>
        </w:rPr>
        <w:t xml:space="preserve">. (Online). Available at: </w:t>
      </w:r>
      <w:hyperlink r:id="rId31" w:history="1">
        <w:r w:rsidRPr="00D43FB7">
          <w:rPr>
            <w:rFonts w:asciiTheme="minorHAnsi" w:eastAsiaTheme="minorHAnsi" w:hAnsiTheme="minorHAnsi" w:cstheme="minorBidi"/>
            <w:color w:val="0563C1" w:themeColor="hyperlink"/>
            <w:kern w:val="2"/>
            <w:sz w:val="24"/>
            <w:szCs w:val="24"/>
            <w:u w:val="single"/>
            <w:lang w:eastAsia="en-US"/>
            <w14:ligatures w14:val="standardContextual"/>
          </w:rPr>
          <w:t>Get support as a victim of crime - GOV.UK</w:t>
        </w:r>
      </w:hyperlink>
      <w:r w:rsidRPr="00D43FB7">
        <w:rPr>
          <w:rFonts w:asciiTheme="minorHAnsi" w:eastAsiaTheme="minorHAnsi" w:hAnsiTheme="minorHAnsi" w:cstheme="minorBidi"/>
          <w:color w:val="auto"/>
          <w:kern w:val="2"/>
          <w:sz w:val="24"/>
          <w:szCs w:val="24"/>
          <w:lang w:eastAsia="en-US"/>
          <w14:ligatures w14:val="standardContextual"/>
        </w:rPr>
        <w:t xml:space="preserve">. (Accessed: 22/04/2025). </w:t>
      </w:r>
    </w:p>
    <w:p w14:paraId="65D6A542"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768EC85D"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Home Officer. (2017). </w:t>
      </w:r>
      <w:r w:rsidRPr="00D43FB7">
        <w:rPr>
          <w:rFonts w:asciiTheme="minorHAnsi" w:eastAsiaTheme="minorHAnsi" w:hAnsiTheme="minorHAnsi" w:cstheme="minorBidi"/>
          <w:i/>
          <w:iCs/>
          <w:color w:val="auto"/>
          <w:kern w:val="2"/>
          <w:sz w:val="24"/>
          <w:szCs w:val="24"/>
          <w:lang w:eastAsia="en-US"/>
          <w14:ligatures w14:val="standardContextual"/>
        </w:rPr>
        <w:t>The Role of the Independent Sexual Violence Advisor: Essential Elements</w:t>
      </w:r>
      <w:r w:rsidRPr="00D43FB7">
        <w:rPr>
          <w:rFonts w:asciiTheme="minorHAnsi" w:eastAsiaTheme="minorHAnsi" w:hAnsiTheme="minorHAnsi" w:cstheme="minorBidi"/>
          <w:color w:val="auto"/>
          <w:kern w:val="2"/>
          <w:sz w:val="24"/>
          <w:szCs w:val="24"/>
          <w:lang w:eastAsia="en-US"/>
          <w14:ligatures w14:val="standardContextual"/>
        </w:rPr>
        <w:t xml:space="preserve">. (Online). Available at: </w:t>
      </w:r>
      <w:hyperlink r:id="rId32" w:anchor=":~:text=Independent%20Sexual%20Violence%20Advisers%20%28ISVAs%29%20play%20an%20important,of%20whether%20they%20have%20reported%20to%20the%20police." w:history="1">
        <w:r w:rsidRPr="00D43FB7">
          <w:rPr>
            <w:rFonts w:asciiTheme="minorHAnsi" w:eastAsiaTheme="minorHAnsi" w:hAnsiTheme="minorHAnsi" w:cstheme="minorBidi"/>
            <w:color w:val="0563C1" w:themeColor="hyperlink"/>
            <w:kern w:val="2"/>
            <w:sz w:val="24"/>
            <w:szCs w:val="24"/>
            <w:u w:val="single"/>
            <w:lang w:eastAsia="en-US"/>
            <w14:ligatures w14:val="standardContextual"/>
          </w:rPr>
          <w:t>https://assets.publishing.service.gov.uk/government/uploads/system/uploads/attachment_data/file/647112/The_Role_of_the_Independent_Sexual_Violence_Adviser_-_Essential_Elements_September_2017_Final.pdf</w:t>
        </w:r>
      </w:hyperlink>
      <w:r w:rsidRPr="00D43FB7">
        <w:rPr>
          <w:rFonts w:asciiTheme="minorHAnsi" w:eastAsiaTheme="minorHAnsi" w:hAnsiTheme="minorHAnsi" w:cstheme="minorBidi"/>
          <w:color w:val="auto"/>
          <w:kern w:val="2"/>
          <w:sz w:val="24"/>
          <w:szCs w:val="24"/>
          <w:lang w:eastAsia="en-US"/>
          <w14:ligatures w14:val="standardContextual"/>
        </w:rPr>
        <w:t xml:space="preserve">. (Accessed: 23/04/2025). </w:t>
      </w:r>
    </w:p>
    <w:p w14:paraId="5EA98D7F"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29A628C4" w14:textId="77777777" w:rsidR="00D43FB7" w:rsidRPr="00D43FB7"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Johnson, D. Peterson, J. Sommers, I. and Baskin, D. (2012). ‘Use of Forensic Science in Investigating Crimes of Sexual Violence: Contrasting Its Theoretical Potential </w:t>
      </w:r>
      <w:proofErr w:type="gramStart"/>
      <w:r w:rsidRPr="00D43FB7">
        <w:rPr>
          <w:rFonts w:asciiTheme="minorHAnsi" w:eastAsiaTheme="minorHAnsi" w:hAnsiTheme="minorHAnsi" w:cstheme="minorBidi"/>
          <w:color w:val="auto"/>
          <w:kern w:val="2"/>
          <w:sz w:val="24"/>
          <w:szCs w:val="24"/>
          <w:lang w:eastAsia="en-US"/>
          <w14:ligatures w14:val="standardContextual"/>
        </w:rPr>
        <w:t>With</w:t>
      </w:r>
      <w:proofErr w:type="gramEnd"/>
      <w:r w:rsidRPr="00D43FB7">
        <w:rPr>
          <w:rFonts w:asciiTheme="minorHAnsi" w:eastAsiaTheme="minorHAnsi" w:hAnsiTheme="minorHAnsi" w:cstheme="minorBidi"/>
          <w:color w:val="auto"/>
          <w:kern w:val="2"/>
          <w:sz w:val="24"/>
          <w:szCs w:val="24"/>
          <w:lang w:eastAsia="en-US"/>
          <w14:ligatures w14:val="standardContextual"/>
        </w:rPr>
        <w:t xml:space="preserve"> Empirical Realities’, </w:t>
      </w:r>
      <w:r w:rsidRPr="00D43FB7">
        <w:rPr>
          <w:rFonts w:asciiTheme="minorHAnsi" w:eastAsiaTheme="minorHAnsi" w:hAnsiTheme="minorHAnsi" w:cstheme="minorBidi"/>
          <w:i/>
          <w:iCs/>
          <w:color w:val="auto"/>
          <w:kern w:val="2"/>
          <w:sz w:val="24"/>
          <w:szCs w:val="24"/>
          <w:lang w:eastAsia="en-US"/>
          <w14:ligatures w14:val="standardContextual"/>
        </w:rPr>
        <w:t>Violence Against Women</w:t>
      </w:r>
      <w:r w:rsidRPr="00D43FB7">
        <w:rPr>
          <w:rFonts w:asciiTheme="minorHAnsi" w:eastAsiaTheme="minorHAnsi" w:hAnsiTheme="minorHAnsi" w:cstheme="minorBidi"/>
          <w:color w:val="auto"/>
          <w:kern w:val="2"/>
          <w:sz w:val="24"/>
          <w:szCs w:val="24"/>
          <w:lang w:eastAsia="en-US"/>
          <w14:ligatures w14:val="standardContextual"/>
        </w:rPr>
        <w:t xml:space="preserve">, 18(2), pp. 193 – 222. (Online). Available at: </w:t>
      </w:r>
      <w:hyperlink r:id="rId33" w:history="1">
        <w:r w:rsidRPr="00D43FB7">
          <w:rPr>
            <w:rFonts w:asciiTheme="minorHAnsi" w:eastAsiaTheme="minorHAnsi" w:hAnsiTheme="minorHAnsi" w:cstheme="minorBidi"/>
            <w:color w:val="0563C1" w:themeColor="hyperlink"/>
            <w:kern w:val="2"/>
            <w:sz w:val="24"/>
            <w:szCs w:val="24"/>
            <w:u w:val="single"/>
            <w:lang w:eastAsia="en-US"/>
            <w14:ligatures w14:val="standardContextual"/>
          </w:rPr>
          <w:t>Use of Forensic Science in Investigating Crimes of Sexual Violence</w:t>
        </w:r>
      </w:hyperlink>
      <w:r w:rsidRPr="00D43FB7">
        <w:rPr>
          <w:rFonts w:asciiTheme="minorHAnsi" w:eastAsiaTheme="minorHAnsi" w:hAnsiTheme="minorHAnsi" w:cstheme="minorBidi"/>
          <w:color w:val="auto"/>
          <w:kern w:val="2"/>
          <w:sz w:val="24"/>
          <w:szCs w:val="24"/>
          <w:lang w:eastAsia="en-US"/>
          <w14:ligatures w14:val="standardContextual"/>
        </w:rPr>
        <w:t xml:space="preserve">. (Accessed: 24/04/2025). </w:t>
      </w:r>
    </w:p>
    <w:p w14:paraId="1271D844"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34827475"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Legislation.gov.uk. (1984). Police and Criminal Evidence Act 1984. (Online). Available at: </w:t>
      </w:r>
      <w:hyperlink r:id="rId34" w:history="1">
        <w:r w:rsidRPr="00D43FB7">
          <w:rPr>
            <w:rFonts w:ascii="Aptos" w:eastAsia="Aptos" w:hAnsi="Aptos" w:cs="Times New Roman"/>
            <w:color w:val="467886"/>
            <w:kern w:val="2"/>
            <w:sz w:val="24"/>
            <w:szCs w:val="24"/>
            <w:u w:val="single"/>
            <w:lang w:eastAsia="en-US"/>
            <w14:ligatures w14:val="standardContextual"/>
          </w:rPr>
          <w:t>Police and Criminal Evidence Act 1984</w:t>
        </w:r>
      </w:hyperlink>
      <w:r w:rsidRPr="00D43FB7">
        <w:rPr>
          <w:rFonts w:ascii="Aptos" w:eastAsia="Aptos" w:hAnsi="Aptos" w:cs="Times New Roman"/>
          <w:color w:val="auto"/>
          <w:kern w:val="2"/>
          <w:sz w:val="24"/>
          <w:szCs w:val="24"/>
          <w:lang w:eastAsia="en-US"/>
          <w14:ligatures w14:val="standardContextual"/>
        </w:rPr>
        <w:t>. (Accessed: 23/04/2025).</w:t>
      </w:r>
    </w:p>
    <w:p w14:paraId="0BBA787C"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0BACE792"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Legislation.gov.uk. (1988). Criminal Justice Act 1988. (Online). Available at: </w:t>
      </w:r>
      <w:hyperlink r:id="rId35" w:history="1">
        <w:r w:rsidRPr="00D43FB7">
          <w:rPr>
            <w:rFonts w:ascii="Aptos" w:eastAsia="Aptos" w:hAnsi="Aptos" w:cs="Times New Roman"/>
            <w:color w:val="467886"/>
            <w:kern w:val="2"/>
            <w:sz w:val="24"/>
            <w:szCs w:val="24"/>
            <w:u w:val="single"/>
            <w:lang w:eastAsia="en-US"/>
            <w14:ligatures w14:val="standardContextual"/>
          </w:rPr>
          <w:t>Criminal Justice Act 1988</w:t>
        </w:r>
      </w:hyperlink>
      <w:r w:rsidRPr="00D43FB7">
        <w:rPr>
          <w:rFonts w:ascii="Aptos" w:eastAsia="Aptos" w:hAnsi="Aptos" w:cs="Times New Roman"/>
          <w:color w:val="auto"/>
          <w:kern w:val="2"/>
          <w:sz w:val="24"/>
          <w:szCs w:val="24"/>
          <w:lang w:eastAsia="en-US"/>
          <w14:ligatures w14:val="standardContextual"/>
        </w:rPr>
        <w:t xml:space="preserve">. (Accessed: 22/04/2025). </w:t>
      </w:r>
    </w:p>
    <w:p w14:paraId="6EDF5223"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242D3D89" w14:textId="77777777" w:rsidR="00D43FB7" w:rsidRPr="00A63105" w:rsidRDefault="00D43FB7"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43FB7">
        <w:rPr>
          <w:rFonts w:asciiTheme="minorHAnsi" w:eastAsiaTheme="minorHAnsi" w:hAnsiTheme="minorHAnsi" w:cstheme="minorBidi"/>
          <w:color w:val="auto"/>
          <w:kern w:val="2"/>
          <w:sz w:val="24"/>
          <w:szCs w:val="24"/>
          <w:lang w:eastAsia="en-US"/>
          <w14:ligatures w14:val="standardContextual"/>
        </w:rPr>
        <w:t xml:space="preserve">Legislation.gov.uk. (1996). </w:t>
      </w:r>
      <w:r w:rsidRPr="00D43FB7">
        <w:rPr>
          <w:rFonts w:asciiTheme="minorHAnsi" w:eastAsiaTheme="minorHAnsi" w:hAnsiTheme="minorHAnsi" w:cstheme="minorBidi"/>
          <w:i/>
          <w:iCs/>
          <w:color w:val="auto"/>
          <w:kern w:val="2"/>
          <w:sz w:val="24"/>
          <w:szCs w:val="24"/>
          <w:lang w:eastAsia="en-US"/>
          <w14:ligatures w14:val="standardContextual"/>
        </w:rPr>
        <w:t>Criminal Procedure and Investigations Act 1996</w:t>
      </w:r>
      <w:r w:rsidRPr="00D43FB7">
        <w:rPr>
          <w:rFonts w:asciiTheme="minorHAnsi" w:eastAsiaTheme="minorHAnsi" w:hAnsiTheme="minorHAnsi" w:cstheme="minorBidi"/>
          <w:color w:val="auto"/>
          <w:kern w:val="2"/>
          <w:sz w:val="24"/>
          <w:szCs w:val="24"/>
          <w:lang w:eastAsia="en-US"/>
          <w14:ligatures w14:val="standardContextual"/>
        </w:rPr>
        <w:t xml:space="preserve">. (Online). Available at: </w:t>
      </w:r>
      <w:hyperlink r:id="rId36" w:history="1">
        <w:r w:rsidRPr="00D43FB7">
          <w:rPr>
            <w:rFonts w:asciiTheme="minorHAnsi" w:eastAsiaTheme="minorHAnsi" w:hAnsiTheme="minorHAnsi" w:cstheme="minorBidi"/>
            <w:color w:val="0563C1" w:themeColor="hyperlink"/>
            <w:kern w:val="2"/>
            <w:sz w:val="24"/>
            <w:szCs w:val="24"/>
            <w:u w:val="single"/>
            <w:lang w:eastAsia="en-US"/>
            <w14:ligatures w14:val="standardContextual"/>
          </w:rPr>
          <w:t>Criminal Procedure and Investigations Act 1996</w:t>
        </w:r>
      </w:hyperlink>
      <w:r w:rsidRPr="00D43FB7">
        <w:rPr>
          <w:rFonts w:asciiTheme="minorHAnsi" w:eastAsiaTheme="minorHAnsi" w:hAnsiTheme="minorHAnsi" w:cstheme="minorBidi"/>
          <w:color w:val="auto"/>
          <w:kern w:val="2"/>
          <w:sz w:val="24"/>
          <w:szCs w:val="24"/>
          <w:lang w:eastAsia="en-US"/>
          <w14:ligatures w14:val="standardContextual"/>
        </w:rPr>
        <w:t xml:space="preserve">. (Accessed: 25/04/2025). </w:t>
      </w:r>
    </w:p>
    <w:p w14:paraId="624EC843" w14:textId="77777777" w:rsidR="00334C29" w:rsidRPr="00A63105" w:rsidRDefault="00334C29" w:rsidP="00D43FB7">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25FF7DB4" w14:textId="77777777" w:rsidR="00334C29" w:rsidRPr="00334C29" w:rsidRDefault="00334C29" w:rsidP="00334C2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334C29">
        <w:rPr>
          <w:rFonts w:asciiTheme="minorHAnsi" w:eastAsiaTheme="minorHAnsi" w:hAnsiTheme="minorHAnsi" w:cstheme="minorBidi"/>
          <w:color w:val="auto"/>
          <w:kern w:val="2"/>
          <w:sz w:val="24"/>
          <w:szCs w:val="24"/>
          <w:lang w:eastAsia="en-US"/>
          <w14:ligatures w14:val="standardContextual"/>
        </w:rPr>
        <w:t xml:space="preserve">Legislation.gov.uk. (2003). Sexual Offences Act 2003. (Online). Available at: </w:t>
      </w:r>
      <w:hyperlink r:id="rId37" w:history="1">
        <w:r w:rsidRPr="00334C29">
          <w:rPr>
            <w:rFonts w:asciiTheme="minorHAnsi" w:eastAsiaTheme="minorHAnsi" w:hAnsiTheme="minorHAnsi" w:cstheme="minorBidi"/>
            <w:color w:val="0563C1" w:themeColor="hyperlink"/>
            <w:kern w:val="2"/>
            <w:sz w:val="24"/>
            <w:szCs w:val="24"/>
            <w:u w:val="single"/>
            <w:lang w:eastAsia="en-US"/>
            <w14:ligatures w14:val="standardContextual"/>
          </w:rPr>
          <w:t>Sexual Offences Act 2003</w:t>
        </w:r>
      </w:hyperlink>
      <w:r w:rsidRPr="00334C29">
        <w:rPr>
          <w:rFonts w:asciiTheme="minorHAnsi" w:eastAsiaTheme="minorHAnsi" w:hAnsiTheme="minorHAnsi" w:cstheme="minorBidi"/>
          <w:color w:val="auto"/>
          <w:kern w:val="2"/>
          <w:sz w:val="24"/>
          <w:szCs w:val="24"/>
          <w:lang w:eastAsia="en-US"/>
          <w14:ligatures w14:val="standardContextual"/>
        </w:rPr>
        <w:t xml:space="preserve">. (Accessed: 25/04/2025). </w:t>
      </w:r>
    </w:p>
    <w:p w14:paraId="033C7A33"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4228A5CF"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Legislation.gov.uk. (2015). Serious Crime Act 2015. (Online). Available at: </w:t>
      </w:r>
      <w:hyperlink r:id="rId38" w:history="1">
        <w:r w:rsidRPr="00D43FB7">
          <w:rPr>
            <w:rFonts w:ascii="Aptos" w:eastAsia="Aptos" w:hAnsi="Aptos" w:cs="Times New Roman"/>
            <w:color w:val="467886"/>
            <w:kern w:val="2"/>
            <w:sz w:val="24"/>
            <w:szCs w:val="24"/>
            <w:u w:val="single"/>
            <w:lang w:eastAsia="en-US"/>
            <w14:ligatures w14:val="standardContextual"/>
          </w:rPr>
          <w:t>Serious Crime Act 2015</w:t>
        </w:r>
      </w:hyperlink>
      <w:r w:rsidRPr="00D43FB7">
        <w:rPr>
          <w:rFonts w:ascii="Aptos" w:eastAsia="Aptos" w:hAnsi="Aptos" w:cs="Times New Roman"/>
          <w:color w:val="auto"/>
          <w:kern w:val="2"/>
          <w:sz w:val="24"/>
          <w:szCs w:val="24"/>
          <w:lang w:eastAsia="en-US"/>
          <w14:ligatures w14:val="standardContextual"/>
        </w:rPr>
        <w:t xml:space="preserve">. (Accessed: 23/04/2025). </w:t>
      </w:r>
    </w:p>
    <w:p w14:paraId="2C6DC148"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4997AFCD" w14:textId="77777777" w:rsidR="00334C29" w:rsidRPr="00334C29" w:rsidRDefault="00334C29" w:rsidP="00334C2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334C29">
        <w:rPr>
          <w:rFonts w:asciiTheme="minorHAnsi" w:eastAsiaTheme="minorHAnsi" w:hAnsiTheme="minorHAnsi" w:cstheme="minorBidi"/>
          <w:color w:val="auto"/>
          <w:kern w:val="2"/>
          <w:sz w:val="24"/>
          <w:szCs w:val="24"/>
          <w:lang w:eastAsia="en-US"/>
          <w14:ligatures w14:val="standardContextual"/>
        </w:rPr>
        <w:t xml:space="preserve">Ministry of Justice. (2020). Code of Practice for Victims of Crime in England and Wales. (Online). Available at: </w:t>
      </w:r>
      <w:hyperlink r:id="rId39" w:history="1">
        <w:r w:rsidRPr="00334C29">
          <w:rPr>
            <w:rFonts w:asciiTheme="minorHAnsi" w:eastAsiaTheme="minorHAnsi" w:hAnsiTheme="minorHAnsi" w:cstheme="minorBidi"/>
            <w:color w:val="0563C1" w:themeColor="hyperlink"/>
            <w:kern w:val="2"/>
            <w:sz w:val="24"/>
            <w:szCs w:val="24"/>
            <w:u w:val="single"/>
            <w:lang w:eastAsia="en-US"/>
            <w14:ligatures w14:val="standardContextual"/>
          </w:rPr>
          <w:t>Use of Forensic Science in Investigating Crimes of Sexual Violence</w:t>
        </w:r>
      </w:hyperlink>
      <w:r w:rsidRPr="00334C29">
        <w:rPr>
          <w:rFonts w:asciiTheme="minorHAnsi" w:eastAsiaTheme="minorHAnsi" w:hAnsiTheme="minorHAnsi" w:cstheme="minorBidi"/>
          <w:color w:val="auto"/>
          <w:kern w:val="2"/>
          <w:sz w:val="24"/>
          <w:szCs w:val="24"/>
          <w:lang w:eastAsia="en-US"/>
          <w14:ligatures w14:val="standardContextual"/>
        </w:rPr>
        <w:t xml:space="preserve">. (Accessed: 23/04/2025). </w:t>
      </w:r>
    </w:p>
    <w:p w14:paraId="0629C40C" w14:textId="77777777" w:rsidR="00334C29" w:rsidRPr="00D43FB7" w:rsidRDefault="00334C29"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099CB1CA"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Myhill, A. and Hohl, K. (2019). ‘The “Golden Thread”: Coercive Control and Risk Assessment for Domestic Violence’, Journal of Interpersonal Violence, 34(21-22), pp. 4477 – 4497. (Online). Available at: </w:t>
      </w:r>
      <w:hyperlink r:id="rId40" w:history="1">
        <w:r w:rsidRPr="00D43FB7">
          <w:rPr>
            <w:rFonts w:ascii="Aptos" w:eastAsia="Aptos" w:hAnsi="Aptos" w:cs="Times New Roman"/>
            <w:color w:val="467886"/>
            <w:kern w:val="2"/>
            <w:sz w:val="24"/>
            <w:szCs w:val="24"/>
            <w:u w:val="single"/>
            <w:lang w:eastAsia="en-US"/>
            <w14:ligatures w14:val="standardContextual"/>
          </w:rPr>
          <w:t>The “Golden Thread”: Coercive Control and Risk Assessment for Domestic Violence</w:t>
        </w:r>
      </w:hyperlink>
      <w:r w:rsidRPr="00D43FB7">
        <w:rPr>
          <w:rFonts w:ascii="Aptos" w:eastAsia="Aptos" w:hAnsi="Aptos" w:cs="Times New Roman"/>
          <w:color w:val="auto"/>
          <w:kern w:val="2"/>
          <w:sz w:val="24"/>
          <w:szCs w:val="24"/>
          <w:lang w:eastAsia="en-US"/>
          <w14:ligatures w14:val="standardContextual"/>
        </w:rPr>
        <w:t xml:space="preserve">. (Accessed: 23/04/2025). </w:t>
      </w:r>
    </w:p>
    <w:p w14:paraId="5B5D428F"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23CF6049"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Myhill, A. Hohl, K. and Johnson, K. (2023). ‘The ‘officer effect’ in risk assessment for domestic abuse: Findings from a mixed methods study in England and Wales’, European Journal of Criminology, 20(3), pp. 856 – 877. (Online). Available at: </w:t>
      </w:r>
      <w:hyperlink r:id="rId41" w:history="1">
        <w:r w:rsidRPr="00D43FB7">
          <w:rPr>
            <w:rFonts w:ascii="Aptos" w:eastAsia="Aptos" w:hAnsi="Aptos" w:cs="Times New Roman"/>
            <w:color w:val="467886"/>
            <w:kern w:val="2"/>
            <w:sz w:val="24"/>
            <w:szCs w:val="24"/>
            <w:u w:val="single"/>
            <w:lang w:eastAsia="en-US"/>
            <w14:ligatures w14:val="standardContextual"/>
          </w:rPr>
          <w:t xml:space="preserve">The ‘officer effect’ in </w:t>
        </w:r>
        <w:r w:rsidRPr="00D43FB7">
          <w:rPr>
            <w:rFonts w:ascii="Aptos" w:eastAsia="Aptos" w:hAnsi="Aptos" w:cs="Times New Roman"/>
            <w:color w:val="467886"/>
            <w:kern w:val="2"/>
            <w:sz w:val="24"/>
            <w:szCs w:val="24"/>
            <w:u w:val="single"/>
            <w:lang w:eastAsia="en-US"/>
            <w14:ligatures w14:val="standardContextual"/>
          </w:rPr>
          <w:lastRenderedPageBreak/>
          <w:t>risk assessment for domestic abuse: Findings from a mixed methods study in England and Wales</w:t>
        </w:r>
      </w:hyperlink>
      <w:r w:rsidRPr="00D43FB7">
        <w:rPr>
          <w:rFonts w:ascii="Aptos" w:eastAsia="Aptos" w:hAnsi="Aptos" w:cs="Times New Roman"/>
          <w:color w:val="auto"/>
          <w:kern w:val="2"/>
          <w:sz w:val="24"/>
          <w:szCs w:val="24"/>
          <w:lang w:eastAsia="en-US"/>
          <w14:ligatures w14:val="standardContextual"/>
        </w:rPr>
        <w:t xml:space="preserve">. (Accessed: 22/04/2025). </w:t>
      </w:r>
    </w:p>
    <w:p w14:paraId="65AD9F6B"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50C9AFF9" w14:textId="77777777" w:rsidR="00D43FB7" w:rsidRPr="00A63105"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Parsons, J. and Bergin, T. (2010). ‘The impact of criminal justice involvement on victims’ mental health’, </w:t>
      </w:r>
      <w:r w:rsidRPr="00D43FB7">
        <w:rPr>
          <w:rFonts w:ascii="Aptos" w:eastAsia="Aptos" w:hAnsi="Aptos" w:cs="Times New Roman"/>
          <w:i/>
          <w:iCs/>
          <w:color w:val="auto"/>
          <w:kern w:val="2"/>
          <w:sz w:val="24"/>
          <w:szCs w:val="24"/>
          <w:lang w:eastAsia="en-US"/>
          <w14:ligatures w14:val="standardContextual"/>
        </w:rPr>
        <w:t>Journal of traumatic stress</w:t>
      </w:r>
      <w:r w:rsidRPr="00D43FB7">
        <w:rPr>
          <w:rFonts w:ascii="Aptos" w:eastAsia="Aptos" w:hAnsi="Aptos" w:cs="Times New Roman"/>
          <w:color w:val="auto"/>
          <w:kern w:val="2"/>
          <w:sz w:val="24"/>
          <w:szCs w:val="24"/>
          <w:lang w:eastAsia="en-US"/>
          <w14:ligatures w14:val="standardContextual"/>
        </w:rPr>
        <w:t xml:space="preserve">, 23(2), pp. 182 – 188. </w:t>
      </w:r>
    </w:p>
    <w:p w14:paraId="58755BDE" w14:textId="77777777" w:rsidR="00334C29" w:rsidRPr="00A63105" w:rsidRDefault="00334C29"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4A9F3C1D" w14:textId="77777777" w:rsidR="00334C29" w:rsidRPr="00334C29" w:rsidRDefault="00334C29" w:rsidP="00334C2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334C29">
        <w:rPr>
          <w:rFonts w:asciiTheme="minorHAnsi" w:eastAsiaTheme="minorHAnsi" w:hAnsiTheme="minorHAnsi" w:cstheme="minorBidi"/>
          <w:color w:val="auto"/>
          <w:kern w:val="2"/>
          <w:sz w:val="24"/>
          <w:szCs w:val="24"/>
          <w:lang w:eastAsia="en-US"/>
          <w14:ligatures w14:val="standardContextual"/>
        </w:rPr>
        <w:t xml:space="preserve">Rape Crisis. (No date). </w:t>
      </w:r>
      <w:r w:rsidRPr="00334C29">
        <w:rPr>
          <w:rFonts w:asciiTheme="minorHAnsi" w:eastAsiaTheme="minorHAnsi" w:hAnsiTheme="minorHAnsi" w:cstheme="minorBidi"/>
          <w:i/>
          <w:iCs/>
          <w:color w:val="auto"/>
          <w:kern w:val="2"/>
          <w:sz w:val="24"/>
          <w:szCs w:val="24"/>
          <w:lang w:eastAsia="en-US"/>
          <w14:ligatures w14:val="standardContextual"/>
        </w:rPr>
        <w:t>The 5 Fs: fight, flight, freeze, flop and friend</w:t>
      </w:r>
      <w:r w:rsidRPr="00334C29">
        <w:rPr>
          <w:rFonts w:asciiTheme="minorHAnsi" w:eastAsiaTheme="minorHAnsi" w:hAnsiTheme="minorHAnsi" w:cstheme="minorBidi"/>
          <w:color w:val="auto"/>
          <w:kern w:val="2"/>
          <w:sz w:val="24"/>
          <w:szCs w:val="24"/>
          <w:lang w:eastAsia="en-US"/>
          <w14:ligatures w14:val="standardContextual"/>
        </w:rPr>
        <w:t xml:space="preserve">. (Online). Available at: </w:t>
      </w:r>
      <w:hyperlink r:id="rId42" w:history="1">
        <w:r w:rsidRPr="00334C29">
          <w:rPr>
            <w:rFonts w:asciiTheme="minorHAnsi" w:eastAsiaTheme="minorHAnsi" w:hAnsiTheme="minorHAnsi" w:cstheme="minorBidi"/>
            <w:color w:val="0563C1" w:themeColor="hyperlink"/>
            <w:kern w:val="2"/>
            <w:sz w:val="24"/>
            <w:szCs w:val="24"/>
            <w:u w:val="single"/>
            <w:lang w:eastAsia="en-US"/>
            <w14:ligatures w14:val="standardContextual"/>
          </w:rPr>
          <w:t>https://rapecrisis.org.uk/get-help/tools-for-victims-and-survivors/understanding-your-response/fight-or-flight/</w:t>
        </w:r>
      </w:hyperlink>
      <w:r w:rsidRPr="00334C29">
        <w:rPr>
          <w:rFonts w:asciiTheme="minorHAnsi" w:eastAsiaTheme="minorHAnsi" w:hAnsiTheme="minorHAnsi" w:cstheme="minorBidi"/>
          <w:color w:val="auto"/>
          <w:kern w:val="2"/>
          <w:sz w:val="24"/>
          <w:szCs w:val="24"/>
          <w:lang w:eastAsia="en-US"/>
          <w14:ligatures w14:val="standardContextual"/>
        </w:rPr>
        <w:t xml:space="preserve">. (Accessed: 27/04/2025). </w:t>
      </w:r>
    </w:p>
    <w:p w14:paraId="6470D712"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57F7B1CB"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Robinson, A. L. (2006). ‘Reducing repeat victimisation among high-risk victims of domestic violence’, </w:t>
      </w:r>
      <w:r w:rsidRPr="00D43FB7">
        <w:rPr>
          <w:rFonts w:ascii="Aptos" w:eastAsia="Aptos" w:hAnsi="Aptos" w:cs="Times New Roman"/>
          <w:i/>
          <w:iCs/>
          <w:color w:val="auto"/>
          <w:kern w:val="2"/>
          <w:sz w:val="24"/>
          <w:szCs w:val="24"/>
          <w:lang w:eastAsia="en-US"/>
          <w14:ligatures w14:val="standardContextual"/>
        </w:rPr>
        <w:t>Violence against women</w:t>
      </w:r>
      <w:r w:rsidRPr="00D43FB7">
        <w:rPr>
          <w:rFonts w:ascii="Aptos" w:eastAsia="Aptos" w:hAnsi="Aptos" w:cs="Times New Roman"/>
          <w:color w:val="auto"/>
          <w:kern w:val="2"/>
          <w:sz w:val="24"/>
          <w:szCs w:val="24"/>
          <w:lang w:eastAsia="en-US"/>
          <w14:ligatures w14:val="standardContextual"/>
        </w:rPr>
        <w:t xml:space="preserve">, 12(8), pp. 761 – 788. </w:t>
      </w:r>
    </w:p>
    <w:p w14:paraId="546C93EF"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647413D6"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South Wales Victim Focus. (No date). </w:t>
      </w:r>
      <w:r w:rsidRPr="00D43FB7">
        <w:rPr>
          <w:rFonts w:ascii="Aptos" w:eastAsia="Aptos" w:hAnsi="Aptos" w:cs="Times New Roman"/>
          <w:i/>
          <w:iCs/>
          <w:color w:val="auto"/>
          <w:kern w:val="2"/>
          <w:sz w:val="24"/>
          <w:szCs w:val="24"/>
          <w:lang w:eastAsia="en-US"/>
          <w14:ligatures w14:val="standardContextual"/>
        </w:rPr>
        <w:t>Domestic Abuse</w:t>
      </w:r>
      <w:r w:rsidRPr="00D43FB7">
        <w:rPr>
          <w:rFonts w:ascii="Aptos" w:eastAsia="Aptos" w:hAnsi="Aptos" w:cs="Times New Roman"/>
          <w:color w:val="auto"/>
          <w:kern w:val="2"/>
          <w:sz w:val="24"/>
          <w:szCs w:val="24"/>
          <w:lang w:eastAsia="en-US"/>
          <w14:ligatures w14:val="standardContextual"/>
        </w:rPr>
        <w:t xml:space="preserve">. (Online). Available at: </w:t>
      </w:r>
      <w:hyperlink r:id="rId43" w:history="1">
        <w:r w:rsidRPr="00D43FB7">
          <w:rPr>
            <w:rFonts w:ascii="Aptos" w:eastAsia="Aptos" w:hAnsi="Aptos" w:cs="Times New Roman"/>
            <w:color w:val="467886"/>
            <w:kern w:val="2"/>
            <w:sz w:val="24"/>
            <w:szCs w:val="24"/>
            <w:u w:val="single"/>
            <w:lang w:eastAsia="en-US"/>
            <w14:ligatures w14:val="standardContextual"/>
          </w:rPr>
          <w:t>Domestic Abuse - South Wales Victim Focus</w:t>
        </w:r>
      </w:hyperlink>
      <w:r w:rsidRPr="00D43FB7">
        <w:rPr>
          <w:rFonts w:ascii="Aptos" w:eastAsia="Aptos" w:hAnsi="Aptos" w:cs="Times New Roman"/>
          <w:color w:val="auto"/>
          <w:kern w:val="2"/>
          <w:sz w:val="24"/>
          <w:szCs w:val="24"/>
          <w:lang w:eastAsia="en-US"/>
          <w14:ligatures w14:val="standardContextual"/>
        </w:rPr>
        <w:t xml:space="preserve">. (Accessed: 23/04/2025). </w:t>
      </w:r>
    </w:p>
    <w:p w14:paraId="5429D4AE"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63D0EC2E"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Spooner, E. Hughes, C. and Jones, P, M. (2022). </w:t>
      </w:r>
      <w:r w:rsidRPr="00D43FB7">
        <w:rPr>
          <w:rFonts w:ascii="Aptos" w:eastAsia="Aptos" w:hAnsi="Aptos" w:cs="Times New Roman"/>
          <w:i/>
          <w:iCs/>
          <w:color w:val="auto"/>
          <w:kern w:val="2"/>
          <w:sz w:val="24"/>
          <w:szCs w:val="24"/>
          <w:lang w:eastAsia="en-US"/>
          <w14:ligatures w14:val="standardContextual"/>
        </w:rPr>
        <w:t>Police research and evidence-based policing</w:t>
      </w:r>
      <w:r w:rsidRPr="00D43FB7">
        <w:rPr>
          <w:rFonts w:ascii="Aptos" w:eastAsia="Aptos" w:hAnsi="Aptos" w:cs="Times New Roman"/>
          <w:color w:val="auto"/>
          <w:kern w:val="2"/>
          <w:sz w:val="24"/>
          <w:szCs w:val="24"/>
          <w:lang w:eastAsia="en-US"/>
          <w14:ligatures w14:val="standardContextual"/>
        </w:rPr>
        <w:t xml:space="preserve">. St Albans: Critical publishing. </w:t>
      </w:r>
    </w:p>
    <w:p w14:paraId="610179CD"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10AA8631"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Swanberg, J. E. and Logan, T. K. (2005). ‘Domestic violence and employment: A qualitative study’, </w:t>
      </w:r>
      <w:r w:rsidRPr="00D43FB7">
        <w:rPr>
          <w:rFonts w:ascii="Aptos" w:eastAsia="Aptos" w:hAnsi="Aptos" w:cs="Times New Roman"/>
          <w:i/>
          <w:iCs/>
          <w:color w:val="auto"/>
          <w:kern w:val="2"/>
          <w:sz w:val="24"/>
          <w:szCs w:val="24"/>
          <w:lang w:eastAsia="en-US"/>
          <w14:ligatures w14:val="standardContextual"/>
        </w:rPr>
        <w:t>Journal of occupational health psychology</w:t>
      </w:r>
      <w:r w:rsidRPr="00D43FB7">
        <w:rPr>
          <w:rFonts w:ascii="Aptos" w:eastAsia="Aptos" w:hAnsi="Aptos" w:cs="Times New Roman"/>
          <w:color w:val="auto"/>
          <w:kern w:val="2"/>
          <w:sz w:val="24"/>
          <w:szCs w:val="24"/>
          <w:lang w:eastAsia="en-US"/>
          <w14:ligatures w14:val="standardContextual"/>
        </w:rPr>
        <w:t xml:space="preserve">, 10(1), pp. 3 – 17. </w:t>
      </w:r>
    </w:p>
    <w:p w14:paraId="78EABBAC"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602EA653"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roofErr w:type="spellStart"/>
      <w:r w:rsidRPr="00D43FB7">
        <w:rPr>
          <w:rFonts w:ascii="Aptos" w:eastAsia="Aptos" w:hAnsi="Aptos" w:cs="Times New Roman"/>
          <w:color w:val="auto"/>
          <w:kern w:val="2"/>
          <w:sz w:val="24"/>
          <w:szCs w:val="24"/>
          <w:lang w:eastAsia="en-US"/>
          <w14:ligatures w14:val="standardContextual"/>
        </w:rPr>
        <w:t>Tseloni</w:t>
      </w:r>
      <w:proofErr w:type="spellEnd"/>
      <w:r w:rsidRPr="00D43FB7">
        <w:rPr>
          <w:rFonts w:ascii="Aptos" w:eastAsia="Aptos" w:hAnsi="Aptos" w:cs="Times New Roman"/>
          <w:color w:val="auto"/>
          <w:kern w:val="2"/>
          <w:sz w:val="24"/>
          <w:szCs w:val="24"/>
          <w:lang w:eastAsia="en-US"/>
          <w14:ligatures w14:val="standardContextual"/>
        </w:rPr>
        <w:t xml:space="preserve">, A. </w:t>
      </w:r>
      <w:proofErr w:type="spellStart"/>
      <w:r w:rsidRPr="00D43FB7">
        <w:rPr>
          <w:rFonts w:ascii="Aptos" w:eastAsia="Aptos" w:hAnsi="Aptos" w:cs="Times New Roman"/>
          <w:color w:val="auto"/>
          <w:kern w:val="2"/>
          <w:sz w:val="24"/>
          <w:szCs w:val="24"/>
          <w:lang w:eastAsia="en-US"/>
          <w14:ligatures w14:val="standardContextual"/>
        </w:rPr>
        <w:t>Knusstsson</w:t>
      </w:r>
      <w:proofErr w:type="spellEnd"/>
      <w:r w:rsidRPr="00D43FB7">
        <w:rPr>
          <w:rFonts w:ascii="Aptos" w:eastAsia="Aptos" w:hAnsi="Aptos" w:cs="Times New Roman"/>
          <w:color w:val="auto"/>
          <w:kern w:val="2"/>
          <w:sz w:val="24"/>
          <w:szCs w:val="24"/>
          <w:lang w:eastAsia="en-US"/>
          <w14:ligatures w14:val="standardContextual"/>
        </w:rPr>
        <w:t xml:space="preserve">, J. and Laycock, G. (2005). ‘Repeat Victimization: Introduction’, </w:t>
      </w:r>
      <w:r w:rsidRPr="00D43FB7">
        <w:rPr>
          <w:rFonts w:ascii="Aptos" w:eastAsia="Aptos" w:hAnsi="Aptos" w:cs="Times New Roman"/>
          <w:i/>
          <w:iCs/>
          <w:color w:val="auto"/>
          <w:kern w:val="2"/>
          <w:sz w:val="24"/>
          <w:szCs w:val="24"/>
          <w:lang w:eastAsia="en-US"/>
          <w14:ligatures w14:val="standardContextual"/>
        </w:rPr>
        <w:t>International review of victimisation</w:t>
      </w:r>
      <w:r w:rsidRPr="00D43FB7">
        <w:rPr>
          <w:rFonts w:ascii="Aptos" w:eastAsia="Aptos" w:hAnsi="Aptos" w:cs="Times New Roman"/>
          <w:color w:val="auto"/>
          <w:kern w:val="2"/>
          <w:sz w:val="24"/>
          <w:szCs w:val="24"/>
          <w:lang w:eastAsia="en-US"/>
          <w14:ligatures w14:val="standardContextual"/>
        </w:rPr>
        <w:t>, 12(1), pp. 47 – 49.</w:t>
      </w:r>
    </w:p>
    <w:p w14:paraId="78AFAD45"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06971838"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Wiener, C. (2017). ‘Seeing What is ‘Invisible in Plain Sight’: Policing Coercive Control’, The Howard Journal of Crime and Justice, 54(4), pp. 397 – 563. (Online). Available at: </w:t>
      </w:r>
      <w:hyperlink r:id="rId44" w:history="1">
        <w:r w:rsidRPr="00D43FB7">
          <w:rPr>
            <w:rFonts w:ascii="Aptos" w:eastAsia="Aptos" w:hAnsi="Aptos" w:cs="Times New Roman"/>
            <w:color w:val="467886"/>
            <w:kern w:val="2"/>
            <w:sz w:val="24"/>
            <w:szCs w:val="24"/>
            <w:u w:val="single"/>
            <w:lang w:eastAsia="en-US"/>
            <w14:ligatures w14:val="standardContextual"/>
          </w:rPr>
          <w:t>Seeing What is ‘Invisible in Plain Sight’: Policing Coercive Control</w:t>
        </w:r>
      </w:hyperlink>
      <w:r w:rsidRPr="00D43FB7">
        <w:rPr>
          <w:rFonts w:ascii="Aptos" w:eastAsia="Aptos" w:hAnsi="Aptos" w:cs="Times New Roman"/>
          <w:color w:val="auto"/>
          <w:kern w:val="2"/>
          <w:sz w:val="24"/>
          <w:szCs w:val="24"/>
          <w:lang w:eastAsia="en-US"/>
          <w14:ligatures w14:val="standardContextual"/>
        </w:rPr>
        <w:t xml:space="preserve">. (Accessed: 23/04/2025). </w:t>
      </w:r>
    </w:p>
    <w:p w14:paraId="6D88E266" w14:textId="77777777" w:rsidR="00D43FB7" w:rsidRPr="00D43FB7" w:rsidRDefault="00D43FB7" w:rsidP="00D43FB7">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6CF3A658" w14:textId="70C3BEE2" w:rsidR="00D43FB7" w:rsidRPr="00A63105" w:rsidRDefault="00D43FB7" w:rsidP="00A6310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43FB7">
        <w:rPr>
          <w:rFonts w:ascii="Aptos" w:eastAsia="Aptos" w:hAnsi="Aptos" w:cs="Times New Roman"/>
          <w:color w:val="auto"/>
          <w:kern w:val="2"/>
          <w:sz w:val="24"/>
          <w:szCs w:val="24"/>
          <w:lang w:eastAsia="en-US"/>
          <w14:ligatures w14:val="standardContextual"/>
        </w:rPr>
        <w:t xml:space="preserve">Williams, B. (2023). </w:t>
      </w:r>
      <w:r w:rsidRPr="00D43FB7">
        <w:rPr>
          <w:rFonts w:ascii="Aptos" w:eastAsia="Aptos" w:hAnsi="Aptos" w:cs="Times New Roman"/>
          <w:i/>
          <w:iCs/>
          <w:color w:val="auto"/>
          <w:kern w:val="2"/>
          <w:sz w:val="24"/>
          <w:szCs w:val="24"/>
          <w:lang w:eastAsia="en-US"/>
          <w14:ligatures w14:val="standardContextual"/>
        </w:rPr>
        <w:t>Policing Mental Health, Vulnerability and Risk</w:t>
      </w:r>
      <w:r w:rsidRPr="00D43FB7">
        <w:rPr>
          <w:rFonts w:ascii="Aptos" w:eastAsia="Aptos" w:hAnsi="Aptos" w:cs="Times New Roman"/>
          <w:color w:val="auto"/>
          <w:kern w:val="2"/>
          <w:sz w:val="24"/>
          <w:szCs w:val="24"/>
          <w:lang w:eastAsia="en-US"/>
          <w14:ligatures w14:val="standardContextual"/>
        </w:rPr>
        <w:t>. St Albans: Critical publishing.</w:t>
      </w:r>
    </w:p>
    <w:sectPr w:rsidR="00D43FB7" w:rsidRPr="00A6310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5BC1"/>
    <w:rsid w:val="00130E83"/>
    <w:rsid w:val="001347F8"/>
    <w:rsid w:val="00137BB5"/>
    <w:rsid w:val="00137E05"/>
    <w:rsid w:val="001447F6"/>
    <w:rsid w:val="00147DE3"/>
    <w:rsid w:val="00150794"/>
    <w:rsid w:val="001531C5"/>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4C29"/>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3105"/>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0C6"/>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3FB7"/>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D43F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career-learning/competency-and-values-framework/values" TargetMode="External"/><Relationship Id="rId39" Type="http://schemas.openxmlformats.org/officeDocument/2006/relationships/hyperlink" Target="https://journals-sagepub-com.ezproxy.uwtsd.ac.uk/doi/epub/10.1177/1077801212440157" TargetMode="External"/><Relationship Id="rId21" Type="http://schemas.openxmlformats.org/officeDocument/2006/relationships/hyperlink" Target="file:///C:\Users\SWP8803\Downloads\Exploration_of_the_risk_factor%20(1).pdf" TargetMode="External"/><Relationship Id="rId34" Type="http://schemas.openxmlformats.org/officeDocument/2006/relationships/hyperlink" Target="https://www.legislation.gov.uk/ukpga/1984/60/section/30A" TargetMode="External"/><Relationship Id="rId42" Type="http://schemas.openxmlformats.org/officeDocument/2006/relationships/hyperlink" Target="https://rapecrisis.org.uk/get-help/tools-for-victims-and-survivors/understanding-your-response/fight-or-flight/" TargetMode="External"/><Relationship Id="rId47"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gov.uk/government/publications/police-use-of-protective-measures-in-cases-of-violence-against-women-and-girls/a-duty-to-protect-police-use-of-protective-measures-in-cases-involving-violence-against-women-and-gir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process" TargetMode="External"/><Relationship Id="rId32" Type="http://schemas.openxmlformats.org/officeDocument/2006/relationships/hyperlink" Target="https://assets.publishing.service.gov.uk/government/uploads/system/uploads/attachment_data/file/647112/The_Role_of_the_Independent_Sexual_Violence_Adviser_-_Essential_Elements_September_2017_Final.pdf" TargetMode="External"/><Relationship Id="rId37" Type="http://schemas.openxmlformats.org/officeDocument/2006/relationships/hyperlink" Target="https://www.legislation.gov.uk/ukpga/2003/42/section/1" TargetMode="External"/><Relationship Id="rId40" Type="http://schemas.openxmlformats.org/officeDocument/2006/relationships/hyperlink" Target="https://journals-sagepub-com.ezproxy.uwtsd.ac.uk/doi/epub/10.1177/0886260516675464"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investigation/managing-effective-investigations" TargetMode="External"/><Relationship Id="rId28" Type="http://schemas.openxmlformats.org/officeDocument/2006/relationships/hyperlink" Target="https://pmc.ncbi.nlm.nih.gov/articles/PMC4396524/pdf/fpsyg-06-00439.pdf" TargetMode="External"/><Relationship Id="rId36" Type="http://schemas.openxmlformats.org/officeDocument/2006/relationships/hyperlink" Target="https://www.legislation.gov.uk/ukpga/1996/25/part/II"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gov.uk/get-support-as-a-victim-of-crime" TargetMode="External"/><Relationship Id="rId44" Type="http://schemas.openxmlformats.org/officeDocument/2006/relationships/hyperlink" Target="https://onlinelibrary.wiley.com/doi/epdf/10.1111/hojo.1222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file:///C:\Users\SWP8803\Downloads\The_Police_Use_of_Social_Media.pdf" TargetMode="External"/><Relationship Id="rId27" Type="http://schemas.openxmlformats.org/officeDocument/2006/relationships/hyperlink" Target="https://www.blackstonespoliceservice.com/display/10.1093/law/9780192855985.001.0001/isbn-9780192855985-book-part-1" TargetMode="External"/><Relationship Id="rId30" Type="http://schemas.openxmlformats.org/officeDocument/2006/relationships/hyperlink" Target="https://www.gov.uk/government/publications/ethical-policing-code-of-practice/ethical-policing-code-of-practice-accessible" TargetMode="External"/><Relationship Id="rId35" Type="http://schemas.openxmlformats.org/officeDocument/2006/relationships/hyperlink" Target="https://www.legislation.gov.uk/ukpga/1988/33/section/39" TargetMode="External"/><Relationship Id="rId43" Type="http://schemas.openxmlformats.org/officeDocument/2006/relationships/hyperlink" Target="https://www.southwalesvictimfocus.org.uk/specialist-services/domestic-abus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guidance/vulnerability-related-risks/introduction-vulnerability-related-risk" TargetMode="External"/><Relationship Id="rId33" Type="http://schemas.openxmlformats.org/officeDocument/2006/relationships/hyperlink" Target="https://journals-sagepub-com.ezproxy.uwtsd.ac.uk/doi/epub/10.1177/1077801212440157" TargetMode="External"/><Relationship Id="rId38" Type="http://schemas.openxmlformats.org/officeDocument/2006/relationships/hyperlink" Target="https://www.legislation.gov.uk/ukpga/2015/9/section/76" TargetMode="External"/><Relationship Id="rId46" Type="http://schemas.openxmlformats.org/officeDocument/2006/relationships/theme" Target="theme/theme1.xml"/><Relationship Id="rId20" Type="http://schemas.openxmlformats.org/officeDocument/2006/relationships/footer" Target="footer3.xml"/><Relationship Id="rId41" Type="http://schemas.openxmlformats.org/officeDocument/2006/relationships/hyperlink" Target="https://journals.sagepub.com/doi/epub/10.1177/147737082311563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6276</Words>
  <Characters>39366</Characters>
  <Application>Microsoft Office Word</Application>
  <DocSecurity>0</DocSecurity>
  <Lines>328</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Newton,Alice swp8803</cp:lastModifiedBy>
  <cp:revision>2</cp:revision>
  <cp:lastPrinted>2014-08-26T08:55:00Z</cp:lastPrinted>
  <dcterms:created xsi:type="dcterms:W3CDTF">2025-04-27T23:35:00Z</dcterms:created>
  <dcterms:modified xsi:type="dcterms:W3CDTF">2025-04-27T23:35:00Z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