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375DC" w14:textId="6A2A8A10" w:rsidR="00AA74BA" w:rsidRPr="00FE6E06" w:rsidRDefault="00AA74BA" w:rsidP="00FE6E06">
      <w:pPr>
        <w:spacing w:line="360" w:lineRule="auto"/>
        <w:jc w:val="center"/>
        <w:rPr>
          <w:rFonts w:ascii="Browallia New" w:hAnsi="Browallia New" w:cs="Browallia New"/>
          <w:b/>
          <w:bCs/>
          <w:i/>
          <w:iCs/>
          <w:sz w:val="28"/>
          <w:szCs w:val="28"/>
          <w:u w:val="single"/>
        </w:rPr>
      </w:pPr>
      <w:r w:rsidRPr="00FE6E06">
        <w:rPr>
          <w:rFonts w:ascii="Browallia New" w:hAnsi="Browallia New" w:cs="Browallia New" w:hint="cs"/>
          <w:b/>
          <w:bCs/>
          <w:i/>
          <w:iCs/>
          <w:sz w:val="28"/>
          <w:szCs w:val="28"/>
          <w:u w:val="single"/>
        </w:rPr>
        <w:t>People diagnosed with mental illnesses are often confronted with the dilemma of whether to disclose or conceal their diagnosis (or diagnoses) and/or their experience with mental illness` (</w:t>
      </w:r>
      <w:proofErr w:type="spellStart"/>
      <w:r w:rsidRPr="00FE6E06">
        <w:rPr>
          <w:rFonts w:ascii="Browallia New" w:hAnsi="Browallia New" w:cs="Browallia New" w:hint="cs"/>
          <w:b/>
          <w:bCs/>
          <w:i/>
          <w:iCs/>
          <w:sz w:val="28"/>
          <w:szCs w:val="28"/>
          <w:u w:val="single"/>
        </w:rPr>
        <w:t>Bril-Barniv</w:t>
      </w:r>
      <w:proofErr w:type="spellEnd"/>
      <w:r w:rsidRPr="00FE6E06">
        <w:rPr>
          <w:rFonts w:ascii="Browallia New" w:hAnsi="Browallia New" w:cs="Browallia New" w:hint="cs"/>
          <w:b/>
          <w:bCs/>
          <w:i/>
          <w:iCs/>
          <w:sz w:val="28"/>
          <w:szCs w:val="28"/>
          <w:u w:val="single"/>
        </w:rPr>
        <w:t xml:space="preserve">, Moran, </w:t>
      </w:r>
      <w:proofErr w:type="spellStart"/>
      <w:r w:rsidRPr="00FE6E06">
        <w:rPr>
          <w:rFonts w:ascii="Browallia New" w:hAnsi="Browallia New" w:cs="Browallia New" w:hint="cs"/>
          <w:b/>
          <w:bCs/>
          <w:i/>
          <w:iCs/>
          <w:sz w:val="28"/>
          <w:szCs w:val="28"/>
          <w:u w:val="single"/>
        </w:rPr>
        <w:t>Naarman</w:t>
      </w:r>
      <w:proofErr w:type="spellEnd"/>
      <w:r w:rsidRPr="00FE6E06">
        <w:rPr>
          <w:rFonts w:ascii="Browallia New" w:hAnsi="Browallia New" w:cs="Browallia New" w:hint="cs"/>
          <w:b/>
          <w:bCs/>
          <w:i/>
          <w:iCs/>
          <w:sz w:val="28"/>
          <w:szCs w:val="28"/>
          <w:u w:val="single"/>
        </w:rPr>
        <w:t xml:space="preserve">, Roe &amp; </w:t>
      </w:r>
      <w:proofErr w:type="spellStart"/>
      <w:r w:rsidRPr="00FE6E06">
        <w:rPr>
          <w:rFonts w:ascii="Browallia New" w:hAnsi="Browallia New" w:cs="Browallia New" w:hint="cs"/>
          <w:b/>
          <w:bCs/>
          <w:i/>
          <w:iCs/>
          <w:sz w:val="28"/>
          <w:szCs w:val="28"/>
          <w:u w:val="single"/>
        </w:rPr>
        <w:t>Karnieli-Miller</w:t>
      </w:r>
      <w:proofErr w:type="spellEnd"/>
      <w:r w:rsidRPr="00FE6E06">
        <w:rPr>
          <w:rFonts w:ascii="Browallia New" w:hAnsi="Browallia New" w:cs="Browallia New" w:hint="cs"/>
          <w:b/>
          <w:bCs/>
          <w:i/>
          <w:iCs/>
          <w:sz w:val="28"/>
          <w:szCs w:val="28"/>
          <w:u w:val="single"/>
        </w:rPr>
        <w:t>, 2017; p 573).  Discuss this statement with reference to the legal and ethical frameworks that aim to support individuals with a diagnosis of mental illness.</w:t>
      </w:r>
    </w:p>
    <w:p w14:paraId="4DED58D4" w14:textId="77777777" w:rsidR="00AA74BA" w:rsidRPr="00FE6E06" w:rsidRDefault="00AA74BA" w:rsidP="00FE6E06">
      <w:pPr>
        <w:spacing w:line="360" w:lineRule="auto"/>
        <w:jc w:val="center"/>
        <w:rPr>
          <w:rFonts w:ascii="Browallia New" w:hAnsi="Browallia New" w:cs="Browallia New"/>
          <w:b/>
          <w:bCs/>
          <w:i/>
          <w:iCs/>
          <w:sz w:val="28"/>
          <w:szCs w:val="28"/>
          <w:u w:val="single"/>
        </w:rPr>
      </w:pPr>
    </w:p>
    <w:p w14:paraId="2575AA0A" w14:textId="77777777" w:rsidR="00AA74BA" w:rsidRPr="00FE6E06" w:rsidRDefault="00AA74BA" w:rsidP="00FE6E06">
      <w:pPr>
        <w:spacing w:line="360" w:lineRule="auto"/>
        <w:jc w:val="center"/>
        <w:rPr>
          <w:rFonts w:ascii="Browallia New" w:hAnsi="Browallia New" w:cs="Browallia New"/>
          <w:b/>
          <w:bCs/>
          <w:i/>
          <w:iCs/>
          <w:sz w:val="28"/>
          <w:szCs w:val="28"/>
          <w:u w:val="single"/>
        </w:rPr>
      </w:pPr>
    </w:p>
    <w:p w14:paraId="2E090020" w14:textId="77777777" w:rsidR="00AA74BA" w:rsidRDefault="00AA74BA" w:rsidP="00AA74BA">
      <w:pPr>
        <w:spacing w:line="360" w:lineRule="auto"/>
      </w:pPr>
      <w:r>
        <w:t xml:space="preserve">Introduction </w:t>
      </w:r>
    </w:p>
    <w:p w14:paraId="2A5691D6" w14:textId="77777777" w:rsidR="00AA74BA" w:rsidRDefault="00AA74BA" w:rsidP="00AA74BA">
      <w:pPr>
        <w:spacing w:line="360" w:lineRule="auto"/>
      </w:pPr>
    </w:p>
    <w:p w14:paraId="562579C9" w14:textId="77777777" w:rsidR="00AA74BA" w:rsidRDefault="00AA74BA" w:rsidP="00AA74BA">
      <w:pPr>
        <w:spacing w:line="360" w:lineRule="auto"/>
      </w:pPr>
    </w:p>
    <w:p w14:paraId="76BDF2F3" w14:textId="77777777" w:rsidR="00AA74BA" w:rsidRDefault="00AA74BA" w:rsidP="00AA74BA">
      <w:pPr>
        <w:spacing w:line="360" w:lineRule="auto"/>
      </w:pPr>
      <w:r>
        <w:t xml:space="preserve">Ethics is a system of moral principles and guidelines. They included how individuals construct decisions and guide their own lives. These ethics, which are sometimes familiar as upright philosophy, are worried with what is helpful for individuals and the public as a whole. Similarly, ethical dilemmas are also common in mental health settings. Furthermore, these ethics regularly occur due to many individuals with mental conditions lacking the capacity to make decisions for themselves and depending on physicians or other professionals to look out for their best interests in terms of ethics and framework. </w:t>
      </w:r>
    </w:p>
    <w:p w14:paraId="701E59CC" w14:textId="77777777" w:rsidR="00AA74BA" w:rsidRDefault="00AA74BA" w:rsidP="00AA74BA">
      <w:pPr>
        <w:spacing w:line="360" w:lineRule="auto"/>
      </w:pPr>
    </w:p>
    <w:p w14:paraId="5767DB52" w14:textId="77777777" w:rsidR="00AA74BA" w:rsidRDefault="00AA74BA" w:rsidP="00AA74BA">
      <w:pPr>
        <w:spacing w:line="360" w:lineRule="auto"/>
      </w:pPr>
      <w:r>
        <w:t>Patients, on the other hand, are vulnerable to practitioners due to their lack of autonomy and mental healthcare practitioners have a long history of abusing and exploiting patients. In addition to this, legislation is just as vital as ethics towards mental health. When it comes to mental health, legislation is equally important as ethics. According to (</w:t>
      </w:r>
      <w:proofErr w:type="spellStart"/>
      <w:r>
        <w:t>Getinet</w:t>
      </w:r>
      <w:proofErr w:type="spellEnd"/>
      <w:r>
        <w:t xml:space="preserve"> </w:t>
      </w:r>
      <w:proofErr w:type="spellStart"/>
      <w:r>
        <w:t>Ayano</w:t>
      </w:r>
      <w:proofErr w:type="spellEnd"/>
      <w:r>
        <w:t>, 2018) Mental health legislation (MHL) is required to for and create a regulatory framework and foundation for mental power assistance and some other interventions and care workers, as well as to defend the public and individuals with mental states from the frequently wounding effect of mental conditions (</w:t>
      </w:r>
      <w:proofErr w:type="spellStart"/>
      <w:r>
        <w:t>Getinet</w:t>
      </w:r>
      <w:proofErr w:type="spellEnd"/>
      <w:r>
        <w:t xml:space="preserve"> </w:t>
      </w:r>
      <w:proofErr w:type="spellStart"/>
      <w:r>
        <w:t>Ayano</w:t>
      </w:r>
      <w:proofErr w:type="spellEnd"/>
      <w:r>
        <w:t xml:space="preserve">, 2018). </w:t>
      </w:r>
    </w:p>
    <w:p w14:paraId="4655CE80" w14:textId="77777777" w:rsidR="00AA74BA" w:rsidRDefault="00AA74BA" w:rsidP="00AA74BA">
      <w:pPr>
        <w:spacing w:line="360" w:lineRule="auto"/>
      </w:pPr>
    </w:p>
    <w:p w14:paraId="64DFEC0D" w14:textId="77777777" w:rsidR="00AA74BA" w:rsidRDefault="00AA74BA" w:rsidP="00AA74BA">
      <w:pPr>
        <w:spacing w:line="360" w:lineRule="auto"/>
      </w:pPr>
      <w:r>
        <w:t xml:space="preserve">Different types of ethics </w:t>
      </w:r>
    </w:p>
    <w:p w14:paraId="7D6F899B" w14:textId="77777777" w:rsidR="00AA74BA" w:rsidRDefault="00AA74BA" w:rsidP="00AA74BA">
      <w:pPr>
        <w:spacing w:line="360" w:lineRule="auto"/>
      </w:pPr>
    </w:p>
    <w:p w14:paraId="3AFF0C2D" w14:textId="77777777" w:rsidR="00AA74BA" w:rsidRDefault="00AA74BA" w:rsidP="00AA74BA">
      <w:pPr>
        <w:spacing w:line="360" w:lineRule="auto"/>
      </w:pPr>
      <w:r>
        <w:t xml:space="preserve">However, in terms of ethics, there are a few separate theoretical approaches. Deontology (Kant, 1724 - 1804) is the first method. This theory's foundations are constructed on determining what creates something great or evil, correct or incorrect, and conforming it to a responsibility that can be found by cause. Furthermore, it is founded on Kant's categorical imperative, which is a moral concept constructed on duty. Deontology means a ‘duty’ or a commitment. This is an ethical outlook </w:t>
      </w:r>
      <w:r>
        <w:lastRenderedPageBreak/>
        <w:t xml:space="preserve">that asserts that the rightness or wrongness of a particular act is not solely set on by the badness or goodness of its result (Kant, 1724 - 1804). When examining an ethical issue and making a decision, individuals should adhere to their duties and obligations, linking to the deontology thesis.This suggests that an individual will obey his or her commitments to society and the community or another individual since it is ethically correct to assume another person's responsibility (Kant, 1724 - 1804). </w:t>
      </w:r>
    </w:p>
    <w:p w14:paraId="6582E067" w14:textId="77777777" w:rsidR="00AA74BA" w:rsidRDefault="00AA74BA" w:rsidP="00AA74BA">
      <w:pPr>
        <w:spacing w:line="360" w:lineRule="auto"/>
      </w:pPr>
    </w:p>
    <w:p w14:paraId="68E7C940" w14:textId="77777777" w:rsidR="00AA74BA" w:rsidRDefault="00AA74BA" w:rsidP="00AA74BA">
      <w:pPr>
        <w:spacing w:line="360" w:lineRule="auto"/>
      </w:pPr>
      <w:r>
        <w:t xml:space="preserve">The second theoretical approach is utilitarian. This is a moral theory that uses a fair decision to ensure that the individuals involved suffer the least amount of harm possible (Jeremy Bentham, 1748 - 1832).  Similarly, a utilitarian approach to ethical principles considers the consequences of various actions in light of the consequences of doing one objective over the other. This method necessitates determining what course of effort should be taken by weighing the consequences of each activity. By aiming at the end result of each action, utilitarianism requires and demands that one decides what route of measures to pursue based on the advantages or damage of activities, rather than the cost of action  (Jeremy Bentham, 1748 - 1832).  As stated by (Carroll &amp; </w:t>
      </w:r>
      <w:proofErr w:type="spellStart"/>
      <w:r>
        <w:t>Buchholtz</w:t>
      </w:r>
      <w:proofErr w:type="spellEnd"/>
      <w:r>
        <w:t xml:space="preserve">, 2009), utilitarianism is an ethical concept that states that the moral worth of an action is set on by the theory's capacity to foresee the action's effects. Overall, as ethically correct, a utilitarian will choose the route of effort that will benefit most individuals . </w:t>
      </w:r>
    </w:p>
    <w:p w14:paraId="1F20836E" w14:textId="77777777" w:rsidR="00AA74BA" w:rsidRDefault="00AA74BA" w:rsidP="00AA74BA">
      <w:pPr>
        <w:spacing w:line="360" w:lineRule="auto"/>
      </w:pPr>
    </w:p>
    <w:p w14:paraId="3D5ECB02" w14:textId="77777777" w:rsidR="00AA74BA" w:rsidRDefault="00AA74BA" w:rsidP="00AA74BA">
      <w:pPr>
        <w:spacing w:line="360" w:lineRule="auto"/>
      </w:pPr>
    </w:p>
    <w:p w14:paraId="789EE078" w14:textId="77777777" w:rsidR="00AA74BA" w:rsidRDefault="00AA74BA" w:rsidP="00AA74BA">
      <w:pPr>
        <w:spacing w:line="360" w:lineRule="auto"/>
      </w:pPr>
      <w:r>
        <w:t xml:space="preserve">The virtue approach is addressed as well. The hypothesis is regularly  stated as an inside desire to perform virtuously also honourably. Virtue theory is an ethical philosophy that emphasises character over consequences or laws as the primary factor in ethical decision-making. The virtue principle estimates individuals based on their personality rather than their acts that may deviate and change from their standard. As stated by (Carroll &amp; </w:t>
      </w:r>
      <w:proofErr w:type="spellStart"/>
      <w:r>
        <w:t>Buchholtz</w:t>
      </w:r>
      <w:proofErr w:type="spellEnd"/>
      <w:r>
        <w:t xml:space="preserve">, 2009), the attention is essentially on the individual's values such as justice, truthfulness, honesty, or compassion. As well as this, the system emphasises the being while focusing on a person's heart. The concept is that virtues and concepts are equally important and vital, and that when they are united, they constitute a base for effective ethical conduct and sound decision making (Carroll &amp; </w:t>
      </w:r>
      <w:proofErr w:type="spellStart"/>
      <w:r>
        <w:t>Buchholtz</w:t>
      </w:r>
      <w:proofErr w:type="spellEnd"/>
      <w:r>
        <w:t xml:space="preserve">, 2009). </w:t>
      </w:r>
    </w:p>
    <w:p w14:paraId="02164625" w14:textId="77777777" w:rsidR="00AA74BA" w:rsidRDefault="00AA74BA" w:rsidP="00AA74BA">
      <w:pPr>
        <w:spacing w:line="360" w:lineRule="auto"/>
      </w:pPr>
    </w:p>
    <w:p w14:paraId="2B8DB84F" w14:textId="77777777" w:rsidR="00AA74BA" w:rsidRDefault="00AA74BA" w:rsidP="00AA74BA">
      <w:pPr>
        <w:spacing w:line="360" w:lineRule="auto"/>
      </w:pPr>
    </w:p>
    <w:p w14:paraId="76E47162" w14:textId="77777777" w:rsidR="00AA74BA" w:rsidRDefault="00AA74BA" w:rsidP="00AA74BA">
      <w:pPr>
        <w:spacing w:line="360" w:lineRule="auto"/>
      </w:pPr>
    </w:p>
    <w:p w14:paraId="34DEC6C5" w14:textId="77777777" w:rsidR="00AA74BA" w:rsidRDefault="00AA74BA" w:rsidP="00AA74BA">
      <w:pPr>
        <w:spacing w:line="360" w:lineRule="auto"/>
      </w:pPr>
    </w:p>
    <w:p w14:paraId="617C4B4E" w14:textId="77777777" w:rsidR="00AA74BA" w:rsidRDefault="00AA74BA" w:rsidP="00AA74BA">
      <w:pPr>
        <w:spacing w:line="360" w:lineRule="auto"/>
      </w:pPr>
    </w:p>
    <w:p w14:paraId="7861E412" w14:textId="77777777" w:rsidR="00AA74BA" w:rsidRDefault="00AA74BA" w:rsidP="00AA74BA">
      <w:pPr>
        <w:spacing w:line="360" w:lineRule="auto"/>
      </w:pPr>
    </w:p>
    <w:p w14:paraId="5E778697" w14:textId="77777777" w:rsidR="00AA74BA" w:rsidRDefault="00AA74BA" w:rsidP="00AA74BA">
      <w:pPr>
        <w:spacing w:line="360" w:lineRule="auto"/>
      </w:pPr>
      <w:r>
        <w:t xml:space="preserve">MAIN BODY </w:t>
      </w:r>
    </w:p>
    <w:p w14:paraId="2A733908" w14:textId="77777777" w:rsidR="00AA74BA" w:rsidRDefault="00AA74BA" w:rsidP="00AA74BA">
      <w:pPr>
        <w:spacing w:line="360" w:lineRule="auto"/>
      </w:pPr>
    </w:p>
    <w:p w14:paraId="215FAA25" w14:textId="77777777" w:rsidR="00AA74BA" w:rsidRDefault="00AA74BA" w:rsidP="00AA74BA">
      <w:pPr>
        <w:spacing w:line="360" w:lineRule="auto"/>
      </w:pPr>
    </w:p>
    <w:p w14:paraId="6E0F16CB" w14:textId="77777777" w:rsidR="00AA74BA" w:rsidRDefault="00AA74BA" w:rsidP="00AA74BA">
      <w:pPr>
        <w:spacing w:line="360" w:lineRule="auto"/>
      </w:pPr>
    </w:p>
    <w:p w14:paraId="53EA6347" w14:textId="77777777" w:rsidR="00AA74BA" w:rsidRDefault="00AA74BA" w:rsidP="00AA74BA">
      <w:pPr>
        <w:spacing w:line="360" w:lineRule="auto"/>
      </w:pPr>
      <w:r>
        <w:t xml:space="preserve">Individuals who have been diagnosed with a mental illness are frequently faced with a number of dilemmas, alongside whether to disclose or cover their mental diagnosis. In relation to concealment, patients frequently inquire about whether or not they should disclose a mental disorder when looking for jobs or in general to their doctors (Kay Wheat et al., 2010). </w:t>
      </w:r>
    </w:p>
    <w:p w14:paraId="61EF8C9B" w14:textId="77777777" w:rsidR="00AA74BA" w:rsidRDefault="00AA74BA" w:rsidP="00AA74BA">
      <w:pPr>
        <w:spacing w:line="360" w:lineRule="auto"/>
      </w:pPr>
    </w:p>
    <w:p w14:paraId="3DF21324" w14:textId="77777777" w:rsidR="00AA74BA" w:rsidRDefault="00AA74BA" w:rsidP="00AA74BA">
      <w:pPr>
        <w:spacing w:line="360" w:lineRule="auto"/>
      </w:pPr>
      <w:r>
        <w:t xml:space="preserve"> There are a variety of reasons why patients disclose their mental illnesses to family, friends as well as their employer. To illustrate, linking to (National Alliances Mental Illness, 2022) disclosing an individual’s mental illness may be beneficial. This is because alerting friends or family about an illness can be motivating for the individual. Clearly communicating to someone sympathetic can decrease a person’s stress volume and enhance mood swings. Disclosing a diagnosis can lead to more concrete help, such as assistance in locating other treatment options or transportation to appointments. As stated by (NAMI, 2022) by allowing an individual to reveal their disguises it can gain and build trust within friends and family. As a result, revealing a sickness could be quite effective and successful. </w:t>
      </w:r>
    </w:p>
    <w:p w14:paraId="0AD51716" w14:textId="77777777" w:rsidR="00AA74BA" w:rsidRDefault="00AA74BA" w:rsidP="00AA74BA">
      <w:pPr>
        <w:spacing w:line="360" w:lineRule="auto"/>
      </w:pPr>
    </w:p>
    <w:p w14:paraId="2BE353A7" w14:textId="77777777" w:rsidR="00AA74BA" w:rsidRDefault="00AA74BA" w:rsidP="00AA74BA">
      <w:pPr>
        <w:spacing w:line="360" w:lineRule="auto"/>
      </w:pPr>
      <w:r>
        <w:t xml:space="preserve">Patients may desire to expose themselves and disclose their mental illnesses for a variety of reasons. Suggested by (NAMI, 2022) the main reason why individuals expose themselves is for better treatment or intervention. For example, a professional must be involved in order for an individual to receive better therapy and recovery, and requesting aid can help in the long term. As well as this, another incentive to disclose a mental illness is the possibility of a successful recovery. Receiving a variety of encouragement and inspiration from a variety of sources, including not only practitioners but also family and friends, may help to speed up and increase recovery (NAMI, 2022). </w:t>
      </w:r>
    </w:p>
    <w:p w14:paraId="4B0CEB09" w14:textId="77777777" w:rsidR="00AA74BA" w:rsidRDefault="00AA74BA" w:rsidP="00AA74BA">
      <w:pPr>
        <w:spacing w:line="360" w:lineRule="auto"/>
      </w:pPr>
    </w:p>
    <w:p w14:paraId="49A1890B" w14:textId="77777777" w:rsidR="00AA74BA" w:rsidRDefault="00AA74BA" w:rsidP="00AA74BA">
      <w:pPr>
        <w:spacing w:line="360" w:lineRule="auto"/>
      </w:pPr>
      <w:r>
        <w:t>However, one the other hand as well as pros of disclosing a mental illness there are unfortunately cons of those actions. For instance, According to a recent National Comorbidity Survey (NCS) that looked at lifespan prevalence figures for DSM - IV conditions, over half of all Americans will encounter the mental health standard at some point in their lives (Kessler et al., 2005). Similarly,  these interconnected issues make it hard for someone suffering from a mental illness to live a satisfactory life (</w:t>
      </w:r>
      <w:proofErr w:type="spellStart"/>
      <w:r>
        <w:t>Rusch</w:t>
      </w:r>
      <w:proofErr w:type="spellEnd"/>
      <w:r>
        <w:t xml:space="preserve"> et al., 2005). Preconceived notions about individuals who have been </w:t>
      </w:r>
      <w:r>
        <w:lastRenderedPageBreak/>
        <w:t xml:space="preserve">diagnosed with a mental illness have the potential to shape society's perception of them for the rest of their lives (Link &amp; </w:t>
      </w:r>
      <w:proofErr w:type="spellStart"/>
      <w:r>
        <w:t>Phelan</w:t>
      </w:r>
      <w:proofErr w:type="spellEnd"/>
      <w:r>
        <w:t xml:space="preserve">, 2001). </w:t>
      </w:r>
    </w:p>
    <w:p w14:paraId="55133D7E" w14:textId="77777777" w:rsidR="00AA74BA" w:rsidRDefault="00AA74BA" w:rsidP="00AA74BA">
      <w:pPr>
        <w:spacing w:line="360" w:lineRule="auto"/>
      </w:pPr>
    </w:p>
    <w:p w14:paraId="5E2AE416" w14:textId="77777777" w:rsidR="00AA74BA" w:rsidRDefault="00AA74BA" w:rsidP="00AA74BA">
      <w:pPr>
        <w:spacing w:line="360" w:lineRule="auto"/>
      </w:pPr>
      <w:r>
        <w:t>A main issue can be the stigma towards this. Stigmatisation of individuals with mental illnesses can create significant difficulties in the workplace, relationships, and accommodations (Overton &amp; Medina, 2008). There are two common ways in which stigma manifests itself. To begin with, there is public stigma, which refers to the general population's perception of those with mental illnesses. Two of these of stigma can develop as a result of stereotyping, prejudice, or other forms of discrimination (</w:t>
      </w:r>
      <w:proofErr w:type="spellStart"/>
      <w:r>
        <w:t>Corrigan</w:t>
      </w:r>
      <w:proofErr w:type="spellEnd"/>
      <w:r>
        <w:t xml:space="preserve"> &amp; Shapiro, 2010). When compared to the common population, especially those with mental illnesses, such views, whether public or private, have the potential to rob these persons of important life chances (Overton &amp; Medina, 2008). </w:t>
      </w:r>
    </w:p>
    <w:p w14:paraId="2E7D0D9D" w14:textId="77777777" w:rsidR="00AA74BA" w:rsidRDefault="00AA74BA" w:rsidP="00AA74BA">
      <w:pPr>
        <w:spacing w:line="360" w:lineRule="auto"/>
      </w:pPr>
    </w:p>
    <w:p w14:paraId="0E800FE9" w14:textId="77777777" w:rsidR="00AA74BA" w:rsidRDefault="00AA74BA" w:rsidP="00AA74BA">
      <w:pPr>
        <w:spacing w:line="360" w:lineRule="auto"/>
      </w:pPr>
      <w:r>
        <w:t>In result of this, studies have shown that stigmatisation can have a major negative influence on an individual's social and psychological functioning suggested by (</w:t>
      </w:r>
      <w:proofErr w:type="spellStart"/>
      <w:r>
        <w:t>Rusch</w:t>
      </w:r>
      <w:proofErr w:type="spellEnd"/>
      <w:r>
        <w:t xml:space="preserve"> et al., 2005). </w:t>
      </w:r>
    </w:p>
    <w:p w14:paraId="61EF293F" w14:textId="77777777" w:rsidR="00AA74BA" w:rsidRDefault="00AA74BA" w:rsidP="00AA74BA">
      <w:pPr>
        <w:spacing w:line="360" w:lineRule="auto"/>
      </w:pPr>
    </w:p>
    <w:p w14:paraId="2F0E3A4B" w14:textId="77777777" w:rsidR="00AA74BA" w:rsidRDefault="00AA74BA" w:rsidP="00AA74BA">
      <w:pPr>
        <w:spacing w:line="360" w:lineRule="auto"/>
      </w:pPr>
      <w:r>
        <w:t xml:space="preserve">Furthermore, an individual's concerns and fear may arise as a result of their diagnosis being disclosed. As implied by (Kay Wheat et al., 2010) following disclosure, for instance, malicious gossip may emerge after </w:t>
      </w:r>
      <w:proofErr w:type="spellStart"/>
      <w:r>
        <w:t>disclosement</w:t>
      </w:r>
      <w:proofErr w:type="spellEnd"/>
      <w:r>
        <w:t xml:space="preserve">. On account of  revealing a mental disorder, a subtle type of social exclusion is also a possibility. These various anxieties, fears and harsh behaviours can alter and influence a patient's behaviours as well as their opinions. To illustrate, hearing rude and harsh comments will almost certainly reduce any incentive or motivation to seek treatment or improve in the near future. This will have an impact not just on the patient's perceptions of things, but also on their sentiments toward their physician (Kay Wheat et al., 2010). </w:t>
      </w:r>
    </w:p>
    <w:p w14:paraId="4FDF1202" w14:textId="77777777" w:rsidR="00AA74BA" w:rsidRDefault="00AA74BA" w:rsidP="00AA74BA">
      <w:pPr>
        <w:spacing w:line="360" w:lineRule="auto"/>
      </w:pPr>
    </w:p>
    <w:p w14:paraId="3BC2AA7F" w14:textId="77777777" w:rsidR="00AA74BA" w:rsidRDefault="00AA74BA" w:rsidP="00AA74BA">
      <w:pPr>
        <w:spacing w:line="360" w:lineRule="auto"/>
      </w:pPr>
    </w:p>
    <w:p w14:paraId="3613A6D3" w14:textId="77777777" w:rsidR="00AA74BA" w:rsidRDefault="00AA74BA" w:rsidP="00AA74BA">
      <w:pPr>
        <w:spacing w:line="360" w:lineRule="auto"/>
      </w:pPr>
    </w:p>
    <w:p w14:paraId="2AF3BA94" w14:textId="77777777" w:rsidR="00AA74BA" w:rsidRDefault="00AA74BA" w:rsidP="00AA74BA">
      <w:pPr>
        <w:spacing w:line="360" w:lineRule="auto"/>
      </w:pPr>
    </w:p>
    <w:p w14:paraId="63499602" w14:textId="77777777" w:rsidR="00AA74BA" w:rsidRDefault="00AA74BA" w:rsidP="00AA74BA">
      <w:pPr>
        <w:spacing w:line="360" w:lineRule="auto"/>
      </w:pPr>
    </w:p>
    <w:p w14:paraId="190CA731" w14:textId="77777777" w:rsidR="00AA74BA" w:rsidRDefault="00AA74BA" w:rsidP="00AA74BA">
      <w:pPr>
        <w:spacing w:line="360" w:lineRule="auto"/>
      </w:pPr>
    </w:p>
    <w:p w14:paraId="1576BBD3" w14:textId="77777777" w:rsidR="00AA74BA" w:rsidRDefault="00AA74BA" w:rsidP="00AA74BA">
      <w:pPr>
        <w:spacing w:line="360" w:lineRule="auto"/>
      </w:pPr>
      <w:r>
        <w:t xml:space="preserve">Legislations and frameworks  </w:t>
      </w:r>
    </w:p>
    <w:p w14:paraId="071049E6" w14:textId="77777777" w:rsidR="00AA74BA" w:rsidRDefault="00AA74BA" w:rsidP="00AA74BA">
      <w:pPr>
        <w:spacing w:line="360" w:lineRule="auto"/>
      </w:pPr>
    </w:p>
    <w:p w14:paraId="16EFB188" w14:textId="77777777" w:rsidR="00AA74BA" w:rsidRDefault="00AA74BA" w:rsidP="00AA74BA">
      <w:pPr>
        <w:spacing w:line="360" w:lineRule="auto"/>
      </w:pPr>
    </w:p>
    <w:p w14:paraId="047A71FF" w14:textId="77777777" w:rsidR="00AA74BA" w:rsidRDefault="00AA74BA" w:rsidP="00AA74BA">
      <w:pPr>
        <w:spacing w:line="360" w:lineRule="auto"/>
      </w:pPr>
    </w:p>
    <w:p w14:paraId="6873F0F7" w14:textId="77777777" w:rsidR="00AA74BA" w:rsidRDefault="00AA74BA" w:rsidP="00AA74BA">
      <w:pPr>
        <w:spacing w:line="360" w:lineRule="auto"/>
      </w:pPr>
      <w:r>
        <w:lastRenderedPageBreak/>
        <w:t xml:space="preserve">In addition to this, to prevent these situations from occurring there are legal options available to help these people decide whether or not to uncover and disclose their mental health concerns and conditions. To illustrate, the Mental Capacity Act 2005. In England and Wales, the Mental Capacity Act of 2005 went into effect in the year of 2007 (Boyle G et al., 2008). Individuals who lack decision-making capacity, such as individuals with dementia, an extreme learning impairment, a brain trauma, a mental health condition, a stroke as well as vulnerable adults have a legal right to autonomy (both negative and positive) under the act and it appeals to individuals aged 16 and over. The success of this act in safeguarding liberty and encouraging self-determination, as well as in providing social rights to support autonomy, is the focus of this act (Boyle G et al.,2008). </w:t>
      </w:r>
    </w:p>
    <w:p w14:paraId="42F02FD0" w14:textId="77777777" w:rsidR="00AA74BA" w:rsidRDefault="00AA74BA" w:rsidP="00AA74BA">
      <w:pPr>
        <w:spacing w:line="360" w:lineRule="auto"/>
      </w:pPr>
    </w:p>
    <w:p w14:paraId="1367109D" w14:textId="77777777" w:rsidR="00AA74BA" w:rsidRDefault="00AA74BA" w:rsidP="00AA74BA">
      <w:pPr>
        <w:spacing w:line="360" w:lineRule="auto"/>
      </w:pPr>
    </w:p>
    <w:p w14:paraId="73F50689" w14:textId="77777777" w:rsidR="00AA74BA" w:rsidRDefault="00AA74BA" w:rsidP="00AA74BA">
      <w:pPr>
        <w:spacing w:line="360" w:lineRule="auto"/>
      </w:pPr>
      <w:r>
        <w:t xml:space="preserve">The Mental Health Act of 2016 is another law in place to help individuals  overcome their worries of disclosing their mental health issues. In addition, the Mental Health Act of 2016 has three key goals and objects. First and foremost, the legislation is designed and structured to increase and retain the health and well-being of those who are suffering from a mental disease and lack the capacity to agree to intervention. Second, the act exists to permit individuals to be deflected from the criminal justice structure if some are determined to be incompetent for case or to have existed of unsound mind at the stage of accomplishing and discussing an unlawful </w:t>
      </w:r>
      <w:proofErr w:type="spellStart"/>
      <w:r>
        <w:t>behviour</w:t>
      </w:r>
      <w:proofErr w:type="spellEnd"/>
      <w:r>
        <w:t xml:space="preserve">. Finally, the law empowers the community to be protected if individuals </w:t>
      </w:r>
      <w:proofErr w:type="spellStart"/>
      <w:r>
        <w:t>redirted</w:t>
      </w:r>
      <w:proofErr w:type="spellEnd"/>
      <w:r>
        <w:t xml:space="preserve"> from the criminal justice system pose a threat to others. </w:t>
      </w:r>
    </w:p>
    <w:p w14:paraId="1A08BC1E" w14:textId="77777777" w:rsidR="00AA74BA" w:rsidRDefault="00AA74BA" w:rsidP="00AA74BA">
      <w:pPr>
        <w:spacing w:line="360" w:lineRule="auto"/>
      </w:pPr>
    </w:p>
    <w:p w14:paraId="5C259899" w14:textId="77777777" w:rsidR="00AA74BA" w:rsidRDefault="00AA74BA" w:rsidP="00AA74BA">
      <w:pPr>
        <w:spacing w:line="360" w:lineRule="auto"/>
      </w:pPr>
      <w:r>
        <w:t xml:space="preserve">As well as this another legal act that prevents these worries is the safeguarding vulnerable groups 2006. Moreover, the government embraced the suggestions of the </w:t>
      </w:r>
      <w:proofErr w:type="spellStart"/>
      <w:r>
        <w:t>Bichard</w:t>
      </w:r>
      <w:proofErr w:type="spellEnd"/>
      <w:r>
        <w:t xml:space="preserve"> Inquiry (2004), which glanced into the situations nearby the death of two children in </w:t>
      </w:r>
      <w:proofErr w:type="spellStart"/>
      <w:r>
        <w:t>Soham</w:t>
      </w:r>
      <w:proofErr w:type="spellEnd"/>
      <w:r>
        <w:t xml:space="preserve"> in 2002, and enacted the Safeguarding Vulnerable Groups Act 2006 as a result  (Griffith R &amp; </w:t>
      </w:r>
      <w:proofErr w:type="spellStart"/>
      <w:r>
        <w:t>Tengnah</w:t>
      </w:r>
      <w:proofErr w:type="spellEnd"/>
      <w:r>
        <w:t xml:space="preserve"> C, 2009).  As well as this, the 2006 Act accepts a new vetting and barring structure to exchange the existing mechanisms for securing and defending children and unprotected adults from damage or the threat of harm produced by workers and volunteers whose jobs supply them a large approach to these categories (Griffith R &amp; </w:t>
      </w:r>
      <w:proofErr w:type="spellStart"/>
      <w:r>
        <w:t>Tengnah</w:t>
      </w:r>
      <w:proofErr w:type="spellEnd"/>
      <w:r>
        <w:t xml:space="preserve"> C, 2009). </w:t>
      </w:r>
    </w:p>
    <w:p w14:paraId="295C0D49" w14:textId="77777777" w:rsidR="00AA74BA" w:rsidRDefault="00AA74BA" w:rsidP="00AA74BA">
      <w:pPr>
        <w:spacing w:line="360" w:lineRule="auto"/>
      </w:pPr>
    </w:p>
    <w:p w14:paraId="4B766BFB" w14:textId="77777777" w:rsidR="00AA74BA" w:rsidRDefault="00AA74BA" w:rsidP="00AA74BA">
      <w:pPr>
        <w:spacing w:line="360" w:lineRule="auto"/>
      </w:pPr>
    </w:p>
    <w:p w14:paraId="19195A72" w14:textId="77777777" w:rsidR="00AA74BA" w:rsidRDefault="00AA74BA" w:rsidP="00AA74BA">
      <w:pPr>
        <w:spacing w:line="360" w:lineRule="auto"/>
      </w:pPr>
      <w:r>
        <w:t xml:space="preserve">Individuals with mental illnesses encounter a variety of psychological and environmental hurdles to hiring, involving stigma, the service structure and accounting incentives to work. Additionally, as an outcome, this group has an </w:t>
      </w:r>
      <w:proofErr w:type="spellStart"/>
      <w:r>
        <w:t>frightenedly</w:t>
      </w:r>
      <w:proofErr w:type="spellEnd"/>
      <w:r>
        <w:t xml:space="preserve"> big percentage of unemployment and is the largest and </w:t>
      </w:r>
      <w:r>
        <w:lastRenderedPageBreak/>
        <w:t xml:space="preserve">fastest enlarging category receiving Social Security Disability Insurance benefits  (McDowell C &amp; Fossey E, 2015).  In addition to the difficulties that persons with mental illnesses have in finding work, job retention is still poor, even with proof based employment support. Moreover, more than half of job discontinuance between employees with mental illnesses were unsatisfactory discontinuances, explained as the individual being fired or departing without having alternative employment ideas, according to two research (McDowell C &amp; Fossey E, 2015). </w:t>
      </w:r>
    </w:p>
    <w:p w14:paraId="7CAF8E38" w14:textId="77777777" w:rsidR="00AA74BA" w:rsidRDefault="00AA74BA" w:rsidP="00AA74BA">
      <w:pPr>
        <w:spacing w:line="360" w:lineRule="auto"/>
      </w:pPr>
    </w:p>
    <w:p w14:paraId="75EFED22" w14:textId="77777777" w:rsidR="00AA74BA" w:rsidRDefault="00AA74BA" w:rsidP="00AA74BA">
      <w:pPr>
        <w:spacing w:line="360" w:lineRule="auto"/>
      </w:pPr>
      <w:r>
        <w:t xml:space="preserve">The Equality Act of 2010 consolidated every grounds for discrimination into one law, standardised </w:t>
      </w:r>
      <w:proofErr w:type="spellStart"/>
      <w:r>
        <w:t>explainations</w:t>
      </w:r>
      <w:proofErr w:type="spellEnd"/>
      <w:r>
        <w:t xml:space="preserve"> and themes, and contained fresh qualities and ideas implied by (Lockwood G .et al., 2012). It allows greater and bigger range for beneficial measurements, supplies clearly for discrimination constructed on more than a single characteristic, strengthens and builds up disability secures and defences. In addition to this, The Equality Act forbids multiple sets of conduct regarding employment. First, it allows straight discrimination, where someone discriminates against a disabled individual because they are impairment (Lockwood G .et al., 2012). This Act enlarges straight discrimination by empowering declares for disability discrimination and harassment to be set by individuals on the basis that they are distinguished to be disabled (and are not) or due to associating with someone who is impaired or </w:t>
      </w:r>
      <w:proofErr w:type="spellStart"/>
      <w:r>
        <w:t>revleaed</w:t>
      </w:r>
      <w:proofErr w:type="spellEnd"/>
      <w:r>
        <w:t xml:space="preserve"> to disclosure of mental condition (Lockwood G .et al., 2012). </w:t>
      </w:r>
    </w:p>
    <w:p w14:paraId="106915AF" w14:textId="77777777" w:rsidR="00AA74BA" w:rsidRDefault="00AA74BA" w:rsidP="00AA74BA">
      <w:pPr>
        <w:spacing w:line="360" w:lineRule="auto"/>
      </w:pPr>
    </w:p>
    <w:p w14:paraId="2A719672" w14:textId="77777777" w:rsidR="00AA74BA" w:rsidRDefault="00AA74BA" w:rsidP="00AA74BA">
      <w:pPr>
        <w:spacing w:line="360" w:lineRule="auto"/>
      </w:pPr>
      <w:r>
        <w:t xml:space="preserve">Workplace stigma is addressed by workplace support 2015 as well as disability discrimination, which is available to completely support individuals. Linking to these laws, workers are needed to advance rational work setting housing, also well known as work setting qualifications or adaptations to permit </w:t>
      </w:r>
      <w:proofErr w:type="spellStart"/>
      <w:r>
        <w:t>indivduals</w:t>
      </w:r>
      <w:proofErr w:type="spellEnd"/>
      <w:r>
        <w:t xml:space="preserve"> with disabilities to carry out the demands of a job, for instance remake to rearranging, job duties social assistance or alternative workplace states, under disability discrimination legislation in the United States as well as elsewhere (McDowell C &amp; Fossey E, 2015). </w:t>
      </w:r>
    </w:p>
    <w:p w14:paraId="62A54BE9" w14:textId="77777777" w:rsidR="00AA74BA" w:rsidRDefault="00AA74BA" w:rsidP="00AA74BA">
      <w:pPr>
        <w:spacing w:line="360" w:lineRule="auto"/>
      </w:pPr>
    </w:p>
    <w:p w14:paraId="7A5E01D5" w14:textId="77777777" w:rsidR="00AA74BA" w:rsidRDefault="00AA74BA" w:rsidP="00AA74BA">
      <w:pPr>
        <w:spacing w:line="360" w:lineRule="auto"/>
      </w:pPr>
      <w:r>
        <w:t xml:space="preserve">Individuals with psychiatric disabilities and mental conditions are covered by this legislation, although employers may be less willing to provide working modifications for them than for individuals with somatic disabilities (McDowell C &amp; Fossey E, 2015). Employers' understanding of the spectrum of available workforce aids could be restricted, and adjustments for employees with mental illnesses may appear less apparent than those essentials by workforce with somatic impairments, to illustrate like a ramp or exceptional tools. </w:t>
      </w:r>
    </w:p>
    <w:p w14:paraId="03794091" w14:textId="77777777" w:rsidR="00AA74BA" w:rsidRDefault="00AA74BA" w:rsidP="00AA74BA">
      <w:pPr>
        <w:spacing w:line="360" w:lineRule="auto"/>
      </w:pPr>
    </w:p>
    <w:p w14:paraId="5DAEBBA3" w14:textId="77777777" w:rsidR="00AA74BA" w:rsidRDefault="00AA74BA" w:rsidP="00AA74BA">
      <w:pPr>
        <w:spacing w:line="360" w:lineRule="auto"/>
      </w:pPr>
    </w:p>
    <w:p w14:paraId="13614890" w14:textId="77777777" w:rsidR="00AA74BA" w:rsidRDefault="00AA74BA" w:rsidP="00AA74BA">
      <w:pPr>
        <w:spacing w:line="360" w:lineRule="auto"/>
      </w:pPr>
    </w:p>
    <w:p w14:paraId="162988D1" w14:textId="77777777" w:rsidR="00AA74BA" w:rsidRDefault="00AA74BA" w:rsidP="00AA74BA">
      <w:pPr>
        <w:spacing w:line="360" w:lineRule="auto"/>
      </w:pPr>
      <w:r>
        <w:t>Conclusion</w:t>
      </w:r>
    </w:p>
    <w:p w14:paraId="52727EDC" w14:textId="77777777" w:rsidR="00AA74BA" w:rsidRDefault="00AA74BA" w:rsidP="00AA74BA">
      <w:pPr>
        <w:spacing w:line="360" w:lineRule="auto"/>
      </w:pPr>
    </w:p>
    <w:p w14:paraId="0D799BF6" w14:textId="77777777" w:rsidR="00AA74BA" w:rsidRDefault="00AA74BA" w:rsidP="00AA74BA">
      <w:pPr>
        <w:spacing w:line="360" w:lineRule="auto"/>
      </w:pPr>
      <w:r>
        <w:t xml:space="preserve">In conclusion, all these laws and legislations are there and available to fully support and protect these individuals when deciding to reveal or disclose their mental health illness. Whether that could be to a family member, friends or even a mental practitioner. There may be some cons  when disclosing a mental health condition and that may have a huge effect on that individual's mental state and capacity, however there are some legislations over those issues, which may decrease issues like </w:t>
      </w:r>
      <w:proofErr w:type="spellStart"/>
      <w:r>
        <w:t>stigmistation</w:t>
      </w:r>
      <w:proofErr w:type="spellEnd"/>
      <w:r>
        <w:t xml:space="preserve">. Similarly, according to (NAMI, 2022) if a patient decides to disclose their condition and a family member believes that the patient lacks capacity to choose the types of treatment  the patient has the right over these legislations. The patient has the right and capacity to make their own decisions as well as wherever possible, help patients to make their own wise and sensible decisions. In addition to this, if an individual chose to disclose their mental condition to a family member or friend, they would still be protected by the law and legislations. </w:t>
      </w:r>
    </w:p>
    <w:p w14:paraId="0D60DE46" w14:textId="77777777" w:rsidR="00AA74BA" w:rsidRDefault="00AA74BA" w:rsidP="00AA74BA">
      <w:pPr>
        <w:spacing w:line="360" w:lineRule="auto"/>
      </w:pPr>
    </w:p>
    <w:p w14:paraId="09107A83" w14:textId="2747FCBD" w:rsidR="00CB0A7D" w:rsidRDefault="00CB0A7D" w:rsidP="0011678E">
      <w:pPr>
        <w:spacing w:line="360" w:lineRule="auto"/>
      </w:pPr>
    </w:p>
    <w:p w14:paraId="0FB7937D" w14:textId="10A1D810" w:rsidR="000B079C" w:rsidRDefault="000B079C" w:rsidP="0011678E">
      <w:pPr>
        <w:spacing w:line="360" w:lineRule="auto"/>
      </w:pPr>
    </w:p>
    <w:p w14:paraId="4754A4F5" w14:textId="77777777" w:rsidR="0058421D" w:rsidRDefault="0058421D" w:rsidP="0058421D">
      <w:pPr>
        <w:spacing w:line="360" w:lineRule="auto"/>
        <w:jc w:val="center"/>
        <w:rPr>
          <w:b/>
          <w:bCs/>
          <w:i/>
          <w:iCs/>
          <w:u w:val="single"/>
        </w:rPr>
      </w:pPr>
    </w:p>
    <w:p w14:paraId="30A474D3" w14:textId="77777777" w:rsidR="0058421D" w:rsidRDefault="0058421D" w:rsidP="0058421D">
      <w:pPr>
        <w:spacing w:line="360" w:lineRule="auto"/>
        <w:jc w:val="center"/>
        <w:rPr>
          <w:b/>
          <w:bCs/>
          <w:i/>
          <w:iCs/>
          <w:u w:val="single"/>
        </w:rPr>
      </w:pPr>
    </w:p>
    <w:p w14:paraId="39F749AA" w14:textId="77777777" w:rsidR="0058421D" w:rsidRDefault="0058421D" w:rsidP="0058421D">
      <w:pPr>
        <w:spacing w:line="360" w:lineRule="auto"/>
        <w:jc w:val="center"/>
        <w:rPr>
          <w:b/>
          <w:bCs/>
          <w:i/>
          <w:iCs/>
          <w:u w:val="single"/>
        </w:rPr>
      </w:pPr>
    </w:p>
    <w:p w14:paraId="3069FA0B" w14:textId="77777777" w:rsidR="0058421D" w:rsidRDefault="0058421D" w:rsidP="0058421D">
      <w:pPr>
        <w:spacing w:line="360" w:lineRule="auto"/>
        <w:jc w:val="center"/>
        <w:rPr>
          <w:b/>
          <w:bCs/>
          <w:i/>
          <w:iCs/>
          <w:u w:val="single"/>
        </w:rPr>
      </w:pPr>
    </w:p>
    <w:p w14:paraId="5C68B80B" w14:textId="77777777" w:rsidR="0058421D" w:rsidRDefault="0058421D" w:rsidP="0058421D">
      <w:pPr>
        <w:spacing w:line="360" w:lineRule="auto"/>
        <w:jc w:val="center"/>
        <w:rPr>
          <w:b/>
          <w:bCs/>
          <w:i/>
          <w:iCs/>
          <w:u w:val="single"/>
        </w:rPr>
      </w:pPr>
    </w:p>
    <w:p w14:paraId="3E3E68B0" w14:textId="77777777" w:rsidR="0058421D" w:rsidRDefault="0058421D" w:rsidP="0058421D">
      <w:pPr>
        <w:spacing w:line="360" w:lineRule="auto"/>
        <w:jc w:val="center"/>
        <w:rPr>
          <w:b/>
          <w:bCs/>
          <w:i/>
          <w:iCs/>
          <w:u w:val="single"/>
        </w:rPr>
      </w:pPr>
    </w:p>
    <w:p w14:paraId="5451C4D8" w14:textId="77777777" w:rsidR="0058421D" w:rsidRDefault="0058421D" w:rsidP="0058421D">
      <w:pPr>
        <w:spacing w:line="360" w:lineRule="auto"/>
        <w:jc w:val="center"/>
        <w:rPr>
          <w:b/>
          <w:bCs/>
          <w:i/>
          <w:iCs/>
          <w:u w:val="single"/>
        </w:rPr>
      </w:pPr>
    </w:p>
    <w:p w14:paraId="7FF35666" w14:textId="77777777" w:rsidR="0058421D" w:rsidRDefault="0058421D" w:rsidP="0058421D">
      <w:pPr>
        <w:spacing w:line="360" w:lineRule="auto"/>
        <w:jc w:val="center"/>
        <w:rPr>
          <w:b/>
          <w:bCs/>
          <w:i/>
          <w:iCs/>
          <w:u w:val="single"/>
        </w:rPr>
      </w:pPr>
    </w:p>
    <w:p w14:paraId="6FF8E71D" w14:textId="77777777" w:rsidR="0058421D" w:rsidRDefault="0058421D" w:rsidP="0058421D">
      <w:pPr>
        <w:spacing w:line="360" w:lineRule="auto"/>
        <w:jc w:val="center"/>
        <w:rPr>
          <w:b/>
          <w:bCs/>
          <w:i/>
          <w:iCs/>
          <w:u w:val="single"/>
        </w:rPr>
      </w:pPr>
    </w:p>
    <w:p w14:paraId="08EBE1EE" w14:textId="77777777" w:rsidR="0058421D" w:rsidRDefault="0058421D" w:rsidP="0058421D">
      <w:pPr>
        <w:spacing w:line="360" w:lineRule="auto"/>
        <w:jc w:val="center"/>
        <w:rPr>
          <w:b/>
          <w:bCs/>
          <w:i/>
          <w:iCs/>
          <w:u w:val="single"/>
        </w:rPr>
      </w:pPr>
    </w:p>
    <w:p w14:paraId="31903BF4" w14:textId="77777777" w:rsidR="0058421D" w:rsidRDefault="0058421D" w:rsidP="0058421D">
      <w:pPr>
        <w:spacing w:line="360" w:lineRule="auto"/>
        <w:jc w:val="center"/>
        <w:rPr>
          <w:b/>
          <w:bCs/>
          <w:i/>
          <w:iCs/>
          <w:u w:val="single"/>
        </w:rPr>
      </w:pPr>
    </w:p>
    <w:p w14:paraId="38AB22C0" w14:textId="77777777" w:rsidR="0058421D" w:rsidRDefault="0058421D" w:rsidP="0058421D">
      <w:pPr>
        <w:spacing w:line="360" w:lineRule="auto"/>
        <w:jc w:val="center"/>
        <w:rPr>
          <w:b/>
          <w:bCs/>
          <w:i/>
          <w:iCs/>
          <w:u w:val="single"/>
        </w:rPr>
      </w:pPr>
    </w:p>
    <w:p w14:paraId="59909BD5" w14:textId="77777777" w:rsidR="0058421D" w:rsidRDefault="0058421D" w:rsidP="0058421D">
      <w:pPr>
        <w:spacing w:line="360" w:lineRule="auto"/>
        <w:jc w:val="center"/>
        <w:rPr>
          <w:b/>
          <w:bCs/>
          <w:i/>
          <w:iCs/>
          <w:u w:val="single"/>
        </w:rPr>
      </w:pPr>
    </w:p>
    <w:p w14:paraId="58B7E3B7" w14:textId="77777777" w:rsidR="0058421D" w:rsidRDefault="0058421D" w:rsidP="0058421D">
      <w:pPr>
        <w:spacing w:line="360" w:lineRule="auto"/>
        <w:jc w:val="center"/>
        <w:rPr>
          <w:b/>
          <w:bCs/>
          <w:i/>
          <w:iCs/>
          <w:u w:val="single"/>
        </w:rPr>
      </w:pPr>
    </w:p>
    <w:p w14:paraId="3B58E17D" w14:textId="77777777" w:rsidR="0058421D" w:rsidRDefault="0058421D" w:rsidP="0058421D">
      <w:pPr>
        <w:spacing w:line="360" w:lineRule="auto"/>
        <w:jc w:val="center"/>
        <w:rPr>
          <w:b/>
          <w:bCs/>
          <w:i/>
          <w:iCs/>
          <w:u w:val="single"/>
        </w:rPr>
      </w:pPr>
    </w:p>
    <w:p w14:paraId="38CD32DE" w14:textId="77777777" w:rsidR="0058421D" w:rsidRDefault="0058421D" w:rsidP="0058421D">
      <w:pPr>
        <w:spacing w:line="360" w:lineRule="auto"/>
        <w:jc w:val="center"/>
        <w:rPr>
          <w:b/>
          <w:bCs/>
          <w:i/>
          <w:iCs/>
          <w:u w:val="single"/>
        </w:rPr>
      </w:pPr>
    </w:p>
    <w:p w14:paraId="00C92A33" w14:textId="77777777" w:rsidR="0058421D" w:rsidRDefault="0058421D" w:rsidP="0058421D">
      <w:pPr>
        <w:spacing w:line="360" w:lineRule="auto"/>
        <w:jc w:val="center"/>
        <w:rPr>
          <w:b/>
          <w:bCs/>
          <w:i/>
          <w:iCs/>
          <w:u w:val="single"/>
        </w:rPr>
      </w:pPr>
    </w:p>
    <w:p w14:paraId="20216BBA" w14:textId="3E208633" w:rsidR="000B079C" w:rsidRPr="0058421D" w:rsidRDefault="000B079C" w:rsidP="0058421D">
      <w:pPr>
        <w:spacing w:line="360" w:lineRule="auto"/>
        <w:jc w:val="center"/>
        <w:rPr>
          <w:b/>
          <w:bCs/>
          <w:i/>
          <w:iCs/>
          <w:u w:val="single"/>
        </w:rPr>
      </w:pPr>
      <w:r w:rsidRPr="0058421D">
        <w:rPr>
          <w:b/>
          <w:bCs/>
          <w:i/>
          <w:iCs/>
          <w:u w:val="single"/>
        </w:rPr>
        <w:lastRenderedPageBreak/>
        <w:t>REFERENCES</w:t>
      </w:r>
    </w:p>
    <w:p w14:paraId="3D2E87B3" w14:textId="77777777" w:rsidR="000B079C" w:rsidRDefault="000B079C" w:rsidP="000B079C">
      <w:pPr>
        <w:spacing w:line="360" w:lineRule="auto"/>
      </w:pPr>
    </w:p>
    <w:p w14:paraId="3D18C2A8" w14:textId="77777777" w:rsidR="000B079C" w:rsidRDefault="000B079C" w:rsidP="000B079C">
      <w:pPr>
        <w:spacing w:line="360" w:lineRule="auto"/>
      </w:pPr>
    </w:p>
    <w:p w14:paraId="79F07EB2" w14:textId="3A01F041" w:rsidR="000B079C" w:rsidRDefault="000B079C" w:rsidP="000B079C">
      <w:pPr>
        <w:spacing w:line="360" w:lineRule="auto"/>
      </w:pPr>
      <w:r>
        <w:t xml:space="preserve">        Boyle, G. (2008). The Mental Capacity Act 2005: promoting the citizenship of people with dementia?. Health &amp; social care in the community, 16(5), 529-537.</w:t>
      </w:r>
    </w:p>
    <w:p w14:paraId="1A396070" w14:textId="77777777" w:rsidR="000B079C" w:rsidRDefault="000B079C" w:rsidP="000B079C">
      <w:pPr>
        <w:spacing w:line="360" w:lineRule="auto"/>
      </w:pPr>
    </w:p>
    <w:p w14:paraId="26356036" w14:textId="77777777" w:rsidR="000B079C" w:rsidRDefault="000B079C" w:rsidP="000B079C">
      <w:pPr>
        <w:spacing w:line="360" w:lineRule="auto"/>
      </w:pPr>
    </w:p>
    <w:p w14:paraId="68B8C1F2" w14:textId="77777777" w:rsidR="000B079C" w:rsidRDefault="000B079C" w:rsidP="000B079C">
      <w:pPr>
        <w:spacing w:line="360" w:lineRule="auto"/>
      </w:pPr>
    </w:p>
    <w:p w14:paraId="12F541F3" w14:textId="3AE23152" w:rsidR="000B079C" w:rsidRDefault="000B079C" w:rsidP="000B079C">
      <w:pPr>
        <w:spacing w:line="360" w:lineRule="auto"/>
      </w:pPr>
      <w:r>
        <w:t xml:space="preserve">       Griffith, R., &amp; </w:t>
      </w:r>
      <w:proofErr w:type="spellStart"/>
      <w:r>
        <w:t>Tengnah</w:t>
      </w:r>
      <w:proofErr w:type="spellEnd"/>
      <w:r>
        <w:t>, C. (2009). Understanding the safeguarding vulnerable groups act 2006. British journal of community nursing, 14(7), 309-313.</w:t>
      </w:r>
    </w:p>
    <w:p w14:paraId="65EFC35E" w14:textId="77777777" w:rsidR="000B079C" w:rsidRDefault="000B079C" w:rsidP="000B079C">
      <w:pPr>
        <w:spacing w:line="360" w:lineRule="auto"/>
      </w:pPr>
    </w:p>
    <w:p w14:paraId="3A26E0EA" w14:textId="77777777" w:rsidR="000B079C" w:rsidRDefault="000B079C" w:rsidP="000B079C">
      <w:pPr>
        <w:spacing w:line="360" w:lineRule="auto"/>
      </w:pPr>
    </w:p>
    <w:p w14:paraId="008F3CD7" w14:textId="77777777" w:rsidR="000B079C" w:rsidRDefault="000B079C" w:rsidP="000B079C">
      <w:pPr>
        <w:spacing w:line="360" w:lineRule="auto"/>
      </w:pPr>
    </w:p>
    <w:p w14:paraId="121DB0B1" w14:textId="3CF1F372" w:rsidR="000B079C" w:rsidRDefault="000B079C" w:rsidP="000B079C">
      <w:pPr>
        <w:spacing w:line="360" w:lineRule="auto"/>
      </w:pPr>
      <w:r>
        <w:t xml:space="preserve">        Lockwood, G., Henderson, C., &amp; </w:t>
      </w:r>
      <w:proofErr w:type="spellStart"/>
      <w:r>
        <w:t>Thornicroft</w:t>
      </w:r>
      <w:proofErr w:type="spellEnd"/>
      <w:r>
        <w:t>, G. (2012). The Equality Act 2010 and mental health. The British Journal of Psychiatry, 200(3), 182-183.</w:t>
      </w:r>
    </w:p>
    <w:p w14:paraId="18102CB4" w14:textId="77777777" w:rsidR="000B079C" w:rsidRDefault="000B079C" w:rsidP="000B079C">
      <w:pPr>
        <w:spacing w:line="360" w:lineRule="auto"/>
      </w:pPr>
    </w:p>
    <w:p w14:paraId="3F8FAF6C" w14:textId="77777777" w:rsidR="000B079C" w:rsidRDefault="000B079C" w:rsidP="000B079C">
      <w:pPr>
        <w:spacing w:line="360" w:lineRule="auto"/>
      </w:pPr>
    </w:p>
    <w:p w14:paraId="0649A302" w14:textId="77777777" w:rsidR="000B079C" w:rsidRDefault="000B079C" w:rsidP="000B079C">
      <w:pPr>
        <w:spacing w:line="360" w:lineRule="auto"/>
      </w:pPr>
    </w:p>
    <w:p w14:paraId="51FF3A93" w14:textId="34C355FB" w:rsidR="000B079C" w:rsidRDefault="000B079C" w:rsidP="000B079C">
      <w:pPr>
        <w:spacing w:line="360" w:lineRule="auto"/>
      </w:pPr>
      <w:r>
        <w:t xml:space="preserve">         McDowell, C., &amp; Fossey, E. (2015). Workplace accommodations for people with mental illness: A scoping review. Journal of occupational rehabilitation, 25(1), 197-206.</w:t>
      </w:r>
    </w:p>
    <w:p w14:paraId="4776F1BE" w14:textId="77777777" w:rsidR="000B079C" w:rsidRDefault="000B079C" w:rsidP="000B079C">
      <w:pPr>
        <w:spacing w:line="360" w:lineRule="auto"/>
      </w:pPr>
    </w:p>
    <w:p w14:paraId="3924E5C8" w14:textId="77777777" w:rsidR="000B079C" w:rsidRDefault="000B079C" w:rsidP="000B079C">
      <w:pPr>
        <w:spacing w:line="360" w:lineRule="auto"/>
      </w:pPr>
    </w:p>
    <w:p w14:paraId="579008BD" w14:textId="5DDBD822" w:rsidR="000B079C" w:rsidRDefault="0058421D" w:rsidP="000B079C">
      <w:pPr>
        <w:spacing w:line="360" w:lineRule="auto"/>
      </w:pPr>
      <w:r>
        <w:t xml:space="preserve"> </w:t>
      </w:r>
    </w:p>
    <w:p w14:paraId="4BAC27C1" w14:textId="64F15543" w:rsidR="000B079C" w:rsidRDefault="000B079C" w:rsidP="000B079C">
      <w:pPr>
        <w:spacing w:line="360" w:lineRule="auto"/>
      </w:pPr>
      <w:r>
        <w:t xml:space="preserve">         National Alliance On Mental Illness (2022) Disclosing With Others. Available at: </w:t>
      </w:r>
    </w:p>
    <w:p w14:paraId="267E02F0" w14:textId="77777777" w:rsidR="000B079C" w:rsidRDefault="000B079C" w:rsidP="000B079C">
      <w:pPr>
        <w:spacing w:line="360" w:lineRule="auto"/>
      </w:pPr>
      <w:r w:rsidRPr="0058421D">
        <w:rPr>
          <w:color w:val="4472C4" w:themeColor="accent1"/>
          <w:u w:val="single"/>
        </w:rPr>
        <w:t xml:space="preserve">https://www.nami.org/Your-Journey/Individuals-with-Mental-Illness/Disclosing-to-Others#:~:text=One%20reason%20to%20tell%20family%20and%20friends%20about,like%20help%20finding%20treatment%20or%20rides%20to%20appointments. </w:t>
      </w:r>
      <w:r>
        <w:t>(Accessed at 3 January 2022)</w:t>
      </w:r>
    </w:p>
    <w:p w14:paraId="4B437346" w14:textId="77777777" w:rsidR="000B079C" w:rsidRDefault="000B079C" w:rsidP="000B079C">
      <w:pPr>
        <w:spacing w:line="360" w:lineRule="auto"/>
      </w:pPr>
    </w:p>
    <w:p w14:paraId="75AA2635" w14:textId="77777777" w:rsidR="000B079C" w:rsidRDefault="000B079C" w:rsidP="000B079C">
      <w:pPr>
        <w:spacing w:line="360" w:lineRule="auto"/>
      </w:pPr>
    </w:p>
    <w:p w14:paraId="1B88C108" w14:textId="77777777" w:rsidR="000B079C" w:rsidRDefault="000B079C" w:rsidP="000B079C">
      <w:pPr>
        <w:spacing w:line="360" w:lineRule="auto"/>
      </w:pPr>
    </w:p>
    <w:p w14:paraId="68621A75" w14:textId="659374B6" w:rsidR="000B079C" w:rsidRDefault="000B079C" w:rsidP="000B079C">
      <w:pPr>
        <w:spacing w:line="360" w:lineRule="auto"/>
      </w:pPr>
      <w:r>
        <w:t xml:space="preserve">         Silva, E., Till, A., &amp; </w:t>
      </w:r>
      <w:proofErr w:type="spellStart"/>
      <w:r>
        <w:t>Adshead</w:t>
      </w:r>
      <w:proofErr w:type="spellEnd"/>
      <w:r>
        <w:t>, G. (2017). Ethical dilemmas in psychiatry: when teams disagree. BJPsych Advances, 23(4), 231-239.</w:t>
      </w:r>
    </w:p>
    <w:p w14:paraId="169DF072" w14:textId="77777777" w:rsidR="000B079C" w:rsidRDefault="000B079C" w:rsidP="000B079C">
      <w:pPr>
        <w:spacing w:line="360" w:lineRule="auto"/>
      </w:pPr>
    </w:p>
    <w:p w14:paraId="441DF525" w14:textId="77777777" w:rsidR="000B079C" w:rsidRDefault="000B079C" w:rsidP="000B079C">
      <w:pPr>
        <w:spacing w:line="360" w:lineRule="auto"/>
      </w:pPr>
    </w:p>
    <w:p w14:paraId="4C525AF7" w14:textId="07E6B2F6" w:rsidR="000B079C" w:rsidRDefault="000B079C" w:rsidP="000B079C">
      <w:pPr>
        <w:spacing w:line="360" w:lineRule="auto"/>
      </w:pPr>
    </w:p>
    <w:p w14:paraId="0E789D5C" w14:textId="169B4612" w:rsidR="000B079C" w:rsidRDefault="0058421D" w:rsidP="000B079C">
      <w:pPr>
        <w:spacing w:line="360" w:lineRule="auto"/>
      </w:pPr>
      <w:r>
        <w:t xml:space="preserve">       </w:t>
      </w:r>
      <w:r w:rsidR="000B079C">
        <w:t xml:space="preserve">Wheat, K., </w:t>
      </w:r>
      <w:proofErr w:type="spellStart"/>
      <w:r w:rsidR="000B079C">
        <w:t>Brohan</w:t>
      </w:r>
      <w:proofErr w:type="spellEnd"/>
      <w:r w:rsidR="000B079C">
        <w:t xml:space="preserve">, E., Henderson, C., &amp; </w:t>
      </w:r>
      <w:proofErr w:type="spellStart"/>
      <w:r w:rsidR="000B079C">
        <w:t>Thornicroft</w:t>
      </w:r>
      <w:proofErr w:type="spellEnd"/>
      <w:r w:rsidR="000B079C">
        <w:t>, G. (2010). Mental illness and the workplace: conceal or reveal?. Journal of the royal society of medicine, 103(3), 83-86.</w:t>
      </w:r>
    </w:p>
    <w:p w14:paraId="44398DEA" w14:textId="77777777" w:rsidR="000B079C" w:rsidRDefault="000B079C" w:rsidP="000B079C">
      <w:pPr>
        <w:spacing w:line="360" w:lineRule="auto"/>
      </w:pPr>
    </w:p>
    <w:p w14:paraId="6F062C63" w14:textId="77777777" w:rsidR="000B079C" w:rsidRDefault="000B079C" w:rsidP="000B079C">
      <w:pPr>
        <w:spacing w:line="360" w:lineRule="auto"/>
      </w:pPr>
    </w:p>
    <w:p w14:paraId="5AE1BEC2" w14:textId="77777777" w:rsidR="000B079C" w:rsidRDefault="000B079C" w:rsidP="000B079C">
      <w:pPr>
        <w:spacing w:line="360" w:lineRule="auto"/>
      </w:pPr>
    </w:p>
    <w:p w14:paraId="21600ECA" w14:textId="77777777" w:rsidR="000B079C" w:rsidRDefault="000B079C" w:rsidP="000B079C">
      <w:pPr>
        <w:spacing w:line="360" w:lineRule="auto"/>
      </w:pPr>
    </w:p>
    <w:p w14:paraId="7D242DF3" w14:textId="77777777" w:rsidR="000B079C" w:rsidRDefault="000B079C" w:rsidP="000B079C">
      <w:pPr>
        <w:spacing w:line="360" w:lineRule="auto"/>
      </w:pPr>
    </w:p>
    <w:p w14:paraId="7003C9EC" w14:textId="77777777" w:rsidR="000B079C" w:rsidRDefault="000B079C" w:rsidP="000B079C">
      <w:pPr>
        <w:spacing w:line="360" w:lineRule="auto"/>
      </w:pPr>
    </w:p>
    <w:p w14:paraId="2BEA9363" w14:textId="77777777" w:rsidR="000B079C" w:rsidRDefault="000B079C" w:rsidP="0011678E">
      <w:pPr>
        <w:spacing w:line="360" w:lineRule="auto"/>
      </w:pPr>
    </w:p>
    <w:sectPr w:rsidR="000B07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Browallia New">
    <w:panose1 w:val="020B06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A7D"/>
    <w:rsid w:val="000B079C"/>
    <w:rsid w:val="0011678E"/>
    <w:rsid w:val="00285B77"/>
    <w:rsid w:val="0058421D"/>
    <w:rsid w:val="0088292C"/>
    <w:rsid w:val="00AA74BA"/>
    <w:rsid w:val="00CB0A7D"/>
    <w:rsid w:val="00F82908"/>
    <w:rsid w:val="00FE6E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D3AEF4F"/>
  <w15:chartTrackingRefBased/>
  <w15:docId w15:val="{2FBBF31A-91AC-7B49-8346-7BB405EB6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2514</Words>
  <Characters>14330</Characters>
  <Application>Microsoft Office Word</Application>
  <DocSecurity>0</DocSecurity>
  <Lines>119</Lines>
  <Paragraphs>33</Paragraphs>
  <ScaleCrop>false</ScaleCrop>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9</cp:revision>
  <dcterms:created xsi:type="dcterms:W3CDTF">2022-05-03T18:13:00Z</dcterms:created>
  <dcterms:modified xsi:type="dcterms:W3CDTF">2022-05-05T20:40:00Z</dcterms:modified>
</cp:coreProperties>
</file>