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25FA4" w14:textId="77777777" w:rsidR="00357D4F" w:rsidRPr="00467C9A" w:rsidRDefault="00357D4F" w:rsidP="00467C9A">
      <w:pPr>
        <w:spacing w:before="100" w:beforeAutospacing="1" w:after="100" w:afterAutospacing="1"/>
        <w:rPr>
          <w:rFonts w:ascii="Arial" w:eastAsia="Times New Roman" w:hAnsi="Arial" w:cs="Arial"/>
          <w:kern w:val="0"/>
          <w:lang w:eastAsia="en-GB"/>
          <w14:ligatures w14:val="none"/>
        </w:rPr>
      </w:pPr>
      <w:r w:rsidRPr="00467C9A">
        <w:rPr>
          <w:rFonts w:ascii="Arial" w:eastAsia="Times New Roman" w:hAnsi="Arial" w:cs="Arial"/>
          <w:b/>
          <w:bCs/>
          <w:kern w:val="0"/>
          <w:lang w:eastAsia="en-GB"/>
          <w14:ligatures w14:val="none"/>
        </w:rPr>
        <w:t>Student:</w:t>
      </w:r>
      <w:r w:rsidRPr="00467C9A">
        <w:rPr>
          <w:rFonts w:ascii="Arial" w:eastAsia="Times New Roman" w:hAnsi="Arial" w:cs="Arial"/>
          <w:kern w:val="0"/>
          <w:lang w:eastAsia="en-GB"/>
          <w14:ligatures w14:val="none"/>
        </w:rPr>
        <w:t xml:space="preserve"> Katrina Wiggetts</w:t>
      </w:r>
      <w:r w:rsidRPr="00467C9A">
        <w:rPr>
          <w:rFonts w:ascii="Arial" w:eastAsia="Times New Roman" w:hAnsi="Arial" w:cs="Arial"/>
          <w:kern w:val="0"/>
          <w:lang w:eastAsia="en-GB"/>
          <w14:ligatures w14:val="none"/>
        </w:rPr>
        <w:br/>
      </w:r>
      <w:r w:rsidRPr="00467C9A">
        <w:rPr>
          <w:rFonts w:ascii="Arial" w:eastAsia="Times New Roman" w:hAnsi="Arial" w:cs="Arial"/>
          <w:b/>
          <w:bCs/>
          <w:kern w:val="0"/>
          <w:lang w:eastAsia="en-GB"/>
          <w14:ligatures w14:val="none"/>
        </w:rPr>
        <w:t>Student Number:</w:t>
      </w:r>
      <w:r w:rsidRPr="00467C9A">
        <w:rPr>
          <w:rFonts w:ascii="Arial" w:eastAsia="Times New Roman" w:hAnsi="Arial" w:cs="Arial"/>
          <w:kern w:val="0"/>
          <w:lang w:eastAsia="en-GB"/>
          <w14:ligatures w14:val="none"/>
        </w:rPr>
        <w:t xml:space="preserve"> 220245</w:t>
      </w:r>
      <w:r w:rsidRPr="00467C9A">
        <w:rPr>
          <w:rFonts w:ascii="Arial" w:eastAsia="Times New Roman" w:hAnsi="Arial" w:cs="Arial"/>
          <w:kern w:val="0"/>
          <w:lang w:eastAsia="en-GB"/>
          <w14:ligatures w14:val="none"/>
        </w:rPr>
        <w:br/>
      </w:r>
      <w:r w:rsidRPr="00467C9A">
        <w:rPr>
          <w:rFonts w:ascii="Arial" w:eastAsia="Times New Roman" w:hAnsi="Arial" w:cs="Arial"/>
          <w:b/>
          <w:bCs/>
          <w:kern w:val="0"/>
          <w:lang w:eastAsia="en-GB"/>
          <w14:ligatures w14:val="none"/>
        </w:rPr>
        <w:t>Module:</w:t>
      </w:r>
      <w:r w:rsidRPr="00467C9A">
        <w:rPr>
          <w:rFonts w:ascii="Arial" w:eastAsia="Times New Roman" w:hAnsi="Arial" w:cs="Arial"/>
          <w:kern w:val="0"/>
          <w:lang w:eastAsia="en-GB"/>
          <w14:ligatures w14:val="none"/>
        </w:rPr>
        <w:t xml:space="preserve"> LCLM5003 – Project Management</w:t>
      </w:r>
      <w:r w:rsidRPr="00467C9A">
        <w:rPr>
          <w:rFonts w:ascii="Arial" w:eastAsia="Times New Roman" w:hAnsi="Arial" w:cs="Arial"/>
          <w:kern w:val="0"/>
          <w:lang w:eastAsia="en-GB"/>
          <w14:ligatures w14:val="none"/>
        </w:rPr>
        <w:br/>
      </w:r>
      <w:r w:rsidRPr="00467C9A">
        <w:rPr>
          <w:rFonts w:ascii="Arial" w:eastAsia="Times New Roman" w:hAnsi="Arial" w:cs="Arial"/>
          <w:b/>
          <w:bCs/>
          <w:kern w:val="0"/>
          <w:lang w:eastAsia="en-GB"/>
          <w14:ligatures w14:val="none"/>
        </w:rPr>
        <w:t>Lecturer:</w:t>
      </w:r>
      <w:r w:rsidRPr="00467C9A">
        <w:rPr>
          <w:rFonts w:ascii="Arial" w:eastAsia="Times New Roman" w:hAnsi="Arial" w:cs="Arial"/>
          <w:kern w:val="0"/>
          <w:lang w:eastAsia="en-GB"/>
          <w14:ligatures w14:val="none"/>
        </w:rPr>
        <w:t xml:space="preserve"> Dr Kareem Sani</w:t>
      </w:r>
    </w:p>
    <w:p w14:paraId="4EAE77F2" w14:textId="7B1BC5E1" w:rsidR="00494426" w:rsidRPr="0079321B" w:rsidRDefault="00494426" w:rsidP="00494426">
      <w:pPr>
        <w:spacing w:before="100" w:beforeAutospacing="1" w:after="100" w:afterAutospacing="1"/>
        <w:rPr>
          <w:rFonts w:ascii="Arial" w:eastAsia="Times New Roman" w:hAnsi="Arial" w:cs="Arial"/>
          <w:b/>
          <w:bCs/>
          <w:kern w:val="0"/>
          <w:u w:val="single"/>
          <w:lang w:eastAsia="en-GB"/>
          <w14:ligatures w14:val="none"/>
        </w:rPr>
      </w:pPr>
      <w:r w:rsidRPr="0079321B">
        <w:rPr>
          <w:rFonts w:ascii="Arial" w:eastAsia="Times New Roman" w:hAnsi="Arial" w:cs="Arial"/>
          <w:b/>
          <w:bCs/>
          <w:kern w:val="0"/>
          <w:u w:val="single"/>
          <w:lang w:eastAsia="en-GB"/>
          <w14:ligatures w14:val="none"/>
        </w:rPr>
        <w:t>Contents</w:t>
      </w:r>
      <w:r w:rsidR="0079321B">
        <w:rPr>
          <w:rFonts w:ascii="Arial" w:eastAsia="Times New Roman" w:hAnsi="Arial" w:cs="Arial"/>
          <w:b/>
          <w:bCs/>
          <w:kern w:val="0"/>
          <w:u w:val="single"/>
          <w:lang w:eastAsia="en-GB"/>
          <w14:ligatures w14:val="none"/>
        </w:rPr>
        <w:t>:</w:t>
      </w:r>
    </w:p>
    <w:p w14:paraId="163C6678" w14:textId="77777777" w:rsidR="00494426" w:rsidRPr="00494426" w:rsidRDefault="00494426" w:rsidP="00494426">
      <w:pPr>
        <w:spacing w:before="100" w:beforeAutospacing="1" w:after="100" w:afterAutospacing="1"/>
        <w:rPr>
          <w:rFonts w:ascii="Arial" w:eastAsia="Times New Roman" w:hAnsi="Arial" w:cs="Arial"/>
          <w:kern w:val="0"/>
          <w:lang w:eastAsia="en-GB"/>
          <w14:ligatures w14:val="none"/>
        </w:rPr>
      </w:pPr>
      <w:r w:rsidRPr="00494426">
        <w:rPr>
          <w:rFonts w:ascii="Arial" w:eastAsia="Times New Roman" w:hAnsi="Arial" w:cs="Arial"/>
          <w:b/>
          <w:bCs/>
          <w:kern w:val="0"/>
          <w:lang w:eastAsia="en-GB"/>
          <w14:ligatures w14:val="none"/>
        </w:rPr>
        <w:t>Part A – A456 Principal Highway Flood Recovery Project Poster</w:t>
      </w:r>
    </w:p>
    <w:p w14:paraId="2633BE1F" w14:textId="77777777" w:rsidR="00494426" w:rsidRPr="00494426" w:rsidRDefault="00494426" w:rsidP="00494426">
      <w:pPr>
        <w:spacing w:before="100" w:beforeAutospacing="1" w:after="100" w:afterAutospacing="1"/>
        <w:rPr>
          <w:rFonts w:ascii="Arial" w:eastAsia="Times New Roman" w:hAnsi="Arial" w:cs="Arial"/>
          <w:kern w:val="0"/>
          <w:lang w:eastAsia="en-GB"/>
          <w14:ligatures w14:val="none"/>
        </w:rPr>
      </w:pPr>
      <w:r w:rsidRPr="00494426">
        <w:rPr>
          <w:rFonts w:ascii="Arial" w:eastAsia="Times New Roman" w:hAnsi="Arial" w:cs="Arial"/>
          <w:b/>
          <w:bCs/>
          <w:kern w:val="0"/>
          <w:lang w:eastAsia="en-GB"/>
          <w14:ligatures w14:val="none"/>
        </w:rPr>
        <w:t>Part B – Reflection on the Project Proposal Poster</w:t>
      </w:r>
    </w:p>
    <w:p w14:paraId="2A116B67" w14:textId="77777777" w:rsidR="00494426" w:rsidRPr="00494426" w:rsidRDefault="00494426" w:rsidP="00494426">
      <w:pPr>
        <w:spacing w:before="100" w:beforeAutospacing="1" w:after="100" w:afterAutospacing="1"/>
        <w:rPr>
          <w:rFonts w:ascii="Arial" w:eastAsia="Times New Roman" w:hAnsi="Arial" w:cs="Arial"/>
          <w:kern w:val="0"/>
          <w:lang w:eastAsia="en-GB"/>
          <w14:ligatures w14:val="none"/>
        </w:rPr>
      </w:pPr>
      <w:r w:rsidRPr="00494426">
        <w:rPr>
          <w:rFonts w:ascii="Arial" w:eastAsia="Times New Roman" w:hAnsi="Arial" w:cs="Arial"/>
          <w:b/>
          <w:bCs/>
          <w:kern w:val="0"/>
          <w:lang w:eastAsia="en-GB"/>
          <w14:ligatures w14:val="none"/>
        </w:rPr>
        <w:t>Part C – Project Management Plan: A456 Principal Highway Flood Recovery Project</w:t>
      </w:r>
    </w:p>
    <w:p w14:paraId="79521479"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Introduction</w:t>
      </w:r>
    </w:p>
    <w:p w14:paraId="5CE85FCA" w14:textId="77777777" w:rsidR="00494426" w:rsidRPr="00494426" w:rsidRDefault="00494426" w:rsidP="00494426">
      <w:pPr>
        <w:numPr>
          <w:ilvl w:val="0"/>
          <w:numId w:val="16"/>
        </w:numPr>
        <w:spacing w:before="100" w:beforeAutospacing="1" w:after="100" w:afterAutospacing="1"/>
        <w:rPr>
          <w:rFonts w:ascii="Arial" w:eastAsia="Times New Roman" w:hAnsi="Arial" w:cs="Arial"/>
          <w:kern w:val="0"/>
          <w:lang w:eastAsia="en-GB"/>
          <w14:ligatures w14:val="none"/>
        </w:rPr>
      </w:pPr>
      <w:r w:rsidRPr="00F571F8">
        <w:rPr>
          <w:rFonts w:ascii="Arial" w:eastAsia="Times New Roman" w:hAnsi="Arial" w:cs="Arial"/>
          <w:kern w:val="0"/>
          <w:u w:val="single"/>
          <w:lang w:eastAsia="en-GB"/>
          <w14:ligatures w14:val="none"/>
        </w:rPr>
        <w:t>Project Description</w:t>
      </w:r>
      <w:r w:rsidRPr="00494426">
        <w:rPr>
          <w:rFonts w:ascii="Arial" w:eastAsia="Times New Roman" w:hAnsi="Arial" w:cs="Arial"/>
          <w:kern w:val="0"/>
          <w:lang w:eastAsia="en-GB"/>
          <w14:ligatures w14:val="none"/>
        </w:rPr>
        <w:br/>
      </w:r>
      <w:r w:rsidRPr="00494426">
        <w:rPr>
          <w:rFonts w:ascii="Arial" w:eastAsia="Times New Roman" w:hAnsi="Arial" w:cs="Arial"/>
          <w:color w:val="EE0000"/>
          <w:kern w:val="0"/>
          <w:lang w:eastAsia="en-GB"/>
          <w14:ligatures w14:val="none"/>
        </w:rPr>
        <w:t>2.1 Project Aim and Objectives</w:t>
      </w:r>
      <w:r w:rsidRPr="00494426">
        <w:rPr>
          <w:rFonts w:ascii="Arial" w:eastAsia="Times New Roman" w:hAnsi="Arial" w:cs="Arial"/>
          <w:color w:val="EE0000"/>
          <w:kern w:val="0"/>
          <w:lang w:eastAsia="en-GB"/>
          <w14:ligatures w14:val="none"/>
        </w:rPr>
        <w:br/>
        <w:t>2.2 Business Justification</w:t>
      </w:r>
      <w:r w:rsidRPr="00494426">
        <w:rPr>
          <w:rFonts w:ascii="Arial" w:eastAsia="Times New Roman" w:hAnsi="Arial" w:cs="Arial"/>
          <w:color w:val="EE0000"/>
          <w:kern w:val="0"/>
          <w:lang w:eastAsia="en-GB"/>
          <w14:ligatures w14:val="none"/>
        </w:rPr>
        <w:br/>
        <w:t>2.3 Deliverables</w:t>
      </w:r>
      <w:r w:rsidRPr="00494426">
        <w:rPr>
          <w:rFonts w:ascii="Arial" w:eastAsia="Times New Roman" w:hAnsi="Arial" w:cs="Arial"/>
          <w:color w:val="EE0000"/>
          <w:kern w:val="0"/>
          <w:lang w:eastAsia="en-GB"/>
          <w14:ligatures w14:val="none"/>
        </w:rPr>
        <w:br/>
        <w:t>2.4 Success Criteria</w:t>
      </w:r>
    </w:p>
    <w:p w14:paraId="59AFAFB5" w14:textId="77777777" w:rsidR="00494426" w:rsidRPr="00494426" w:rsidRDefault="00494426" w:rsidP="00494426">
      <w:pPr>
        <w:numPr>
          <w:ilvl w:val="0"/>
          <w:numId w:val="16"/>
        </w:numPr>
        <w:spacing w:before="100" w:beforeAutospacing="1" w:after="100" w:afterAutospacing="1"/>
        <w:rPr>
          <w:rFonts w:ascii="Arial" w:eastAsia="Times New Roman" w:hAnsi="Arial" w:cs="Arial"/>
          <w:kern w:val="0"/>
          <w:lang w:eastAsia="en-GB"/>
          <w14:ligatures w14:val="none"/>
        </w:rPr>
      </w:pPr>
      <w:r w:rsidRPr="00F571F8">
        <w:rPr>
          <w:rFonts w:ascii="Arial" w:eastAsia="Times New Roman" w:hAnsi="Arial" w:cs="Arial"/>
          <w:kern w:val="0"/>
          <w:u w:val="single"/>
          <w:lang w:eastAsia="en-GB"/>
          <w14:ligatures w14:val="none"/>
        </w:rPr>
        <w:t>Project Scope</w:t>
      </w:r>
      <w:r w:rsidRPr="00494426">
        <w:rPr>
          <w:rFonts w:ascii="Arial" w:eastAsia="Times New Roman" w:hAnsi="Arial" w:cs="Arial"/>
          <w:kern w:val="0"/>
          <w:lang w:eastAsia="en-GB"/>
          <w14:ligatures w14:val="none"/>
        </w:rPr>
        <w:br/>
      </w:r>
      <w:r w:rsidRPr="00494426">
        <w:rPr>
          <w:rFonts w:ascii="Arial" w:eastAsia="Times New Roman" w:hAnsi="Arial" w:cs="Arial"/>
          <w:color w:val="EE0000"/>
          <w:kern w:val="0"/>
          <w:lang w:eastAsia="en-GB"/>
          <w14:ligatures w14:val="none"/>
        </w:rPr>
        <w:t>3.1 Scope Statement</w:t>
      </w:r>
      <w:r w:rsidRPr="00494426">
        <w:rPr>
          <w:rFonts w:ascii="Arial" w:eastAsia="Times New Roman" w:hAnsi="Arial" w:cs="Arial"/>
          <w:color w:val="EE0000"/>
          <w:kern w:val="0"/>
          <w:lang w:eastAsia="en-GB"/>
          <w14:ligatures w14:val="none"/>
        </w:rPr>
        <w:br/>
        <w:t>3.2 In Scope</w:t>
      </w:r>
      <w:r w:rsidRPr="00494426">
        <w:rPr>
          <w:rFonts w:ascii="Arial" w:eastAsia="Times New Roman" w:hAnsi="Arial" w:cs="Arial"/>
          <w:color w:val="EE0000"/>
          <w:kern w:val="0"/>
          <w:lang w:eastAsia="en-GB"/>
          <w14:ligatures w14:val="none"/>
        </w:rPr>
        <w:br/>
        <w:t>3.3 Out of Scope</w:t>
      </w:r>
      <w:r w:rsidRPr="00494426">
        <w:rPr>
          <w:rFonts w:ascii="Arial" w:eastAsia="Times New Roman" w:hAnsi="Arial" w:cs="Arial"/>
          <w:color w:val="EE0000"/>
          <w:kern w:val="0"/>
          <w:lang w:eastAsia="en-GB"/>
          <w14:ligatures w14:val="none"/>
        </w:rPr>
        <w:br/>
        <w:t>3.4 Assumptions and Constraints</w:t>
      </w:r>
    </w:p>
    <w:p w14:paraId="43F49F1A"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Work Breakdown Structure</w:t>
      </w:r>
    </w:p>
    <w:p w14:paraId="1A8874F3"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Project Schedule</w:t>
      </w:r>
    </w:p>
    <w:p w14:paraId="7FFB5335"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Resource Allocation</w:t>
      </w:r>
    </w:p>
    <w:p w14:paraId="67B41CA6"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Risk Management</w:t>
      </w:r>
    </w:p>
    <w:p w14:paraId="03BC0B03"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Stakeholder Involvement</w:t>
      </w:r>
    </w:p>
    <w:p w14:paraId="5FFF2B7C"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Project Governance and Control</w:t>
      </w:r>
    </w:p>
    <w:p w14:paraId="5B341321"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Conclusion</w:t>
      </w:r>
    </w:p>
    <w:p w14:paraId="788ED0D0" w14:textId="77777777" w:rsidR="00494426" w:rsidRPr="00F571F8" w:rsidRDefault="00494426" w:rsidP="00494426">
      <w:pPr>
        <w:numPr>
          <w:ilvl w:val="0"/>
          <w:numId w:val="16"/>
        </w:numPr>
        <w:spacing w:before="100" w:beforeAutospacing="1" w:after="100" w:afterAutospacing="1"/>
        <w:rPr>
          <w:rFonts w:ascii="Arial" w:eastAsia="Times New Roman" w:hAnsi="Arial" w:cs="Arial"/>
          <w:kern w:val="0"/>
          <w:u w:val="single"/>
          <w:lang w:eastAsia="en-GB"/>
          <w14:ligatures w14:val="none"/>
        </w:rPr>
      </w:pPr>
      <w:r w:rsidRPr="00F571F8">
        <w:rPr>
          <w:rFonts w:ascii="Arial" w:eastAsia="Times New Roman" w:hAnsi="Arial" w:cs="Arial"/>
          <w:kern w:val="0"/>
          <w:u w:val="single"/>
          <w:lang w:eastAsia="en-GB"/>
          <w14:ligatures w14:val="none"/>
        </w:rPr>
        <w:t>References</w:t>
      </w:r>
    </w:p>
    <w:p w14:paraId="42B6EB06" w14:textId="3A415CB8" w:rsidR="006364CC" w:rsidRPr="00494426" w:rsidRDefault="003A044E" w:rsidP="00494426">
      <w:pPr>
        <w:spacing w:before="100" w:beforeAutospacing="1" w:after="100" w:afterAutospacing="1"/>
        <w:jc w:val="center"/>
        <w:rPr>
          <w:rFonts w:ascii="Arial" w:eastAsia="Times New Roman" w:hAnsi="Arial" w:cs="Arial"/>
          <w:kern w:val="0"/>
          <w:lang w:eastAsia="en-GB"/>
          <w14:ligatures w14:val="none"/>
        </w:rPr>
      </w:pPr>
      <w:r w:rsidRPr="00494426">
        <w:rPr>
          <w:rFonts w:ascii="Arial" w:hAnsi="Arial" w:cs="Arial"/>
          <w:b/>
          <w:bCs/>
          <w:color w:val="000000"/>
        </w:rPr>
        <w:br/>
      </w:r>
      <w:r w:rsidRPr="00494426">
        <w:rPr>
          <w:rFonts w:ascii="Arial" w:hAnsi="Arial" w:cs="Arial"/>
          <w:b/>
          <w:bCs/>
          <w:color w:val="000000"/>
          <w:sz w:val="32"/>
          <w:szCs w:val="32"/>
          <w:u w:val="single"/>
        </w:rPr>
        <w:t>Project Management Plan</w:t>
      </w:r>
    </w:p>
    <w:p w14:paraId="3977F70E" w14:textId="7E6317AC" w:rsidR="003A044E" w:rsidRPr="006364CC" w:rsidRDefault="003A044E" w:rsidP="006364CC">
      <w:pPr>
        <w:spacing w:before="100" w:beforeAutospacing="1" w:after="100" w:afterAutospacing="1"/>
        <w:jc w:val="center"/>
        <w:rPr>
          <w:rFonts w:ascii="Arial" w:hAnsi="Arial" w:cs="Arial"/>
          <w:b/>
          <w:bCs/>
          <w:color w:val="000000"/>
          <w:u w:val="single"/>
        </w:rPr>
      </w:pPr>
      <w:r w:rsidRPr="00891873">
        <w:rPr>
          <w:rFonts w:ascii="Arial" w:hAnsi="Arial" w:cs="Arial"/>
          <w:b/>
          <w:bCs/>
          <w:color w:val="000000"/>
        </w:rPr>
        <w:br/>
      </w:r>
      <w:r w:rsidRPr="00891873">
        <w:rPr>
          <w:rFonts w:ascii="Arial" w:hAnsi="Arial" w:cs="Arial"/>
          <w:b/>
          <w:bCs/>
          <w:color w:val="000000"/>
          <w:u w:val="single"/>
        </w:rPr>
        <w:t>A456 Principal Highway Flood Recovery Project</w:t>
      </w:r>
      <w:r w:rsidR="006A41AF" w:rsidRPr="00891873">
        <w:rPr>
          <w:rFonts w:ascii="Arial" w:hAnsi="Arial" w:cs="Arial"/>
          <w:b/>
          <w:bCs/>
          <w:color w:val="000000"/>
          <w:u w:val="single"/>
        </w:rPr>
        <w:t xml:space="preserve"> Poster</w:t>
      </w:r>
    </w:p>
    <w:p w14:paraId="6FC6E641" w14:textId="70E9F1F6" w:rsidR="00643DDA" w:rsidRDefault="003A044E" w:rsidP="00643DDA">
      <w:pPr>
        <w:pStyle w:val="NormalWeb"/>
        <w:shd w:val="clear" w:color="auto" w:fill="FFFFFF"/>
        <w:spacing w:before="0" w:beforeAutospacing="0" w:after="0" w:afterAutospacing="0" w:line="360" w:lineRule="auto"/>
        <w:jc w:val="center"/>
        <w:rPr>
          <w:rFonts w:ascii="Arial" w:hAnsi="Arial" w:cs="Arial"/>
          <w:color w:val="000000"/>
          <w:sz w:val="22"/>
          <w:szCs w:val="22"/>
        </w:rPr>
      </w:pPr>
      <w:r w:rsidRPr="00891873">
        <w:rPr>
          <w:rFonts w:ascii="Arial" w:hAnsi="Arial" w:cs="Arial"/>
          <w:noProof/>
          <w:color w:val="000000"/>
          <w:sz w:val="22"/>
          <w:szCs w:val="22"/>
        </w:rPr>
        <w:drawing>
          <wp:inline distT="0" distB="0" distL="0" distR="0" wp14:anchorId="70658BA5" wp14:editId="76E85D57">
            <wp:extent cx="8145145" cy="4322445"/>
            <wp:effectExtent l="0" t="0" r="8255" b="1905"/>
            <wp:docPr id="2843040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45145" cy="4322445"/>
                    </a:xfrm>
                    <a:prstGeom prst="rect">
                      <a:avLst/>
                    </a:prstGeom>
                    <a:noFill/>
                  </pic:spPr>
                </pic:pic>
              </a:graphicData>
            </a:graphic>
          </wp:inline>
        </w:drawing>
      </w:r>
    </w:p>
    <w:p w14:paraId="26C3B8B3" w14:textId="77777777" w:rsidR="00643DDA" w:rsidRPr="00745312" w:rsidRDefault="00643DDA" w:rsidP="00643DDA">
      <w:pPr>
        <w:pStyle w:val="NormalWeb"/>
        <w:shd w:val="clear" w:color="auto" w:fill="FFFFFF"/>
        <w:tabs>
          <w:tab w:val="left" w:pos="205"/>
        </w:tabs>
        <w:spacing w:before="0" w:beforeAutospacing="0" w:after="0" w:afterAutospacing="0"/>
        <w:rPr>
          <w:rFonts w:ascii="Arial" w:hAnsi="Arial" w:cs="Arial"/>
          <w:color w:val="000000"/>
          <w:sz w:val="22"/>
          <w:szCs w:val="22"/>
        </w:rPr>
      </w:pPr>
    </w:p>
    <w:p w14:paraId="2E2A8E40" w14:textId="794D5506" w:rsidR="00643DDA" w:rsidRPr="00745312" w:rsidRDefault="00643DDA" w:rsidP="00643DDA">
      <w:pPr>
        <w:pStyle w:val="NormalWeb"/>
        <w:shd w:val="clear" w:color="auto" w:fill="FFFFFF"/>
        <w:tabs>
          <w:tab w:val="left" w:pos="205"/>
        </w:tabs>
        <w:spacing w:before="0" w:beforeAutospacing="0" w:after="0" w:afterAutospacing="0"/>
        <w:rPr>
          <w:rFonts w:ascii="Arial" w:hAnsi="Arial" w:cs="Arial"/>
          <w:b/>
          <w:bCs/>
          <w:color w:val="000000"/>
          <w:sz w:val="22"/>
          <w:szCs w:val="22"/>
          <w:u w:val="single"/>
        </w:rPr>
      </w:pPr>
      <w:r w:rsidRPr="00745312">
        <w:rPr>
          <w:rFonts w:ascii="Arial" w:hAnsi="Arial" w:cs="Arial"/>
          <w:b/>
          <w:bCs/>
          <w:color w:val="000000"/>
          <w:sz w:val="22"/>
          <w:szCs w:val="22"/>
          <w:u w:val="single"/>
        </w:rPr>
        <w:t>Part B – Reflection on the Project Proposal Poster</w:t>
      </w:r>
    </w:p>
    <w:p w14:paraId="6163B2A9" w14:textId="77777777" w:rsidR="00643DDA" w:rsidRDefault="00643DDA" w:rsidP="00643DDA">
      <w:pPr>
        <w:pStyle w:val="NormalWeb"/>
        <w:shd w:val="clear" w:color="auto" w:fill="FFFFFF"/>
        <w:tabs>
          <w:tab w:val="left" w:pos="205"/>
        </w:tabs>
        <w:spacing w:before="0" w:beforeAutospacing="0" w:after="0" w:afterAutospacing="0"/>
        <w:rPr>
          <w:rFonts w:ascii="Arial" w:hAnsi="Arial" w:cs="Arial"/>
          <w:b/>
          <w:bCs/>
          <w:color w:val="000000"/>
          <w:u w:val="single"/>
        </w:rPr>
      </w:pPr>
    </w:p>
    <w:p w14:paraId="116EBFD1" w14:textId="77777777" w:rsidR="00643DDA" w:rsidRPr="00670C6B" w:rsidRDefault="00643DDA" w:rsidP="00643DDA">
      <w:pPr>
        <w:pStyle w:val="NormalWeb"/>
        <w:shd w:val="clear" w:color="auto" w:fill="FFFFFF"/>
        <w:tabs>
          <w:tab w:val="left" w:pos="205"/>
        </w:tabs>
        <w:spacing w:before="0" w:beforeAutospacing="0" w:after="0" w:afterAutospacing="0"/>
        <w:rPr>
          <w:rFonts w:ascii="Arial" w:hAnsi="Arial" w:cs="Arial"/>
          <w:b/>
          <w:bCs/>
          <w:color w:val="000000"/>
          <w:sz w:val="22"/>
          <w:szCs w:val="22"/>
          <w:u w:val="single"/>
        </w:rPr>
      </w:pPr>
      <w:r w:rsidRPr="00670C6B">
        <w:rPr>
          <w:rFonts w:ascii="Arial" w:hAnsi="Arial" w:cs="Arial"/>
          <w:b/>
          <w:bCs/>
          <w:color w:val="000000"/>
          <w:sz w:val="22"/>
          <w:szCs w:val="22"/>
          <w:u w:val="single"/>
        </w:rPr>
        <w:t>Reflection</w:t>
      </w:r>
    </w:p>
    <w:p w14:paraId="343BCFEA" w14:textId="63C783DC" w:rsidR="00A25C8B" w:rsidRDefault="006A41AF" w:rsidP="00891873">
      <w:pPr>
        <w:spacing w:before="100" w:beforeAutospacing="1" w:after="100" w:afterAutospacing="1"/>
        <w:rPr>
          <w:rFonts w:ascii="Arial" w:eastAsia="Times New Roman" w:hAnsi="Arial" w:cs="Arial"/>
          <w:kern w:val="0"/>
          <w:lang w:eastAsia="en-GB"/>
          <w14:ligatures w14:val="none"/>
        </w:rPr>
      </w:pPr>
      <w:r w:rsidRPr="00891873">
        <w:rPr>
          <w:rFonts w:ascii="Arial" w:eastAsia="Times New Roman" w:hAnsi="Arial" w:cs="Arial"/>
          <w:kern w:val="0"/>
          <w:lang w:eastAsia="en-GB"/>
          <w14:ligatures w14:val="none"/>
        </w:rPr>
        <w:t>The assessment brief requires reflection on feedback received from the project proposal poster. As I did not attend the original poster presentation, I did not receive tutor or peer feedback. Therefore, this reflection is based on my own critical evaluation of the poster against the assessment requirements, module learning outcomes and project management theory.</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The original poster had several strengths. It selected a relevant project scenario involving the reopening of the A456 following severe flooding and identified the importance of restoring transport infrastructure for local communities and economic recovery. The project objective was clear and provided an appropriate foundation for developing the final Project Management Plan.</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 xml:space="preserve">However, my self-evaluation identified several weaknesses. The poster presented an overview of the project but did not provide enough detail about how recognised project management techniques would be applied. </w:t>
      </w:r>
      <w:r w:rsidR="002D2EC2" w:rsidRPr="00891873">
        <w:rPr>
          <w:rFonts w:ascii="Arial" w:eastAsia="Times New Roman" w:hAnsi="Arial" w:cs="Arial"/>
          <w:kern w:val="0"/>
          <w:lang w:eastAsia="en-GB"/>
          <w14:ligatures w14:val="none"/>
        </w:rPr>
        <w:t>Stakeholder</w:t>
      </w:r>
      <w:r w:rsidRPr="00891873">
        <w:rPr>
          <w:rFonts w:ascii="Arial" w:eastAsia="Times New Roman" w:hAnsi="Arial" w:cs="Arial"/>
          <w:kern w:val="0"/>
          <w:lang w:eastAsia="en-GB"/>
          <w14:ligatures w14:val="none"/>
        </w:rPr>
        <w:t xml:space="preserve"> responsibilities, risk management, resource planning and project governance required further development. Some information was descriptive rather than analytical and therefore did not fully demonstrate the application of project management theory expected at Level 5.</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As a result, the final plan was developed to provide greater depth and structure. The project scope was expanded to identify deliverables, assumptions, constraints and exclusions. A detailed Work Breakdown Structure was developed to divide the project into manageable work packages. This also provided a foundation for developing the project schedule and allocating responsibilities.</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The risk-management section was strengthened by identifying specific risks, including adverse weather, supply-chain disruption, budget overruns, health and safety incidents, utility delays and environmental non-compliance. Mitigation strategies were then considered for each risk. Stakeholder analysis was also developed using a Power–Interest approach, allowing different communication requirements to be identified.</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The project plan was further improved by incorporating academic literature and recognised project management principles. This helped me move beyond simply describing the project and towards explaining why particular management approaches were appropriate. The inclusion of governance, change control, resource allocation and quality assurance also made the final plan more practical and structured.</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Although direct tutor and peer feedback was unavailable, completing this self-evaluation was useful because it allowed me to identify weaknesses independently and make improvements before completing the final submission. The process demonstrated the importance of reviewing project work critically rather than assuming that an initial proposal is sufficient.</w:t>
      </w:r>
      <w:r w:rsidR="002D2EC2">
        <w:rPr>
          <w:rFonts w:ascii="Arial" w:eastAsia="Times New Roman" w:hAnsi="Arial" w:cs="Arial"/>
          <w:kern w:val="0"/>
          <w:lang w:eastAsia="en-GB"/>
          <w14:ligatures w14:val="none"/>
        </w:rPr>
        <w:t xml:space="preserve"> </w:t>
      </w:r>
      <w:r w:rsidRPr="00891873">
        <w:rPr>
          <w:rFonts w:ascii="Arial" w:eastAsia="Times New Roman" w:hAnsi="Arial" w:cs="Arial"/>
          <w:kern w:val="0"/>
          <w:lang w:eastAsia="en-GB"/>
          <w14:ligatures w14:val="none"/>
        </w:rPr>
        <w:t>Overall, the reflection has helped me recognise that effective project management requires continuous evaluation, clear planning and the ability to identify and respond to weaknesses. The revised Project Management Plan is therefore more detailed, structured and critically informed than the original poster and provides a stronger demonstration of Level 5 project management knowledge and application.</w:t>
      </w:r>
    </w:p>
    <w:p w14:paraId="0E692343"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Part C: Project Management Plan</w:t>
      </w:r>
    </w:p>
    <w:p w14:paraId="727A8572"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A456 Principal Highway Flood Recovery Project</w:t>
      </w:r>
    </w:p>
    <w:p w14:paraId="78CDD5FB"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1.Introduction</w:t>
      </w:r>
    </w:p>
    <w:p w14:paraId="0B96E750"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In July 2025, severe flooding affected several towns across the West Midlands following prolonged periods of intense rainfall. River Severn exceeded its capacity and breached flood defences, causing significant damage to roads, homes, businesses and public infrastructure. The resulting disruption created difficulties for emergency services, residents and businesses, particularly where damaged roads prevented access to essential services and affected the movement of people and goods. This Project Management Plan focuses on the recovery and reopening of the A456 principal highway. The A456 is treated within the project scenario as an important transport corridor connecting affected communities. Its closure would increase journey times, disrupt local businesses and restrict access for emergency and public services. Therefore, restoring the highway is an important part of the wider recovery process. The project will not simply seek to repair the highway to its previous condition. It will incorporate improved drainage and flood-resilience measures so that the infrastructure is better prepared for future flooding. This reflects the principle of building infrastructure back in a more resilient condition following a disaster (UNDRR, 2015). The plan applies recognised project management techniques to control scope, time, cost, quality, resources, risks and stakeholder expectations. These include a Work Breakdown Structure (WBS), project schedule, resource allocation, stakeholder analysis and risk-management approach. PMI (2021) identifies planning, stakeholder engagement, risk management and monitoring as important elements of effective project delivery. The overall aim is therefore to reopen the A456 safely within 24 weeks while improving its resilience, minimising disruption to affected communities and supporting wider economic and social recovery.</w:t>
      </w:r>
    </w:p>
    <w:p w14:paraId="3734958B"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2. Project Description</w:t>
      </w:r>
    </w:p>
    <w:p w14:paraId="7759D926"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2.1 Project Aim and Objectives</w:t>
      </w:r>
    </w:p>
    <w:p w14:paraId="4CEC76F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primary aim is to restore the A456 to full operational capacity within six months while improving its resilience to future flooding.</w:t>
      </w:r>
    </w:p>
    <w:p w14:paraId="269D0527"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The project objectives are to:</w:t>
      </w:r>
    </w:p>
    <w:p w14:paraId="70DB62B6"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Complete structural and engineering assessments within the first two weeks.</w:t>
      </w:r>
    </w:p>
    <w:p w14:paraId="2B66CD24"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Remove flood debris and hazardous materials within four weeks.</w:t>
      </w:r>
    </w:p>
    <w:p w14:paraId="21D89CA5"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Complete highway, drainage and structural reconstruction within 20 weeks.</w:t>
      </w:r>
    </w:p>
    <w:p w14:paraId="0DFE331F"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Install improved drainage and Sustainable Drainage Systems (SuDS).</w:t>
      </w:r>
    </w:p>
    <w:p w14:paraId="6BFBE32F"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Complete safety inspections and reopen the highway within 24 weeks.</w:t>
      </w:r>
    </w:p>
    <w:p w14:paraId="39476162"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Deliver the approved scope within the agreed budget.</w:t>
      </w:r>
    </w:p>
    <w:p w14:paraId="026FC83E"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Maintain appropriate health, safety and environmental standards.</w:t>
      </w:r>
    </w:p>
    <w:p w14:paraId="1561AB9F" w14:textId="77777777" w:rsidR="00643DDA" w:rsidRPr="00643DDA" w:rsidRDefault="00643DDA" w:rsidP="00643DDA">
      <w:pPr>
        <w:numPr>
          <w:ilvl w:val="0"/>
          <w:numId w:val="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Minimise disruption to residents, businesses and emergency services.</w:t>
      </w:r>
    </w:p>
    <w:p w14:paraId="5F01B5F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These objectives follow the SMART approach because they provide measurable targets against which project performance can be assessed (Doran, 1981).</w:t>
      </w:r>
    </w:p>
    <w:p w14:paraId="5FAEFFAD"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2.2 Business Justification</w:t>
      </w:r>
    </w:p>
    <w:p w14:paraId="5793711A"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A456 is important to regional connectivity because road infrastructure supports employment, commercial activity, emergency response and access to public services. Continued closure would increase congestion on alternative routes and create additional costs for residents and businesses. The project therefore has both immediate and longer-term benefits. In the short term, reopening the highway will restore transport access and support emergency and economic activity. In the longer term, improved drainage and flood resilience should reduce the likelihood and consequences of future disruption. The OECD (2021) highlights the importance of investing in resilient infrastructure to improve the ability of communities to adapt to climate-related risks.</w:t>
      </w:r>
    </w:p>
    <w:p w14:paraId="4E66E9CE"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2.3 Deliverables</w:t>
      </w:r>
    </w:p>
    <w:p w14:paraId="5D246B3C"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The principal deliverables are:</w:t>
      </w:r>
    </w:p>
    <w:p w14:paraId="5932D01C"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Engineering and structural assessment reports.</w:t>
      </w:r>
    </w:p>
    <w:p w14:paraId="0D66B0EB"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Removal of flood debris and damaged materials.</w:t>
      </w:r>
    </w:p>
    <w:p w14:paraId="379DECAE"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Reconstructed highway pavement and foundations.</w:t>
      </w:r>
    </w:p>
    <w:p w14:paraId="408DA9B9"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Repaired bridges, culverts and retaining structures where required.</w:t>
      </w:r>
    </w:p>
    <w:p w14:paraId="15B5083C"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Improved drainage and SuDS.</w:t>
      </w:r>
    </w:p>
    <w:p w14:paraId="5D099A18"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Reinstated utility services.</w:t>
      </w:r>
    </w:p>
    <w:p w14:paraId="546982AE"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New road markings, signs and safety barriers.</w:t>
      </w:r>
    </w:p>
    <w:p w14:paraId="6EC71FA1"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restoration where required.</w:t>
      </w:r>
    </w:p>
    <w:p w14:paraId="68155C32"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Final engineering and safety certification.</w:t>
      </w:r>
    </w:p>
    <w:p w14:paraId="167EDBFC" w14:textId="77777777" w:rsidR="00643DDA" w:rsidRPr="00643DDA" w:rsidRDefault="00643DDA" w:rsidP="00643DDA">
      <w:pPr>
        <w:numPr>
          <w:ilvl w:val="0"/>
          <w:numId w:val="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Formal reopening and handover of the A456.</w:t>
      </w:r>
    </w:p>
    <w:p w14:paraId="1BCA02A7"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2.4 Success Criteria</w:t>
      </w:r>
    </w:p>
    <w:p w14:paraId="2FD48BAC"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Project success will be assessed against scope, time, cost and quality, while also considering stakeholder satisfaction. Atkinson (1999) argues that project success should not be assessed solely through the traditional cost, time and quality measures. The project will therefore be considered successful if the highway is reopened within 24 weeks, remains within its approved budget, satisfies engineering and safety requirements, and delivers the planned resilience improvements. Stakeholder satisfaction and successful handover to the relevant highway authority will also contribute to the overall assessment of project success.</w:t>
      </w:r>
    </w:p>
    <w:p w14:paraId="07FF1882"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3. Project Scope</w:t>
      </w:r>
    </w:p>
    <w:p w14:paraId="605BF097"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3.1 Scope Statement</w:t>
      </w:r>
    </w:p>
    <w:p w14:paraId="4229C7FE"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project scope covers the restoration and reopening of the A456 following flood damage described within the assessment scenario. The work includes investigation, debris clearance, highway reconstruction, structural repairs, drainage improvements, utility reinstatement, safety works and final commissioning.  Clearly defining scope is important because it establishes project boundaries and reduces the possibility of uncontrolled changes. Effective scope management also provides a basis for controlling project resources, costs and deliverables throughout the project lifecycle (PMI, 2021; APM, 2019)</w:t>
      </w:r>
    </w:p>
    <w:p w14:paraId="57EA2DC5"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3.2 In Scope</w:t>
      </w:r>
    </w:p>
    <w:p w14:paraId="4DEAB7E1"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The project includes:</w:t>
      </w:r>
    </w:p>
    <w:p w14:paraId="409D205C"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Project planning and governance.</w:t>
      </w:r>
    </w:p>
    <w:p w14:paraId="66EF394B"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Engineering and site surveys.</w:t>
      </w:r>
    </w:p>
    <w:p w14:paraId="0275E437"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Structural and environmental assessments.</w:t>
      </w:r>
    </w:p>
    <w:p w14:paraId="7FC0D004"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Procurement of contractors and materials.</w:t>
      </w:r>
    </w:p>
    <w:p w14:paraId="22F938F2"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Traffic management and diversion planning.</w:t>
      </w:r>
    </w:p>
    <w:p w14:paraId="4E0A6053"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Debris removal.</w:t>
      </w:r>
    </w:p>
    <w:p w14:paraId="7F1E23C5"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Highway reconstruction.</w:t>
      </w:r>
    </w:p>
    <w:p w14:paraId="424F31AE"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Drainage and SuDS improvements.</w:t>
      </w:r>
    </w:p>
    <w:p w14:paraId="7331B673"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Bridge, culvert and retaining-wall repairs.</w:t>
      </w:r>
    </w:p>
    <w:p w14:paraId="55315C9A"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Utility reinstatement.</w:t>
      </w:r>
    </w:p>
    <w:p w14:paraId="61BA5F7A"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Health and safety management.</w:t>
      </w:r>
    </w:p>
    <w:p w14:paraId="45EDBBDD"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protection.</w:t>
      </w:r>
    </w:p>
    <w:p w14:paraId="4C4CE061"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Quality assurance and inspections.</w:t>
      </w:r>
    </w:p>
    <w:p w14:paraId="3C48D3F0"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Stakeholder communication.</w:t>
      </w:r>
    </w:p>
    <w:p w14:paraId="50F76AD7" w14:textId="77777777" w:rsidR="00643DDA" w:rsidRPr="00643DDA" w:rsidRDefault="00643DDA" w:rsidP="00643DDA">
      <w:pPr>
        <w:numPr>
          <w:ilvl w:val="0"/>
          <w:numId w:val="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Handover and project closure.</w:t>
      </w:r>
    </w:p>
    <w:p w14:paraId="3ECA8CFA"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3.3 Out of Scope</w:t>
      </w:r>
    </w:p>
    <w:p w14:paraId="7B8F289C"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The following are excluded:</w:t>
      </w:r>
    </w:p>
    <w:p w14:paraId="3E15E80D"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Repair of private homes and commercial buildings.</w:t>
      </w:r>
    </w:p>
    <w:p w14:paraId="69740C78"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Individual flood compensation or insurance claims.</w:t>
      </w:r>
    </w:p>
    <w:p w14:paraId="240F37F4"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Railway reconstruction.</w:t>
      </w:r>
    </w:p>
    <w:p w14:paraId="76E255BE"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Permanent flood-defence schemes for the wider River Severn catchment.</w:t>
      </w:r>
    </w:p>
    <w:p w14:paraId="64004C83"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Wider regional economic recovery programmes.</w:t>
      </w:r>
    </w:p>
    <w:p w14:paraId="7A842C68"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Immediate emergency response activities.</w:t>
      </w:r>
    </w:p>
    <w:p w14:paraId="3BA8846C" w14:textId="77777777" w:rsidR="00643DDA" w:rsidRPr="00643DDA" w:rsidRDefault="00643DDA" w:rsidP="00643DDA">
      <w:pPr>
        <w:numPr>
          <w:ilvl w:val="0"/>
          <w:numId w:val="4"/>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Maintenance of roads outside the defined A456 project boundary.</w:t>
      </w:r>
    </w:p>
    <w:p w14:paraId="4AECF9C7"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Establishing these exclusions is important because uncontrolled additional work could result in scope creep, increased costs and delays (Kerzner, 2022).</w:t>
      </w:r>
    </w:p>
    <w:p w14:paraId="00371945"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3.4 Assumptions and Constraints</w:t>
      </w:r>
    </w:p>
    <w:p w14:paraId="5CD1149A"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project assumes that funding will be approved, suitable contractors and materials will be available, required approvals will be obtained and utility providers will cooperate with the project. Key constraints include the fixed budget, the 24-week completion target, environmental requirements, health and safety legislation, availability of skilled labour and the need to minimise disruption to the community. Any proposed change to the approved scope will therefore require formal assessment of its effect on cost, time, quality and risk before approval by the Project Board.</w:t>
      </w:r>
    </w:p>
    <w:p w14:paraId="5C103C0D"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4. Work Breakdown Structure</w:t>
      </w:r>
    </w:p>
    <w:p w14:paraId="75DC9A5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 Work Breakdown Structure divides the project into smaller and more manageable work packages. PMI (2021) identifies the WBS as an important foundation for scheduling, budgeting, resource allocation and monitoring. The WBS also provides a structured basis for developing the project schedule, estimating resources and assigning responsibility for individual work packages (Winch, 2010).</w:t>
      </w:r>
    </w:p>
    <w:p w14:paraId="2B1A9AE2"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A456 Project WBS</w:t>
      </w:r>
    </w:p>
    <w:p w14:paraId="36B49377"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Project Initiation</w:t>
      </w:r>
    </w:p>
    <w:p w14:paraId="4889FB05" w14:textId="77777777" w:rsidR="00643DDA" w:rsidRPr="00643DDA" w:rsidRDefault="00643DDA" w:rsidP="00643DDA">
      <w:pPr>
        <w:numPr>
          <w:ilvl w:val="0"/>
          <w:numId w:val="5"/>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Develop business case</w:t>
      </w:r>
    </w:p>
    <w:p w14:paraId="706FD0E5" w14:textId="77777777" w:rsidR="00643DDA" w:rsidRPr="00643DDA" w:rsidRDefault="00643DDA" w:rsidP="00643DDA">
      <w:pPr>
        <w:numPr>
          <w:ilvl w:val="0"/>
          <w:numId w:val="5"/>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Obtain project approval</w:t>
      </w:r>
    </w:p>
    <w:p w14:paraId="0CADD87B" w14:textId="77777777" w:rsidR="00643DDA" w:rsidRPr="00643DDA" w:rsidRDefault="00643DDA" w:rsidP="00643DDA">
      <w:pPr>
        <w:numPr>
          <w:ilvl w:val="0"/>
          <w:numId w:val="5"/>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Appoint Project Manager</w:t>
      </w:r>
    </w:p>
    <w:p w14:paraId="0456A0C2" w14:textId="77777777" w:rsidR="00643DDA" w:rsidRPr="00643DDA" w:rsidRDefault="00643DDA" w:rsidP="00643DDA">
      <w:pPr>
        <w:numPr>
          <w:ilvl w:val="0"/>
          <w:numId w:val="5"/>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Establish governance</w:t>
      </w:r>
    </w:p>
    <w:p w14:paraId="0A61DD30" w14:textId="77777777" w:rsidR="00643DDA" w:rsidRPr="00643DDA" w:rsidRDefault="00643DDA" w:rsidP="00643DDA">
      <w:pPr>
        <w:numPr>
          <w:ilvl w:val="0"/>
          <w:numId w:val="5"/>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Identify stakeholders</w:t>
      </w:r>
    </w:p>
    <w:p w14:paraId="676F4271"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Project Planning</w:t>
      </w:r>
    </w:p>
    <w:p w14:paraId="3254D83F"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Site surveys</w:t>
      </w:r>
    </w:p>
    <w:p w14:paraId="7BF8B1A4"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Structural assessments</w:t>
      </w:r>
    </w:p>
    <w:p w14:paraId="0EC3C8BB"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assessment</w:t>
      </w:r>
    </w:p>
    <w:p w14:paraId="07F873FF"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Risk assessment</w:t>
      </w:r>
    </w:p>
    <w:p w14:paraId="6186AABE"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Schedule development</w:t>
      </w:r>
    </w:p>
    <w:p w14:paraId="06512234"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Budget planning</w:t>
      </w:r>
    </w:p>
    <w:p w14:paraId="7199DCEF" w14:textId="77777777" w:rsidR="00643DDA" w:rsidRPr="00643DDA" w:rsidRDefault="00643DDA" w:rsidP="00643DDA">
      <w:pPr>
        <w:numPr>
          <w:ilvl w:val="0"/>
          <w:numId w:val="6"/>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Procurement planning</w:t>
      </w:r>
    </w:p>
    <w:p w14:paraId="36BDB7EF"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Site Preparation</w:t>
      </w:r>
    </w:p>
    <w:p w14:paraId="27461016" w14:textId="77777777" w:rsidR="00643DDA" w:rsidRPr="00643DDA" w:rsidRDefault="00643DDA" w:rsidP="00643DDA">
      <w:pPr>
        <w:numPr>
          <w:ilvl w:val="0"/>
          <w:numId w:val="7"/>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Traffic diversions</w:t>
      </w:r>
    </w:p>
    <w:p w14:paraId="45E3E1AD" w14:textId="77777777" w:rsidR="00643DDA" w:rsidRPr="00643DDA" w:rsidRDefault="00643DDA" w:rsidP="00643DDA">
      <w:pPr>
        <w:numPr>
          <w:ilvl w:val="0"/>
          <w:numId w:val="7"/>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Health and safety setup</w:t>
      </w:r>
    </w:p>
    <w:p w14:paraId="525580D7" w14:textId="77777777" w:rsidR="00643DDA" w:rsidRPr="00643DDA" w:rsidRDefault="00643DDA" w:rsidP="00643DDA">
      <w:pPr>
        <w:numPr>
          <w:ilvl w:val="0"/>
          <w:numId w:val="7"/>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Site compound</w:t>
      </w:r>
    </w:p>
    <w:p w14:paraId="353C8D86" w14:textId="77777777" w:rsidR="00643DDA" w:rsidRPr="00643DDA" w:rsidRDefault="00643DDA" w:rsidP="00643DDA">
      <w:pPr>
        <w:numPr>
          <w:ilvl w:val="0"/>
          <w:numId w:val="7"/>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Utility identification</w:t>
      </w:r>
    </w:p>
    <w:p w14:paraId="6F0E2A37" w14:textId="77777777" w:rsidR="00643DDA" w:rsidRPr="00643DDA" w:rsidRDefault="00643DDA" w:rsidP="00643DDA">
      <w:pPr>
        <w:numPr>
          <w:ilvl w:val="0"/>
          <w:numId w:val="7"/>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Debris removal</w:t>
      </w:r>
    </w:p>
    <w:p w14:paraId="0D766656"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Highway Reconstruction</w:t>
      </w:r>
    </w:p>
    <w:p w14:paraId="1240A984"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Excavation</w:t>
      </w:r>
    </w:p>
    <w:p w14:paraId="55B3F03D"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Foundation repairs</w:t>
      </w:r>
    </w:p>
    <w:p w14:paraId="73143258"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Road-base construction</w:t>
      </w:r>
    </w:p>
    <w:p w14:paraId="68DC402B"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Asphalt surfacing</w:t>
      </w:r>
    </w:p>
    <w:p w14:paraId="6496A888"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Kerb installation</w:t>
      </w:r>
    </w:p>
    <w:p w14:paraId="02CC4D5D"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Drainage improvements</w:t>
      </w:r>
    </w:p>
    <w:p w14:paraId="72C0A819" w14:textId="77777777" w:rsidR="00643DDA" w:rsidRPr="00643DDA" w:rsidRDefault="00643DDA" w:rsidP="00643DDA">
      <w:pPr>
        <w:numPr>
          <w:ilvl w:val="0"/>
          <w:numId w:val="8"/>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SuDS installation</w:t>
      </w:r>
    </w:p>
    <w:p w14:paraId="63FDB394"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Structural Repairs</w:t>
      </w:r>
    </w:p>
    <w:p w14:paraId="16DF2649" w14:textId="77777777" w:rsidR="00643DDA" w:rsidRPr="00643DDA" w:rsidRDefault="00643DDA" w:rsidP="00643DDA">
      <w:pPr>
        <w:numPr>
          <w:ilvl w:val="0"/>
          <w:numId w:val="9"/>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Bridge inspection</w:t>
      </w:r>
    </w:p>
    <w:p w14:paraId="09CC791E" w14:textId="77777777" w:rsidR="00643DDA" w:rsidRPr="00643DDA" w:rsidRDefault="00643DDA" w:rsidP="00643DDA">
      <w:pPr>
        <w:numPr>
          <w:ilvl w:val="0"/>
          <w:numId w:val="9"/>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Bridge repairs</w:t>
      </w:r>
    </w:p>
    <w:p w14:paraId="044F2907" w14:textId="77777777" w:rsidR="00643DDA" w:rsidRPr="00643DDA" w:rsidRDefault="00643DDA" w:rsidP="00643DDA">
      <w:pPr>
        <w:numPr>
          <w:ilvl w:val="0"/>
          <w:numId w:val="9"/>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Culvert repairs</w:t>
      </w:r>
    </w:p>
    <w:p w14:paraId="6BE59CB3" w14:textId="77777777" w:rsidR="00643DDA" w:rsidRPr="00643DDA" w:rsidRDefault="00643DDA" w:rsidP="00643DDA">
      <w:pPr>
        <w:numPr>
          <w:ilvl w:val="0"/>
          <w:numId w:val="9"/>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Retaining-wall repairs</w:t>
      </w:r>
    </w:p>
    <w:p w14:paraId="62B970D7" w14:textId="77777777" w:rsidR="00643DDA" w:rsidRPr="00643DDA" w:rsidRDefault="00643DDA" w:rsidP="00643DDA">
      <w:pPr>
        <w:numPr>
          <w:ilvl w:val="0"/>
          <w:numId w:val="9"/>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Safety barriers</w:t>
      </w:r>
    </w:p>
    <w:p w14:paraId="7F2AE502"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Utilities and Highway Equipment</w:t>
      </w:r>
    </w:p>
    <w:p w14:paraId="2BA07610" w14:textId="77777777" w:rsidR="00643DDA" w:rsidRPr="00643DDA" w:rsidRDefault="00643DDA" w:rsidP="00643DDA">
      <w:pPr>
        <w:numPr>
          <w:ilvl w:val="0"/>
          <w:numId w:val="10"/>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Electrical infrastructure</w:t>
      </w:r>
    </w:p>
    <w:p w14:paraId="45DE12DD" w14:textId="77777777" w:rsidR="00643DDA" w:rsidRPr="00643DDA" w:rsidRDefault="00643DDA" w:rsidP="00643DDA">
      <w:pPr>
        <w:numPr>
          <w:ilvl w:val="0"/>
          <w:numId w:val="10"/>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Street lighting</w:t>
      </w:r>
    </w:p>
    <w:p w14:paraId="738673F6" w14:textId="77777777" w:rsidR="00643DDA" w:rsidRPr="00643DDA" w:rsidRDefault="00643DDA" w:rsidP="00643DDA">
      <w:pPr>
        <w:numPr>
          <w:ilvl w:val="0"/>
          <w:numId w:val="10"/>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Telecommunications</w:t>
      </w:r>
    </w:p>
    <w:p w14:paraId="081B8FBE" w14:textId="77777777" w:rsidR="00643DDA" w:rsidRPr="00643DDA" w:rsidRDefault="00643DDA" w:rsidP="00643DDA">
      <w:pPr>
        <w:numPr>
          <w:ilvl w:val="0"/>
          <w:numId w:val="10"/>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Road signs</w:t>
      </w:r>
    </w:p>
    <w:p w14:paraId="24662ABE" w14:textId="77777777" w:rsidR="00643DDA" w:rsidRPr="00643DDA" w:rsidRDefault="00643DDA" w:rsidP="00643DDA">
      <w:pPr>
        <w:numPr>
          <w:ilvl w:val="0"/>
          <w:numId w:val="10"/>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Road markings</w:t>
      </w:r>
    </w:p>
    <w:p w14:paraId="7E826FC5"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Quality Assurance</w:t>
      </w:r>
    </w:p>
    <w:p w14:paraId="6D06D3F9" w14:textId="77777777" w:rsidR="00643DDA" w:rsidRPr="00643DDA" w:rsidRDefault="00643DDA" w:rsidP="00643DDA">
      <w:pPr>
        <w:numPr>
          <w:ilvl w:val="0"/>
          <w:numId w:val="1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Material testing</w:t>
      </w:r>
    </w:p>
    <w:p w14:paraId="39FED797" w14:textId="77777777" w:rsidR="00643DDA" w:rsidRPr="00643DDA" w:rsidRDefault="00643DDA" w:rsidP="00643DDA">
      <w:pPr>
        <w:numPr>
          <w:ilvl w:val="0"/>
          <w:numId w:val="1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Engineering inspections</w:t>
      </w:r>
    </w:p>
    <w:p w14:paraId="00A1977F" w14:textId="77777777" w:rsidR="00643DDA" w:rsidRPr="00643DDA" w:rsidRDefault="00643DDA" w:rsidP="00643DDA">
      <w:pPr>
        <w:numPr>
          <w:ilvl w:val="0"/>
          <w:numId w:val="1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Safety audits</w:t>
      </w:r>
    </w:p>
    <w:p w14:paraId="523D9C3B" w14:textId="77777777" w:rsidR="00643DDA" w:rsidRPr="00643DDA" w:rsidRDefault="00643DDA" w:rsidP="00643DDA">
      <w:pPr>
        <w:numPr>
          <w:ilvl w:val="0"/>
          <w:numId w:val="1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compliance</w:t>
      </w:r>
    </w:p>
    <w:p w14:paraId="209F6D03" w14:textId="77777777" w:rsidR="00643DDA" w:rsidRPr="00643DDA" w:rsidRDefault="00643DDA" w:rsidP="00643DDA">
      <w:pPr>
        <w:numPr>
          <w:ilvl w:val="0"/>
          <w:numId w:val="11"/>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Client acceptance</w:t>
      </w:r>
    </w:p>
    <w:p w14:paraId="1F25C869" w14:textId="77777777" w:rsidR="00643DDA" w:rsidRPr="00643DDA" w:rsidRDefault="00643DDA" w:rsidP="00643DDA">
      <w:pPr>
        <w:numPr>
          <w:ilvl w:val="0"/>
          <w:numId w:val="14"/>
        </w:num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Project Closure</w:t>
      </w:r>
    </w:p>
    <w:p w14:paraId="07862017" w14:textId="77777777" w:rsidR="00643DDA" w:rsidRPr="00643DDA" w:rsidRDefault="00643DDA" w:rsidP="00643DDA">
      <w:pPr>
        <w:numPr>
          <w:ilvl w:val="0"/>
          <w:numId w:val="1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Final documentation</w:t>
      </w:r>
    </w:p>
    <w:p w14:paraId="3F89D1D2" w14:textId="77777777" w:rsidR="00643DDA" w:rsidRPr="00643DDA" w:rsidRDefault="00643DDA" w:rsidP="00643DDA">
      <w:pPr>
        <w:numPr>
          <w:ilvl w:val="0"/>
          <w:numId w:val="1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Handover</w:t>
      </w:r>
    </w:p>
    <w:p w14:paraId="2543395C" w14:textId="77777777" w:rsidR="00643DDA" w:rsidRPr="00643DDA" w:rsidRDefault="00643DDA" w:rsidP="00643DDA">
      <w:pPr>
        <w:numPr>
          <w:ilvl w:val="0"/>
          <w:numId w:val="1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Highway reopening</w:t>
      </w:r>
    </w:p>
    <w:p w14:paraId="1EFC509F" w14:textId="77777777" w:rsidR="00643DDA" w:rsidRPr="00643DDA" w:rsidRDefault="00643DDA" w:rsidP="00643DDA">
      <w:pPr>
        <w:numPr>
          <w:ilvl w:val="0"/>
          <w:numId w:val="1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Lessons learned</w:t>
      </w:r>
    </w:p>
    <w:p w14:paraId="50ADA134" w14:textId="77777777" w:rsidR="00643DDA" w:rsidRPr="00643DDA" w:rsidRDefault="00643DDA" w:rsidP="00643DDA">
      <w:pPr>
        <w:numPr>
          <w:ilvl w:val="0"/>
          <w:numId w:val="12"/>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Closure report</w:t>
      </w:r>
    </w:p>
    <w:p w14:paraId="300E1FA2"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WBS provides accountability by linking work packages to responsible teams. It also creates the foundation for the project schedule and resource plan, helping the Project Manager monitor whether individual activities are progressing according to the agreed baseline.</w:t>
      </w:r>
    </w:p>
    <w:p w14:paraId="28E0583A"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b/>
          <w:bCs/>
          <w:kern w:val="0"/>
          <w:u w:val="single"/>
          <w:lang w:eastAsia="en-GB"/>
          <w14:ligatures w14:val="none"/>
        </w:rPr>
        <w:t>5. Project Schedule</w:t>
      </w:r>
    </w:p>
    <w:p w14:paraId="41A582C2"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project will operate over a 24-week programme.</w:t>
      </w:r>
    </w:p>
    <w:tbl>
      <w:tblPr>
        <w:tblW w:w="12830" w:type="dxa"/>
        <w:tblCellSpacing w:w="15" w:type="dxa"/>
        <w:tblCellMar>
          <w:top w:w="15" w:type="dxa"/>
          <w:left w:w="15" w:type="dxa"/>
          <w:bottom w:w="15" w:type="dxa"/>
          <w:right w:w="15" w:type="dxa"/>
        </w:tblCellMar>
        <w:tblLook w:val="04A0" w:firstRow="1" w:lastRow="0" w:firstColumn="1" w:lastColumn="0" w:noHBand="0" w:noVBand="1"/>
      </w:tblPr>
      <w:tblGrid>
        <w:gridCol w:w="1283"/>
        <w:gridCol w:w="8369"/>
        <w:gridCol w:w="3178"/>
      </w:tblGrid>
      <w:tr w:rsidR="00643DDA" w:rsidRPr="00643DDA" w14:paraId="6C7E3F54" w14:textId="77777777" w:rsidTr="007F76BF">
        <w:trPr>
          <w:trHeight w:val="385"/>
          <w:tblHeader/>
          <w:tblCellSpacing w:w="15" w:type="dxa"/>
        </w:trPr>
        <w:tc>
          <w:tcPr>
            <w:tcW w:w="0" w:type="auto"/>
            <w:vAlign w:val="center"/>
            <w:hideMark/>
          </w:tcPr>
          <w:p w14:paraId="05963694" w14:textId="77777777" w:rsidR="00643DDA" w:rsidRPr="00643DDA" w:rsidRDefault="00643DDA" w:rsidP="0085185F">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WBS</w:t>
            </w:r>
          </w:p>
        </w:tc>
        <w:tc>
          <w:tcPr>
            <w:tcW w:w="0" w:type="auto"/>
            <w:vAlign w:val="center"/>
            <w:hideMark/>
          </w:tcPr>
          <w:p w14:paraId="6EB88708" w14:textId="77777777" w:rsidR="00643DDA" w:rsidRPr="00643DDA" w:rsidRDefault="00643DDA" w:rsidP="0085185F">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Activity</w:t>
            </w:r>
          </w:p>
        </w:tc>
        <w:tc>
          <w:tcPr>
            <w:tcW w:w="0" w:type="auto"/>
            <w:vAlign w:val="center"/>
            <w:hideMark/>
          </w:tcPr>
          <w:p w14:paraId="382131BF" w14:textId="77777777" w:rsidR="00643DDA" w:rsidRPr="00643DDA" w:rsidRDefault="00643DDA" w:rsidP="0085185F">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Timing</w:t>
            </w:r>
          </w:p>
        </w:tc>
      </w:tr>
      <w:tr w:rsidR="00643DDA" w:rsidRPr="00643DDA" w14:paraId="50AC67E2" w14:textId="77777777" w:rsidTr="007F76BF">
        <w:trPr>
          <w:trHeight w:val="392"/>
          <w:tblCellSpacing w:w="15" w:type="dxa"/>
        </w:trPr>
        <w:tc>
          <w:tcPr>
            <w:tcW w:w="0" w:type="auto"/>
            <w:vAlign w:val="center"/>
            <w:hideMark/>
          </w:tcPr>
          <w:p w14:paraId="42507CA4"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1</w:t>
            </w:r>
          </w:p>
        </w:tc>
        <w:tc>
          <w:tcPr>
            <w:tcW w:w="0" w:type="auto"/>
            <w:vAlign w:val="center"/>
            <w:hideMark/>
          </w:tcPr>
          <w:p w14:paraId="24CA74A0"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Project initiation and governance</w:t>
            </w:r>
          </w:p>
        </w:tc>
        <w:tc>
          <w:tcPr>
            <w:tcW w:w="0" w:type="auto"/>
            <w:vAlign w:val="center"/>
            <w:hideMark/>
          </w:tcPr>
          <w:p w14:paraId="05E8D7D3"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1–2</w:t>
            </w:r>
          </w:p>
        </w:tc>
      </w:tr>
      <w:tr w:rsidR="00643DDA" w:rsidRPr="00643DDA" w14:paraId="59A6D546" w14:textId="77777777" w:rsidTr="007F76BF">
        <w:trPr>
          <w:trHeight w:val="385"/>
          <w:tblCellSpacing w:w="15" w:type="dxa"/>
        </w:trPr>
        <w:tc>
          <w:tcPr>
            <w:tcW w:w="0" w:type="auto"/>
            <w:vAlign w:val="center"/>
            <w:hideMark/>
          </w:tcPr>
          <w:p w14:paraId="011A25B8"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2</w:t>
            </w:r>
          </w:p>
        </w:tc>
        <w:tc>
          <w:tcPr>
            <w:tcW w:w="0" w:type="auto"/>
            <w:vAlign w:val="center"/>
            <w:hideMark/>
          </w:tcPr>
          <w:p w14:paraId="6325A470"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Planning, surveys and assessments</w:t>
            </w:r>
          </w:p>
        </w:tc>
        <w:tc>
          <w:tcPr>
            <w:tcW w:w="0" w:type="auto"/>
            <w:vAlign w:val="center"/>
            <w:hideMark/>
          </w:tcPr>
          <w:p w14:paraId="3622370E"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1–4</w:t>
            </w:r>
          </w:p>
        </w:tc>
      </w:tr>
      <w:tr w:rsidR="00643DDA" w:rsidRPr="00643DDA" w14:paraId="62C21FC9" w14:textId="77777777" w:rsidTr="007F76BF">
        <w:trPr>
          <w:trHeight w:val="385"/>
          <w:tblCellSpacing w:w="15" w:type="dxa"/>
        </w:trPr>
        <w:tc>
          <w:tcPr>
            <w:tcW w:w="0" w:type="auto"/>
            <w:vAlign w:val="center"/>
            <w:hideMark/>
          </w:tcPr>
          <w:p w14:paraId="7050B951"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3</w:t>
            </w:r>
          </w:p>
        </w:tc>
        <w:tc>
          <w:tcPr>
            <w:tcW w:w="0" w:type="auto"/>
            <w:vAlign w:val="center"/>
            <w:hideMark/>
          </w:tcPr>
          <w:p w14:paraId="63E23EED"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Site preparation and debris removal</w:t>
            </w:r>
          </w:p>
        </w:tc>
        <w:tc>
          <w:tcPr>
            <w:tcW w:w="0" w:type="auto"/>
            <w:vAlign w:val="center"/>
            <w:hideMark/>
          </w:tcPr>
          <w:p w14:paraId="7994F684"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3–6</w:t>
            </w:r>
          </w:p>
        </w:tc>
      </w:tr>
      <w:tr w:rsidR="00643DDA" w:rsidRPr="00643DDA" w14:paraId="4A60AB65" w14:textId="77777777" w:rsidTr="007F76BF">
        <w:trPr>
          <w:trHeight w:val="385"/>
          <w:tblCellSpacing w:w="15" w:type="dxa"/>
        </w:trPr>
        <w:tc>
          <w:tcPr>
            <w:tcW w:w="0" w:type="auto"/>
            <w:vAlign w:val="center"/>
            <w:hideMark/>
          </w:tcPr>
          <w:p w14:paraId="4C4A4958"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4</w:t>
            </w:r>
          </w:p>
        </w:tc>
        <w:tc>
          <w:tcPr>
            <w:tcW w:w="0" w:type="auto"/>
            <w:vAlign w:val="center"/>
            <w:hideMark/>
          </w:tcPr>
          <w:p w14:paraId="58ECA150"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Highway reconstruction and drainage</w:t>
            </w:r>
          </w:p>
        </w:tc>
        <w:tc>
          <w:tcPr>
            <w:tcW w:w="0" w:type="auto"/>
            <w:vAlign w:val="center"/>
            <w:hideMark/>
          </w:tcPr>
          <w:p w14:paraId="08F56CEE"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5–20</w:t>
            </w:r>
          </w:p>
        </w:tc>
      </w:tr>
      <w:tr w:rsidR="00643DDA" w:rsidRPr="00643DDA" w14:paraId="758B506D" w14:textId="77777777" w:rsidTr="007F76BF">
        <w:trPr>
          <w:trHeight w:val="385"/>
          <w:tblCellSpacing w:w="15" w:type="dxa"/>
        </w:trPr>
        <w:tc>
          <w:tcPr>
            <w:tcW w:w="0" w:type="auto"/>
            <w:vAlign w:val="center"/>
            <w:hideMark/>
          </w:tcPr>
          <w:p w14:paraId="799C1FB9"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5</w:t>
            </w:r>
          </w:p>
        </w:tc>
        <w:tc>
          <w:tcPr>
            <w:tcW w:w="0" w:type="auto"/>
            <w:vAlign w:val="center"/>
            <w:hideMark/>
          </w:tcPr>
          <w:p w14:paraId="7579FAD5"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Structural repairs</w:t>
            </w:r>
          </w:p>
        </w:tc>
        <w:tc>
          <w:tcPr>
            <w:tcW w:w="0" w:type="auto"/>
            <w:vAlign w:val="center"/>
            <w:hideMark/>
          </w:tcPr>
          <w:p w14:paraId="6398BCAE"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6–20</w:t>
            </w:r>
          </w:p>
        </w:tc>
      </w:tr>
      <w:tr w:rsidR="00643DDA" w:rsidRPr="00643DDA" w14:paraId="6BA84C16" w14:textId="77777777" w:rsidTr="007F76BF">
        <w:trPr>
          <w:trHeight w:val="392"/>
          <w:tblCellSpacing w:w="15" w:type="dxa"/>
        </w:trPr>
        <w:tc>
          <w:tcPr>
            <w:tcW w:w="0" w:type="auto"/>
            <w:vAlign w:val="center"/>
            <w:hideMark/>
          </w:tcPr>
          <w:p w14:paraId="7C99510B"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6</w:t>
            </w:r>
          </w:p>
        </w:tc>
        <w:tc>
          <w:tcPr>
            <w:tcW w:w="0" w:type="auto"/>
            <w:vAlign w:val="center"/>
            <w:hideMark/>
          </w:tcPr>
          <w:p w14:paraId="20C6FF1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Utilities and highway equipment</w:t>
            </w:r>
          </w:p>
        </w:tc>
        <w:tc>
          <w:tcPr>
            <w:tcW w:w="0" w:type="auto"/>
            <w:vAlign w:val="center"/>
            <w:hideMark/>
          </w:tcPr>
          <w:p w14:paraId="0D35FFF0"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16–21</w:t>
            </w:r>
          </w:p>
        </w:tc>
      </w:tr>
      <w:tr w:rsidR="00643DDA" w:rsidRPr="00643DDA" w14:paraId="194FDBA2" w14:textId="77777777" w:rsidTr="007F76BF">
        <w:trPr>
          <w:trHeight w:val="385"/>
          <w:tblCellSpacing w:w="15" w:type="dxa"/>
        </w:trPr>
        <w:tc>
          <w:tcPr>
            <w:tcW w:w="0" w:type="auto"/>
            <w:vAlign w:val="center"/>
            <w:hideMark/>
          </w:tcPr>
          <w:p w14:paraId="327BE726"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7</w:t>
            </w:r>
          </w:p>
        </w:tc>
        <w:tc>
          <w:tcPr>
            <w:tcW w:w="0" w:type="auto"/>
            <w:vAlign w:val="center"/>
            <w:hideMark/>
          </w:tcPr>
          <w:p w14:paraId="565F59B8"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Quality assurance and inspections</w:t>
            </w:r>
          </w:p>
        </w:tc>
        <w:tc>
          <w:tcPr>
            <w:tcW w:w="0" w:type="auto"/>
            <w:vAlign w:val="center"/>
            <w:hideMark/>
          </w:tcPr>
          <w:p w14:paraId="2301DB89"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19–23</w:t>
            </w:r>
          </w:p>
        </w:tc>
      </w:tr>
      <w:tr w:rsidR="00643DDA" w:rsidRPr="00643DDA" w14:paraId="35FAF2BD" w14:textId="77777777" w:rsidTr="007F76BF">
        <w:trPr>
          <w:trHeight w:val="385"/>
          <w:tblCellSpacing w:w="15" w:type="dxa"/>
        </w:trPr>
        <w:tc>
          <w:tcPr>
            <w:tcW w:w="0" w:type="auto"/>
            <w:vAlign w:val="center"/>
            <w:hideMark/>
          </w:tcPr>
          <w:p w14:paraId="27A9868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8</w:t>
            </w:r>
          </w:p>
        </w:tc>
        <w:tc>
          <w:tcPr>
            <w:tcW w:w="0" w:type="auto"/>
            <w:vAlign w:val="center"/>
            <w:hideMark/>
          </w:tcPr>
          <w:p w14:paraId="2D9BD1F9"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Handover, reopening and closure</w:t>
            </w:r>
          </w:p>
        </w:tc>
        <w:tc>
          <w:tcPr>
            <w:tcW w:w="0" w:type="auto"/>
            <w:vAlign w:val="center"/>
            <w:hideMark/>
          </w:tcPr>
          <w:p w14:paraId="4DD315D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Weeks 23–24</w:t>
            </w:r>
          </w:p>
        </w:tc>
      </w:tr>
    </w:tbl>
    <w:p w14:paraId="773F179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schedule deliberately overlaps some activities. Effective scheduling is important because the sequencing and dependency of activities can directly influence the project's ability to meet its completion target. Identifying dependencies at an early stage can also help the Project Manager identify activities that may affect the overall programme (APM, 2019; Winch, 2010). For example, planning and assessments begin before site preparation, while highway and structural works are undertaken during overlapping periods. This approach allows the project to make efficient use of the available 24-week period. Progress will be reviewed regularly. Where delays occur, the Project Manager will assess their effect on dependent activities and the overall completion date. Significant delays will be escalated through project governance and managed through formal change control where necessary.</w:t>
      </w:r>
    </w:p>
    <w:p w14:paraId="4A7A1C3B"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6. Resource Allocation</w:t>
      </w:r>
    </w:p>
    <w:p w14:paraId="4999EBC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Effective resource management is necessary to ensure that the project has sufficient people, equipment, materials and financial controls. Resource planning is particularly important in construction and infrastructure projects because labour, specialist equipment and materials must be coordinated with the planned sequence of activities (Winch, 2010). Appropriate supervision, competent personnel, personal protective equipment and safe working procedures will be required throughout construction (HSE, 2015).</w:t>
      </w:r>
    </w:p>
    <w:tbl>
      <w:tblPr>
        <w:tblW w:w="12649" w:type="dxa"/>
        <w:tblCellSpacing w:w="15" w:type="dxa"/>
        <w:tblCellMar>
          <w:top w:w="15" w:type="dxa"/>
          <w:left w:w="15" w:type="dxa"/>
          <w:bottom w:w="15" w:type="dxa"/>
          <w:right w:w="15" w:type="dxa"/>
        </w:tblCellMar>
        <w:tblLook w:val="04A0" w:firstRow="1" w:lastRow="0" w:firstColumn="1" w:lastColumn="0" w:noHBand="0" w:noVBand="1"/>
      </w:tblPr>
      <w:tblGrid>
        <w:gridCol w:w="4819"/>
        <w:gridCol w:w="7830"/>
      </w:tblGrid>
      <w:tr w:rsidR="00643DDA" w:rsidRPr="00643DDA" w14:paraId="2394054E" w14:textId="77777777" w:rsidTr="007F76BF">
        <w:trPr>
          <w:trHeight w:val="393"/>
          <w:tblHeader/>
          <w:tblCellSpacing w:w="15" w:type="dxa"/>
        </w:trPr>
        <w:tc>
          <w:tcPr>
            <w:tcW w:w="0" w:type="auto"/>
            <w:vAlign w:val="center"/>
            <w:hideMark/>
          </w:tcPr>
          <w:p w14:paraId="30F83F03" w14:textId="77777777" w:rsidR="00643DDA" w:rsidRPr="00643DDA" w:rsidRDefault="00643DDA" w:rsidP="0085185F">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Resource/Role</w:t>
            </w:r>
          </w:p>
        </w:tc>
        <w:tc>
          <w:tcPr>
            <w:tcW w:w="0" w:type="auto"/>
            <w:vAlign w:val="center"/>
            <w:hideMark/>
          </w:tcPr>
          <w:p w14:paraId="3E9635A0" w14:textId="77777777" w:rsidR="00643DDA" w:rsidRPr="00643DDA" w:rsidRDefault="00643DDA" w:rsidP="0085185F">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Main Responsibility</w:t>
            </w:r>
          </w:p>
        </w:tc>
      </w:tr>
      <w:tr w:rsidR="00643DDA" w:rsidRPr="00643DDA" w14:paraId="62BA220C" w14:textId="77777777" w:rsidTr="007F76BF">
        <w:trPr>
          <w:trHeight w:val="400"/>
          <w:tblCellSpacing w:w="15" w:type="dxa"/>
        </w:trPr>
        <w:tc>
          <w:tcPr>
            <w:tcW w:w="0" w:type="auto"/>
            <w:vAlign w:val="center"/>
            <w:hideMark/>
          </w:tcPr>
          <w:p w14:paraId="009C5470"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Project Manager</w:t>
            </w:r>
          </w:p>
        </w:tc>
        <w:tc>
          <w:tcPr>
            <w:tcW w:w="0" w:type="auto"/>
            <w:vAlign w:val="center"/>
            <w:hideMark/>
          </w:tcPr>
          <w:p w14:paraId="085FEAAA"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Overall coordination, governance and reporting</w:t>
            </w:r>
          </w:p>
        </w:tc>
      </w:tr>
      <w:tr w:rsidR="00643DDA" w:rsidRPr="00643DDA" w14:paraId="51EAF25E" w14:textId="77777777" w:rsidTr="007F76BF">
        <w:trPr>
          <w:trHeight w:val="393"/>
          <w:tblCellSpacing w:w="15" w:type="dxa"/>
        </w:trPr>
        <w:tc>
          <w:tcPr>
            <w:tcW w:w="0" w:type="auto"/>
            <w:vAlign w:val="center"/>
            <w:hideMark/>
          </w:tcPr>
          <w:p w14:paraId="19B904BC"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Civil Engineering Team</w:t>
            </w:r>
          </w:p>
        </w:tc>
        <w:tc>
          <w:tcPr>
            <w:tcW w:w="0" w:type="auto"/>
            <w:vAlign w:val="center"/>
            <w:hideMark/>
          </w:tcPr>
          <w:p w14:paraId="69F75E56"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Highway and drainage reconstruction</w:t>
            </w:r>
          </w:p>
        </w:tc>
      </w:tr>
      <w:tr w:rsidR="00643DDA" w:rsidRPr="00643DDA" w14:paraId="384AFC60" w14:textId="77777777" w:rsidTr="007F76BF">
        <w:trPr>
          <w:trHeight w:val="393"/>
          <w:tblCellSpacing w:w="15" w:type="dxa"/>
        </w:trPr>
        <w:tc>
          <w:tcPr>
            <w:tcW w:w="0" w:type="auto"/>
            <w:vAlign w:val="center"/>
            <w:hideMark/>
          </w:tcPr>
          <w:p w14:paraId="3D60D3EB"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Structural Engineering Team</w:t>
            </w:r>
          </w:p>
        </w:tc>
        <w:tc>
          <w:tcPr>
            <w:tcW w:w="0" w:type="auto"/>
            <w:vAlign w:val="center"/>
            <w:hideMark/>
          </w:tcPr>
          <w:p w14:paraId="46AEBB0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Bridges, culverts and retaining structures</w:t>
            </w:r>
          </w:p>
        </w:tc>
      </w:tr>
      <w:tr w:rsidR="00643DDA" w:rsidRPr="00643DDA" w14:paraId="4EB664CE" w14:textId="77777777" w:rsidTr="007F76BF">
        <w:trPr>
          <w:trHeight w:val="393"/>
          <w:tblCellSpacing w:w="15" w:type="dxa"/>
        </w:trPr>
        <w:tc>
          <w:tcPr>
            <w:tcW w:w="0" w:type="auto"/>
            <w:vAlign w:val="center"/>
            <w:hideMark/>
          </w:tcPr>
          <w:p w14:paraId="2FC0C51E"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Manager</w:t>
            </w:r>
          </w:p>
        </w:tc>
        <w:tc>
          <w:tcPr>
            <w:tcW w:w="0" w:type="auto"/>
            <w:vAlign w:val="center"/>
            <w:hideMark/>
          </w:tcPr>
          <w:p w14:paraId="1156EC5D"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compliance and resilience</w:t>
            </w:r>
          </w:p>
        </w:tc>
      </w:tr>
      <w:tr w:rsidR="00643DDA" w:rsidRPr="00643DDA" w14:paraId="76719EE9" w14:textId="77777777" w:rsidTr="007F76BF">
        <w:trPr>
          <w:trHeight w:val="393"/>
          <w:tblCellSpacing w:w="15" w:type="dxa"/>
        </w:trPr>
        <w:tc>
          <w:tcPr>
            <w:tcW w:w="0" w:type="auto"/>
            <w:vAlign w:val="center"/>
            <w:hideMark/>
          </w:tcPr>
          <w:p w14:paraId="46461571"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Health and Safety Manager</w:t>
            </w:r>
          </w:p>
        </w:tc>
        <w:tc>
          <w:tcPr>
            <w:tcW w:w="0" w:type="auto"/>
            <w:vAlign w:val="center"/>
            <w:hideMark/>
          </w:tcPr>
          <w:p w14:paraId="09B16B64"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Safety management and inspections</w:t>
            </w:r>
          </w:p>
        </w:tc>
      </w:tr>
      <w:tr w:rsidR="00643DDA" w:rsidRPr="00643DDA" w14:paraId="7EDA3129" w14:textId="77777777" w:rsidTr="007F76BF">
        <w:trPr>
          <w:trHeight w:val="400"/>
          <w:tblCellSpacing w:w="15" w:type="dxa"/>
        </w:trPr>
        <w:tc>
          <w:tcPr>
            <w:tcW w:w="0" w:type="auto"/>
            <w:vAlign w:val="center"/>
            <w:hideMark/>
          </w:tcPr>
          <w:p w14:paraId="7FEA4AB3"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Site Manager/Contractors</w:t>
            </w:r>
          </w:p>
        </w:tc>
        <w:tc>
          <w:tcPr>
            <w:tcW w:w="0" w:type="auto"/>
            <w:vAlign w:val="center"/>
            <w:hideMark/>
          </w:tcPr>
          <w:p w14:paraId="5A40B12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Construction delivery</w:t>
            </w:r>
          </w:p>
        </w:tc>
      </w:tr>
      <w:tr w:rsidR="00643DDA" w:rsidRPr="00643DDA" w14:paraId="4251E325" w14:textId="77777777" w:rsidTr="007F76BF">
        <w:trPr>
          <w:trHeight w:val="393"/>
          <w:tblCellSpacing w:w="15" w:type="dxa"/>
        </w:trPr>
        <w:tc>
          <w:tcPr>
            <w:tcW w:w="0" w:type="auto"/>
            <w:vAlign w:val="center"/>
            <w:hideMark/>
          </w:tcPr>
          <w:p w14:paraId="139CF0FA"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Utilities Coordinator</w:t>
            </w:r>
          </w:p>
        </w:tc>
        <w:tc>
          <w:tcPr>
            <w:tcW w:w="0" w:type="auto"/>
            <w:vAlign w:val="center"/>
            <w:hideMark/>
          </w:tcPr>
          <w:p w14:paraId="06D55CB3"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Utility identification and reinstatement</w:t>
            </w:r>
          </w:p>
        </w:tc>
      </w:tr>
      <w:tr w:rsidR="00643DDA" w:rsidRPr="00643DDA" w14:paraId="6F72868D" w14:textId="77777777" w:rsidTr="007F76BF">
        <w:trPr>
          <w:trHeight w:val="393"/>
          <w:tblCellSpacing w:w="15" w:type="dxa"/>
        </w:trPr>
        <w:tc>
          <w:tcPr>
            <w:tcW w:w="0" w:type="auto"/>
            <w:vAlign w:val="center"/>
            <w:hideMark/>
          </w:tcPr>
          <w:p w14:paraId="5A83CB0C"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Traffic Manager</w:t>
            </w:r>
          </w:p>
        </w:tc>
        <w:tc>
          <w:tcPr>
            <w:tcW w:w="0" w:type="auto"/>
            <w:vAlign w:val="center"/>
            <w:hideMark/>
          </w:tcPr>
          <w:p w14:paraId="0D116594"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Diversions and emergency access</w:t>
            </w:r>
          </w:p>
        </w:tc>
      </w:tr>
      <w:tr w:rsidR="00643DDA" w:rsidRPr="00643DDA" w14:paraId="744966EB" w14:textId="77777777" w:rsidTr="007F76BF">
        <w:trPr>
          <w:trHeight w:val="393"/>
          <w:tblCellSpacing w:w="15" w:type="dxa"/>
        </w:trPr>
        <w:tc>
          <w:tcPr>
            <w:tcW w:w="0" w:type="auto"/>
            <w:vAlign w:val="center"/>
            <w:hideMark/>
          </w:tcPr>
          <w:p w14:paraId="17A0BA5F"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Communications Officer</w:t>
            </w:r>
          </w:p>
        </w:tc>
        <w:tc>
          <w:tcPr>
            <w:tcW w:w="0" w:type="auto"/>
            <w:vAlign w:val="center"/>
            <w:hideMark/>
          </w:tcPr>
          <w:p w14:paraId="0C1A9EC3" w14:textId="77777777" w:rsidR="00643DDA" w:rsidRPr="00643DDA" w:rsidRDefault="00643DDA" w:rsidP="0085185F">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Public and stakeholder communication</w:t>
            </w:r>
          </w:p>
        </w:tc>
      </w:tr>
    </w:tbl>
    <w:p w14:paraId="3EFE3B8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Project Manager will coordinate resources across work packages and monitor whether resource availability is affecting project performance. Specialist resources will be prioritised according to project risk and critical activities. Resource planning must also consider health and safety. Appropriate supervision, competent personnel, personal protective equipment and safe working procedures will be required throughout construction.</w:t>
      </w:r>
    </w:p>
    <w:p w14:paraId="3A3EBB7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b/>
          <w:bCs/>
          <w:kern w:val="0"/>
          <w:u w:val="single"/>
          <w:lang w:eastAsia="en-GB"/>
          <w14:ligatures w14:val="none"/>
        </w:rPr>
        <w:t>7. Risk Management</w:t>
      </w:r>
    </w:p>
    <w:p w14:paraId="13AB26D1"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Risk management will be continuous rather than limited to the planning stage. Risks will be identified, assessed according to likelihood and impact, assigned to owners and reviewed throughout delivery. This reflects the importance of proactive risk management within project environments (PMI, 2021). This approach is consistent with the principles of ISO 31000, which emphasise the identification, assessment, treatment and monitoring of risks as part of an ongoing risk-management process (ISO, 2018).</w:t>
      </w:r>
    </w:p>
    <w:tbl>
      <w:tblPr>
        <w:tblW w:w="12732" w:type="dxa"/>
        <w:tblCellSpacing w:w="15" w:type="dxa"/>
        <w:tblCellMar>
          <w:top w:w="15" w:type="dxa"/>
          <w:left w:w="15" w:type="dxa"/>
          <w:bottom w:w="15" w:type="dxa"/>
          <w:right w:w="15" w:type="dxa"/>
        </w:tblCellMar>
        <w:tblLook w:val="04A0" w:firstRow="1" w:lastRow="0" w:firstColumn="1" w:lastColumn="0" w:noHBand="0" w:noVBand="1"/>
      </w:tblPr>
      <w:tblGrid>
        <w:gridCol w:w="3691"/>
        <w:gridCol w:w="1381"/>
        <w:gridCol w:w="1002"/>
        <w:gridCol w:w="6658"/>
      </w:tblGrid>
      <w:tr w:rsidR="00643DDA" w:rsidRPr="00643DDA" w14:paraId="01A47BED" w14:textId="77777777" w:rsidTr="007F76BF">
        <w:trPr>
          <w:trHeight w:val="386"/>
          <w:tblHeader/>
          <w:tblCellSpacing w:w="15" w:type="dxa"/>
        </w:trPr>
        <w:tc>
          <w:tcPr>
            <w:tcW w:w="0" w:type="auto"/>
            <w:vAlign w:val="center"/>
            <w:hideMark/>
          </w:tcPr>
          <w:p w14:paraId="27FCDE31"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Risk</w:t>
            </w:r>
          </w:p>
        </w:tc>
        <w:tc>
          <w:tcPr>
            <w:tcW w:w="0" w:type="auto"/>
            <w:vAlign w:val="center"/>
            <w:hideMark/>
          </w:tcPr>
          <w:p w14:paraId="2AE4D578"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Likelihood</w:t>
            </w:r>
          </w:p>
        </w:tc>
        <w:tc>
          <w:tcPr>
            <w:tcW w:w="0" w:type="auto"/>
            <w:vAlign w:val="center"/>
            <w:hideMark/>
          </w:tcPr>
          <w:p w14:paraId="27DE2401"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Impact</w:t>
            </w:r>
          </w:p>
        </w:tc>
        <w:tc>
          <w:tcPr>
            <w:tcW w:w="0" w:type="auto"/>
            <w:vAlign w:val="center"/>
            <w:hideMark/>
          </w:tcPr>
          <w:p w14:paraId="1017F1D0"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Mitigation</w:t>
            </w:r>
          </w:p>
        </w:tc>
      </w:tr>
      <w:tr w:rsidR="00643DDA" w:rsidRPr="00643DDA" w14:paraId="2E9F38A5" w14:textId="77777777" w:rsidTr="007F76BF">
        <w:trPr>
          <w:trHeight w:val="393"/>
          <w:tblCellSpacing w:w="15" w:type="dxa"/>
        </w:trPr>
        <w:tc>
          <w:tcPr>
            <w:tcW w:w="0" w:type="auto"/>
            <w:vAlign w:val="center"/>
            <w:hideMark/>
          </w:tcPr>
          <w:p w14:paraId="1E32F1E4"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Adverse weather</w:t>
            </w:r>
          </w:p>
        </w:tc>
        <w:tc>
          <w:tcPr>
            <w:tcW w:w="0" w:type="auto"/>
            <w:vAlign w:val="center"/>
            <w:hideMark/>
          </w:tcPr>
          <w:p w14:paraId="2376738D"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123B9E4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14341F3E"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Monitor forecasts and build flexibility into the programme</w:t>
            </w:r>
          </w:p>
        </w:tc>
      </w:tr>
      <w:tr w:rsidR="00643DDA" w:rsidRPr="00643DDA" w14:paraId="20014DBF" w14:textId="77777777" w:rsidTr="007F76BF">
        <w:trPr>
          <w:trHeight w:val="386"/>
          <w:tblCellSpacing w:w="15" w:type="dxa"/>
        </w:trPr>
        <w:tc>
          <w:tcPr>
            <w:tcW w:w="0" w:type="auto"/>
            <w:vAlign w:val="center"/>
            <w:hideMark/>
          </w:tcPr>
          <w:p w14:paraId="2D4CED18"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Supply-chain disruption</w:t>
            </w:r>
          </w:p>
        </w:tc>
        <w:tc>
          <w:tcPr>
            <w:tcW w:w="0" w:type="auto"/>
            <w:vAlign w:val="center"/>
            <w:hideMark/>
          </w:tcPr>
          <w:p w14:paraId="7B307710"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0D5491F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0071922C"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Early procurement and alternative suppliers</w:t>
            </w:r>
          </w:p>
        </w:tc>
      </w:tr>
      <w:tr w:rsidR="00643DDA" w:rsidRPr="00643DDA" w14:paraId="55CF1BF4" w14:textId="77777777" w:rsidTr="007F76BF">
        <w:trPr>
          <w:trHeight w:val="386"/>
          <w:tblCellSpacing w:w="15" w:type="dxa"/>
        </w:trPr>
        <w:tc>
          <w:tcPr>
            <w:tcW w:w="0" w:type="auto"/>
            <w:vAlign w:val="center"/>
            <w:hideMark/>
          </w:tcPr>
          <w:p w14:paraId="6D104EDC"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Budget overrun</w:t>
            </w:r>
          </w:p>
        </w:tc>
        <w:tc>
          <w:tcPr>
            <w:tcW w:w="0" w:type="auto"/>
            <w:vAlign w:val="center"/>
            <w:hideMark/>
          </w:tcPr>
          <w:p w14:paraId="25AE354A"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273F0E35"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3910D52E"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Cost monitoring and formal change control</w:t>
            </w:r>
          </w:p>
        </w:tc>
      </w:tr>
      <w:tr w:rsidR="00643DDA" w:rsidRPr="00643DDA" w14:paraId="14F12B09" w14:textId="77777777" w:rsidTr="007F76BF">
        <w:trPr>
          <w:trHeight w:val="386"/>
          <w:tblCellSpacing w:w="15" w:type="dxa"/>
        </w:trPr>
        <w:tc>
          <w:tcPr>
            <w:tcW w:w="0" w:type="auto"/>
            <w:vAlign w:val="center"/>
            <w:hideMark/>
          </w:tcPr>
          <w:p w14:paraId="05703C1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Health and safety incident</w:t>
            </w:r>
          </w:p>
        </w:tc>
        <w:tc>
          <w:tcPr>
            <w:tcW w:w="0" w:type="auto"/>
            <w:vAlign w:val="center"/>
            <w:hideMark/>
          </w:tcPr>
          <w:p w14:paraId="3DBE90D4"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Low</w:t>
            </w:r>
          </w:p>
        </w:tc>
        <w:tc>
          <w:tcPr>
            <w:tcW w:w="0" w:type="auto"/>
            <w:vAlign w:val="center"/>
            <w:hideMark/>
          </w:tcPr>
          <w:p w14:paraId="52C6F79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36166A1A"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Risk assessments, supervision, PPE and audits</w:t>
            </w:r>
          </w:p>
        </w:tc>
      </w:tr>
      <w:tr w:rsidR="00643DDA" w:rsidRPr="00643DDA" w14:paraId="5A13DAAB" w14:textId="77777777" w:rsidTr="007F76BF">
        <w:trPr>
          <w:trHeight w:val="386"/>
          <w:tblCellSpacing w:w="15" w:type="dxa"/>
        </w:trPr>
        <w:tc>
          <w:tcPr>
            <w:tcW w:w="0" w:type="auto"/>
            <w:vAlign w:val="center"/>
            <w:hideMark/>
          </w:tcPr>
          <w:p w14:paraId="030CA59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Utility delays</w:t>
            </w:r>
          </w:p>
        </w:tc>
        <w:tc>
          <w:tcPr>
            <w:tcW w:w="0" w:type="auto"/>
            <w:vAlign w:val="center"/>
            <w:hideMark/>
          </w:tcPr>
          <w:p w14:paraId="1739DAA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21867DC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3F9534B5"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Early surveys and regular coordination</w:t>
            </w:r>
          </w:p>
        </w:tc>
      </w:tr>
      <w:tr w:rsidR="00643DDA" w:rsidRPr="00643DDA" w14:paraId="06378960" w14:textId="77777777" w:rsidTr="007F76BF">
        <w:trPr>
          <w:trHeight w:val="393"/>
          <w:tblCellSpacing w:w="15" w:type="dxa"/>
        </w:trPr>
        <w:tc>
          <w:tcPr>
            <w:tcW w:w="0" w:type="auto"/>
            <w:vAlign w:val="center"/>
            <w:hideMark/>
          </w:tcPr>
          <w:p w14:paraId="46B8C6EF"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Community disruption</w:t>
            </w:r>
          </w:p>
        </w:tc>
        <w:tc>
          <w:tcPr>
            <w:tcW w:w="0" w:type="auto"/>
            <w:vAlign w:val="center"/>
            <w:hideMark/>
          </w:tcPr>
          <w:p w14:paraId="39B49F7C"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615717A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65339066"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Traffic management and regular communication</w:t>
            </w:r>
          </w:p>
        </w:tc>
      </w:tr>
      <w:tr w:rsidR="00643DDA" w:rsidRPr="00643DDA" w14:paraId="6B8DE6F0" w14:textId="77777777" w:rsidTr="007F76BF">
        <w:trPr>
          <w:trHeight w:val="386"/>
          <w:tblCellSpacing w:w="15" w:type="dxa"/>
        </w:trPr>
        <w:tc>
          <w:tcPr>
            <w:tcW w:w="0" w:type="auto"/>
            <w:vAlign w:val="center"/>
            <w:hideMark/>
          </w:tcPr>
          <w:p w14:paraId="1B9DE611"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non-compliance</w:t>
            </w:r>
          </w:p>
        </w:tc>
        <w:tc>
          <w:tcPr>
            <w:tcW w:w="0" w:type="auto"/>
            <w:vAlign w:val="center"/>
            <w:hideMark/>
          </w:tcPr>
          <w:p w14:paraId="138FEAE0"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Low</w:t>
            </w:r>
          </w:p>
        </w:tc>
        <w:tc>
          <w:tcPr>
            <w:tcW w:w="0" w:type="auto"/>
            <w:vAlign w:val="center"/>
            <w:hideMark/>
          </w:tcPr>
          <w:p w14:paraId="13325EE8"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0E6FA15B"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monitoring and compliance reviews</w:t>
            </w:r>
          </w:p>
        </w:tc>
      </w:tr>
    </w:tbl>
    <w:p w14:paraId="3DE17EF2"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Adverse weather represents a particularly significant risk because the project is itself a response to flooding. Construction activities may be delayed by further rainfall, while newly repaired infrastructure could be exposed to additional damage. Forecast monitoring and flexible sequencing should therefore be incorporated into project control. Supply-chain disruption may also affect specialist materials and equipment. Early procurement and approved alternatives can reduce the likelihood that shortages will stop critical activities. Health and safety risks will require strong control because construction work involves hazards associated with heavy equipment, traffic, excavation and structural works. The Health and Safety Manager will monitor compliance and ensure that appropriate risk assessments and method statements are in place.</w:t>
      </w:r>
    </w:p>
    <w:p w14:paraId="0ECFEA33"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b/>
          <w:bCs/>
          <w:kern w:val="0"/>
          <w:u w:val="single"/>
          <w:lang w:eastAsia="en-GB"/>
          <w14:ligatures w14:val="none"/>
        </w:rPr>
        <w:t>8. Stakeholder Involvement</w:t>
      </w:r>
    </w:p>
    <w:p w14:paraId="595869A9"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Stakeholder management is essential because the project affects organisations and individuals with different interests and levels of influence. PMI (2021) emphasises that stakeholders can affect or be affected by project decisions. Effective stakeholder management should reduce conflict, improve transparency and allow concerns to be identified before they develop into significant project problems (APM, 2019).</w:t>
      </w:r>
    </w:p>
    <w:p w14:paraId="2FDA6F02"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Key Stakeholders</w:t>
      </w:r>
    </w:p>
    <w:tbl>
      <w:tblPr>
        <w:tblW w:w="12654" w:type="dxa"/>
        <w:tblCellSpacing w:w="15" w:type="dxa"/>
        <w:tblCellMar>
          <w:top w:w="15" w:type="dxa"/>
          <w:left w:w="15" w:type="dxa"/>
          <w:bottom w:w="15" w:type="dxa"/>
          <w:right w:w="15" w:type="dxa"/>
        </w:tblCellMar>
        <w:tblLook w:val="04A0" w:firstRow="1" w:lastRow="0" w:firstColumn="1" w:lastColumn="0" w:noHBand="0" w:noVBand="1"/>
      </w:tblPr>
      <w:tblGrid>
        <w:gridCol w:w="4403"/>
        <w:gridCol w:w="5397"/>
        <w:gridCol w:w="1289"/>
        <w:gridCol w:w="1565"/>
      </w:tblGrid>
      <w:tr w:rsidR="00643DDA" w:rsidRPr="00643DDA" w14:paraId="390A82A0" w14:textId="77777777" w:rsidTr="007F76BF">
        <w:trPr>
          <w:trHeight w:val="396"/>
          <w:tblHeader/>
          <w:tblCellSpacing w:w="15" w:type="dxa"/>
        </w:trPr>
        <w:tc>
          <w:tcPr>
            <w:tcW w:w="0" w:type="auto"/>
            <w:vAlign w:val="center"/>
            <w:hideMark/>
          </w:tcPr>
          <w:p w14:paraId="69E167CE"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Stakeholder</w:t>
            </w:r>
          </w:p>
        </w:tc>
        <w:tc>
          <w:tcPr>
            <w:tcW w:w="0" w:type="auto"/>
            <w:vAlign w:val="center"/>
            <w:hideMark/>
          </w:tcPr>
          <w:p w14:paraId="07584000"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Role</w:t>
            </w:r>
          </w:p>
        </w:tc>
        <w:tc>
          <w:tcPr>
            <w:tcW w:w="0" w:type="auto"/>
            <w:vAlign w:val="center"/>
            <w:hideMark/>
          </w:tcPr>
          <w:p w14:paraId="5F9C04A2"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Interest</w:t>
            </w:r>
          </w:p>
        </w:tc>
        <w:tc>
          <w:tcPr>
            <w:tcW w:w="0" w:type="auto"/>
            <w:vAlign w:val="center"/>
            <w:hideMark/>
          </w:tcPr>
          <w:p w14:paraId="7F6AA35F" w14:textId="77777777" w:rsidR="00643DDA" w:rsidRPr="00643DDA" w:rsidRDefault="00643DDA" w:rsidP="00643DDA">
            <w:pPr>
              <w:spacing w:before="100" w:beforeAutospacing="1" w:after="100" w:afterAutospacing="1"/>
              <w:jc w:val="center"/>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Influence</w:t>
            </w:r>
          </w:p>
        </w:tc>
      </w:tr>
      <w:tr w:rsidR="00643DDA" w:rsidRPr="00643DDA" w14:paraId="4B280A7D" w14:textId="77777777" w:rsidTr="007F76BF">
        <w:trPr>
          <w:trHeight w:val="404"/>
          <w:tblCellSpacing w:w="15" w:type="dxa"/>
        </w:trPr>
        <w:tc>
          <w:tcPr>
            <w:tcW w:w="0" w:type="auto"/>
            <w:vAlign w:val="center"/>
            <w:hideMark/>
          </w:tcPr>
          <w:p w14:paraId="63420B91"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Local Council</w:t>
            </w:r>
          </w:p>
        </w:tc>
        <w:tc>
          <w:tcPr>
            <w:tcW w:w="0" w:type="auto"/>
            <w:vAlign w:val="center"/>
            <w:hideMark/>
          </w:tcPr>
          <w:p w14:paraId="77C2928A"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Sponsor and funding authority</w:t>
            </w:r>
          </w:p>
        </w:tc>
        <w:tc>
          <w:tcPr>
            <w:tcW w:w="0" w:type="auto"/>
            <w:vAlign w:val="center"/>
            <w:hideMark/>
          </w:tcPr>
          <w:p w14:paraId="7E7CA24D"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0E6B730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r>
      <w:tr w:rsidR="00643DDA" w:rsidRPr="00643DDA" w14:paraId="37884221" w14:textId="77777777" w:rsidTr="007F76BF">
        <w:trPr>
          <w:trHeight w:val="396"/>
          <w:tblCellSpacing w:w="15" w:type="dxa"/>
        </w:trPr>
        <w:tc>
          <w:tcPr>
            <w:tcW w:w="0" w:type="auto"/>
            <w:vAlign w:val="center"/>
            <w:hideMark/>
          </w:tcPr>
          <w:p w14:paraId="5A27336D"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Highway Authority</w:t>
            </w:r>
          </w:p>
        </w:tc>
        <w:tc>
          <w:tcPr>
            <w:tcW w:w="0" w:type="auto"/>
            <w:vAlign w:val="center"/>
            <w:hideMark/>
          </w:tcPr>
          <w:p w14:paraId="2CECCA85"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Standards and approvals</w:t>
            </w:r>
          </w:p>
        </w:tc>
        <w:tc>
          <w:tcPr>
            <w:tcW w:w="0" w:type="auto"/>
            <w:vAlign w:val="center"/>
            <w:hideMark/>
          </w:tcPr>
          <w:p w14:paraId="132215B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1DA75583"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r>
      <w:tr w:rsidR="00643DDA" w:rsidRPr="00643DDA" w14:paraId="68C1A0DC" w14:textId="77777777" w:rsidTr="007F76BF">
        <w:trPr>
          <w:trHeight w:val="396"/>
          <w:tblCellSpacing w:w="15" w:type="dxa"/>
        </w:trPr>
        <w:tc>
          <w:tcPr>
            <w:tcW w:w="0" w:type="auto"/>
            <w:vAlign w:val="center"/>
            <w:hideMark/>
          </w:tcPr>
          <w:p w14:paraId="015DC708"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 Agency</w:t>
            </w:r>
          </w:p>
        </w:tc>
        <w:tc>
          <w:tcPr>
            <w:tcW w:w="0" w:type="auto"/>
            <w:vAlign w:val="center"/>
            <w:hideMark/>
          </w:tcPr>
          <w:p w14:paraId="05A9259F"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and flood-risk advice</w:t>
            </w:r>
          </w:p>
        </w:tc>
        <w:tc>
          <w:tcPr>
            <w:tcW w:w="0" w:type="auto"/>
            <w:vAlign w:val="center"/>
            <w:hideMark/>
          </w:tcPr>
          <w:p w14:paraId="4515029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5210C77B"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r>
      <w:tr w:rsidR="00643DDA" w:rsidRPr="00643DDA" w14:paraId="23167568" w14:textId="77777777" w:rsidTr="007F76BF">
        <w:trPr>
          <w:trHeight w:val="396"/>
          <w:tblCellSpacing w:w="15" w:type="dxa"/>
        </w:trPr>
        <w:tc>
          <w:tcPr>
            <w:tcW w:w="0" w:type="auto"/>
            <w:vAlign w:val="center"/>
            <w:hideMark/>
          </w:tcPr>
          <w:p w14:paraId="6744F65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Main Contractor</w:t>
            </w:r>
          </w:p>
        </w:tc>
        <w:tc>
          <w:tcPr>
            <w:tcW w:w="0" w:type="auto"/>
            <w:vAlign w:val="center"/>
            <w:hideMark/>
          </w:tcPr>
          <w:p w14:paraId="5BAAEF9F"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Construction delivery</w:t>
            </w:r>
          </w:p>
        </w:tc>
        <w:tc>
          <w:tcPr>
            <w:tcW w:w="0" w:type="auto"/>
            <w:vAlign w:val="center"/>
            <w:hideMark/>
          </w:tcPr>
          <w:p w14:paraId="47B7914F"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684E68C6"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r>
      <w:tr w:rsidR="00643DDA" w:rsidRPr="00643DDA" w14:paraId="3654E1E4" w14:textId="77777777" w:rsidTr="007F76BF">
        <w:trPr>
          <w:trHeight w:val="396"/>
          <w:tblCellSpacing w:w="15" w:type="dxa"/>
        </w:trPr>
        <w:tc>
          <w:tcPr>
            <w:tcW w:w="0" w:type="auto"/>
            <w:vAlign w:val="center"/>
            <w:hideMark/>
          </w:tcPr>
          <w:p w14:paraId="2FA2EBD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Utility Companies</w:t>
            </w:r>
          </w:p>
        </w:tc>
        <w:tc>
          <w:tcPr>
            <w:tcW w:w="0" w:type="auto"/>
            <w:vAlign w:val="center"/>
            <w:hideMark/>
          </w:tcPr>
          <w:p w14:paraId="183DDDB7"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Service reinstatement</w:t>
            </w:r>
          </w:p>
        </w:tc>
        <w:tc>
          <w:tcPr>
            <w:tcW w:w="0" w:type="auto"/>
            <w:vAlign w:val="center"/>
            <w:hideMark/>
          </w:tcPr>
          <w:p w14:paraId="186F63B7"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045119BC"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r>
      <w:tr w:rsidR="00643DDA" w:rsidRPr="00643DDA" w14:paraId="5BF485C7" w14:textId="77777777" w:rsidTr="007F76BF">
        <w:trPr>
          <w:trHeight w:val="404"/>
          <w:tblCellSpacing w:w="15" w:type="dxa"/>
        </w:trPr>
        <w:tc>
          <w:tcPr>
            <w:tcW w:w="0" w:type="auto"/>
            <w:vAlign w:val="center"/>
            <w:hideMark/>
          </w:tcPr>
          <w:p w14:paraId="716AC230"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Emergency Services</w:t>
            </w:r>
          </w:p>
        </w:tc>
        <w:tc>
          <w:tcPr>
            <w:tcW w:w="0" w:type="auto"/>
            <w:vAlign w:val="center"/>
            <w:hideMark/>
          </w:tcPr>
          <w:p w14:paraId="27A8ADE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Emergency access</w:t>
            </w:r>
          </w:p>
        </w:tc>
        <w:tc>
          <w:tcPr>
            <w:tcW w:w="0" w:type="auto"/>
            <w:vAlign w:val="center"/>
            <w:hideMark/>
          </w:tcPr>
          <w:p w14:paraId="0D23C073"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2F9AAD3B"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r>
      <w:tr w:rsidR="00643DDA" w:rsidRPr="00643DDA" w14:paraId="5DE7B16C" w14:textId="77777777" w:rsidTr="007F76BF">
        <w:trPr>
          <w:trHeight w:val="396"/>
          <w:tblCellSpacing w:w="15" w:type="dxa"/>
        </w:trPr>
        <w:tc>
          <w:tcPr>
            <w:tcW w:w="0" w:type="auto"/>
            <w:vAlign w:val="center"/>
            <w:hideMark/>
          </w:tcPr>
          <w:p w14:paraId="4EBCF8DC"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Local Businesses</w:t>
            </w:r>
          </w:p>
        </w:tc>
        <w:tc>
          <w:tcPr>
            <w:tcW w:w="0" w:type="auto"/>
            <w:vAlign w:val="center"/>
            <w:hideMark/>
          </w:tcPr>
          <w:p w14:paraId="42A3FA65"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Transport-dependent activity</w:t>
            </w:r>
          </w:p>
        </w:tc>
        <w:tc>
          <w:tcPr>
            <w:tcW w:w="0" w:type="auto"/>
            <w:vAlign w:val="center"/>
            <w:hideMark/>
          </w:tcPr>
          <w:p w14:paraId="27C9D2CE"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04A8E1B6"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r>
      <w:tr w:rsidR="00643DDA" w:rsidRPr="00643DDA" w14:paraId="26B79755" w14:textId="77777777" w:rsidTr="007F76BF">
        <w:trPr>
          <w:trHeight w:val="396"/>
          <w:tblCellSpacing w:w="15" w:type="dxa"/>
        </w:trPr>
        <w:tc>
          <w:tcPr>
            <w:tcW w:w="0" w:type="auto"/>
            <w:vAlign w:val="center"/>
            <w:hideMark/>
          </w:tcPr>
          <w:p w14:paraId="1C8E5FD1"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Residents</w:t>
            </w:r>
          </w:p>
        </w:tc>
        <w:tc>
          <w:tcPr>
            <w:tcW w:w="0" w:type="auto"/>
            <w:vAlign w:val="center"/>
            <w:hideMark/>
          </w:tcPr>
          <w:p w14:paraId="1CFE97C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Affected by disruption</w:t>
            </w:r>
          </w:p>
        </w:tc>
        <w:tc>
          <w:tcPr>
            <w:tcW w:w="0" w:type="auto"/>
            <w:vAlign w:val="center"/>
            <w:hideMark/>
          </w:tcPr>
          <w:p w14:paraId="6E10EE93"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High</w:t>
            </w:r>
          </w:p>
        </w:tc>
        <w:tc>
          <w:tcPr>
            <w:tcW w:w="0" w:type="auto"/>
            <w:vAlign w:val="center"/>
            <w:hideMark/>
          </w:tcPr>
          <w:p w14:paraId="1A9D7C55"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r>
      <w:tr w:rsidR="00643DDA" w:rsidRPr="00643DDA" w14:paraId="537B6976" w14:textId="77777777" w:rsidTr="007F76BF">
        <w:trPr>
          <w:trHeight w:val="396"/>
          <w:tblCellSpacing w:w="15" w:type="dxa"/>
        </w:trPr>
        <w:tc>
          <w:tcPr>
            <w:tcW w:w="0" w:type="auto"/>
            <w:vAlign w:val="center"/>
            <w:hideMark/>
          </w:tcPr>
          <w:p w14:paraId="6C35522C"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Organisations</w:t>
            </w:r>
          </w:p>
        </w:tc>
        <w:tc>
          <w:tcPr>
            <w:tcW w:w="0" w:type="auto"/>
            <w:vAlign w:val="center"/>
            <w:hideMark/>
          </w:tcPr>
          <w:p w14:paraId="549E47F6"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interests</w:t>
            </w:r>
          </w:p>
        </w:tc>
        <w:tc>
          <w:tcPr>
            <w:tcW w:w="0" w:type="auto"/>
            <w:vAlign w:val="center"/>
            <w:hideMark/>
          </w:tcPr>
          <w:p w14:paraId="573B8A72"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223B2EB4"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r>
      <w:tr w:rsidR="00643DDA" w:rsidRPr="00643DDA" w14:paraId="373C844C" w14:textId="77777777" w:rsidTr="007F76BF">
        <w:trPr>
          <w:trHeight w:val="404"/>
          <w:tblCellSpacing w:w="15" w:type="dxa"/>
        </w:trPr>
        <w:tc>
          <w:tcPr>
            <w:tcW w:w="0" w:type="auto"/>
            <w:vAlign w:val="center"/>
            <w:hideMark/>
          </w:tcPr>
          <w:p w14:paraId="4089A4F1"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Media</w:t>
            </w:r>
          </w:p>
        </w:tc>
        <w:tc>
          <w:tcPr>
            <w:tcW w:w="0" w:type="auto"/>
            <w:vAlign w:val="center"/>
            <w:hideMark/>
          </w:tcPr>
          <w:p w14:paraId="7B89798E"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Public information</w:t>
            </w:r>
          </w:p>
        </w:tc>
        <w:tc>
          <w:tcPr>
            <w:tcW w:w="0" w:type="auto"/>
            <w:vAlign w:val="center"/>
            <w:hideMark/>
          </w:tcPr>
          <w:p w14:paraId="64092BC7"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Medium</w:t>
            </w:r>
          </w:p>
        </w:tc>
        <w:tc>
          <w:tcPr>
            <w:tcW w:w="0" w:type="auto"/>
            <w:vAlign w:val="center"/>
            <w:hideMark/>
          </w:tcPr>
          <w:p w14:paraId="4EE16069" w14:textId="77777777" w:rsidR="00643DDA" w:rsidRPr="00643DDA" w:rsidRDefault="00643DDA" w:rsidP="00643DDA">
            <w:pPr>
              <w:spacing w:before="100" w:beforeAutospacing="1" w:after="100" w:afterAutospacing="1"/>
              <w:jc w:val="center"/>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Low</w:t>
            </w:r>
          </w:p>
        </w:tc>
      </w:tr>
    </w:tbl>
    <w:p w14:paraId="27AC1D85"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A Power–Interest approach can be used to determine the level of engagement required. High-power, high-interest stakeholders such as the Local Council, Highway Authority and principal contractor should be managed closely. Residents and businesses should be kept informed because they have a high level of interest even though their formal influence may be lower. Communication will include monthly progress reports for the Local Council, fortnightly technical meetings with the Highway Authority, regular contractor meetings and public updates for residents and businesses. Emergency services will require consideration because road closures must not prevent emergency access. Traffic management plans should therefore be agreed with emergency services and reviewed whenever construction arrangements change. Effective stakeholder management should reduce conflict, improve transparency and allow concerns to be identified before they develop into significant project problems. This supports the wider project objective of reopening the highway while maintaining public confidence.</w:t>
      </w:r>
    </w:p>
    <w:p w14:paraId="10F53CDA"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b/>
          <w:bCs/>
          <w:kern w:val="0"/>
          <w:u w:val="single"/>
          <w:lang w:eastAsia="en-GB"/>
          <w14:ligatures w14:val="none"/>
        </w:rPr>
        <w:t>9. Project Governance and Control</w:t>
      </w:r>
    </w:p>
    <w:p w14:paraId="2B2C4041"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project will be governed through a Project Board supported by the Project Manager and specialist leads. The Project Board will provide strategic oversight, approve significant changes and monitor performance against the agreed project baseline. The Project Manager will be responsible for day-to-day coordination, progress reporting, stakeholder communication, risk management and change control. Technical managers will provide specialist oversight of engineering, environmental, safety and construction activities.</w:t>
      </w:r>
    </w:p>
    <w:p w14:paraId="5BA9B4E9"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kern w:val="0"/>
          <w:u w:val="single"/>
          <w:lang w:eastAsia="en-GB"/>
          <w14:ligatures w14:val="none"/>
        </w:rPr>
        <w:t>Control will focus on:</w:t>
      </w:r>
    </w:p>
    <w:p w14:paraId="188E2A6F"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Scope.</w:t>
      </w:r>
    </w:p>
    <w:p w14:paraId="20FEAB5C"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Schedule.</w:t>
      </w:r>
    </w:p>
    <w:p w14:paraId="6500A363"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Cost.</w:t>
      </w:r>
    </w:p>
    <w:p w14:paraId="64890B4B"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Quality.</w:t>
      </w:r>
    </w:p>
    <w:p w14:paraId="78831F86"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Risk.</w:t>
      </w:r>
    </w:p>
    <w:p w14:paraId="595D4B5E"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Health and safety.</w:t>
      </w:r>
    </w:p>
    <w:p w14:paraId="6B21405E"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Environmental compliance.</w:t>
      </w:r>
    </w:p>
    <w:p w14:paraId="75AF5393"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Stakeholder satisfaction.</w:t>
      </w:r>
    </w:p>
    <w:p w14:paraId="6226314D"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Formal change control will be required where proposed changes affect the agreed scope, budget or completion date. Each change will be documented and assessed before a decision is made. This approach reduces the likelihood of uncontrolled project expansion and supports accountability. Quality control will include material testing, engineering inspections, safety audits and final acceptance inspections. The highway will only be reopened following confirmation that required engineering and safety standards have been met. A structured quality-management approach can help ensure that project outputs consistently meet specified requirements and acceptance criteria (ISO, 2015).</w:t>
      </w:r>
    </w:p>
    <w:p w14:paraId="6E3E3D66" w14:textId="77777777" w:rsidR="00643DDA" w:rsidRPr="00643DDA" w:rsidRDefault="00643DDA" w:rsidP="00643DDA">
      <w:pPr>
        <w:spacing w:before="100" w:beforeAutospacing="1" w:after="100" w:afterAutospacing="1"/>
        <w:rPr>
          <w:rFonts w:ascii="Arial" w:eastAsia="Times New Roman" w:hAnsi="Arial" w:cs="Arial"/>
          <w:kern w:val="0"/>
          <w:u w:val="single"/>
          <w:lang w:eastAsia="en-GB"/>
          <w14:ligatures w14:val="none"/>
        </w:rPr>
      </w:pPr>
      <w:r w:rsidRPr="00643DDA">
        <w:rPr>
          <w:rFonts w:ascii="Arial" w:eastAsia="Times New Roman" w:hAnsi="Arial" w:cs="Arial"/>
          <w:b/>
          <w:bCs/>
          <w:kern w:val="0"/>
          <w:u w:val="single"/>
          <w:lang w:eastAsia="en-GB"/>
          <w14:ligatures w14:val="none"/>
        </w:rPr>
        <w:t>10. Conclusion</w:t>
      </w:r>
    </w:p>
    <w:p w14:paraId="64C65781" w14:textId="77777777" w:rsidR="00643DDA" w:rsidRPr="00643DDA" w:rsidRDefault="00643DDA" w:rsidP="00643DDA">
      <w:p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The A456 Principal Highway Flood Recovery Project provides a structured approach to restoring an important transport corridor following the flooding scenario. The plan establishes a clear aim, SMART objectives, business justification, deliverables, scope boundaries and success criteria. The WBS converts the project into manageable work packages, while the 24-week schedule provides a clear framework for sequencing activities. Resource allocation identifies the key personnel required to deliver the project, while the risk-management approach provides measures for responding to threats such as adverse weather, supply-chain disruption, budget pressures and safety incidents. Stakeholder involvement is integrated throughout the project because successful infrastructure recovery depends on cooperation between public authorities, contractors, emergency services, utility companies, residents and businesses. Effective communication and governance will support informed decision-making and reduce disruption. Most importantly, the project seeks to achieve more than simply repairing flood damage. The inclusion of improved drainage and resilience measures supports the principle of building back better and should improve the highway's ability to withstand future flooding. Overall, successful completion within 24 weeks, the approved budget and required quality and safety standards would restore transport connectivity, support economic and community recovery and contribute to longer-term infrastructure resilience.</w:t>
      </w:r>
    </w:p>
    <w:p w14:paraId="2817EDF8" w14:textId="77777777" w:rsidR="00643DDA" w:rsidRPr="00643DDA" w:rsidRDefault="00643DDA" w:rsidP="00643DDA">
      <w:p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b/>
          <w:bCs/>
          <w:kern w:val="0"/>
          <w:u w:val="single"/>
          <w:lang w:eastAsia="en-GB"/>
          <w14:ligatures w14:val="none"/>
        </w:rPr>
        <w:t>References</w:t>
      </w:r>
    </w:p>
    <w:p w14:paraId="39111178"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Association for Project Management (2019) </w:t>
      </w:r>
      <w:r w:rsidRPr="00643DDA">
        <w:rPr>
          <w:rFonts w:ascii="Arial" w:eastAsia="Times New Roman" w:hAnsi="Arial" w:cs="Arial"/>
          <w:i/>
          <w:iCs/>
          <w:kern w:val="0"/>
          <w:lang w:eastAsia="en-GB"/>
          <w14:ligatures w14:val="none"/>
        </w:rPr>
        <w:t>APM Body of Knowledge</w:t>
      </w:r>
      <w:r w:rsidRPr="00643DDA">
        <w:rPr>
          <w:rFonts w:ascii="Arial" w:eastAsia="Times New Roman" w:hAnsi="Arial" w:cs="Arial"/>
          <w:kern w:val="0"/>
          <w:lang w:eastAsia="en-GB"/>
          <w14:ligatures w14:val="none"/>
        </w:rPr>
        <w:t xml:space="preserve">. 7th </w:t>
      </w:r>
      <w:proofErr w:type="spellStart"/>
      <w:r w:rsidRPr="00643DDA">
        <w:rPr>
          <w:rFonts w:ascii="Arial" w:eastAsia="Times New Roman" w:hAnsi="Arial" w:cs="Arial"/>
          <w:kern w:val="0"/>
          <w:lang w:eastAsia="en-GB"/>
          <w14:ligatures w14:val="none"/>
        </w:rPr>
        <w:t>edn</w:t>
      </w:r>
      <w:proofErr w:type="spellEnd"/>
      <w:r w:rsidRPr="00643DDA">
        <w:rPr>
          <w:rFonts w:ascii="Arial" w:eastAsia="Times New Roman" w:hAnsi="Arial" w:cs="Arial"/>
          <w:kern w:val="0"/>
          <w:lang w:eastAsia="en-GB"/>
          <w14:ligatures w14:val="none"/>
        </w:rPr>
        <w:t>. Princes Risborough: Association for Project Management.</w:t>
      </w:r>
    </w:p>
    <w:p w14:paraId="5ED80248"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Atkinson, R. (1999) ‘Project management: cost, time and quality, two best guesses and a phenomenon, </w:t>
      </w:r>
      <w:proofErr w:type="spellStart"/>
      <w:r w:rsidRPr="00643DDA">
        <w:rPr>
          <w:rFonts w:ascii="Arial" w:eastAsia="Times New Roman" w:hAnsi="Arial" w:cs="Arial"/>
          <w:kern w:val="0"/>
          <w:lang w:eastAsia="en-GB"/>
          <w14:ligatures w14:val="none"/>
        </w:rPr>
        <w:t>its</w:t>
      </w:r>
      <w:proofErr w:type="spellEnd"/>
      <w:r w:rsidRPr="00643DDA">
        <w:rPr>
          <w:rFonts w:ascii="Arial" w:eastAsia="Times New Roman" w:hAnsi="Arial" w:cs="Arial"/>
          <w:kern w:val="0"/>
          <w:lang w:eastAsia="en-GB"/>
          <w14:ligatures w14:val="none"/>
        </w:rPr>
        <w:t xml:space="preserve"> time to accept other success criteria’, </w:t>
      </w:r>
      <w:r w:rsidRPr="00643DDA">
        <w:rPr>
          <w:rFonts w:ascii="Arial" w:eastAsia="Times New Roman" w:hAnsi="Arial" w:cs="Arial"/>
          <w:i/>
          <w:iCs/>
          <w:kern w:val="0"/>
          <w:lang w:eastAsia="en-GB"/>
          <w14:ligatures w14:val="none"/>
        </w:rPr>
        <w:t>International Journal of Project Management</w:t>
      </w:r>
      <w:r w:rsidRPr="00643DDA">
        <w:rPr>
          <w:rFonts w:ascii="Arial" w:eastAsia="Times New Roman" w:hAnsi="Arial" w:cs="Arial"/>
          <w:kern w:val="0"/>
          <w:lang w:eastAsia="en-GB"/>
          <w14:ligatures w14:val="none"/>
        </w:rPr>
        <w:t>, 17(6), pp. 337–342.</w:t>
      </w:r>
    </w:p>
    <w:p w14:paraId="1FDC6E42"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Doran, G.T. (1981) ‘There’s a S.M.A.R.T. way to write management’s goals and objectives’, </w:t>
      </w:r>
      <w:r w:rsidRPr="00643DDA">
        <w:rPr>
          <w:rFonts w:ascii="Arial" w:eastAsia="Times New Roman" w:hAnsi="Arial" w:cs="Arial"/>
          <w:i/>
          <w:iCs/>
          <w:kern w:val="0"/>
          <w:lang w:eastAsia="en-GB"/>
          <w14:ligatures w14:val="none"/>
        </w:rPr>
        <w:t>Management Review</w:t>
      </w:r>
      <w:r w:rsidRPr="00643DDA">
        <w:rPr>
          <w:rFonts w:ascii="Arial" w:eastAsia="Times New Roman" w:hAnsi="Arial" w:cs="Arial"/>
          <w:kern w:val="0"/>
          <w:lang w:eastAsia="en-GB"/>
          <w14:ligatures w14:val="none"/>
        </w:rPr>
        <w:t>, 70(11), pp. 35–36.</w:t>
      </w:r>
    </w:p>
    <w:p w14:paraId="667E953E"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Health and Safety Executive (2015) </w:t>
      </w:r>
      <w:r w:rsidRPr="00643DDA">
        <w:rPr>
          <w:rFonts w:ascii="Arial" w:eastAsia="Times New Roman" w:hAnsi="Arial" w:cs="Arial"/>
          <w:i/>
          <w:iCs/>
          <w:kern w:val="0"/>
          <w:lang w:eastAsia="en-GB"/>
          <w14:ligatures w14:val="none"/>
        </w:rPr>
        <w:t>Managing for Health and Safety (HSG65)</w:t>
      </w:r>
      <w:r w:rsidRPr="00643DDA">
        <w:rPr>
          <w:rFonts w:ascii="Arial" w:eastAsia="Times New Roman" w:hAnsi="Arial" w:cs="Arial"/>
          <w:kern w:val="0"/>
          <w:lang w:eastAsia="en-GB"/>
          <w14:ligatures w14:val="none"/>
        </w:rPr>
        <w:t>. London: HSE.</w:t>
      </w:r>
    </w:p>
    <w:p w14:paraId="21305F5D"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International Organization for Standardization (2015) </w:t>
      </w:r>
      <w:r w:rsidRPr="00643DDA">
        <w:rPr>
          <w:rFonts w:ascii="Arial" w:eastAsia="Times New Roman" w:hAnsi="Arial" w:cs="Arial"/>
          <w:i/>
          <w:iCs/>
          <w:kern w:val="0"/>
          <w:lang w:eastAsia="en-GB"/>
          <w14:ligatures w14:val="none"/>
        </w:rPr>
        <w:t>ISO 9001:2015 Quality Management Systems – Requirements</w:t>
      </w:r>
      <w:r w:rsidRPr="00643DDA">
        <w:rPr>
          <w:rFonts w:ascii="Arial" w:eastAsia="Times New Roman" w:hAnsi="Arial" w:cs="Arial"/>
          <w:kern w:val="0"/>
          <w:lang w:eastAsia="en-GB"/>
          <w14:ligatures w14:val="none"/>
        </w:rPr>
        <w:t>. Geneva: International Organization for Standardization.</w:t>
      </w:r>
    </w:p>
    <w:p w14:paraId="57C74594"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International Organization for Standardization (2018) </w:t>
      </w:r>
      <w:r w:rsidRPr="00643DDA">
        <w:rPr>
          <w:rFonts w:ascii="Arial" w:eastAsia="Times New Roman" w:hAnsi="Arial" w:cs="Arial"/>
          <w:i/>
          <w:iCs/>
          <w:kern w:val="0"/>
          <w:lang w:eastAsia="en-GB"/>
          <w14:ligatures w14:val="none"/>
        </w:rPr>
        <w:t>ISO 31000:2018 Risk Management – Guidelines</w:t>
      </w:r>
      <w:r w:rsidRPr="00643DDA">
        <w:rPr>
          <w:rFonts w:ascii="Arial" w:eastAsia="Times New Roman" w:hAnsi="Arial" w:cs="Arial"/>
          <w:kern w:val="0"/>
          <w:lang w:eastAsia="en-GB"/>
          <w14:ligatures w14:val="none"/>
        </w:rPr>
        <w:t>. Geneva: International Organization for Standardization.</w:t>
      </w:r>
    </w:p>
    <w:p w14:paraId="12C533F5"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Kerzner, H. (2022) </w:t>
      </w:r>
      <w:r w:rsidRPr="00643DDA">
        <w:rPr>
          <w:rFonts w:ascii="Arial" w:eastAsia="Times New Roman" w:hAnsi="Arial" w:cs="Arial"/>
          <w:i/>
          <w:iCs/>
          <w:kern w:val="0"/>
          <w:lang w:eastAsia="en-GB"/>
          <w14:ligatures w14:val="none"/>
        </w:rPr>
        <w:t>Project Management: A Systems Approach to Planning, Scheduling, and Controlling</w:t>
      </w:r>
      <w:r w:rsidRPr="00643DDA">
        <w:rPr>
          <w:rFonts w:ascii="Arial" w:eastAsia="Times New Roman" w:hAnsi="Arial" w:cs="Arial"/>
          <w:kern w:val="0"/>
          <w:lang w:eastAsia="en-GB"/>
          <w14:ligatures w14:val="none"/>
        </w:rPr>
        <w:t xml:space="preserve">. 13th </w:t>
      </w:r>
      <w:proofErr w:type="spellStart"/>
      <w:r w:rsidRPr="00643DDA">
        <w:rPr>
          <w:rFonts w:ascii="Arial" w:eastAsia="Times New Roman" w:hAnsi="Arial" w:cs="Arial"/>
          <w:kern w:val="0"/>
          <w:lang w:eastAsia="en-GB"/>
          <w14:ligatures w14:val="none"/>
        </w:rPr>
        <w:t>edn</w:t>
      </w:r>
      <w:proofErr w:type="spellEnd"/>
      <w:r w:rsidRPr="00643DDA">
        <w:rPr>
          <w:rFonts w:ascii="Arial" w:eastAsia="Times New Roman" w:hAnsi="Arial" w:cs="Arial"/>
          <w:kern w:val="0"/>
          <w:lang w:eastAsia="en-GB"/>
          <w14:ligatures w14:val="none"/>
        </w:rPr>
        <w:t>. Hoboken, NJ: Wiley.</w:t>
      </w:r>
    </w:p>
    <w:p w14:paraId="3266F4C7"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OECD (2021) </w:t>
      </w:r>
      <w:r w:rsidRPr="00643DDA">
        <w:rPr>
          <w:rFonts w:ascii="Arial" w:eastAsia="Times New Roman" w:hAnsi="Arial" w:cs="Arial"/>
          <w:i/>
          <w:iCs/>
          <w:kern w:val="0"/>
          <w:lang w:eastAsia="en-GB"/>
          <w14:ligatures w14:val="none"/>
        </w:rPr>
        <w:t>OECD Regional Outlook 2021: Addressing COVID-19 and Moving to Net Zero Greenhouse Gas Emissions</w:t>
      </w:r>
      <w:r w:rsidRPr="00643DDA">
        <w:rPr>
          <w:rFonts w:ascii="Arial" w:eastAsia="Times New Roman" w:hAnsi="Arial" w:cs="Arial"/>
          <w:kern w:val="0"/>
          <w:lang w:eastAsia="en-GB"/>
          <w14:ligatures w14:val="none"/>
        </w:rPr>
        <w:t>. Paris: OECD Publishing.</w:t>
      </w:r>
    </w:p>
    <w:p w14:paraId="32C947AB"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Project Management Institute (2021) </w:t>
      </w:r>
      <w:r w:rsidRPr="00643DDA">
        <w:rPr>
          <w:rFonts w:ascii="Arial" w:eastAsia="Times New Roman" w:hAnsi="Arial" w:cs="Arial"/>
          <w:i/>
          <w:iCs/>
          <w:kern w:val="0"/>
          <w:lang w:eastAsia="en-GB"/>
          <w14:ligatures w14:val="none"/>
        </w:rPr>
        <w:t>A Guide to the Project Management Body of Knowledge (PMBOK® Guide)</w:t>
      </w:r>
      <w:r w:rsidRPr="00643DDA">
        <w:rPr>
          <w:rFonts w:ascii="Arial" w:eastAsia="Times New Roman" w:hAnsi="Arial" w:cs="Arial"/>
          <w:kern w:val="0"/>
          <w:lang w:eastAsia="en-GB"/>
          <w14:ligatures w14:val="none"/>
        </w:rPr>
        <w:t xml:space="preserve">. 7th </w:t>
      </w:r>
      <w:proofErr w:type="spellStart"/>
      <w:r w:rsidRPr="00643DDA">
        <w:rPr>
          <w:rFonts w:ascii="Arial" w:eastAsia="Times New Roman" w:hAnsi="Arial" w:cs="Arial"/>
          <w:kern w:val="0"/>
          <w:lang w:eastAsia="en-GB"/>
          <w14:ligatures w14:val="none"/>
        </w:rPr>
        <w:t>edn</w:t>
      </w:r>
      <w:proofErr w:type="spellEnd"/>
      <w:r w:rsidRPr="00643DDA">
        <w:rPr>
          <w:rFonts w:ascii="Arial" w:eastAsia="Times New Roman" w:hAnsi="Arial" w:cs="Arial"/>
          <w:kern w:val="0"/>
          <w:lang w:eastAsia="en-GB"/>
          <w14:ligatures w14:val="none"/>
        </w:rPr>
        <w:t>. Newtown Square, PA: Project Management Institute.</w:t>
      </w:r>
    </w:p>
    <w:p w14:paraId="6ECF28A2" w14:textId="77777777" w:rsidR="00643DDA" w:rsidRPr="00643DDA" w:rsidRDefault="00643DDA" w:rsidP="00643DDA">
      <w:pPr>
        <w:numPr>
          <w:ilvl w:val="0"/>
          <w:numId w:val="13"/>
        </w:numPr>
        <w:spacing w:before="100" w:beforeAutospacing="1" w:after="100" w:afterAutospacing="1"/>
        <w:rPr>
          <w:rFonts w:ascii="Arial" w:eastAsia="Times New Roman" w:hAnsi="Arial" w:cs="Arial"/>
          <w:kern w:val="0"/>
          <w:lang w:eastAsia="en-GB"/>
          <w14:ligatures w14:val="none"/>
        </w:rPr>
      </w:pPr>
      <w:r w:rsidRPr="00643DDA">
        <w:rPr>
          <w:rFonts w:ascii="Arial" w:eastAsia="Times New Roman" w:hAnsi="Arial" w:cs="Arial"/>
          <w:kern w:val="0"/>
          <w:lang w:eastAsia="en-GB"/>
          <w14:ligatures w14:val="none"/>
        </w:rPr>
        <w:t xml:space="preserve">United Nations Office for Disaster Risk Reduction (UNDRR) (2015) </w:t>
      </w:r>
      <w:r w:rsidRPr="00643DDA">
        <w:rPr>
          <w:rFonts w:ascii="Arial" w:eastAsia="Times New Roman" w:hAnsi="Arial" w:cs="Arial"/>
          <w:i/>
          <w:iCs/>
          <w:kern w:val="0"/>
          <w:lang w:eastAsia="en-GB"/>
          <w14:ligatures w14:val="none"/>
        </w:rPr>
        <w:t>Sendai Framework for Disaster Risk Reduction 2015–2030</w:t>
      </w:r>
      <w:r w:rsidRPr="00643DDA">
        <w:rPr>
          <w:rFonts w:ascii="Arial" w:eastAsia="Times New Roman" w:hAnsi="Arial" w:cs="Arial"/>
          <w:kern w:val="0"/>
          <w:lang w:eastAsia="en-GB"/>
          <w14:ligatures w14:val="none"/>
        </w:rPr>
        <w:t>. Geneva: United Nations Office for Disaster Risk Reduction.</w:t>
      </w:r>
    </w:p>
    <w:p w14:paraId="1C56D3ED" w14:textId="77777777" w:rsidR="00643DDA" w:rsidRPr="00643DDA" w:rsidRDefault="00643DDA" w:rsidP="00643DDA">
      <w:pPr>
        <w:numPr>
          <w:ilvl w:val="0"/>
          <w:numId w:val="13"/>
        </w:numPr>
        <w:spacing w:before="100" w:beforeAutospacing="1" w:after="100" w:afterAutospacing="1"/>
        <w:rPr>
          <w:rFonts w:ascii="Arial" w:eastAsia="Times New Roman" w:hAnsi="Arial" w:cs="Arial"/>
          <w:b/>
          <w:bCs/>
          <w:kern w:val="0"/>
          <w:u w:val="single"/>
          <w:lang w:eastAsia="en-GB"/>
          <w14:ligatures w14:val="none"/>
        </w:rPr>
      </w:pPr>
      <w:r w:rsidRPr="00643DDA">
        <w:rPr>
          <w:rFonts w:ascii="Arial" w:eastAsia="Times New Roman" w:hAnsi="Arial" w:cs="Arial"/>
          <w:kern w:val="0"/>
          <w:lang w:eastAsia="en-GB"/>
          <w14:ligatures w14:val="none"/>
        </w:rPr>
        <w:t xml:space="preserve">Winch, G.M. (2010) </w:t>
      </w:r>
      <w:r w:rsidRPr="00643DDA">
        <w:rPr>
          <w:rFonts w:ascii="Arial" w:eastAsia="Times New Roman" w:hAnsi="Arial" w:cs="Arial"/>
          <w:i/>
          <w:iCs/>
          <w:kern w:val="0"/>
          <w:lang w:eastAsia="en-GB"/>
          <w14:ligatures w14:val="none"/>
        </w:rPr>
        <w:t>Managing Construction Projects: An Information Processing Approach</w:t>
      </w:r>
      <w:r w:rsidRPr="00643DDA">
        <w:rPr>
          <w:rFonts w:ascii="Arial" w:eastAsia="Times New Roman" w:hAnsi="Arial" w:cs="Arial"/>
          <w:kern w:val="0"/>
          <w:lang w:eastAsia="en-GB"/>
          <w14:ligatures w14:val="none"/>
        </w:rPr>
        <w:t xml:space="preserve">. 2nd </w:t>
      </w:r>
      <w:proofErr w:type="spellStart"/>
      <w:r w:rsidRPr="00643DDA">
        <w:rPr>
          <w:rFonts w:ascii="Arial" w:eastAsia="Times New Roman" w:hAnsi="Arial" w:cs="Arial"/>
          <w:kern w:val="0"/>
          <w:lang w:eastAsia="en-GB"/>
          <w14:ligatures w14:val="none"/>
        </w:rPr>
        <w:t>edn</w:t>
      </w:r>
      <w:proofErr w:type="spellEnd"/>
      <w:r w:rsidRPr="00643DDA">
        <w:rPr>
          <w:rFonts w:ascii="Arial" w:eastAsia="Times New Roman" w:hAnsi="Arial" w:cs="Arial"/>
          <w:kern w:val="0"/>
          <w:lang w:eastAsia="en-GB"/>
          <w14:ligatures w14:val="none"/>
        </w:rPr>
        <w:t>. Chichester: Wiley-Blackwell.</w:t>
      </w:r>
    </w:p>
    <w:p w14:paraId="436F7F2B" w14:textId="77777777" w:rsidR="00643DDA" w:rsidRPr="00891873" w:rsidRDefault="00643DDA" w:rsidP="00891873">
      <w:pPr>
        <w:spacing w:before="100" w:beforeAutospacing="1" w:after="100" w:afterAutospacing="1"/>
        <w:rPr>
          <w:rFonts w:ascii="Arial" w:eastAsia="Times New Roman" w:hAnsi="Arial" w:cs="Arial"/>
          <w:kern w:val="0"/>
          <w:lang w:eastAsia="en-GB"/>
          <w14:ligatures w14:val="none"/>
        </w:rPr>
      </w:pPr>
    </w:p>
    <w:sectPr w:rsidR="00643DDA" w:rsidRPr="008918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17C7A"/>
    <w:multiLevelType w:val="multilevel"/>
    <w:tmpl w:val="4EB2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A6766"/>
    <w:multiLevelType w:val="multilevel"/>
    <w:tmpl w:val="1C08E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AD6860"/>
    <w:multiLevelType w:val="multilevel"/>
    <w:tmpl w:val="E61E9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111F3"/>
    <w:multiLevelType w:val="multilevel"/>
    <w:tmpl w:val="B9C8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C57CD"/>
    <w:multiLevelType w:val="multilevel"/>
    <w:tmpl w:val="55527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618E7"/>
    <w:multiLevelType w:val="multilevel"/>
    <w:tmpl w:val="0BFAF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D052B3"/>
    <w:multiLevelType w:val="multilevel"/>
    <w:tmpl w:val="E454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E90220"/>
    <w:multiLevelType w:val="multilevel"/>
    <w:tmpl w:val="E454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1F545F"/>
    <w:multiLevelType w:val="multilevel"/>
    <w:tmpl w:val="E4541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A33FB4"/>
    <w:multiLevelType w:val="multilevel"/>
    <w:tmpl w:val="50206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EA5447"/>
    <w:multiLevelType w:val="multilevel"/>
    <w:tmpl w:val="C9C6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281A46"/>
    <w:multiLevelType w:val="multilevel"/>
    <w:tmpl w:val="5E3A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7F3775"/>
    <w:multiLevelType w:val="hybridMultilevel"/>
    <w:tmpl w:val="BB229796"/>
    <w:lvl w:ilvl="0" w:tplc="F10E3DCE">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8A6A69"/>
    <w:multiLevelType w:val="multilevel"/>
    <w:tmpl w:val="201C3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2FD2F50"/>
    <w:multiLevelType w:val="multilevel"/>
    <w:tmpl w:val="7C868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3A13F3"/>
    <w:multiLevelType w:val="multilevel"/>
    <w:tmpl w:val="1686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8539B"/>
    <w:multiLevelType w:val="multilevel"/>
    <w:tmpl w:val="7346A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84071">
    <w:abstractNumId w:val="6"/>
  </w:num>
  <w:num w:numId="2" w16cid:durableId="358698945">
    <w:abstractNumId w:val="13"/>
  </w:num>
  <w:num w:numId="3" w16cid:durableId="927924422">
    <w:abstractNumId w:val="15"/>
  </w:num>
  <w:num w:numId="4" w16cid:durableId="1594556449">
    <w:abstractNumId w:val="10"/>
  </w:num>
  <w:num w:numId="5" w16cid:durableId="828135121">
    <w:abstractNumId w:val="2"/>
  </w:num>
  <w:num w:numId="6" w16cid:durableId="1320424029">
    <w:abstractNumId w:val="9"/>
  </w:num>
  <w:num w:numId="7" w16cid:durableId="654993624">
    <w:abstractNumId w:val="5"/>
  </w:num>
  <w:num w:numId="8" w16cid:durableId="1825853381">
    <w:abstractNumId w:val="0"/>
  </w:num>
  <w:num w:numId="9" w16cid:durableId="58947819">
    <w:abstractNumId w:val="14"/>
  </w:num>
  <w:num w:numId="10" w16cid:durableId="336348190">
    <w:abstractNumId w:val="4"/>
  </w:num>
  <w:num w:numId="11" w16cid:durableId="77099188">
    <w:abstractNumId w:val="11"/>
  </w:num>
  <w:num w:numId="12" w16cid:durableId="514462865">
    <w:abstractNumId w:val="16"/>
  </w:num>
  <w:num w:numId="13" w16cid:durableId="512499629">
    <w:abstractNumId w:val="3"/>
  </w:num>
  <w:num w:numId="14" w16cid:durableId="1609198427">
    <w:abstractNumId w:val="12"/>
  </w:num>
  <w:num w:numId="15" w16cid:durableId="1113595439">
    <w:abstractNumId w:val="7"/>
  </w:num>
  <w:num w:numId="16" w16cid:durableId="1464038780">
    <w:abstractNumId w:val="1"/>
  </w:num>
  <w:num w:numId="17" w16cid:durableId="1924029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4E"/>
    <w:rsid w:val="00085C32"/>
    <w:rsid w:val="000D2C3F"/>
    <w:rsid w:val="001851CA"/>
    <w:rsid w:val="001A2707"/>
    <w:rsid w:val="0023103E"/>
    <w:rsid w:val="00260BC6"/>
    <w:rsid w:val="0027208B"/>
    <w:rsid w:val="002849EF"/>
    <w:rsid w:val="002D2EC2"/>
    <w:rsid w:val="002F485A"/>
    <w:rsid w:val="00341D73"/>
    <w:rsid w:val="00357D4F"/>
    <w:rsid w:val="003742C4"/>
    <w:rsid w:val="003A044E"/>
    <w:rsid w:val="00406B65"/>
    <w:rsid w:val="00433681"/>
    <w:rsid w:val="00467C9A"/>
    <w:rsid w:val="00494426"/>
    <w:rsid w:val="004B6F80"/>
    <w:rsid w:val="00526E8D"/>
    <w:rsid w:val="005E6D51"/>
    <w:rsid w:val="0060149F"/>
    <w:rsid w:val="00626DF4"/>
    <w:rsid w:val="006364CC"/>
    <w:rsid w:val="006433C3"/>
    <w:rsid w:val="00643DDA"/>
    <w:rsid w:val="00670C6B"/>
    <w:rsid w:val="00675F68"/>
    <w:rsid w:val="006A41AF"/>
    <w:rsid w:val="00715056"/>
    <w:rsid w:val="00745312"/>
    <w:rsid w:val="0074673A"/>
    <w:rsid w:val="00762553"/>
    <w:rsid w:val="0079321B"/>
    <w:rsid w:val="007E0455"/>
    <w:rsid w:val="007E147C"/>
    <w:rsid w:val="007F2B35"/>
    <w:rsid w:val="0085185F"/>
    <w:rsid w:val="00891873"/>
    <w:rsid w:val="008B582B"/>
    <w:rsid w:val="00916B20"/>
    <w:rsid w:val="00956D72"/>
    <w:rsid w:val="00A164C5"/>
    <w:rsid w:val="00A25C8B"/>
    <w:rsid w:val="00B01F06"/>
    <w:rsid w:val="00B076AB"/>
    <w:rsid w:val="00B40E22"/>
    <w:rsid w:val="00B61079"/>
    <w:rsid w:val="00BD2BD2"/>
    <w:rsid w:val="00C24926"/>
    <w:rsid w:val="00CB3E60"/>
    <w:rsid w:val="00CC72B9"/>
    <w:rsid w:val="00DC67FE"/>
    <w:rsid w:val="00DD2339"/>
    <w:rsid w:val="00EF6C2D"/>
    <w:rsid w:val="00F16113"/>
    <w:rsid w:val="00F50D0C"/>
    <w:rsid w:val="00F57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2F672"/>
  <w15:chartTrackingRefBased/>
  <w15:docId w15:val="{421EDE78-3E0D-4418-A201-CFB5B980C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04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04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04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04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04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04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04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04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04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04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04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04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04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04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04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04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04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044E"/>
    <w:rPr>
      <w:rFonts w:eastAsiaTheme="majorEastAsia" w:cstheme="majorBidi"/>
      <w:color w:val="272727" w:themeColor="text1" w:themeTint="D8"/>
    </w:rPr>
  </w:style>
  <w:style w:type="paragraph" w:styleId="Title">
    <w:name w:val="Title"/>
    <w:basedOn w:val="Normal"/>
    <w:next w:val="Normal"/>
    <w:link w:val="TitleChar"/>
    <w:uiPriority w:val="10"/>
    <w:qFormat/>
    <w:rsid w:val="003A0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04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04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04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044E"/>
    <w:pPr>
      <w:spacing w:before="160"/>
      <w:jc w:val="center"/>
    </w:pPr>
    <w:rPr>
      <w:i/>
      <w:iCs/>
      <w:color w:val="404040" w:themeColor="text1" w:themeTint="BF"/>
    </w:rPr>
  </w:style>
  <w:style w:type="character" w:customStyle="1" w:styleId="QuoteChar">
    <w:name w:val="Quote Char"/>
    <w:basedOn w:val="DefaultParagraphFont"/>
    <w:link w:val="Quote"/>
    <w:uiPriority w:val="29"/>
    <w:rsid w:val="003A044E"/>
    <w:rPr>
      <w:i/>
      <w:iCs/>
      <w:color w:val="404040" w:themeColor="text1" w:themeTint="BF"/>
    </w:rPr>
  </w:style>
  <w:style w:type="paragraph" w:styleId="ListParagraph">
    <w:name w:val="List Paragraph"/>
    <w:basedOn w:val="Normal"/>
    <w:uiPriority w:val="34"/>
    <w:qFormat/>
    <w:rsid w:val="003A044E"/>
    <w:pPr>
      <w:ind w:left="720"/>
      <w:contextualSpacing/>
    </w:pPr>
  </w:style>
  <w:style w:type="character" w:styleId="IntenseEmphasis">
    <w:name w:val="Intense Emphasis"/>
    <w:basedOn w:val="DefaultParagraphFont"/>
    <w:uiPriority w:val="21"/>
    <w:qFormat/>
    <w:rsid w:val="003A044E"/>
    <w:rPr>
      <w:i/>
      <w:iCs/>
      <w:color w:val="0F4761" w:themeColor="accent1" w:themeShade="BF"/>
    </w:rPr>
  </w:style>
  <w:style w:type="paragraph" w:styleId="IntenseQuote">
    <w:name w:val="Intense Quote"/>
    <w:basedOn w:val="Normal"/>
    <w:next w:val="Normal"/>
    <w:link w:val="IntenseQuoteChar"/>
    <w:uiPriority w:val="30"/>
    <w:qFormat/>
    <w:rsid w:val="003A04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044E"/>
    <w:rPr>
      <w:i/>
      <w:iCs/>
      <w:color w:val="0F4761" w:themeColor="accent1" w:themeShade="BF"/>
    </w:rPr>
  </w:style>
  <w:style w:type="character" w:styleId="IntenseReference">
    <w:name w:val="Intense Reference"/>
    <w:basedOn w:val="DefaultParagraphFont"/>
    <w:uiPriority w:val="32"/>
    <w:qFormat/>
    <w:rsid w:val="003A044E"/>
    <w:rPr>
      <w:b/>
      <w:bCs/>
      <w:smallCaps/>
      <w:color w:val="0F4761" w:themeColor="accent1" w:themeShade="BF"/>
      <w:spacing w:val="5"/>
    </w:rPr>
  </w:style>
  <w:style w:type="paragraph" w:styleId="NormalWeb">
    <w:name w:val="Normal (Web)"/>
    <w:basedOn w:val="Normal"/>
    <w:uiPriority w:val="99"/>
    <w:unhideWhenUsed/>
    <w:rsid w:val="003A044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isselectedend">
    <w:name w:val="isselectedend"/>
    <w:basedOn w:val="Normal"/>
    <w:rsid w:val="0043368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33681"/>
    <w:rPr>
      <w:b/>
      <w:bCs/>
    </w:rPr>
  </w:style>
  <w:style w:type="character" w:styleId="Emphasis">
    <w:name w:val="Emphasis"/>
    <w:basedOn w:val="DefaultParagraphFont"/>
    <w:uiPriority w:val="20"/>
    <w:qFormat/>
    <w:rsid w:val="0043368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3630</Words>
  <Characters>20691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Wiggetts (2220245)</dc:creator>
  <cp:keywords/>
  <dc:description/>
  <cp:lastModifiedBy>Katrina Wiggetts (2220245)</cp:lastModifiedBy>
  <cp:revision>2</cp:revision>
  <dcterms:created xsi:type="dcterms:W3CDTF">2026-08-04T18:01:00Z</dcterms:created>
  <dcterms:modified xsi:type="dcterms:W3CDTF">2026-08-04T18:01:00Z</dcterms:modified>
</cp:coreProperties>
</file>