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10F02" w14:textId="77777777" w:rsidR="00AC3D69" w:rsidRPr="00AC3D69" w:rsidRDefault="00AC3D69" w:rsidP="00AC3D69">
      <w:pPr>
        <w:pStyle w:val="NormalWeb"/>
        <w:spacing w:before="0" w:beforeAutospacing="0" w:after="0" w:afterAutospacing="0" w:line="360" w:lineRule="auto"/>
        <w:jc w:val="center"/>
        <w:rPr>
          <w:b/>
        </w:rPr>
      </w:pPr>
    </w:p>
    <w:p w14:paraId="3EC9B7FD" w14:textId="77777777" w:rsidR="00AC3D69" w:rsidRPr="00AC3D69" w:rsidRDefault="00AC3D69" w:rsidP="00AC3D69">
      <w:pPr>
        <w:pStyle w:val="NormalWeb"/>
        <w:spacing w:before="0" w:beforeAutospacing="0" w:after="0" w:afterAutospacing="0" w:line="360" w:lineRule="auto"/>
        <w:jc w:val="center"/>
        <w:rPr>
          <w:b/>
        </w:rPr>
      </w:pPr>
    </w:p>
    <w:p w14:paraId="5BA42CEA" w14:textId="77777777" w:rsidR="00AC3D69" w:rsidRPr="00AC3D69" w:rsidRDefault="00AC3D69" w:rsidP="00AC3D69">
      <w:pPr>
        <w:pStyle w:val="NormalWeb"/>
        <w:spacing w:before="0" w:beforeAutospacing="0" w:after="0" w:afterAutospacing="0" w:line="360" w:lineRule="auto"/>
        <w:jc w:val="center"/>
        <w:rPr>
          <w:b/>
        </w:rPr>
      </w:pPr>
    </w:p>
    <w:p w14:paraId="445BFC34" w14:textId="77777777" w:rsidR="00AC3D69" w:rsidRPr="00AC3D69" w:rsidRDefault="00AC3D69" w:rsidP="00AC3D69">
      <w:pPr>
        <w:pStyle w:val="NormalWeb"/>
        <w:spacing w:before="0" w:beforeAutospacing="0" w:after="0" w:afterAutospacing="0" w:line="360" w:lineRule="auto"/>
        <w:jc w:val="center"/>
        <w:rPr>
          <w:b/>
        </w:rPr>
      </w:pPr>
    </w:p>
    <w:p w14:paraId="17E71FA6" w14:textId="77777777" w:rsidR="00AC3D69" w:rsidRPr="00AC3D69" w:rsidRDefault="00AC3D69" w:rsidP="00AC3D69">
      <w:pPr>
        <w:pStyle w:val="NormalWeb"/>
        <w:spacing w:before="0" w:beforeAutospacing="0" w:after="0" w:afterAutospacing="0" w:line="360" w:lineRule="auto"/>
        <w:jc w:val="center"/>
        <w:rPr>
          <w:b/>
        </w:rPr>
      </w:pPr>
    </w:p>
    <w:p w14:paraId="18B5E518" w14:textId="77777777" w:rsidR="00AC3D69" w:rsidRPr="00AC3D69" w:rsidRDefault="00AC3D69" w:rsidP="00AC3D69">
      <w:pPr>
        <w:pStyle w:val="NormalWeb"/>
        <w:spacing w:before="0" w:beforeAutospacing="0" w:after="0" w:afterAutospacing="0" w:line="360" w:lineRule="auto"/>
        <w:jc w:val="center"/>
        <w:rPr>
          <w:b/>
        </w:rPr>
      </w:pPr>
    </w:p>
    <w:p w14:paraId="15228FA1" w14:textId="77777777" w:rsidR="00AC3D69" w:rsidRPr="00AC3D69" w:rsidRDefault="00AC3D69" w:rsidP="00AC3D69">
      <w:pPr>
        <w:pStyle w:val="NormalWeb"/>
        <w:spacing w:before="0" w:beforeAutospacing="0" w:after="0" w:afterAutospacing="0" w:line="360" w:lineRule="auto"/>
        <w:jc w:val="center"/>
        <w:rPr>
          <w:b/>
        </w:rPr>
      </w:pPr>
    </w:p>
    <w:p w14:paraId="69ECD905" w14:textId="77777777" w:rsidR="00AC3D69" w:rsidRPr="00AC3D69" w:rsidRDefault="00AC3D69" w:rsidP="00AC3D69">
      <w:pPr>
        <w:pStyle w:val="NormalWeb"/>
        <w:spacing w:before="0" w:beforeAutospacing="0" w:after="0" w:afterAutospacing="0" w:line="360" w:lineRule="auto"/>
        <w:jc w:val="center"/>
        <w:rPr>
          <w:b/>
        </w:rPr>
      </w:pPr>
    </w:p>
    <w:p w14:paraId="3E4E843C" w14:textId="77777777" w:rsidR="00AC3D69" w:rsidRPr="00AC3D69" w:rsidRDefault="00AC3D69" w:rsidP="00AC3D69">
      <w:pPr>
        <w:pStyle w:val="NormalWeb"/>
        <w:spacing w:before="0" w:beforeAutospacing="0" w:after="0" w:afterAutospacing="0" w:line="360" w:lineRule="auto"/>
        <w:jc w:val="center"/>
        <w:rPr>
          <w:b/>
        </w:rPr>
      </w:pPr>
    </w:p>
    <w:p w14:paraId="6533CF75" w14:textId="77777777" w:rsidR="00AC3D69" w:rsidRPr="00AC3D69" w:rsidRDefault="00AC3D69" w:rsidP="00AC3D69">
      <w:pPr>
        <w:pStyle w:val="NormalWeb"/>
        <w:spacing w:before="0" w:beforeAutospacing="0" w:after="0" w:afterAutospacing="0" w:line="360" w:lineRule="auto"/>
        <w:jc w:val="center"/>
        <w:rPr>
          <w:b/>
        </w:rPr>
      </w:pPr>
    </w:p>
    <w:p w14:paraId="0FAA974B" w14:textId="77777777" w:rsidR="00AC3D69" w:rsidRPr="00AC3D69" w:rsidRDefault="00AC3D69" w:rsidP="00AC3D69">
      <w:pPr>
        <w:pStyle w:val="NormalWeb"/>
        <w:spacing w:before="0" w:beforeAutospacing="0" w:after="0" w:afterAutospacing="0" w:line="360" w:lineRule="auto"/>
        <w:jc w:val="center"/>
        <w:rPr>
          <w:b/>
        </w:rPr>
      </w:pPr>
    </w:p>
    <w:p w14:paraId="1E7ADF48" w14:textId="77777777" w:rsidR="00AC3D69" w:rsidRPr="007345C5" w:rsidRDefault="00AC3D69" w:rsidP="00AC3D69">
      <w:pPr>
        <w:pStyle w:val="NormalWeb"/>
        <w:spacing w:before="0" w:beforeAutospacing="0" w:after="0" w:afterAutospacing="0" w:line="360" w:lineRule="auto"/>
        <w:jc w:val="center"/>
        <w:rPr>
          <w:rFonts w:ascii="Arial" w:hAnsi="Arial" w:cs="Arial"/>
          <w:b/>
        </w:rPr>
      </w:pPr>
    </w:p>
    <w:p w14:paraId="6AD4881F" w14:textId="77777777" w:rsidR="00AC3D69" w:rsidRPr="007345C5" w:rsidRDefault="00AC3D69" w:rsidP="00AC3D69">
      <w:pPr>
        <w:pStyle w:val="NormalWeb"/>
        <w:spacing w:before="0" w:beforeAutospacing="0" w:after="0" w:afterAutospacing="0" w:line="360" w:lineRule="auto"/>
        <w:jc w:val="center"/>
        <w:rPr>
          <w:rFonts w:ascii="Arial" w:hAnsi="Arial" w:cs="Arial"/>
          <w:b/>
        </w:rPr>
      </w:pPr>
    </w:p>
    <w:p w14:paraId="76770B96" w14:textId="77777777" w:rsidR="00AC3D69" w:rsidRPr="007345C5" w:rsidRDefault="00AC3D69" w:rsidP="00AC3D69">
      <w:pPr>
        <w:pStyle w:val="NormalWeb"/>
        <w:spacing w:before="0" w:beforeAutospacing="0" w:after="0" w:afterAutospacing="0" w:line="360" w:lineRule="auto"/>
        <w:jc w:val="center"/>
        <w:rPr>
          <w:rFonts w:ascii="Arial" w:hAnsi="Arial" w:cs="Arial"/>
          <w:b/>
        </w:rPr>
      </w:pPr>
      <w:r w:rsidRPr="007345C5">
        <w:rPr>
          <w:rFonts w:ascii="Arial" w:hAnsi="Arial" w:cs="Arial"/>
          <w:b/>
        </w:rPr>
        <w:t>Employee Engagement</w:t>
      </w:r>
    </w:p>
    <w:p w14:paraId="50048349" w14:textId="500B752B" w:rsidR="00AC3D69" w:rsidRPr="007345C5" w:rsidRDefault="00AC3D69" w:rsidP="00AC3D69">
      <w:pPr>
        <w:pStyle w:val="NormalWeb"/>
        <w:spacing w:line="360" w:lineRule="auto"/>
        <w:jc w:val="center"/>
        <w:rPr>
          <w:rFonts w:ascii="Arial" w:hAnsi="Arial" w:cs="Arial"/>
        </w:rPr>
      </w:pPr>
      <w:r w:rsidRPr="007345C5">
        <w:rPr>
          <w:rFonts w:ascii="Arial" w:hAnsi="Arial" w:cs="Arial"/>
        </w:rPr>
        <w:t>Student Id-Number:</w:t>
      </w:r>
      <w:r w:rsidR="003D0AE7">
        <w:rPr>
          <w:rFonts w:ascii="Arial" w:hAnsi="Arial" w:cs="Arial"/>
        </w:rPr>
        <w:t xml:space="preserve"> </w:t>
      </w:r>
      <w:proofErr w:type="spellStart"/>
      <w:r w:rsidR="003D0AE7">
        <w:rPr>
          <w:rFonts w:ascii="Arial" w:hAnsi="Arial" w:cs="Arial"/>
        </w:rPr>
        <w:t>Elisabeta</w:t>
      </w:r>
      <w:proofErr w:type="spellEnd"/>
      <w:r w:rsidR="003D0AE7">
        <w:rPr>
          <w:rFonts w:ascii="Arial" w:hAnsi="Arial" w:cs="Arial"/>
        </w:rPr>
        <w:t xml:space="preserve"> </w:t>
      </w:r>
      <w:proofErr w:type="spellStart"/>
      <w:r w:rsidR="003D0AE7">
        <w:rPr>
          <w:rFonts w:ascii="Arial" w:hAnsi="Arial" w:cs="Arial"/>
        </w:rPr>
        <w:t>Turtulea</w:t>
      </w:r>
      <w:proofErr w:type="spellEnd"/>
    </w:p>
    <w:p w14:paraId="582D62DB" w14:textId="64F80947" w:rsidR="00AC3D69" w:rsidRPr="007345C5" w:rsidRDefault="003D0AE7" w:rsidP="00AC3D69">
      <w:pPr>
        <w:pStyle w:val="NormalWeb"/>
        <w:spacing w:line="360" w:lineRule="auto"/>
        <w:jc w:val="center"/>
        <w:rPr>
          <w:rFonts w:ascii="Arial" w:hAnsi="Arial" w:cs="Arial"/>
        </w:rPr>
      </w:pPr>
      <w:r>
        <w:rPr>
          <w:rFonts w:ascii="Arial" w:hAnsi="Arial" w:cs="Arial"/>
        </w:rPr>
        <w:t xml:space="preserve">Student ID: </w:t>
      </w:r>
      <w:r w:rsidRPr="003D0AE7">
        <w:rPr>
          <w:rFonts w:ascii="Arial" w:hAnsi="Arial" w:cs="Arial"/>
        </w:rPr>
        <w:t>2121901</w:t>
      </w:r>
    </w:p>
    <w:p w14:paraId="1F7B2FEC" w14:textId="77777777" w:rsidR="00AC3D69" w:rsidRPr="00AC3D69" w:rsidRDefault="00AC3D69" w:rsidP="00AC3D69">
      <w:pPr>
        <w:spacing w:line="360" w:lineRule="auto"/>
        <w:jc w:val="center"/>
        <w:rPr>
          <w:rFonts w:ascii="Times New Roman" w:eastAsia="Times New Roman" w:hAnsi="Times New Roman" w:cs="Times New Roman"/>
          <w:sz w:val="24"/>
          <w:szCs w:val="24"/>
          <w:lang w:val="en-US"/>
        </w:rPr>
      </w:pPr>
      <w:r w:rsidRPr="00AC3D69">
        <w:rPr>
          <w:rFonts w:ascii="Times New Roman" w:hAnsi="Times New Roman" w:cs="Times New Roman"/>
          <w:sz w:val="24"/>
          <w:szCs w:val="24"/>
        </w:rPr>
        <w:br w:type="page"/>
      </w:r>
    </w:p>
    <w:p w14:paraId="53EA4674" w14:textId="77777777" w:rsidR="00AC3D69" w:rsidRPr="00AC3D69" w:rsidRDefault="00AC3D69" w:rsidP="005030EC">
      <w:pPr>
        <w:pStyle w:val="NormalWeb"/>
        <w:spacing w:before="0" w:beforeAutospacing="0" w:after="0" w:afterAutospacing="0" w:line="360" w:lineRule="auto"/>
        <w:rPr>
          <w:rFonts w:ascii="Arial" w:hAnsi="Arial" w:cs="Arial"/>
          <w:sz w:val="19"/>
          <w:szCs w:val="19"/>
        </w:rPr>
      </w:pPr>
    </w:p>
    <w:p w14:paraId="5D9DA230" w14:textId="77777777" w:rsidR="007345C5" w:rsidRPr="007345C5" w:rsidRDefault="007345C5" w:rsidP="007345C5">
      <w:pPr>
        <w:pStyle w:val="Heading1"/>
        <w:spacing w:before="120" w:line="240" w:lineRule="auto"/>
        <w:rPr>
          <w:rFonts w:ascii="Arial" w:hAnsi="Arial" w:cs="Arial"/>
          <w:b/>
          <w:bCs/>
          <w:color w:val="000000" w:themeColor="text1"/>
          <w:sz w:val="24"/>
          <w:szCs w:val="24"/>
          <w:shd w:val="clear" w:color="auto" w:fill="FAFAFA"/>
        </w:rPr>
      </w:pPr>
      <w:r w:rsidRPr="007345C5">
        <w:rPr>
          <w:rFonts w:ascii="Arial" w:hAnsi="Arial" w:cs="Arial"/>
          <w:b/>
          <w:bCs/>
          <w:color w:val="000000" w:themeColor="text1"/>
          <w:sz w:val="24"/>
          <w:szCs w:val="24"/>
          <w:shd w:val="clear" w:color="auto" w:fill="FAFAFA"/>
        </w:rPr>
        <w:t>How to engage employees throughout the employee lifecycle</w:t>
      </w:r>
    </w:p>
    <w:p w14:paraId="0363E14F" w14:textId="77777777" w:rsidR="005030EC" w:rsidRPr="007345C5" w:rsidRDefault="005030EC" w:rsidP="007345C5">
      <w:pPr>
        <w:pStyle w:val="NormalWeb"/>
        <w:spacing w:before="0" w:beforeAutospacing="0" w:after="0" w:afterAutospacing="0" w:line="360" w:lineRule="auto"/>
        <w:ind w:firstLine="720"/>
        <w:jc w:val="both"/>
        <w:rPr>
          <w:rFonts w:ascii="Arial" w:hAnsi="Arial" w:cs="Arial"/>
          <w:color w:val="0E101A"/>
        </w:rPr>
      </w:pPr>
      <w:r w:rsidRPr="007345C5">
        <w:rPr>
          <w:rFonts w:ascii="Arial" w:hAnsi="Arial" w:cs="Arial"/>
          <w:color w:val="0E101A"/>
        </w:rPr>
        <w:t>Hotels compete with one another to draw and keep customers, making the hospitality sector one of the most globally competitive industries. As a result, the Human Resources (HR) division of a large hotel needs to be well-equipped to guarantee that it can draw in, hire, onboard, grow, keep, and eventually part ways with its staff</w:t>
      </w:r>
      <w:r w:rsidRPr="007345C5">
        <w:rPr>
          <w:rFonts w:ascii="Arial" w:hAnsi="Arial" w:cs="Arial"/>
          <w:color w:val="000000"/>
          <w:shd w:val="clear" w:color="auto" w:fill="FFFFFF"/>
        </w:rPr>
        <w:t xml:space="preserve"> (Google Books, 2022)</w:t>
      </w:r>
      <w:r w:rsidRPr="007345C5">
        <w:rPr>
          <w:rFonts w:ascii="Arial" w:hAnsi="Arial" w:cs="Arial"/>
          <w:color w:val="0E101A"/>
        </w:rPr>
        <w:t>. In order to ensure employee retention and optimize the hotel's performance, the HR department of a sizable hotel must use certain methods throughout the employee lifecycle. It will go through the value of hiring, on boarding, training, rewards, performance management, retention, and how these factors can motivate staff and foster a great work environment</w:t>
      </w:r>
      <w:r w:rsidRPr="007345C5">
        <w:rPr>
          <w:rFonts w:ascii="Arial" w:hAnsi="Arial" w:cs="Arial"/>
          <w:color w:val="000000"/>
          <w:shd w:val="clear" w:color="auto" w:fill="FFFFFF"/>
        </w:rPr>
        <w:t xml:space="preserve"> (Barkhuizen and </w:t>
      </w:r>
      <w:proofErr w:type="spellStart"/>
      <w:r w:rsidRPr="007345C5">
        <w:rPr>
          <w:rFonts w:ascii="Arial" w:hAnsi="Arial" w:cs="Arial"/>
          <w:color w:val="000000"/>
          <w:shd w:val="clear" w:color="auto" w:fill="FFFFFF"/>
        </w:rPr>
        <w:t>Bongekile</w:t>
      </w:r>
      <w:proofErr w:type="spellEnd"/>
      <w:r w:rsidRPr="007345C5">
        <w:rPr>
          <w:rFonts w:ascii="Arial" w:hAnsi="Arial" w:cs="Arial"/>
          <w:color w:val="000000"/>
          <w:shd w:val="clear" w:color="auto" w:fill="FFFFFF"/>
        </w:rPr>
        <w:t xml:space="preserve"> Gumede, 2021)</w:t>
      </w:r>
      <w:r w:rsidRPr="007345C5">
        <w:rPr>
          <w:rFonts w:ascii="Arial" w:hAnsi="Arial" w:cs="Arial"/>
          <w:color w:val="0E101A"/>
        </w:rPr>
        <w:t>. It will discuss how the latest trends and technologies can be used to ensure that the HR department remains competitive. </w:t>
      </w:r>
    </w:p>
    <w:p w14:paraId="29C74D52" w14:textId="77777777" w:rsidR="005030EC" w:rsidRPr="007345C5" w:rsidRDefault="005030EC" w:rsidP="007345C5">
      <w:pPr>
        <w:pStyle w:val="NormalWeb"/>
        <w:spacing w:before="0" w:beforeAutospacing="0" w:after="0" w:afterAutospacing="0" w:line="360" w:lineRule="auto"/>
        <w:ind w:firstLine="720"/>
        <w:jc w:val="both"/>
        <w:rPr>
          <w:rFonts w:ascii="Arial" w:hAnsi="Arial" w:cs="Arial"/>
          <w:color w:val="0E101A"/>
        </w:rPr>
      </w:pPr>
      <w:r w:rsidRPr="007345C5">
        <w:rPr>
          <w:rFonts w:ascii="Arial" w:hAnsi="Arial" w:cs="Arial"/>
          <w:color w:val="0E101A"/>
        </w:rPr>
        <w:t>Role of human resources in engaging the employee: The Human Resources Department of a large hotel is tasked with developing and maintaining a positive employee experience throughout the employee lifecycle. A successful HR Department must create and maintain an environment that ensures employee satisfaction, loyalty, and engagement</w:t>
      </w:r>
      <w:r w:rsidRPr="007345C5">
        <w:rPr>
          <w:rFonts w:ascii="Arial" w:hAnsi="Arial" w:cs="Arial"/>
          <w:color w:val="000000"/>
          <w:shd w:val="clear" w:color="auto" w:fill="FFFFFF"/>
        </w:rPr>
        <w:t xml:space="preserve"> (</w:t>
      </w:r>
      <w:proofErr w:type="spellStart"/>
      <w:r w:rsidRPr="007345C5">
        <w:rPr>
          <w:rFonts w:ascii="Arial" w:hAnsi="Arial" w:cs="Arial"/>
          <w:color w:val="000000"/>
          <w:shd w:val="clear" w:color="auto" w:fill="FFFFFF"/>
        </w:rPr>
        <w:t>Budriene</w:t>
      </w:r>
      <w:proofErr w:type="spellEnd"/>
      <w:r w:rsidRPr="007345C5">
        <w:rPr>
          <w:rFonts w:ascii="Arial" w:hAnsi="Arial" w:cs="Arial"/>
          <w:color w:val="000000"/>
          <w:shd w:val="clear" w:color="auto" w:fill="FFFFFF"/>
        </w:rPr>
        <w:t xml:space="preserve"> and </w:t>
      </w:r>
      <w:proofErr w:type="spellStart"/>
      <w:r w:rsidRPr="007345C5">
        <w:rPr>
          <w:rFonts w:ascii="Arial" w:hAnsi="Arial" w:cs="Arial"/>
          <w:color w:val="000000"/>
          <w:shd w:val="clear" w:color="auto" w:fill="FFFFFF"/>
        </w:rPr>
        <w:t>Diskiene</w:t>
      </w:r>
      <w:proofErr w:type="spellEnd"/>
      <w:r w:rsidRPr="007345C5">
        <w:rPr>
          <w:rFonts w:ascii="Arial" w:hAnsi="Arial" w:cs="Arial"/>
          <w:color w:val="000000"/>
          <w:shd w:val="clear" w:color="auto" w:fill="FFFFFF"/>
        </w:rPr>
        <w:t>, 2020)</w:t>
      </w:r>
      <w:r w:rsidRPr="007345C5">
        <w:rPr>
          <w:rFonts w:ascii="Arial" w:hAnsi="Arial" w:cs="Arial"/>
          <w:color w:val="0E101A"/>
        </w:rPr>
        <w:t>. Many elements of the employee lifecycle must be considered, and the Human Resources Department must be well-equipped to address them. The first element of the employee lifecycle is recruitment. The HR Department must be able to source, select and hire the best candidates for the available positions. This includes developing job postings, conducting interviews, administering background checks, and providing on boarding information to new hires. The Human Resources Department should also know relevant labor laws and regulations to ensure compliance</w:t>
      </w:r>
      <w:r w:rsidRPr="007345C5">
        <w:rPr>
          <w:rFonts w:ascii="Arial" w:hAnsi="Arial" w:cs="Arial"/>
          <w:color w:val="000000"/>
          <w:shd w:val="clear" w:color="auto" w:fill="FFFFFF"/>
        </w:rPr>
        <w:t xml:space="preserve"> (</w:t>
      </w:r>
      <w:proofErr w:type="spellStart"/>
      <w:r w:rsidRPr="007345C5">
        <w:rPr>
          <w:rFonts w:ascii="Arial" w:hAnsi="Arial" w:cs="Arial"/>
          <w:color w:val="000000"/>
          <w:shd w:val="clear" w:color="auto" w:fill="FFFFFF"/>
        </w:rPr>
        <w:t>Hamouche</w:t>
      </w:r>
      <w:proofErr w:type="spellEnd"/>
      <w:r w:rsidRPr="007345C5">
        <w:rPr>
          <w:rFonts w:ascii="Arial" w:hAnsi="Arial" w:cs="Arial"/>
          <w:color w:val="000000"/>
          <w:shd w:val="clear" w:color="auto" w:fill="FFFFFF"/>
        </w:rPr>
        <w:t>, 2021)</w:t>
      </w:r>
      <w:r w:rsidRPr="007345C5">
        <w:rPr>
          <w:rFonts w:ascii="Arial" w:hAnsi="Arial" w:cs="Arial"/>
          <w:color w:val="0E101A"/>
        </w:rPr>
        <w:t>. Once a candidate has been hired, the HR Department must develop and maintain a positive work environment. This includes developing and implementing a meaningful performance management system, offering training and development opportunities, and providing recognition and rewards for good performance. The Human Resources Department should also be able to address workplace issues, grievances, and complaints effectively</w:t>
      </w:r>
      <w:r w:rsidR="004A1892" w:rsidRPr="007345C5">
        <w:rPr>
          <w:rFonts w:ascii="Arial" w:hAnsi="Arial" w:cs="Arial"/>
          <w:color w:val="000000"/>
          <w:shd w:val="clear" w:color="auto" w:fill="FFFFFF"/>
        </w:rPr>
        <w:t xml:space="preserve"> (Cowan, Clayton and </w:t>
      </w:r>
      <w:proofErr w:type="spellStart"/>
      <w:r w:rsidR="004A1892" w:rsidRPr="007345C5">
        <w:rPr>
          <w:rFonts w:ascii="Arial" w:hAnsi="Arial" w:cs="Arial"/>
          <w:color w:val="000000"/>
          <w:shd w:val="clear" w:color="auto" w:fill="FFFFFF"/>
        </w:rPr>
        <w:t>Bochantin</w:t>
      </w:r>
      <w:proofErr w:type="spellEnd"/>
      <w:r w:rsidR="004A1892" w:rsidRPr="007345C5">
        <w:rPr>
          <w:rFonts w:ascii="Arial" w:hAnsi="Arial" w:cs="Arial"/>
          <w:color w:val="000000"/>
          <w:shd w:val="clear" w:color="auto" w:fill="FFFFFF"/>
        </w:rPr>
        <w:t>, 2021)</w:t>
      </w:r>
      <w:r w:rsidRPr="007345C5">
        <w:rPr>
          <w:rFonts w:ascii="Arial" w:hAnsi="Arial" w:cs="Arial"/>
          <w:color w:val="0E101A"/>
        </w:rPr>
        <w:t xml:space="preserve">. Similarly, the HR division must be prepared to ease the transition of departing personnel. This </w:t>
      </w:r>
      <w:r w:rsidRPr="007345C5">
        <w:rPr>
          <w:rFonts w:ascii="Arial" w:hAnsi="Arial" w:cs="Arial"/>
          <w:color w:val="0E101A"/>
        </w:rPr>
        <w:lastRenderedPageBreak/>
        <w:t>involves conducting departure interviews to learn more about potential employee reasons for leaving and offering outplacement services to help departing workers find new jobs. To remain competitive on the market, the department's human resources must keep abreast of the most recent trends and innovations. This entails keeping up with labor market changes, embracing new HR innovations, and remaining knowledgeable about new legislation</w:t>
      </w:r>
      <w:r w:rsidR="00203962" w:rsidRPr="007345C5">
        <w:rPr>
          <w:rFonts w:ascii="Arial" w:hAnsi="Arial" w:cs="Arial"/>
          <w:color w:val="000000"/>
          <w:shd w:val="clear" w:color="auto" w:fill="FFFFFF"/>
        </w:rPr>
        <w:t xml:space="preserve"> (SA Journal of Human Resource Management, 2020</w:t>
      </w:r>
      <w:r w:rsidR="007345C5" w:rsidRPr="007345C5">
        <w:rPr>
          <w:rFonts w:ascii="Arial" w:hAnsi="Arial" w:cs="Arial"/>
          <w:color w:val="000000"/>
          <w:shd w:val="clear" w:color="auto" w:fill="FFFFFF"/>
        </w:rPr>
        <w:t>)</w:t>
      </w:r>
      <w:r w:rsidR="007345C5" w:rsidRPr="007345C5">
        <w:rPr>
          <w:rFonts w:ascii="Arial" w:hAnsi="Arial" w:cs="Arial"/>
          <w:color w:val="0E101A"/>
        </w:rPr>
        <w:t>. In</w:t>
      </w:r>
      <w:r w:rsidRPr="007345C5">
        <w:rPr>
          <w:rFonts w:ascii="Arial" w:hAnsi="Arial" w:cs="Arial"/>
          <w:color w:val="0E101A"/>
        </w:rPr>
        <w:t xml:space="preserve"> summary, the Human Resources Department of a large hotel must be well-equipped to engage employees throughout the employee lifecycle. This includes recruitment and selection, developing and maintaining a positive work environment, offering training and development opportunities, providing recognition and rewards, facilitating the transition of departing employees, and staying up-to-date on the latest trends and technologies. By doing so, the Human Resources Department can ensure a positive employee experience and maximize employee engagement. </w:t>
      </w:r>
    </w:p>
    <w:p w14:paraId="5DEE106A" w14:textId="77777777" w:rsidR="005030EC" w:rsidRPr="007345C5" w:rsidRDefault="005030EC" w:rsidP="007345C5">
      <w:pPr>
        <w:pStyle w:val="NormalWeb"/>
        <w:spacing w:before="0" w:beforeAutospacing="0" w:after="0" w:afterAutospacing="0" w:line="360" w:lineRule="auto"/>
        <w:ind w:firstLine="720"/>
        <w:jc w:val="both"/>
        <w:rPr>
          <w:rFonts w:ascii="Arial" w:hAnsi="Arial" w:cs="Arial"/>
          <w:color w:val="0E101A"/>
        </w:rPr>
      </w:pPr>
      <w:r w:rsidRPr="007345C5">
        <w:rPr>
          <w:rFonts w:ascii="Arial" w:hAnsi="Arial" w:cs="Arial"/>
          <w:color w:val="0E101A"/>
        </w:rPr>
        <w:t>How to engage and the advantages of hiring a team: The human resources department must employ various strategies throughout the employee lifecycle to engage employees in a large hotel. These strategies include on boarding, Training, Development, recognition and rewards, performance management, and retention. It provides orientation, paperwork, job shadowing, Training, and more. On boarding is vital to ensure employees are set up for success and can hit the ground running. Training and development help to ensure employees have the skills needed to succeed in their roles. Training should be tailored to the individual's role and goals.</w:t>
      </w:r>
    </w:p>
    <w:p w14:paraId="10F8933E" w14:textId="77777777" w:rsidR="00237641" w:rsidRPr="007345C5" w:rsidRDefault="005030EC" w:rsidP="007345C5">
      <w:pPr>
        <w:pStyle w:val="NormalWeb"/>
        <w:spacing w:before="0" w:beforeAutospacing="0" w:after="0" w:afterAutospacing="0" w:line="360" w:lineRule="auto"/>
        <w:ind w:firstLine="720"/>
        <w:jc w:val="both"/>
        <w:rPr>
          <w:rFonts w:ascii="Arial" w:hAnsi="Arial" w:cs="Arial"/>
          <w:color w:val="0E101A"/>
        </w:rPr>
      </w:pPr>
      <w:r w:rsidRPr="007345C5">
        <w:rPr>
          <w:rFonts w:ascii="Arial" w:hAnsi="Arial" w:cs="Arial"/>
          <w:color w:val="0E101A"/>
        </w:rPr>
        <w:t xml:space="preserve">Development should be continuous and include opportunities such as seminars, conferences, and online courses. Recognition and rewards are also essential to engage employees. Credit can be as simple as saying "thank you" or awarding an employee of the month. Tips can be tangible such as bonuses and gifts, or intangible such as additional vacation time. Performance management is assessing employees' performance and giving feedback on their progress and areas for improvement. It should be done regularly and should include both positive and constructive feedback. </w:t>
      </w:r>
    </w:p>
    <w:p w14:paraId="2B35781C" w14:textId="77777777" w:rsidR="005030EC" w:rsidRPr="007345C5" w:rsidRDefault="005030EC" w:rsidP="007345C5">
      <w:pPr>
        <w:pStyle w:val="NormalWeb"/>
        <w:spacing w:before="0" w:beforeAutospacing="0" w:after="0" w:afterAutospacing="0" w:line="360" w:lineRule="auto"/>
        <w:ind w:firstLine="720"/>
        <w:jc w:val="both"/>
        <w:rPr>
          <w:rFonts w:ascii="Arial" w:hAnsi="Arial" w:cs="Arial"/>
          <w:color w:val="0E101A"/>
        </w:rPr>
      </w:pPr>
      <w:r w:rsidRPr="007345C5">
        <w:rPr>
          <w:rFonts w:ascii="Arial" w:hAnsi="Arial" w:cs="Arial"/>
          <w:color w:val="0E101A"/>
        </w:rPr>
        <w:t xml:space="preserve">Retention is vital to keeping employees engaged. Retention strategies should offer competitive compensation and benefits, provide career growth opportunities, and create a positive workplace culture. Engaging employees throughout the employee lifecycle has </w:t>
      </w:r>
      <w:r w:rsidRPr="007345C5">
        <w:rPr>
          <w:rFonts w:ascii="Arial" w:hAnsi="Arial" w:cs="Arial"/>
          <w:color w:val="0E101A"/>
        </w:rPr>
        <w:lastRenderedPageBreak/>
        <w:t>many advantages. It can help to improve employee morale, engagement, loyalty, and productivity. It can also help to reduce turnover and increase the overall quality of service provided to customers. </w:t>
      </w:r>
    </w:p>
    <w:p w14:paraId="3D4D81B2" w14:textId="77777777" w:rsidR="005030EC" w:rsidRPr="007345C5" w:rsidRDefault="005030EC" w:rsidP="007345C5">
      <w:pPr>
        <w:pStyle w:val="NormalWeb"/>
        <w:spacing w:before="0" w:beforeAutospacing="0" w:after="0" w:afterAutospacing="0" w:line="360" w:lineRule="auto"/>
        <w:ind w:firstLine="720"/>
        <w:jc w:val="both"/>
        <w:rPr>
          <w:rFonts w:ascii="Arial" w:hAnsi="Arial" w:cs="Arial"/>
          <w:color w:val="0E101A"/>
        </w:rPr>
      </w:pPr>
      <w:r w:rsidRPr="007345C5">
        <w:rPr>
          <w:rStyle w:val="Strong"/>
          <w:rFonts w:ascii="Arial" w:hAnsi="Arial" w:cs="Arial"/>
          <w:b w:val="0"/>
          <w:color w:val="0E101A"/>
        </w:rPr>
        <w:t>Employee lifecycle:</w:t>
      </w:r>
      <w:r w:rsidRPr="007345C5">
        <w:rPr>
          <w:rFonts w:ascii="Arial" w:hAnsi="Arial" w:cs="Arial"/>
          <w:color w:val="0E101A"/>
        </w:rPr>
        <w:t> The hospitality industry is service-oriented and relies heavily on its employees to provide high customer service. For a large hotel to remain competitive, it must have a well-developed Human Resources (HR) department to ensure that it can attract, recruit, onboard, develop, retain, and ultimately separate from its employees. The HR department of such a hotel must be able to provide a comprehensive employee lifecycle experience tailored to a large hotel's unique needs. This paper explores and discusses strategies that a large hotel's HR department must employ throughout the employee lifecycle.  </w:t>
      </w:r>
    </w:p>
    <w:p w14:paraId="617553FE" w14:textId="77777777" w:rsidR="00C21E42" w:rsidRPr="007345C5" w:rsidRDefault="005030EC" w:rsidP="007345C5">
      <w:pPr>
        <w:pStyle w:val="NormalWeb"/>
        <w:spacing w:before="0" w:beforeAutospacing="0" w:after="0" w:afterAutospacing="0" w:line="360" w:lineRule="auto"/>
        <w:ind w:firstLine="720"/>
        <w:jc w:val="both"/>
        <w:rPr>
          <w:rFonts w:ascii="Arial" w:hAnsi="Arial" w:cs="Arial"/>
          <w:color w:val="0E101A"/>
        </w:rPr>
      </w:pPr>
      <w:r w:rsidRPr="007345C5">
        <w:rPr>
          <w:rStyle w:val="Strong"/>
          <w:rFonts w:ascii="Arial" w:hAnsi="Arial" w:cs="Arial"/>
          <w:b w:val="0"/>
          <w:color w:val="0E101A"/>
        </w:rPr>
        <w:t>Attraction and Recruitment:</w:t>
      </w:r>
      <w:r w:rsidRPr="007345C5">
        <w:rPr>
          <w:rFonts w:ascii="Arial" w:hAnsi="Arial" w:cs="Arial"/>
          <w:color w:val="0E101A"/>
        </w:rPr>
        <w:t xml:space="preserve"> The first step in the employee lifecycle is to attract and recruit qualified candidates for available positions. This is often done through various methods such as job postings, employee referrals, career fairs, and social media networking. A large hotel must be able to attract and recruit qualified candidates who have the skills and experience necessary to provide excellent customer service. To do this, the hotel's HR department must clearly understand the skills and expertise needed to succeed. It must have a comprehensive recruitment and selection process to identify the best candidates for the job. </w:t>
      </w:r>
    </w:p>
    <w:p w14:paraId="6D24184E" w14:textId="77777777" w:rsidR="00C21E42" w:rsidRPr="007345C5" w:rsidRDefault="005030EC" w:rsidP="007345C5">
      <w:pPr>
        <w:pStyle w:val="NormalWeb"/>
        <w:spacing w:before="0" w:beforeAutospacing="0" w:after="0" w:afterAutospacing="0" w:line="360" w:lineRule="auto"/>
        <w:ind w:firstLine="720"/>
        <w:jc w:val="both"/>
        <w:rPr>
          <w:rFonts w:ascii="Arial" w:hAnsi="Arial" w:cs="Arial"/>
          <w:color w:val="0E101A"/>
        </w:rPr>
      </w:pPr>
      <w:r w:rsidRPr="007345C5">
        <w:rPr>
          <w:rFonts w:ascii="Arial" w:hAnsi="Arial" w:cs="Arial"/>
          <w:color w:val="0E101A"/>
        </w:rPr>
        <w:t xml:space="preserve">On boarding: Once a candidate has been selected for a position, the </w:t>
      </w:r>
      <w:r w:rsidR="007345C5" w:rsidRPr="007345C5">
        <w:rPr>
          <w:rFonts w:ascii="Arial" w:hAnsi="Arial" w:cs="Arial"/>
          <w:color w:val="0E101A"/>
        </w:rPr>
        <w:t>on-boarding</w:t>
      </w:r>
      <w:r w:rsidRPr="007345C5">
        <w:rPr>
          <w:rFonts w:ascii="Arial" w:hAnsi="Arial" w:cs="Arial"/>
          <w:color w:val="0E101A"/>
        </w:rPr>
        <w:t xml:space="preserve"> process is the next step in the employee lifecycle. On boarding introduces new employees to the organization and provides them with the necessary support and resources to succeed. A large hotel's HR department must have an effective on boarding process to help new employees acclimate to the organization and become productive team members. This process should include orientation activities, job training, and an introduction to the organizational culture and values.</w:t>
      </w:r>
    </w:p>
    <w:p w14:paraId="1CC54ACB" w14:textId="77777777" w:rsidR="00C21E42" w:rsidRPr="007345C5" w:rsidRDefault="005030EC" w:rsidP="007345C5">
      <w:pPr>
        <w:pStyle w:val="NormalWeb"/>
        <w:spacing w:before="0" w:beforeAutospacing="0" w:after="0" w:afterAutospacing="0" w:line="360" w:lineRule="auto"/>
        <w:ind w:firstLine="720"/>
        <w:jc w:val="both"/>
        <w:rPr>
          <w:rFonts w:ascii="Arial" w:hAnsi="Arial" w:cs="Arial"/>
          <w:color w:val="0E101A"/>
        </w:rPr>
      </w:pPr>
      <w:r w:rsidRPr="007345C5">
        <w:rPr>
          <w:rFonts w:ascii="Arial" w:hAnsi="Arial" w:cs="Arial"/>
          <w:color w:val="0E101A"/>
        </w:rPr>
        <w:t xml:space="preserve"> Development: The development stage of the employee lifecycle provides employees with the necessary tools and resources to help them grow and develop their skills and knowledge. A large hotel's HR department must have a comprehensive development program to help employees reach their fullest potential. This should include opportunities for employees to attend relevant seminars, conferences, and workshops, </w:t>
      </w:r>
      <w:r w:rsidRPr="007345C5">
        <w:rPr>
          <w:rFonts w:ascii="Arial" w:hAnsi="Arial" w:cs="Arial"/>
          <w:color w:val="0E101A"/>
        </w:rPr>
        <w:lastRenderedPageBreak/>
        <w:t>participate in job-related Training, and engage in other activities designed to help them improve their skills and knowledge.</w:t>
      </w:r>
    </w:p>
    <w:p w14:paraId="57D31B4C" w14:textId="77777777" w:rsidR="005030EC" w:rsidRPr="007345C5" w:rsidRDefault="005030EC" w:rsidP="007345C5">
      <w:pPr>
        <w:pStyle w:val="NormalWeb"/>
        <w:spacing w:before="0" w:beforeAutospacing="0" w:after="0" w:afterAutospacing="0" w:line="360" w:lineRule="auto"/>
        <w:ind w:firstLine="720"/>
        <w:jc w:val="both"/>
        <w:rPr>
          <w:rFonts w:ascii="Arial" w:hAnsi="Arial" w:cs="Arial"/>
          <w:color w:val="0E101A"/>
        </w:rPr>
      </w:pPr>
      <w:r w:rsidRPr="007345C5">
        <w:rPr>
          <w:rFonts w:ascii="Arial" w:hAnsi="Arial" w:cs="Arial"/>
          <w:color w:val="0E101A"/>
        </w:rPr>
        <w:t xml:space="preserve"> Retention: The retention stage of the employee lifecycle keeps employees engaged and motivated throughout their employment with the organization. A large hotel's HR department must have a comprehensive retention program to keep employees engaged, inspired, and committed to the </w:t>
      </w:r>
      <w:r w:rsidR="004A1892" w:rsidRPr="007345C5">
        <w:rPr>
          <w:rFonts w:ascii="Arial" w:hAnsi="Arial" w:cs="Arial"/>
          <w:color w:val="0E101A"/>
        </w:rPr>
        <w:t>organization</w:t>
      </w:r>
      <w:r w:rsidR="004A1892" w:rsidRPr="007345C5">
        <w:rPr>
          <w:rFonts w:ascii="Arial" w:hAnsi="Arial" w:cs="Arial"/>
          <w:color w:val="000000"/>
          <w:shd w:val="clear" w:color="auto" w:fill="FFFFFF"/>
        </w:rPr>
        <w:t xml:space="preserve"> (Ghani et al., 2022)</w:t>
      </w:r>
      <w:r w:rsidRPr="007345C5">
        <w:rPr>
          <w:rFonts w:ascii="Arial" w:hAnsi="Arial" w:cs="Arial"/>
          <w:color w:val="0E101A"/>
        </w:rPr>
        <w:t>. This should include opportunities for employees to participate in team-building activities, to receive recognition for their hard work and accomplishments, and to be provided with competitive wages and benefits.  A large hotel's HR department must be able to provide a comprehensive employee lifecycle experience tailored to the organization's unique needs</w:t>
      </w:r>
      <w:r w:rsidR="004A1892" w:rsidRPr="007345C5">
        <w:rPr>
          <w:rFonts w:ascii="Arial" w:hAnsi="Arial" w:cs="Arial"/>
          <w:color w:val="000000"/>
          <w:shd w:val="clear" w:color="auto" w:fill="FFFFFF"/>
        </w:rPr>
        <w:t xml:space="preserve"> (Malik et al., 2022)</w:t>
      </w:r>
      <w:r w:rsidRPr="007345C5">
        <w:rPr>
          <w:rFonts w:ascii="Arial" w:hAnsi="Arial" w:cs="Arial"/>
          <w:color w:val="0E101A"/>
        </w:rPr>
        <w:t>. This includes attracting and recruiting qualified candidates, on boarding them effectively, providing them with the necessary tools and resources to develop their skills and knowledge, keeping them engaged and motivated through a comprehensive retention program, and ensuring their transition from the organization is handled respectfully professionally. By employing these strategies throughout the employee lifecycle, a large hotel can ensure that its employees are engaged and motivated and remain competitive in the hospitality industry. </w:t>
      </w:r>
    </w:p>
    <w:p w14:paraId="58CB0C5F" w14:textId="77777777" w:rsidR="005030EC" w:rsidRPr="007345C5" w:rsidRDefault="005030EC" w:rsidP="007345C5">
      <w:pPr>
        <w:pStyle w:val="NormalWeb"/>
        <w:spacing w:before="0" w:beforeAutospacing="0" w:after="0" w:afterAutospacing="0" w:line="360" w:lineRule="auto"/>
        <w:ind w:firstLine="720"/>
        <w:jc w:val="both"/>
        <w:rPr>
          <w:rFonts w:ascii="Arial" w:hAnsi="Arial" w:cs="Arial"/>
          <w:color w:val="0E101A"/>
        </w:rPr>
      </w:pPr>
      <w:r w:rsidRPr="007345C5">
        <w:rPr>
          <w:rFonts w:ascii="Arial" w:hAnsi="Arial" w:cs="Arial"/>
          <w:color w:val="0E101A"/>
        </w:rPr>
        <w:t>Examples of how you could engage your team the: Human Resources Department of a large hotel is responsible for hiring employees throughout the employee lifecycle within the company. These activities are critical for the hotel's success as they create a positive and productive work environment for all staff. One way to engage employees within the lifecycle is to provide them with a comprehensive on boarding program</w:t>
      </w:r>
      <w:r w:rsidR="00AD15E5" w:rsidRPr="007345C5">
        <w:rPr>
          <w:rFonts w:ascii="Arial" w:hAnsi="Arial" w:cs="Arial"/>
          <w:color w:val="000000"/>
          <w:shd w:val="clear" w:color="auto" w:fill="FFFFFF"/>
        </w:rPr>
        <w:t xml:space="preserve"> (Barkhuizen and </w:t>
      </w:r>
      <w:proofErr w:type="spellStart"/>
      <w:r w:rsidR="00AD15E5" w:rsidRPr="007345C5">
        <w:rPr>
          <w:rFonts w:ascii="Arial" w:hAnsi="Arial" w:cs="Arial"/>
          <w:color w:val="000000"/>
          <w:shd w:val="clear" w:color="auto" w:fill="FFFFFF"/>
        </w:rPr>
        <w:t>Bongekile</w:t>
      </w:r>
      <w:proofErr w:type="spellEnd"/>
      <w:r w:rsidR="00AD15E5" w:rsidRPr="007345C5">
        <w:rPr>
          <w:rFonts w:ascii="Arial" w:hAnsi="Arial" w:cs="Arial"/>
          <w:color w:val="000000"/>
          <w:shd w:val="clear" w:color="auto" w:fill="FFFFFF"/>
        </w:rPr>
        <w:t xml:space="preserve"> Gumede, 2021)</w:t>
      </w:r>
      <w:r w:rsidRPr="007345C5">
        <w:rPr>
          <w:rFonts w:ascii="Arial" w:hAnsi="Arial" w:cs="Arial"/>
          <w:color w:val="0E101A"/>
        </w:rPr>
        <w:t xml:space="preserve">. This offers an opportunity for the new employee to get familiar with the hotel's policies, procedures, and culture. It might also be a wonderful opportunity to extend a sincere welcome to new employees and foster a sense of affiliation with the business. An assessment of the company's values and goals, job role learning and objectives, introductions to coworkers, and other essential information should all be included in the </w:t>
      </w:r>
      <w:r w:rsidR="007345C5" w:rsidRPr="007345C5">
        <w:rPr>
          <w:rFonts w:ascii="Arial" w:hAnsi="Arial" w:cs="Arial"/>
          <w:color w:val="0E101A"/>
        </w:rPr>
        <w:t>on-boarding</w:t>
      </w:r>
      <w:r w:rsidRPr="007345C5">
        <w:rPr>
          <w:rFonts w:ascii="Arial" w:hAnsi="Arial" w:cs="Arial"/>
          <w:color w:val="0E101A"/>
        </w:rPr>
        <w:t xml:space="preserve"> session</w:t>
      </w:r>
      <w:r w:rsidR="00AD15E5" w:rsidRPr="007345C5">
        <w:rPr>
          <w:rFonts w:ascii="Arial" w:hAnsi="Arial" w:cs="Arial"/>
          <w:color w:val="000000"/>
          <w:shd w:val="clear" w:color="auto" w:fill="FFFFFF"/>
        </w:rPr>
        <w:t xml:space="preserve"> (Regin, </w:t>
      </w:r>
      <w:proofErr w:type="spellStart"/>
      <w:r w:rsidR="00AD15E5" w:rsidRPr="007345C5">
        <w:rPr>
          <w:rFonts w:ascii="Arial" w:hAnsi="Arial" w:cs="Arial"/>
          <w:color w:val="000000"/>
          <w:shd w:val="clear" w:color="auto" w:fill="FFFFFF"/>
        </w:rPr>
        <w:t>Rajest</w:t>
      </w:r>
      <w:proofErr w:type="spellEnd"/>
      <w:r w:rsidR="00AD15E5" w:rsidRPr="007345C5">
        <w:rPr>
          <w:rFonts w:ascii="Arial" w:hAnsi="Arial" w:cs="Arial"/>
          <w:color w:val="000000"/>
          <w:shd w:val="clear" w:color="auto" w:fill="FFFFFF"/>
        </w:rPr>
        <w:t xml:space="preserve"> and </w:t>
      </w:r>
      <w:proofErr w:type="spellStart"/>
      <w:r w:rsidR="00AD15E5" w:rsidRPr="007345C5">
        <w:rPr>
          <w:rFonts w:ascii="Arial" w:hAnsi="Arial" w:cs="Arial"/>
          <w:color w:val="000000"/>
          <w:shd w:val="clear" w:color="auto" w:fill="FFFFFF"/>
        </w:rPr>
        <w:t>Angelene</w:t>
      </w:r>
      <w:proofErr w:type="spellEnd"/>
      <w:r w:rsidR="00AD15E5" w:rsidRPr="007345C5">
        <w:rPr>
          <w:rFonts w:ascii="Arial" w:hAnsi="Arial" w:cs="Arial"/>
          <w:color w:val="000000"/>
          <w:shd w:val="clear" w:color="auto" w:fill="FFFFFF"/>
        </w:rPr>
        <w:t>, n.d.)</w:t>
      </w:r>
      <w:r w:rsidRPr="007345C5">
        <w:rPr>
          <w:rFonts w:ascii="Arial" w:hAnsi="Arial" w:cs="Arial"/>
          <w:color w:val="0E101A"/>
        </w:rPr>
        <w:t xml:space="preserve">. Performance management is another strategy for motivating staff members. Regular performance management activities such as goal setting and performance reviews help to ensure employees are meeting the expectations of their </w:t>
      </w:r>
      <w:r w:rsidRPr="007345C5">
        <w:rPr>
          <w:rFonts w:ascii="Arial" w:hAnsi="Arial" w:cs="Arial"/>
          <w:color w:val="0E101A"/>
        </w:rPr>
        <w:lastRenderedPageBreak/>
        <w:t>roles and provide an opportunity for management to reward outstanding performance and provide necessary development resources. These activities also create a connection between the employee and their manager and help to strengthen the relationship</w:t>
      </w:r>
      <w:r w:rsidR="00C21E42" w:rsidRPr="007345C5">
        <w:rPr>
          <w:rFonts w:ascii="Arial" w:hAnsi="Arial" w:cs="Arial"/>
          <w:color w:val="000000"/>
          <w:shd w:val="clear" w:color="auto" w:fill="FFFFFF"/>
        </w:rPr>
        <w:t xml:space="preserve"> (</w:t>
      </w:r>
      <w:proofErr w:type="spellStart"/>
      <w:r w:rsidR="00C21E42" w:rsidRPr="007345C5">
        <w:rPr>
          <w:rFonts w:ascii="Arial" w:hAnsi="Arial" w:cs="Arial"/>
          <w:color w:val="000000"/>
          <w:shd w:val="clear" w:color="auto" w:fill="FFFFFF"/>
        </w:rPr>
        <w:t>Kalogiannidis</w:t>
      </w:r>
      <w:proofErr w:type="spellEnd"/>
      <w:r w:rsidR="00C21E42" w:rsidRPr="007345C5">
        <w:rPr>
          <w:rFonts w:ascii="Arial" w:hAnsi="Arial" w:cs="Arial"/>
          <w:color w:val="000000"/>
          <w:shd w:val="clear" w:color="auto" w:fill="FFFFFF"/>
        </w:rPr>
        <w:t>, 2020)</w:t>
      </w:r>
      <w:r w:rsidRPr="007345C5">
        <w:rPr>
          <w:rFonts w:ascii="Arial" w:hAnsi="Arial" w:cs="Arial"/>
          <w:color w:val="0E101A"/>
        </w:rPr>
        <w:t>. Recognition is also an essential part of employee engagement. Acknowledging employees for their hard work and commitment to the company is crucial in creating a positive work environment</w:t>
      </w:r>
      <w:r w:rsidR="00C21E42" w:rsidRPr="007345C5">
        <w:rPr>
          <w:rFonts w:ascii="Arial" w:hAnsi="Arial" w:cs="Arial"/>
          <w:color w:val="000000"/>
          <w:shd w:val="clear" w:color="auto" w:fill="FFFFFF"/>
        </w:rPr>
        <w:t xml:space="preserve"> (Ali and Anwar, 2021)</w:t>
      </w:r>
      <w:r w:rsidRPr="007345C5">
        <w:rPr>
          <w:rFonts w:ascii="Arial" w:hAnsi="Arial" w:cs="Arial"/>
          <w:color w:val="0E101A"/>
        </w:rPr>
        <w:t xml:space="preserve">. Recognition can come from verbal praise, awards, and other rewards. Providing employees with opportunities to grow and develop their skills, such as through professional development courses or formal mentoring programs, can help engage them further in the </w:t>
      </w:r>
      <w:r w:rsidR="00203962" w:rsidRPr="007345C5">
        <w:rPr>
          <w:rFonts w:ascii="Arial" w:hAnsi="Arial" w:cs="Arial"/>
          <w:color w:val="0E101A"/>
        </w:rPr>
        <w:t>organization</w:t>
      </w:r>
      <w:r w:rsidR="00203962" w:rsidRPr="007345C5">
        <w:rPr>
          <w:rFonts w:ascii="Arial" w:hAnsi="Arial" w:cs="Arial"/>
          <w:color w:val="000000"/>
          <w:shd w:val="clear" w:color="auto" w:fill="FFFFFF"/>
        </w:rPr>
        <w:t xml:space="preserve"> (The International Journal of Human Resource Management, 2021)</w:t>
      </w:r>
      <w:r w:rsidRPr="007345C5">
        <w:rPr>
          <w:rFonts w:ascii="Arial" w:hAnsi="Arial" w:cs="Arial"/>
          <w:color w:val="0E101A"/>
        </w:rPr>
        <w:t>. Providing employees with a sense of purpose and connection to the company is essential. This can be accomplished through regular staff meetings, team-building activities, and other initiatives that promote collaboration and foster a sense of community. Engaging employees throughout the employee lifecycle is critical for the hotel's success. By providing a comprehensive on boarding program, engaging in regular performance management activities, recognizing outstanding performance, and providing employees with growth opportunities, the Human Resources Department can create a positive and productive work environment for all staff. </w:t>
      </w:r>
    </w:p>
    <w:p w14:paraId="00A68995" w14:textId="77777777" w:rsidR="005030EC" w:rsidRPr="007345C5" w:rsidRDefault="005030EC" w:rsidP="007345C5">
      <w:pPr>
        <w:pStyle w:val="NormalWeb"/>
        <w:spacing w:before="0" w:beforeAutospacing="0" w:after="0" w:afterAutospacing="0" w:line="360" w:lineRule="auto"/>
        <w:ind w:firstLine="720"/>
        <w:jc w:val="both"/>
        <w:rPr>
          <w:rFonts w:ascii="Arial" w:hAnsi="Arial" w:cs="Arial"/>
          <w:color w:val="0E101A"/>
        </w:rPr>
      </w:pPr>
      <w:r w:rsidRPr="007345C5">
        <w:rPr>
          <w:rFonts w:ascii="Arial" w:hAnsi="Arial" w:cs="Arial"/>
          <w:color w:val="0E101A"/>
        </w:rPr>
        <w:t xml:space="preserve">One of the more cutthroat industries around the globe is the hospitality sector, where hotels compete with one another to attract guests and offer top-notch services. As a result, a hotel's human resources division is in charge of selecting, training, and keeping hold of qualified </w:t>
      </w:r>
      <w:r w:rsidR="00AD15E5" w:rsidRPr="007345C5">
        <w:rPr>
          <w:rFonts w:ascii="Arial" w:hAnsi="Arial" w:cs="Arial"/>
          <w:color w:val="0E101A"/>
        </w:rPr>
        <w:t>personnel</w:t>
      </w:r>
      <w:r w:rsidR="00AD15E5" w:rsidRPr="007345C5">
        <w:rPr>
          <w:rFonts w:ascii="Arial" w:hAnsi="Arial" w:cs="Arial"/>
          <w:color w:val="000000"/>
          <w:shd w:val="clear" w:color="auto" w:fill="FFFFFF"/>
        </w:rPr>
        <w:t xml:space="preserve"> (Michael and Fotiadis, 2022)</w:t>
      </w:r>
      <w:r w:rsidRPr="007345C5">
        <w:rPr>
          <w:rFonts w:ascii="Arial" w:hAnsi="Arial" w:cs="Arial"/>
          <w:color w:val="0E101A"/>
        </w:rPr>
        <w:t xml:space="preserve">. Employee engagement is an essential factor in the success of any organization, and it is the responsibility of the human resources department to ensure that employees are engaged throughout the employee lifecycle. Engagement Strategies for Employees Any organization's success depends heavily on employee engagement, and the human resources division is in charge of making sure that staff are motivated throughout their whole </w:t>
      </w:r>
      <w:r w:rsidR="007345C5" w:rsidRPr="007345C5">
        <w:rPr>
          <w:rFonts w:ascii="Arial" w:hAnsi="Arial" w:cs="Arial"/>
          <w:color w:val="0E101A"/>
        </w:rPr>
        <w:t>career</w:t>
      </w:r>
      <w:r w:rsidR="007345C5" w:rsidRPr="007345C5">
        <w:rPr>
          <w:rFonts w:ascii="Arial" w:hAnsi="Arial" w:cs="Arial"/>
          <w:color w:val="000000"/>
          <w:shd w:val="clear" w:color="auto" w:fill="FFFFFF"/>
        </w:rPr>
        <w:t xml:space="preserve"> (</w:t>
      </w:r>
      <w:proofErr w:type="spellStart"/>
      <w:r w:rsidR="00203962" w:rsidRPr="007345C5">
        <w:rPr>
          <w:rFonts w:ascii="Arial" w:hAnsi="Arial" w:cs="Arial"/>
          <w:color w:val="000000"/>
          <w:shd w:val="clear" w:color="auto" w:fill="FFFFFF"/>
        </w:rPr>
        <w:t>Ahakwa</w:t>
      </w:r>
      <w:proofErr w:type="spellEnd"/>
      <w:r w:rsidR="00203962" w:rsidRPr="007345C5">
        <w:rPr>
          <w:rFonts w:ascii="Arial" w:hAnsi="Arial" w:cs="Arial"/>
          <w:color w:val="000000"/>
          <w:shd w:val="clear" w:color="auto" w:fill="FFFFFF"/>
        </w:rPr>
        <w:t xml:space="preserve"> et al., 2021)</w:t>
      </w:r>
      <w:r w:rsidRPr="007345C5">
        <w:rPr>
          <w:rFonts w:ascii="Arial" w:hAnsi="Arial" w:cs="Arial"/>
          <w:color w:val="0E101A"/>
        </w:rPr>
        <w:t xml:space="preserve">. Improved customer satisfaction, profits, and staff retention result from motivated, creative, and loyal personnel. To ensure effective employee engagement, the human resources department of a large hotel must employ a range of strategies throughout the employee lifecycle. Recruitment The recruitment process is the first step in the employee lifecycle, </w:t>
      </w:r>
      <w:r w:rsidRPr="007345C5">
        <w:rPr>
          <w:rFonts w:ascii="Arial" w:hAnsi="Arial" w:cs="Arial"/>
          <w:color w:val="0E101A"/>
        </w:rPr>
        <w:lastRenderedPageBreak/>
        <w:t>and the human resources department must ensure that they hire suitable candidates for the job</w:t>
      </w:r>
      <w:r w:rsidR="00203962" w:rsidRPr="007345C5">
        <w:rPr>
          <w:rFonts w:ascii="Arial" w:hAnsi="Arial" w:cs="Arial"/>
          <w:color w:val="000000"/>
          <w:shd w:val="clear" w:color="auto" w:fill="FFFFFF"/>
        </w:rPr>
        <w:t xml:space="preserve"> (Onboarding new hires: </w:t>
      </w:r>
      <w:r w:rsidR="00AC3D69" w:rsidRPr="007345C5">
        <w:rPr>
          <w:rFonts w:ascii="Arial" w:hAnsi="Arial" w:cs="Arial"/>
          <w:color w:val="000000"/>
          <w:shd w:val="clear" w:color="auto" w:fill="FFFFFF"/>
        </w:rPr>
        <w:t>recognizing</w:t>
      </w:r>
      <w:r w:rsidR="00203962" w:rsidRPr="007345C5">
        <w:rPr>
          <w:rFonts w:ascii="Arial" w:hAnsi="Arial" w:cs="Arial"/>
          <w:color w:val="000000"/>
          <w:shd w:val="clear" w:color="auto" w:fill="FFFFFF"/>
        </w:rPr>
        <w:t xml:space="preserve"> mutual learning opportunities | Emerald Insight, 2021)</w:t>
      </w:r>
      <w:r w:rsidRPr="007345C5">
        <w:rPr>
          <w:rFonts w:ascii="Arial" w:hAnsi="Arial" w:cs="Arial"/>
          <w:color w:val="0E101A"/>
        </w:rPr>
        <w:t>. This can be done through effective recruitment strategies such as job postings, job boards, online recruitment tools, employee referrals, and social media.</w:t>
      </w:r>
      <w:r w:rsidR="007345C5" w:rsidRPr="007345C5">
        <w:rPr>
          <w:rFonts w:ascii="Arial" w:hAnsi="Arial" w:cs="Arial"/>
          <w:color w:val="0E101A"/>
        </w:rPr>
        <w:t xml:space="preserve"> T</w:t>
      </w:r>
      <w:r w:rsidRPr="007345C5">
        <w:rPr>
          <w:rFonts w:ascii="Arial" w:hAnsi="Arial" w:cs="Arial"/>
          <w:color w:val="0E101A"/>
        </w:rPr>
        <w:t>he human resources department should ensure that a positive and engaging recruitment process is in place to attract the best candidates. This can include providing candidates with an understanding of the company's culture, values, and objectives and an opportunity to meet the team they will be working with</w:t>
      </w:r>
      <w:r w:rsidR="00C21E42" w:rsidRPr="007345C5">
        <w:rPr>
          <w:rFonts w:ascii="Arial" w:hAnsi="Arial" w:cs="Arial"/>
          <w:color w:val="000000"/>
          <w:shd w:val="clear" w:color="auto" w:fill="FFFFFF"/>
        </w:rPr>
        <w:t xml:space="preserve"> (Apa.org, 2023)</w:t>
      </w:r>
      <w:r w:rsidRPr="007345C5">
        <w:rPr>
          <w:rFonts w:ascii="Arial" w:hAnsi="Arial" w:cs="Arial"/>
          <w:color w:val="0E101A"/>
        </w:rPr>
        <w:t>. The process of acclimating new staff to the company and its culture is called on boarding. The human resources division must make sure that new hires are provided with the data, tools, and assistance they need in order to swiftly catch up and start producing</w:t>
      </w:r>
      <w:r w:rsidR="00AD15E5" w:rsidRPr="007345C5">
        <w:rPr>
          <w:rFonts w:ascii="Arial" w:hAnsi="Arial" w:cs="Arial"/>
          <w:color w:val="000000"/>
          <w:shd w:val="clear" w:color="auto" w:fill="FFFFFF"/>
        </w:rPr>
        <w:t xml:space="preserve"> (Ali et al., 2020)</w:t>
      </w:r>
      <w:r w:rsidRPr="007345C5">
        <w:rPr>
          <w:rFonts w:ascii="Arial" w:hAnsi="Arial" w:cs="Arial"/>
          <w:color w:val="0E101A"/>
        </w:rPr>
        <w:t>. Programs for orientation, mentorship, and work shadowing can all help with this</w:t>
      </w:r>
    </w:p>
    <w:p w14:paraId="0FF8D048" w14:textId="77777777" w:rsidR="005030EC" w:rsidRPr="007345C5" w:rsidRDefault="005030EC" w:rsidP="007345C5">
      <w:pPr>
        <w:pStyle w:val="NormalWeb"/>
        <w:spacing w:before="0" w:beforeAutospacing="0" w:after="0" w:afterAutospacing="0" w:line="360" w:lineRule="auto"/>
        <w:ind w:firstLine="720"/>
        <w:jc w:val="both"/>
        <w:rPr>
          <w:rFonts w:ascii="Arial" w:hAnsi="Arial" w:cs="Arial"/>
          <w:color w:val="0E101A"/>
        </w:rPr>
      </w:pPr>
      <w:r w:rsidRPr="007345C5">
        <w:rPr>
          <w:rFonts w:ascii="Arial" w:hAnsi="Arial" w:cs="Arial"/>
          <w:color w:val="0E101A"/>
        </w:rPr>
        <w:t xml:space="preserve"> The human resources department should ensure that new employees are allowed to get to know their colleagues and build relationships with them. Training and Development Training and Development are essential for ensuring that employees remain engaged and motivated. The human resources department should work with managers to identify areas for Training and Development and provide employees with the necessary resources and support to help them develop their skills and knowledge. The human resources department should also ensure that employees can access career development opportunities such as mentorship programs, training courses, and job shadowing. Recognition and Compensation In order to engage and keep employees, it is crucial to acknowledge and recognize their </w:t>
      </w:r>
      <w:r w:rsidR="00AD15E5" w:rsidRPr="007345C5">
        <w:rPr>
          <w:rFonts w:ascii="Arial" w:hAnsi="Arial" w:cs="Arial"/>
          <w:color w:val="0E101A"/>
        </w:rPr>
        <w:t>contributions</w:t>
      </w:r>
      <w:r w:rsidR="00AD15E5" w:rsidRPr="007345C5">
        <w:rPr>
          <w:rFonts w:ascii="Arial" w:hAnsi="Arial" w:cs="Arial"/>
          <w:color w:val="000000"/>
          <w:shd w:val="clear" w:color="auto" w:fill="FFFFFF"/>
        </w:rPr>
        <w:t xml:space="preserve"> (Yong et al., 2019)</w:t>
      </w:r>
      <w:r w:rsidRPr="007345C5">
        <w:rPr>
          <w:rFonts w:ascii="Arial" w:hAnsi="Arial" w:cs="Arial"/>
          <w:color w:val="0E101A"/>
        </w:rPr>
        <w:t>. The human resources division should see to it that staff members are compensated and acknowledged for their services to the company. This can be done through recognition programs, awards, and incentives. The human resources department should ensure that employees are given opportunities to grow and develop within the organization through promotions and career development programs</w:t>
      </w:r>
      <w:r w:rsidR="00203962" w:rsidRPr="007345C5">
        <w:rPr>
          <w:rFonts w:ascii="Arial" w:hAnsi="Arial" w:cs="Arial"/>
          <w:color w:val="000000"/>
          <w:shd w:val="clear" w:color="auto" w:fill="FFFFFF"/>
        </w:rPr>
        <w:t xml:space="preserve"> (</w:t>
      </w:r>
      <w:proofErr w:type="spellStart"/>
      <w:r w:rsidR="00203962" w:rsidRPr="007345C5">
        <w:rPr>
          <w:rFonts w:ascii="Arial" w:hAnsi="Arial" w:cs="Arial"/>
          <w:color w:val="000000"/>
          <w:shd w:val="clear" w:color="auto" w:fill="FFFFFF"/>
        </w:rPr>
        <w:t>Stofkova</w:t>
      </w:r>
      <w:proofErr w:type="spellEnd"/>
      <w:r w:rsidR="00203962" w:rsidRPr="007345C5">
        <w:rPr>
          <w:rFonts w:ascii="Arial" w:hAnsi="Arial" w:cs="Arial"/>
          <w:color w:val="000000"/>
          <w:shd w:val="clear" w:color="auto" w:fill="FFFFFF"/>
        </w:rPr>
        <w:t xml:space="preserve"> and </w:t>
      </w:r>
      <w:proofErr w:type="spellStart"/>
      <w:r w:rsidR="00203962" w:rsidRPr="007345C5">
        <w:rPr>
          <w:rFonts w:ascii="Arial" w:hAnsi="Arial" w:cs="Arial"/>
          <w:color w:val="000000"/>
          <w:shd w:val="clear" w:color="auto" w:fill="FFFFFF"/>
        </w:rPr>
        <w:t>Sukalova</w:t>
      </w:r>
      <w:proofErr w:type="spellEnd"/>
      <w:r w:rsidR="00203962" w:rsidRPr="007345C5">
        <w:rPr>
          <w:rFonts w:ascii="Arial" w:hAnsi="Arial" w:cs="Arial"/>
          <w:color w:val="000000"/>
          <w:shd w:val="clear" w:color="auto" w:fill="FFFFFF"/>
        </w:rPr>
        <w:t>, 2020)</w:t>
      </w:r>
      <w:r w:rsidRPr="007345C5">
        <w:rPr>
          <w:rFonts w:ascii="Arial" w:hAnsi="Arial" w:cs="Arial"/>
          <w:color w:val="0E101A"/>
        </w:rPr>
        <w:t xml:space="preserve">. Communication and Feedback Communication and feedback are essential for ensuring that employees are engaged and their needs are met. The human resources department should ensure an effective communication system and that employees are given regular feedback on their performance. The human resources department should ensure that </w:t>
      </w:r>
      <w:r w:rsidRPr="007345C5">
        <w:rPr>
          <w:rFonts w:ascii="Arial" w:hAnsi="Arial" w:cs="Arial"/>
          <w:color w:val="0E101A"/>
        </w:rPr>
        <w:lastRenderedPageBreak/>
        <w:t>employees can provide feedback on their experience and that their feedback is considered</w:t>
      </w:r>
      <w:r w:rsidR="00AD15E5" w:rsidRPr="007345C5">
        <w:rPr>
          <w:rFonts w:ascii="Arial" w:hAnsi="Arial" w:cs="Arial"/>
          <w:color w:val="000000"/>
          <w:shd w:val="clear" w:color="auto" w:fill="FFFFFF"/>
        </w:rPr>
        <w:t xml:space="preserve"> (Azizi et al., 2021)</w:t>
      </w:r>
      <w:r w:rsidRPr="007345C5">
        <w:rPr>
          <w:rFonts w:ascii="Arial" w:hAnsi="Arial" w:cs="Arial"/>
          <w:color w:val="0E101A"/>
        </w:rPr>
        <w:t>. An Employee Engagement Model to ensure effective employee engagement, the human resources department must employ a comprehensive approach that considers the organization's needs, employees, and customers. </w:t>
      </w:r>
    </w:p>
    <w:p w14:paraId="575B01A5" w14:textId="77777777" w:rsidR="005030EC" w:rsidRPr="007345C5" w:rsidRDefault="005030EC" w:rsidP="007345C5">
      <w:pPr>
        <w:pStyle w:val="NormalWeb"/>
        <w:spacing w:before="0" w:beforeAutospacing="0" w:after="0" w:afterAutospacing="0" w:line="360" w:lineRule="auto"/>
        <w:ind w:firstLine="720"/>
        <w:jc w:val="both"/>
        <w:rPr>
          <w:rFonts w:ascii="Arial" w:hAnsi="Arial" w:cs="Arial"/>
          <w:color w:val="0E101A"/>
        </w:rPr>
      </w:pPr>
      <w:r w:rsidRPr="007345C5">
        <w:rPr>
          <w:rFonts w:ascii="Arial" w:hAnsi="Arial" w:cs="Arial"/>
          <w:color w:val="0E101A"/>
        </w:rPr>
        <w:t>In conclusion, employee engagement is a critical factor in the success of a large hotel. The Human Resources Department of such a hotel must be well-equipped to engage employees throughout the employee lifecycle</w:t>
      </w:r>
      <w:r w:rsidR="00203962" w:rsidRPr="007345C5">
        <w:rPr>
          <w:rFonts w:ascii="Arial" w:hAnsi="Arial" w:cs="Arial"/>
          <w:color w:val="000000"/>
          <w:shd w:val="clear" w:color="auto" w:fill="FFFFFF"/>
        </w:rPr>
        <w:t xml:space="preserve"> (The International Journal of Human Resource Management, 2021)</w:t>
      </w:r>
      <w:r w:rsidRPr="007345C5">
        <w:rPr>
          <w:rFonts w:ascii="Arial" w:hAnsi="Arial" w:cs="Arial"/>
          <w:color w:val="0E101A"/>
        </w:rPr>
        <w:t>. This includes recruitment, on boarding, Training and Development, recognition and rewards, performance management, and retention. By employing these strategies, the Human Resources Department can ensure a positive employee experience, improve employee morale, engagement, loyalty, and productivity, and reduce turnover. Ultimately, engaging employees throughout the employee lifecycle will ensure that the large hotel remains competitive in the hospitality industry. </w:t>
      </w:r>
    </w:p>
    <w:p w14:paraId="595AF1B7" w14:textId="77777777" w:rsidR="00AC3D69" w:rsidRPr="00AC3D69" w:rsidRDefault="00AC3D69">
      <w:pPr>
        <w:rPr>
          <w:rFonts w:ascii="Times New Roman" w:eastAsia="Times New Roman" w:hAnsi="Times New Roman" w:cs="Times New Roman"/>
          <w:b/>
          <w:color w:val="0E101A"/>
          <w:sz w:val="24"/>
          <w:szCs w:val="24"/>
          <w:lang w:val="en-US"/>
        </w:rPr>
      </w:pPr>
      <w:r w:rsidRPr="00AC3D69">
        <w:rPr>
          <w:b/>
          <w:color w:val="0E101A"/>
        </w:rPr>
        <w:br w:type="page"/>
      </w:r>
    </w:p>
    <w:p w14:paraId="10F7E8AD" w14:textId="77777777" w:rsidR="007345C5" w:rsidRPr="007345C5" w:rsidRDefault="00AC3D69" w:rsidP="007345C5">
      <w:pPr>
        <w:pStyle w:val="Heading1"/>
        <w:spacing w:before="120" w:line="240" w:lineRule="auto"/>
        <w:rPr>
          <w:rFonts w:ascii="Arial" w:hAnsi="Arial" w:cs="Arial"/>
          <w:b/>
          <w:bCs/>
          <w:color w:val="000000" w:themeColor="text1"/>
          <w:sz w:val="24"/>
          <w:szCs w:val="24"/>
        </w:rPr>
      </w:pPr>
      <w:r w:rsidRPr="007345C5">
        <w:rPr>
          <w:rFonts w:ascii="Arial" w:hAnsi="Arial" w:cs="Arial"/>
          <w:b/>
          <w:bCs/>
          <w:color w:val="000000" w:themeColor="text1"/>
          <w:sz w:val="24"/>
          <w:szCs w:val="24"/>
        </w:rPr>
        <w:lastRenderedPageBreak/>
        <w:t>References</w:t>
      </w:r>
      <w:r w:rsidR="005030EC" w:rsidRPr="007345C5">
        <w:rPr>
          <w:rFonts w:ascii="Arial" w:hAnsi="Arial" w:cs="Arial"/>
          <w:b/>
          <w:bCs/>
          <w:color w:val="000000" w:themeColor="text1"/>
          <w:sz w:val="24"/>
          <w:szCs w:val="24"/>
        </w:rPr>
        <w:t> </w:t>
      </w:r>
    </w:p>
    <w:p w14:paraId="11A5FD9B" w14:textId="77777777" w:rsidR="007345C5" w:rsidRPr="007345C5" w:rsidRDefault="007345C5" w:rsidP="007345C5">
      <w:pPr>
        <w:pStyle w:val="NoSpacing"/>
        <w:spacing w:line="360" w:lineRule="auto"/>
        <w:ind w:left="720" w:hanging="720"/>
        <w:rPr>
          <w:rFonts w:ascii="Arial" w:hAnsi="Arial" w:cs="Arial"/>
          <w:sz w:val="24"/>
          <w:szCs w:val="24"/>
        </w:rPr>
      </w:pPr>
      <w:r w:rsidRPr="007345C5">
        <w:rPr>
          <w:rFonts w:ascii="Arial" w:hAnsi="Arial" w:cs="Arial"/>
          <w:sz w:val="24"/>
          <w:szCs w:val="24"/>
        </w:rPr>
        <w:t xml:space="preserve">Ali, </w:t>
      </w:r>
      <w:proofErr w:type="spellStart"/>
      <w:r w:rsidRPr="007345C5">
        <w:rPr>
          <w:rFonts w:ascii="Arial" w:hAnsi="Arial" w:cs="Arial"/>
          <w:sz w:val="24"/>
          <w:szCs w:val="24"/>
        </w:rPr>
        <w:t>Md.C</w:t>
      </w:r>
      <w:proofErr w:type="spellEnd"/>
      <w:r w:rsidRPr="007345C5">
        <w:rPr>
          <w:rFonts w:ascii="Arial" w:hAnsi="Arial" w:cs="Arial"/>
          <w:sz w:val="24"/>
          <w:szCs w:val="24"/>
        </w:rPr>
        <w:t xml:space="preserve">., Islam, K.M.A., Chung, S., Zayed, N.M. and Afrin, M. (2020). A Study of Green Human Resources Management (GHRM) and Green Creativity for Human Resources Professionals. International Journal of Business and Management Future, [online] 4(2), pp.57–67. </w:t>
      </w:r>
      <w:proofErr w:type="spellStart"/>
      <w:proofErr w:type="gramStart"/>
      <w:r w:rsidRPr="007345C5">
        <w:rPr>
          <w:rFonts w:ascii="Arial" w:hAnsi="Arial" w:cs="Arial"/>
          <w:sz w:val="24"/>
          <w:szCs w:val="24"/>
        </w:rPr>
        <w:t>doi:https</w:t>
      </w:r>
      <w:proofErr w:type="spellEnd"/>
      <w:r w:rsidRPr="007345C5">
        <w:rPr>
          <w:rFonts w:ascii="Arial" w:hAnsi="Arial" w:cs="Arial"/>
          <w:sz w:val="24"/>
          <w:szCs w:val="24"/>
        </w:rPr>
        <w:t>://doi.org/10.46281/ijbmf.v4i2.857</w:t>
      </w:r>
      <w:proofErr w:type="gramEnd"/>
      <w:r w:rsidRPr="007345C5">
        <w:rPr>
          <w:rFonts w:ascii="Arial" w:hAnsi="Arial" w:cs="Arial"/>
          <w:sz w:val="24"/>
          <w:szCs w:val="24"/>
        </w:rPr>
        <w:t>.</w:t>
      </w:r>
    </w:p>
    <w:p w14:paraId="27FEE519" w14:textId="77777777" w:rsidR="007345C5" w:rsidRPr="007345C5" w:rsidRDefault="007345C5" w:rsidP="007345C5">
      <w:pPr>
        <w:pStyle w:val="NoSpacing"/>
        <w:spacing w:line="360" w:lineRule="auto"/>
        <w:ind w:left="720" w:hanging="720"/>
        <w:rPr>
          <w:rFonts w:ascii="Arial" w:hAnsi="Arial" w:cs="Arial"/>
          <w:sz w:val="24"/>
          <w:szCs w:val="24"/>
        </w:rPr>
      </w:pPr>
      <w:r w:rsidRPr="007345C5">
        <w:rPr>
          <w:rFonts w:ascii="Arial" w:hAnsi="Arial" w:cs="Arial"/>
          <w:sz w:val="24"/>
          <w:szCs w:val="24"/>
        </w:rPr>
        <w:t xml:space="preserve">‌ Apa.org. (2023). APA </w:t>
      </w:r>
      <w:proofErr w:type="spellStart"/>
      <w:r w:rsidRPr="007345C5">
        <w:rPr>
          <w:rFonts w:ascii="Arial" w:hAnsi="Arial" w:cs="Arial"/>
          <w:sz w:val="24"/>
          <w:szCs w:val="24"/>
        </w:rPr>
        <w:t>PsycNet</w:t>
      </w:r>
      <w:proofErr w:type="spellEnd"/>
      <w:r w:rsidRPr="007345C5">
        <w:rPr>
          <w:rFonts w:ascii="Arial" w:hAnsi="Arial" w:cs="Arial"/>
          <w:sz w:val="24"/>
          <w:szCs w:val="24"/>
        </w:rPr>
        <w:t>. [online] Available at: https://psycnet.apa.org/record/2019-42433-001 [Accessed 8 Feb. 2023].</w:t>
      </w:r>
    </w:p>
    <w:p w14:paraId="78A7B5FD" w14:textId="77777777" w:rsidR="007345C5" w:rsidRPr="007345C5" w:rsidRDefault="007345C5" w:rsidP="007345C5">
      <w:pPr>
        <w:pStyle w:val="NoSpacing"/>
        <w:spacing w:line="360" w:lineRule="auto"/>
        <w:ind w:left="720" w:hanging="720"/>
        <w:rPr>
          <w:rFonts w:ascii="Arial" w:hAnsi="Arial" w:cs="Arial"/>
          <w:sz w:val="24"/>
          <w:szCs w:val="24"/>
        </w:rPr>
      </w:pPr>
      <w:r w:rsidRPr="007345C5">
        <w:rPr>
          <w:rFonts w:ascii="Arial" w:hAnsi="Arial" w:cs="Arial"/>
          <w:sz w:val="24"/>
          <w:szCs w:val="24"/>
        </w:rPr>
        <w:t xml:space="preserve">‌ Barkhuizen, N.E. and </w:t>
      </w:r>
      <w:proofErr w:type="spellStart"/>
      <w:r w:rsidRPr="007345C5">
        <w:rPr>
          <w:rFonts w:ascii="Arial" w:hAnsi="Arial" w:cs="Arial"/>
          <w:sz w:val="24"/>
          <w:szCs w:val="24"/>
        </w:rPr>
        <w:t>Bongekile</w:t>
      </w:r>
      <w:proofErr w:type="spellEnd"/>
      <w:r w:rsidRPr="007345C5">
        <w:rPr>
          <w:rFonts w:ascii="Arial" w:hAnsi="Arial" w:cs="Arial"/>
          <w:sz w:val="24"/>
          <w:szCs w:val="24"/>
        </w:rPr>
        <w:t xml:space="preserve"> Gumede (2021). The relationship between talent management, job satisfaction and voluntary turnover intentions of employees in a selected government institution. SA Journal of Human Resource Management, [online] 19(0), p.12. Available at: https://sajhrm.co.za/index.php/sajhrm/article/view/1396/2406 [Accessed 8 Feb. 2023].</w:t>
      </w:r>
    </w:p>
    <w:p w14:paraId="54FD96CE" w14:textId="77777777" w:rsidR="007345C5" w:rsidRPr="007345C5" w:rsidRDefault="007345C5" w:rsidP="007345C5">
      <w:pPr>
        <w:pStyle w:val="NoSpacing"/>
        <w:spacing w:line="360" w:lineRule="auto"/>
        <w:ind w:left="720" w:hanging="720"/>
        <w:rPr>
          <w:rFonts w:ascii="Arial" w:hAnsi="Arial" w:cs="Arial"/>
          <w:sz w:val="24"/>
          <w:szCs w:val="24"/>
        </w:rPr>
      </w:pPr>
      <w:r w:rsidRPr="007345C5">
        <w:rPr>
          <w:rFonts w:ascii="Arial" w:hAnsi="Arial" w:cs="Arial"/>
          <w:sz w:val="24"/>
          <w:szCs w:val="24"/>
        </w:rPr>
        <w:t xml:space="preserve">‌ </w:t>
      </w:r>
      <w:proofErr w:type="spellStart"/>
      <w:r w:rsidRPr="007345C5">
        <w:rPr>
          <w:rFonts w:ascii="Arial" w:hAnsi="Arial" w:cs="Arial"/>
          <w:sz w:val="24"/>
          <w:szCs w:val="24"/>
        </w:rPr>
        <w:t>Budriene</w:t>
      </w:r>
      <w:proofErr w:type="spellEnd"/>
      <w:r w:rsidRPr="007345C5">
        <w:rPr>
          <w:rFonts w:ascii="Arial" w:hAnsi="Arial" w:cs="Arial"/>
          <w:sz w:val="24"/>
          <w:szCs w:val="24"/>
        </w:rPr>
        <w:t xml:space="preserve">, D. and </w:t>
      </w:r>
      <w:proofErr w:type="spellStart"/>
      <w:r w:rsidRPr="007345C5">
        <w:rPr>
          <w:rFonts w:ascii="Arial" w:hAnsi="Arial" w:cs="Arial"/>
          <w:sz w:val="24"/>
          <w:szCs w:val="24"/>
        </w:rPr>
        <w:t>Diskiene</w:t>
      </w:r>
      <w:proofErr w:type="spellEnd"/>
      <w:r w:rsidRPr="007345C5">
        <w:rPr>
          <w:rFonts w:ascii="Arial" w:hAnsi="Arial" w:cs="Arial"/>
          <w:sz w:val="24"/>
          <w:szCs w:val="24"/>
        </w:rPr>
        <w:t xml:space="preserve">, D. (2020). EMPLOYEE ENGAGEMENT: TYPES, LEVELS AND RELATIONSHIP WITH PRACTICE OF HRM. Malaysian E Commerce Journal, [online] 4(2), pp.42–47. </w:t>
      </w:r>
      <w:proofErr w:type="spellStart"/>
      <w:proofErr w:type="gramStart"/>
      <w:r w:rsidRPr="007345C5">
        <w:rPr>
          <w:rFonts w:ascii="Arial" w:hAnsi="Arial" w:cs="Arial"/>
          <w:sz w:val="24"/>
          <w:szCs w:val="24"/>
        </w:rPr>
        <w:t>doi:https</w:t>
      </w:r>
      <w:proofErr w:type="spellEnd"/>
      <w:r w:rsidRPr="007345C5">
        <w:rPr>
          <w:rFonts w:ascii="Arial" w:hAnsi="Arial" w:cs="Arial"/>
          <w:sz w:val="24"/>
          <w:szCs w:val="24"/>
        </w:rPr>
        <w:t>://doi.org/10.26480/mecj.02.2020.42.47</w:t>
      </w:r>
      <w:proofErr w:type="gramEnd"/>
      <w:r w:rsidRPr="007345C5">
        <w:rPr>
          <w:rFonts w:ascii="Arial" w:hAnsi="Arial" w:cs="Arial"/>
          <w:sz w:val="24"/>
          <w:szCs w:val="24"/>
        </w:rPr>
        <w:t>.</w:t>
      </w:r>
    </w:p>
    <w:p w14:paraId="1F8F4C42" w14:textId="77777777" w:rsidR="007345C5" w:rsidRPr="007345C5" w:rsidRDefault="007345C5" w:rsidP="007345C5">
      <w:pPr>
        <w:pStyle w:val="NoSpacing"/>
        <w:spacing w:line="360" w:lineRule="auto"/>
        <w:ind w:left="720" w:hanging="720"/>
        <w:rPr>
          <w:rFonts w:ascii="Arial" w:hAnsi="Arial" w:cs="Arial"/>
          <w:sz w:val="24"/>
          <w:szCs w:val="24"/>
        </w:rPr>
      </w:pPr>
      <w:r w:rsidRPr="007345C5">
        <w:rPr>
          <w:rFonts w:ascii="Arial" w:hAnsi="Arial" w:cs="Arial"/>
          <w:sz w:val="24"/>
          <w:szCs w:val="24"/>
        </w:rPr>
        <w:t xml:space="preserve">‌ Cowan, R.L., Clayton, E. and </w:t>
      </w:r>
      <w:proofErr w:type="spellStart"/>
      <w:r w:rsidRPr="007345C5">
        <w:rPr>
          <w:rFonts w:ascii="Arial" w:hAnsi="Arial" w:cs="Arial"/>
          <w:sz w:val="24"/>
          <w:szCs w:val="24"/>
        </w:rPr>
        <w:t>Bochantin</w:t>
      </w:r>
      <w:proofErr w:type="spellEnd"/>
      <w:r w:rsidRPr="007345C5">
        <w:rPr>
          <w:rFonts w:ascii="Arial" w:hAnsi="Arial" w:cs="Arial"/>
          <w:sz w:val="24"/>
          <w:szCs w:val="24"/>
        </w:rPr>
        <w:t xml:space="preserve">, J. (2021). Human Resources as an Important Actor in Workplace Bullying Situations: Where We Have Been and Where We Should Go. Pathways of Job-related Negative Behaviour, [online] pp.477–494. </w:t>
      </w:r>
      <w:proofErr w:type="spellStart"/>
      <w:proofErr w:type="gramStart"/>
      <w:r w:rsidRPr="007345C5">
        <w:rPr>
          <w:rFonts w:ascii="Arial" w:hAnsi="Arial" w:cs="Arial"/>
          <w:sz w:val="24"/>
          <w:szCs w:val="24"/>
        </w:rPr>
        <w:t>doi:https</w:t>
      </w:r>
      <w:proofErr w:type="spellEnd"/>
      <w:r w:rsidRPr="007345C5">
        <w:rPr>
          <w:rFonts w:ascii="Arial" w:hAnsi="Arial" w:cs="Arial"/>
          <w:sz w:val="24"/>
          <w:szCs w:val="24"/>
        </w:rPr>
        <w:t>://doi.org/10.1007/978-981-13-0935-9_18</w:t>
      </w:r>
      <w:proofErr w:type="gramEnd"/>
      <w:r w:rsidRPr="007345C5">
        <w:rPr>
          <w:rFonts w:ascii="Arial" w:hAnsi="Arial" w:cs="Arial"/>
          <w:sz w:val="24"/>
          <w:szCs w:val="24"/>
        </w:rPr>
        <w:t>.</w:t>
      </w:r>
    </w:p>
    <w:p w14:paraId="576D3746" w14:textId="77777777" w:rsidR="007345C5" w:rsidRPr="007345C5" w:rsidRDefault="007345C5" w:rsidP="007345C5">
      <w:pPr>
        <w:pStyle w:val="NoSpacing"/>
        <w:spacing w:line="360" w:lineRule="auto"/>
        <w:ind w:left="720" w:hanging="720"/>
        <w:rPr>
          <w:rFonts w:ascii="Arial" w:hAnsi="Arial" w:cs="Arial"/>
          <w:sz w:val="24"/>
          <w:szCs w:val="24"/>
        </w:rPr>
      </w:pPr>
      <w:r w:rsidRPr="007345C5">
        <w:rPr>
          <w:rFonts w:ascii="Arial" w:hAnsi="Arial" w:cs="Arial"/>
          <w:sz w:val="24"/>
          <w:szCs w:val="24"/>
        </w:rPr>
        <w:t xml:space="preserve">‌ </w:t>
      </w:r>
      <w:proofErr w:type="spellStart"/>
      <w:r w:rsidRPr="007345C5">
        <w:rPr>
          <w:rFonts w:ascii="Arial" w:hAnsi="Arial" w:cs="Arial"/>
          <w:sz w:val="24"/>
          <w:szCs w:val="24"/>
        </w:rPr>
        <w:t>Hamouche</w:t>
      </w:r>
      <w:proofErr w:type="spellEnd"/>
      <w:r w:rsidRPr="007345C5">
        <w:rPr>
          <w:rFonts w:ascii="Arial" w:hAnsi="Arial" w:cs="Arial"/>
          <w:sz w:val="24"/>
          <w:szCs w:val="24"/>
        </w:rPr>
        <w:t xml:space="preserve">, S. (2021). Human Resource Management and the COVID-19 crisis: implications, challenges, opportunities, and Future Organizational Directions. Journal of Management &amp; Organization, [online] pp.1–16. </w:t>
      </w:r>
      <w:proofErr w:type="spellStart"/>
      <w:proofErr w:type="gramStart"/>
      <w:r w:rsidRPr="007345C5">
        <w:rPr>
          <w:rFonts w:ascii="Arial" w:hAnsi="Arial" w:cs="Arial"/>
          <w:sz w:val="24"/>
          <w:szCs w:val="24"/>
        </w:rPr>
        <w:t>doi:https</w:t>
      </w:r>
      <w:proofErr w:type="spellEnd"/>
      <w:r w:rsidRPr="007345C5">
        <w:rPr>
          <w:rFonts w:ascii="Arial" w:hAnsi="Arial" w:cs="Arial"/>
          <w:sz w:val="24"/>
          <w:szCs w:val="24"/>
        </w:rPr>
        <w:t>://doi.org/10.1017/jmo.2021.15</w:t>
      </w:r>
      <w:proofErr w:type="gramEnd"/>
      <w:r w:rsidRPr="007345C5">
        <w:rPr>
          <w:rFonts w:ascii="Arial" w:hAnsi="Arial" w:cs="Arial"/>
          <w:sz w:val="24"/>
          <w:szCs w:val="24"/>
        </w:rPr>
        <w:t>.</w:t>
      </w:r>
    </w:p>
    <w:p w14:paraId="13EE5438" w14:textId="77777777" w:rsidR="007345C5" w:rsidRPr="007345C5" w:rsidRDefault="007345C5" w:rsidP="007345C5">
      <w:pPr>
        <w:pStyle w:val="NoSpacing"/>
        <w:spacing w:line="360" w:lineRule="auto"/>
        <w:ind w:left="720" w:hanging="720"/>
        <w:rPr>
          <w:rFonts w:ascii="Arial" w:hAnsi="Arial" w:cs="Arial"/>
          <w:sz w:val="24"/>
          <w:szCs w:val="24"/>
        </w:rPr>
      </w:pPr>
      <w:r w:rsidRPr="007345C5">
        <w:rPr>
          <w:rFonts w:ascii="Arial" w:hAnsi="Arial" w:cs="Arial"/>
          <w:sz w:val="24"/>
          <w:szCs w:val="24"/>
        </w:rPr>
        <w:t xml:space="preserve">‌ Malik, A., </w:t>
      </w:r>
      <w:proofErr w:type="spellStart"/>
      <w:r w:rsidRPr="007345C5">
        <w:rPr>
          <w:rFonts w:ascii="Arial" w:hAnsi="Arial" w:cs="Arial"/>
          <w:sz w:val="24"/>
          <w:szCs w:val="24"/>
        </w:rPr>
        <w:t>Budhwar</w:t>
      </w:r>
      <w:proofErr w:type="spellEnd"/>
      <w:r w:rsidRPr="007345C5">
        <w:rPr>
          <w:rFonts w:ascii="Arial" w:hAnsi="Arial" w:cs="Arial"/>
          <w:sz w:val="24"/>
          <w:szCs w:val="24"/>
        </w:rPr>
        <w:t xml:space="preserve">, P., Mohan, H. and N. R., S. (2022). Employee experience –the missing link for engaging employees: Insights from an MNE 's AI </w:t>
      </w:r>
      <w:r w:rsidRPr="007345C5">
        <w:rPr>
          <w:rFonts w:ascii="Cambria Math" w:hAnsi="Cambria Math" w:cs="Cambria Math"/>
          <w:sz w:val="24"/>
          <w:szCs w:val="24"/>
        </w:rPr>
        <w:t>‐</w:t>
      </w:r>
      <w:r w:rsidRPr="007345C5">
        <w:rPr>
          <w:rFonts w:ascii="Arial" w:hAnsi="Arial" w:cs="Arial"/>
          <w:sz w:val="24"/>
          <w:szCs w:val="24"/>
        </w:rPr>
        <w:t xml:space="preserve">based HR ecosystem. Human Resource Management, [online] 62(1), pp.97–115. </w:t>
      </w:r>
      <w:proofErr w:type="spellStart"/>
      <w:proofErr w:type="gramStart"/>
      <w:r w:rsidRPr="007345C5">
        <w:rPr>
          <w:rFonts w:ascii="Arial" w:hAnsi="Arial" w:cs="Arial"/>
          <w:sz w:val="24"/>
          <w:szCs w:val="24"/>
        </w:rPr>
        <w:t>doi:https</w:t>
      </w:r>
      <w:proofErr w:type="spellEnd"/>
      <w:r w:rsidRPr="007345C5">
        <w:rPr>
          <w:rFonts w:ascii="Arial" w:hAnsi="Arial" w:cs="Arial"/>
          <w:sz w:val="24"/>
          <w:szCs w:val="24"/>
        </w:rPr>
        <w:t>://doi.org/10.1002/hrm.22133</w:t>
      </w:r>
      <w:proofErr w:type="gramEnd"/>
      <w:r w:rsidRPr="007345C5">
        <w:rPr>
          <w:rFonts w:ascii="Arial" w:hAnsi="Arial" w:cs="Arial"/>
          <w:sz w:val="24"/>
          <w:szCs w:val="24"/>
        </w:rPr>
        <w:t>.</w:t>
      </w:r>
    </w:p>
    <w:p w14:paraId="3921AF60" w14:textId="77777777" w:rsidR="007345C5" w:rsidRPr="007345C5" w:rsidRDefault="007345C5" w:rsidP="007345C5">
      <w:pPr>
        <w:pStyle w:val="NoSpacing"/>
        <w:spacing w:line="360" w:lineRule="auto"/>
        <w:ind w:left="720" w:hanging="720"/>
        <w:rPr>
          <w:rFonts w:ascii="Arial" w:hAnsi="Arial" w:cs="Arial"/>
          <w:sz w:val="24"/>
          <w:szCs w:val="24"/>
        </w:rPr>
      </w:pPr>
      <w:r w:rsidRPr="007345C5">
        <w:rPr>
          <w:rFonts w:ascii="Arial" w:hAnsi="Arial" w:cs="Arial"/>
          <w:sz w:val="24"/>
          <w:szCs w:val="24"/>
        </w:rPr>
        <w:t xml:space="preserve">‌ Onboarding new hires: recognising mutual learning opportunities | Emerald Insight. (2021). Journal of Work-Applied Management, [online] 14(1), pp.63–76. </w:t>
      </w:r>
      <w:proofErr w:type="spellStart"/>
      <w:proofErr w:type="gramStart"/>
      <w:r w:rsidRPr="007345C5">
        <w:rPr>
          <w:rFonts w:ascii="Arial" w:hAnsi="Arial" w:cs="Arial"/>
          <w:sz w:val="24"/>
          <w:szCs w:val="24"/>
        </w:rPr>
        <w:t>doi:https</w:t>
      </w:r>
      <w:proofErr w:type="spellEnd"/>
      <w:r w:rsidRPr="007345C5">
        <w:rPr>
          <w:rFonts w:ascii="Arial" w:hAnsi="Arial" w:cs="Arial"/>
          <w:sz w:val="24"/>
          <w:szCs w:val="24"/>
        </w:rPr>
        <w:t>://doi.org/10.1108//JWAM</w:t>
      </w:r>
      <w:proofErr w:type="gramEnd"/>
      <w:r w:rsidRPr="007345C5">
        <w:rPr>
          <w:rFonts w:ascii="Arial" w:hAnsi="Arial" w:cs="Arial"/>
          <w:sz w:val="24"/>
          <w:szCs w:val="24"/>
        </w:rPr>
        <w:t>.</w:t>
      </w:r>
    </w:p>
    <w:p w14:paraId="5C51D735" w14:textId="77777777" w:rsidR="007345C5" w:rsidRPr="007345C5" w:rsidRDefault="007345C5" w:rsidP="007345C5">
      <w:pPr>
        <w:pStyle w:val="NoSpacing"/>
        <w:spacing w:line="360" w:lineRule="auto"/>
        <w:ind w:left="720" w:hanging="720"/>
        <w:rPr>
          <w:rFonts w:ascii="Arial" w:hAnsi="Arial" w:cs="Arial"/>
          <w:color w:val="000000"/>
          <w:sz w:val="24"/>
          <w:szCs w:val="24"/>
        </w:rPr>
      </w:pPr>
      <w:r w:rsidRPr="007345C5">
        <w:rPr>
          <w:rFonts w:ascii="Arial" w:hAnsi="Arial" w:cs="Arial"/>
          <w:color w:val="000000"/>
          <w:sz w:val="24"/>
          <w:szCs w:val="24"/>
        </w:rPr>
        <w:lastRenderedPageBreak/>
        <w:t xml:space="preserve">‌ Regin, R., </w:t>
      </w:r>
      <w:proofErr w:type="spellStart"/>
      <w:r w:rsidRPr="007345C5">
        <w:rPr>
          <w:rFonts w:ascii="Arial" w:hAnsi="Arial" w:cs="Arial"/>
          <w:color w:val="000000"/>
          <w:sz w:val="24"/>
          <w:szCs w:val="24"/>
        </w:rPr>
        <w:t>Rajest</w:t>
      </w:r>
      <w:proofErr w:type="spellEnd"/>
      <w:r w:rsidRPr="007345C5">
        <w:rPr>
          <w:rFonts w:ascii="Arial" w:hAnsi="Arial" w:cs="Arial"/>
          <w:color w:val="000000"/>
          <w:sz w:val="24"/>
          <w:szCs w:val="24"/>
        </w:rPr>
        <w:t xml:space="preserve">, S. and </w:t>
      </w:r>
      <w:proofErr w:type="spellStart"/>
      <w:r w:rsidRPr="007345C5">
        <w:rPr>
          <w:rFonts w:ascii="Arial" w:hAnsi="Arial" w:cs="Arial"/>
          <w:color w:val="000000"/>
          <w:sz w:val="24"/>
          <w:szCs w:val="24"/>
        </w:rPr>
        <w:t>Angelene</w:t>
      </w:r>
      <w:proofErr w:type="spellEnd"/>
      <w:r w:rsidRPr="007345C5">
        <w:rPr>
          <w:rFonts w:ascii="Arial" w:hAnsi="Arial" w:cs="Arial"/>
          <w:color w:val="000000"/>
          <w:sz w:val="24"/>
          <w:szCs w:val="24"/>
        </w:rPr>
        <w:t>, J. (n.d.). </w:t>
      </w:r>
      <w:r w:rsidRPr="007345C5">
        <w:rPr>
          <w:rFonts w:ascii="Arial" w:hAnsi="Arial" w:cs="Arial"/>
          <w:iCs/>
          <w:color w:val="000000"/>
          <w:sz w:val="24"/>
          <w:szCs w:val="24"/>
        </w:rPr>
        <w:t>An Organization’s Strategy that is Backed by the Values and Visions of its Employees’ Families CENTRAL ASIAN JOURNAL OF INNOVATIONS ON TOURISM MANAGEMENT AND FINANCE</w:t>
      </w:r>
      <w:r w:rsidRPr="007345C5">
        <w:rPr>
          <w:rFonts w:ascii="Arial" w:hAnsi="Arial" w:cs="Arial"/>
          <w:color w:val="000000"/>
          <w:sz w:val="24"/>
          <w:szCs w:val="24"/>
        </w:rPr>
        <w:t>. [online] Available at: https://cajitmf.centralasianstudies.org/index.php/CAJITMF/article/download/309/304 [Accessed 8 Feb. 2023].</w:t>
      </w:r>
    </w:p>
    <w:p w14:paraId="4AB9E438" w14:textId="77777777" w:rsidR="007345C5" w:rsidRPr="007345C5" w:rsidRDefault="007345C5" w:rsidP="007345C5">
      <w:pPr>
        <w:pStyle w:val="NoSpacing"/>
        <w:spacing w:line="360" w:lineRule="auto"/>
        <w:ind w:left="720" w:hanging="720"/>
        <w:rPr>
          <w:rFonts w:ascii="Arial" w:hAnsi="Arial" w:cs="Arial"/>
          <w:color w:val="000000"/>
          <w:sz w:val="24"/>
          <w:szCs w:val="24"/>
        </w:rPr>
      </w:pPr>
      <w:r w:rsidRPr="007345C5">
        <w:rPr>
          <w:rFonts w:ascii="Arial" w:hAnsi="Arial" w:cs="Arial"/>
          <w:color w:val="000000"/>
          <w:sz w:val="24"/>
          <w:szCs w:val="24"/>
        </w:rPr>
        <w:t>‌ SA Journal of Human Resource Management. (2020). </w:t>
      </w:r>
      <w:r w:rsidRPr="007345C5">
        <w:rPr>
          <w:rFonts w:ascii="Arial" w:hAnsi="Arial" w:cs="Arial"/>
          <w:iCs/>
          <w:color w:val="000000"/>
          <w:sz w:val="24"/>
          <w:szCs w:val="24"/>
        </w:rPr>
        <w:t xml:space="preserve">Industry </w:t>
      </w:r>
      <w:proofErr w:type="gramStart"/>
      <w:r w:rsidRPr="007345C5">
        <w:rPr>
          <w:rFonts w:ascii="Arial" w:hAnsi="Arial" w:cs="Arial"/>
          <w:iCs/>
          <w:color w:val="000000"/>
          <w:sz w:val="24"/>
          <w:szCs w:val="24"/>
        </w:rPr>
        <w:t>4.0 :</w:t>
      </w:r>
      <w:proofErr w:type="gramEnd"/>
      <w:r w:rsidRPr="007345C5">
        <w:rPr>
          <w:rFonts w:ascii="Arial" w:hAnsi="Arial" w:cs="Arial"/>
          <w:iCs/>
          <w:color w:val="000000"/>
          <w:sz w:val="24"/>
          <w:szCs w:val="24"/>
        </w:rPr>
        <w:t xml:space="preserve"> the role of human resource professionals | SA Journal of Human Resource Management</w:t>
      </w:r>
      <w:r w:rsidRPr="007345C5">
        <w:rPr>
          <w:rFonts w:ascii="Arial" w:hAnsi="Arial" w:cs="Arial"/>
          <w:color w:val="000000"/>
          <w:sz w:val="24"/>
          <w:szCs w:val="24"/>
        </w:rPr>
        <w:t>. [online] Available at: https://journals.co.za/doi/abs/10.4102/sajhrm.v18i0.1302 [Accessed 7 Feb. 2023].</w:t>
      </w:r>
    </w:p>
    <w:p w14:paraId="58751B9F" w14:textId="77777777" w:rsidR="007345C5" w:rsidRPr="007345C5" w:rsidRDefault="007345C5" w:rsidP="007345C5">
      <w:pPr>
        <w:pStyle w:val="NoSpacing"/>
        <w:spacing w:line="360" w:lineRule="auto"/>
        <w:ind w:left="720" w:hanging="720"/>
        <w:rPr>
          <w:rFonts w:ascii="Arial" w:hAnsi="Arial" w:cs="Arial"/>
          <w:color w:val="000000"/>
          <w:sz w:val="24"/>
          <w:szCs w:val="24"/>
        </w:rPr>
      </w:pPr>
      <w:r w:rsidRPr="007345C5">
        <w:rPr>
          <w:rFonts w:ascii="Arial" w:hAnsi="Arial" w:cs="Arial"/>
          <w:color w:val="000000"/>
          <w:sz w:val="24"/>
          <w:szCs w:val="24"/>
        </w:rPr>
        <w:t xml:space="preserve">‌ </w:t>
      </w:r>
      <w:proofErr w:type="spellStart"/>
      <w:r w:rsidRPr="007345C5">
        <w:rPr>
          <w:rFonts w:ascii="Arial" w:hAnsi="Arial" w:cs="Arial"/>
          <w:color w:val="000000"/>
          <w:sz w:val="24"/>
          <w:szCs w:val="24"/>
        </w:rPr>
        <w:t>Stofkova</w:t>
      </w:r>
      <w:proofErr w:type="spellEnd"/>
      <w:r w:rsidRPr="007345C5">
        <w:rPr>
          <w:rFonts w:ascii="Arial" w:hAnsi="Arial" w:cs="Arial"/>
          <w:color w:val="000000"/>
          <w:sz w:val="24"/>
          <w:szCs w:val="24"/>
        </w:rPr>
        <w:t xml:space="preserve">, Z. and </w:t>
      </w:r>
      <w:proofErr w:type="spellStart"/>
      <w:r w:rsidRPr="007345C5">
        <w:rPr>
          <w:rFonts w:ascii="Arial" w:hAnsi="Arial" w:cs="Arial"/>
          <w:color w:val="000000"/>
          <w:sz w:val="24"/>
          <w:szCs w:val="24"/>
        </w:rPr>
        <w:t>Sukalova</w:t>
      </w:r>
      <w:proofErr w:type="spellEnd"/>
      <w:r w:rsidRPr="007345C5">
        <w:rPr>
          <w:rFonts w:ascii="Arial" w:hAnsi="Arial" w:cs="Arial"/>
          <w:color w:val="000000"/>
          <w:sz w:val="24"/>
          <w:szCs w:val="24"/>
        </w:rPr>
        <w:t>, V. (2020). Sustainable Development of Human Resources in Globalization Period. </w:t>
      </w:r>
      <w:r w:rsidRPr="007345C5">
        <w:rPr>
          <w:rFonts w:ascii="Arial" w:hAnsi="Arial" w:cs="Arial"/>
          <w:iCs/>
          <w:color w:val="000000"/>
          <w:sz w:val="24"/>
          <w:szCs w:val="24"/>
        </w:rPr>
        <w:t>Sustainability</w:t>
      </w:r>
      <w:r w:rsidRPr="007345C5">
        <w:rPr>
          <w:rFonts w:ascii="Arial" w:hAnsi="Arial" w:cs="Arial"/>
          <w:color w:val="000000"/>
          <w:sz w:val="24"/>
          <w:szCs w:val="24"/>
        </w:rPr>
        <w:t xml:space="preserve">, [online] 12(18), p.7681. </w:t>
      </w:r>
      <w:proofErr w:type="spellStart"/>
      <w:proofErr w:type="gramStart"/>
      <w:r w:rsidRPr="007345C5">
        <w:rPr>
          <w:rFonts w:ascii="Arial" w:hAnsi="Arial" w:cs="Arial"/>
          <w:color w:val="000000"/>
          <w:sz w:val="24"/>
          <w:szCs w:val="24"/>
        </w:rPr>
        <w:t>doi:https</w:t>
      </w:r>
      <w:proofErr w:type="spellEnd"/>
      <w:r w:rsidRPr="007345C5">
        <w:rPr>
          <w:rFonts w:ascii="Arial" w:hAnsi="Arial" w:cs="Arial"/>
          <w:color w:val="000000"/>
          <w:sz w:val="24"/>
          <w:szCs w:val="24"/>
        </w:rPr>
        <w:t>://doi.org/10.3390/su12187681</w:t>
      </w:r>
      <w:proofErr w:type="gramEnd"/>
      <w:r w:rsidRPr="007345C5">
        <w:rPr>
          <w:rFonts w:ascii="Arial" w:hAnsi="Arial" w:cs="Arial"/>
          <w:color w:val="000000"/>
          <w:sz w:val="24"/>
          <w:szCs w:val="24"/>
        </w:rPr>
        <w:t>.</w:t>
      </w:r>
    </w:p>
    <w:p w14:paraId="1FB19674" w14:textId="77777777" w:rsidR="007345C5" w:rsidRPr="007345C5" w:rsidRDefault="007345C5" w:rsidP="007345C5">
      <w:pPr>
        <w:pStyle w:val="NoSpacing"/>
        <w:spacing w:line="360" w:lineRule="auto"/>
        <w:ind w:left="720" w:hanging="720"/>
        <w:rPr>
          <w:rFonts w:ascii="Arial" w:hAnsi="Arial" w:cs="Arial"/>
          <w:color w:val="000000"/>
          <w:sz w:val="24"/>
          <w:szCs w:val="24"/>
        </w:rPr>
      </w:pPr>
      <w:r w:rsidRPr="007345C5">
        <w:rPr>
          <w:rFonts w:ascii="Arial" w:hAnsi="Arial" w:cs="Arial"/>
          <w:color w:val="000000"/>
          <w:sz w:val="24"/>
          <w:szCs w:val="24"/>
        </w:rPr>
        <w:t>‌</w:t>
      </w:r>
      <w:proofErr w:type="spellStart"/>
      <w:r w:rsidRPr="007345C5">
        <w:rPr>
          <w:rFonts w:ascii="Arial" w:hAnsi="Arial" w:cs="Arial"/>
          <w:color w:val="000000"/>
          <w:sz w:val="24"/>
          <w:szCs w:val="24"/>
        </w:rPr>
        <w:t>Ahakwa</w:t>
      </w:r>
      <w:proofErr w:type="spellEnd"/>
      <w:r w:rsidRPr="007345C5">
        <w:rPr>
          <w:rFonts w:ascii="Arial" w:hAnsi="Arial" w:cs="Arial"/>
          <w:color w:val="000000"/>
          <w:sz w:val="24"/>
          <w:szCs w:val="24"/>
        </w:rPr>
        <w:t xml:space="preserve">, I., Yang, J., Agba Tackie, E. and </w:t>
      </w:r>
      <w:proofErr w:type="spellStart"/>
      <w:r w:rsidRPr="007345C5">
        <w:rPr>
          <w:rFonts w:ascii="Arial" w:hAnsi="Arial" w:cs="Arial"/>
          <w:color w:val="000000"/>
          <w:sz w:val="24"/>
          <w:szCs w:val="24"/>
        </w:rPr>
        <w:t>Atingabili</w:t>
      </w:r>
      <w:proofErr w:type="spellEnd"/>
      <w:r w:rsidRPr="007345C5">
        <w:rPr>
          <w:rFonts w:ascii="Arial" w:hAnsi="Arial" w:cs="Arial"/>
          <w:color w:val="000000"/>
          <w:sz w:val="24"/>
          <w:szCs w:val="24"/>
        </w:rPr>
        <w:t>, S. (2021). The Influence of Employee Engagement, Work Environment and Job Satisfaction on Organizational Commitment and Performance of Employees: A Sampling Weights in PLS path Modelling. </w:t>
      </w:r>
      <w:r w:rsidRPr="007345C5">
        <w:rPr>
          <w:rFonts w:ascii="Arial" w:hAnsi="Arial" w:cs="Arial"/>
          <w:iCs/>
          <w:color w:val="000000"/>
          <w:sz w:val="24"/>
          <w:szCs w:val="24"/>
        </w:rPr>
        <w:t>SEISENSE Journal of Management</w:t>
      </w:r>
      <w:r w:rsidRPr="007345C5">
        <w:rPr>
          <w:rFonts w:ascii="Arial" w:hAnsi="Arial" w:cs="Arial"/>
          <w:color w:val="000000"/>
          <w:sz w:val="24"/>
          <w:szCs w:val="24"/>
        </w:rPr>
        <w:t xml:space="preserve">, [online] 4(3), pp.34–62. </w:t>
      </w:r>
      <w:proofErr w:type="spellStart"/>
      <w:proofErr w:type="gramStart"/>
      <w:r w:rsidRPr="007345C5">
        <w:rPr>
          <w:rFonts w:ascii="Arial" w:hAnsi="Arial" w:cs="Arial"/>
          <w:color w:val="000000"/>
          <w:sz w:val="24"/>
          <w:szCs w:val="24"/>
        </w:rPr>
        <w:t>doi:https</w:t>
      </w:r>
      <w:proofErr w:type="spellEnd"/>
      <w:r w:rsidRPr="007345C5">
        <w:rPr>
          <w:rFonts w:ascii="Arial" w:hAnsi="Arial" w:cs="Arial"/>
          <w:color w:val="000000"/>
          <w:sz w:val="24"/>
          <w:szCs w:val="24"/>
        </w:rPr>
        <w:t>://doi.org/10.33215/sjom.v4i3.641</w:t>
      </w:r>
      <w:proofErr w:type="gramEnd"/>
      <w:r w:rsidRPr="007345C5">
        <w:rPr>
          <w:rFonts w:ascii="Arial" w:hAnsi="Arial" w:cs="Arial"/>
          <w:color w:val="000000"/>
          <w:sz w:val="24"/>
          <w:szCs w:val="24"/>
        </w:rPr>
        <w:t>.</w:t>
      </w:r>
    </w:p>
    <w:p w14:paraId="7AE5A4FF" w14:textId="77777777" w:rsidR="007345C5" w:rsidRPr="007345C5" w:rsidRDefault="007345C5" w:rsidP="007345C5">
      <w:pPr>
        <w:pStyle w:val="NoSpacing"/>
        <w:spacing w:line="360" w:lineRule="auto"/>
        <w:ind w:left="720" w:hanging="720"/>
        <w:rPr>
          <w:rFonts w:ascii="Arial" w:hAnsi="Arial" w:cs="Arial"/>
          <w:sz w:val="24"/>
          <w:szCs w:val="24"/>
        </w:rPr>
      </w:pPr>
      <w:r w:rsidRPr="007345C5">
        <w:rPr>
          <w:rFonts w:ascii="Arial" w:hAnsi="Arial" w:cs="Arial"/>
          <w:sz w:val="24"/>
          <w:szCs w:val="24"/>
        </w:rPr>
        <w:t>‌Ali, B.J. and Anwar, G. (2021). An Empirical Study of Employees’ Motivation and Its Influence Job Satisfaction. [online] Ssrn.com. Available at: https://papers.ssrn.com/sol3/papers.cfm?abstract_id=3822723 [Accessed 8 Feb. 2023].</w:t>
      </w:r>
    </w:p>
    <w:p w14:paraId="56F7C811" w14:textId="77777777" w:rsidR="007345C5" w:rsidRPr="007345C5" w:rsidRDefault="007345C5" w:rsidP="007345C5">
      <w:pPr>
        <w:pStyle w:val="NoSpacing"/>
        <w:spacing w:line="360" w:lineRule="auto"/>
        <w:ind w:left="720" w:hanging="720"/>
        <w:rPr>
          <w:rFonts w:ascii="Arial" w:hAnsi="Arial" w:cs="Arial"/>
          <w:color w:val="000000"/>
          <w:sz w:val="24"/>
          <w:szCs w:val="24"/>
        </w:rPr>
      </w:pPr>
      <w:r w:rsidRPr="007345C5">
        <w:rPr>
          <w:rFonts w:ascii="Arial" w:hAnsi="Arial" w:cs="Arial"/>
          <w:color w:val="000000"/>
          <w:sz w:val="24"/>
          <w:szCs w:val="24"/>
        </w:rPr>
        <w:t xml:space="preserve">Azizi, M.R., </w:t>
      </w:r>
      <w:proofErr w:type="spellStart"/>
      <w:r w:rsidRPr="007345C5">
        <w:rPr>
          <w:rFonts w:ascii="Arial" w:hAnsi="Arial" w:cs="Arial"/>
          <w:color w:val="000000"/>
          <w:sz w:val="24"/>
          <w:szCs w:val="24"/>
        </w:rPr>
        <w:t>Atlasi</w:t>
      </w:r>
      <w:proofErr w:type="spellEnd"/>
      <w:r w:rsidRPr="007345C5">
        <w:rPr>
          <w:rFonts w:ascii="Arial" w:hAnsi="Arial" w:cs="Arial"/>
          <w:color w:val="000000"/>
          <w:sz w:val="24"/>
          <w:szCs w:val="24"/>
        </w:rPr>
        <w:t xml:space="preserve">, R., </w:t>
      </w:r>
      <w:proofErr w:type="spellStart"/>
      <w:r w:rsidRPr="007345C5">
        <w:rPr>
          <w:rFonts w:ascii="Arial" w:hAnsi="Arial" w:cs="Arial"/>
          <w:color w:val="000000"/>
          <w:sz w:val="24"/>
          <w:szCs w:val="24"/>
        </w:rPr>
        <w:t>Ziapour</w:t>
      </w:r>
      <w:proofErr w:type="spellEnd"/>
      <w:r w:rsidRPr="007345C5">
        <w:rPr>
          <w:rFonts w:ascii="Arial" w:hAnsi="Arial" w:cs="Arial"/>
          <w:color w:val="000000"/>
          <w:sz w:val="24"/>
          <w:szCs w:val="24"/>
        </w:rPr>
        <w:t xml:space="preserve">, A., Abbas, J. and </w:t>
      </w:r>
      <w:proofErr w:type="spellStart"/>
      <w:r w:rsidRPr="007345C5">
        <w:rPr>
          <w:rFonts w:ascii="Arial" w:hAnsi="Arial" w:cs="Arial"/>
          <w:color w:val="000000"/>
          <w:sz w:val="24"/>
          <w:szCs w:val="24"/>
        </w:rPr>
        <w:t>Naemi</w:t>
      </w:r>
      <w:proofErr w:type="spellEnd"/>
      <w:r w:rsidRPr="007345C5">
        <w:rPr>
          <w:rFonts w:ascii="Arial" w:hAnsi="Arial" w:cs="Arial"/>
          <w:color w:val="000000"/>
          <w:sz w:val="24"/>
          <w:szCs w:val="24"/>
        </w:rPr>
        <w:t>, R. (2021). Innovative human resource management strategies during the COVID-19 pandemic: A systematic narrative review approach. </w:t>
      </w:r>
      <w:proofErr w:type="spellStart"/>
      <w:r w:rsidRPr="007345C5">
        <w:rPr>
          <w:rFonts w:ascii="Arial" w:hAnsi="Arial" w:cs="Arial"/>
          <w:iCs/>
          <w:color w:val="000000"/>
          <w:sz w:val="24"/>
          <w:szCs w:val="24"/>
        </w:rPr>
        <w:t>Heliyon</w:t>
      </w:r>
      <w:proofErr w:type="spellEnd"/>
      <w:r w:rsidRPr="007345C5">
        <w:rPr>
          <w:rFonts w:ascii="Arial" w:hAnsi="Arial" w:cs="Arial"/>
          <w:color w:val="000000"/>
          <w:sz w:val="24"/>
          <w:szCs w:val="24"/>
        </w:rPr>
        <w:t xml:space="preserve">, [online] 7(6), p.e07233. </w:t>
      </w:r>
      <w:proofErr w:type="spellStart"/>
      <w:proofErr w:type="gramStart"/>
      <w:r w:rsidRPr="007345C5">
        <w:rPr>
          <w:rFonts w:ascii="Arial" w:hAnsi="Arial" w:cs="Arial"/>
          <w:color w:val="000000"/>
          <w:sz w:val="24"/>
          <w:szCs w:val="24"/>
        </w:rPr>
        <w:t>doi:https</w:t>
      </w:r>
      <w:proofErr w:type="spellEnd"/>
      <w:r w:rsidRPr="007345C5">
        <w:rPr>
          <w:rFonts w:ascii="Arial" w:hAnsi="Arial" w:cs="Arial"/>
          <w:color w:val="000000"/>
          <w:sz w:val="24"/>
          <w:szCs w:val="24"/>
        </w:rPr>
        <w:t>://doi.org/10.1016/j.heliyon.2021.e07233</w:t>
      </w:r>
      <w:proofErr w:type="gramEnd"/>
      <w:r w:rsidRPr="007345C5">
        <w:rPr>
          <w:rFonts w:ascii="Arial" w:hAnsi="Arial" w:cs="Arial"/>
          <w:color w:val="000000"/>
          <w:sz w:val="24"/>
          <w:szCs w:val="24"/>
        </w:rPr>
        <w:t>.</w:t>
      </w:r>
    </w:p>
    <w:p w14:paraId="7AC310B5" w14:textId="77777777" w:rsidR="007345C5" w:rsidRPr="007345C5" w:rsidRDefault="007345C5" w:rsidP="007345C5">
      <w:pPr>
        <w:pStyle w:val="NoSpacing"/>
        <w:spacing w:line="360" w:lineRule="auto"/>
        <w:ind w:left="720" w:hanging="720"/>
        <w:rPr>
          <w:rFonts w:ascii="Arial" w:hAnsi="Arial" w:cs="Arial"/>
          <w:color w:val="000000"/>
          <w:sz w:val="24"/>
          <w:szCs w:val="24"/>
        </w:rPr>
      </w:pPr>
      <w:r w:rsidRPr="007345C5">
        <w:rPr>
          <w:rFonts w:ascii="Arial" w:hAnsi="Arial" w:cs="Arial"/>
          <w:color w:val="000000"/>
          <w:sz w:val="24"/>
          <w:szCs w:val="24"/>
        </w:rPr>
        <w:t xml:space="preserve">‌Barkhuizen, N.E. and </w:t>
      </w:r>
      <w:proofErr w:type="spellStart"/>
      <w:r w:rsidRPr="007345C5">
        <w:rPr>
          <w:rFonts w:ascii="Arial" w:hAnsi="Arial" w:cs="Arial"/>
          <w:color w:val="000000"/>
          <w:sz w:val="24"/>
          <w:szCs w:val="24"/>
        </w:rPr>
        <w:t>Bongekile</w:t>
      </w:r>
      <w:proofErr w:type="spellEnd"/>
      <w:r w:rsidRPr="007345C5">
        <w:rPr>
          <w:rFonts w:ascii="Arial" w:hAnsi="Arial" w:cs="Arial"/>
          <w:color w:val="000000"/>
          <w:sz w:val="24"/>
          <w:szCs w:val="24"/>
        </w:rPr>
        <w:t xml:space="preserve"> Gumede (2021). The relationship between talent management, job satisfaction and voluntary turnover intentions of employees in a selected government institution. </w:t>
      </w:r>
      <w:r w:rsidRPr="007345C5">
        <w:rPr>
          <w:rFonts w:ascii="Arial" w:hAnsi="Arial" w:cs="Arial"/>
          <w:iCs/>
          <w:color w:val="000000"/>
          <w:sz w:val="24"/>
          <w:szCs w:val="24"/>
        </w:rPr>
        <w:t>SA Journal of Human Resource Management</w:t>
      </w:r>
      <w:r w:rsidRPr="007345C5">
        <w:rPr>
          <w:rFonts w:ascii="Arial" w:hAnsi="Arial" w:cs="Arial"/>
          <w:color w:val="000000"/>
          <w:sz w:val="24"/>
          <w:szCs w:val="24"/>
        </w:rPr>
        <w:t xml:space="preserve">, [online] 19(0), p.12. Available at: </w:t>
      </w:r>
      <w:r w:rsidRPr="007345C5">
        <w:rPr>
          <w:rFonts w:ascii="Arial" w:hAnsi="Arial" w:cs="Arial"/>
          <w:color w:val="000000"/>
          <w:sz w:val="24"/>
          <w:szCs w:val="24"/>
        </w:rPr>
        <w:lastRenderedPageBreak/>
        <w:t>https://sajhrm.co.za/index.php/sajhrm/article/view/1396/2406 [Accessed 7 Feb. 2023].</w:t>
      </w:r>
    </w:p>
    <w:p w14:paraId="2864FC79" w14:textId="77777777" w:rsidR="007345C5" w:rsidRPr="007345C5" w:rsidRDefault="007345C5" w:rsidP="007345C5">
      <w:pPr>
        <w:pStyle w:val="NoSpacing"/>
        <w:spacing w:line="360" w:lineRule="auto"/>
        <w:ind w:left="720" w:hanging="720"/>
        <w:rPr>
          <w:rFonts w:ascii="Arial" w:hAnsi="Arial" w:cs="Arial"/>
          <w:color w:val="000000"/>
          <w:sz w:val="24"/>
          <w:szCs w:val="24"/>
        </w:rPr>
      </w:pPr>
      <w:r w:rsidRPr="007345C5">
        <w:rPr>
          <w:rFonts w:ascii="Arial" w:hAnsi="Arial" w:cs="Arial"/>
          <w:color w:val="000000"/>
          <w:sz w:val="24"/>
          <w:szCs w:val="24"/>
        </w:rPr>
        <w:t xml:space="preserve">Barkhuizen, N.E. and </w:t>
      </w:r>
      <w:proofErr w:type="spellStart"/>
      <w:r w:rsidRPr="007345C5">
        <w:rPr>
          <w:rFonts w:ascii="Arial" w:hAnsi="Arial" w:cs="Arial"/>
          <w:color w:val="000000"/>
          <w:sz w:val="24"/>
          <w:szCs w:val="24"/>
        </w:rPr>
        <w:t>Bongekile</w:t>
      </w:r>
      <w:proofErr w:type="spellEnd"/>
      <w:r w:rsidRPr="007345C5">
        <w:rPr>
          <w:rFonts w:ascii="Arial" w:hAnsi="Arial" w:cs="Arial"/>
          <w:color w:val="000000"/>
          <w:sz w:val="24"/>
          <w:szCs w:val="24"/>
        </w:rPr>
        <w:t xml:space="preserve"> Gumede (2021). The relationship between talent management, job satisfaction and voluntary turnover intentions of employees in a selected government institution. </w:t>
      </w:r>
      <w:r w:rsidRPr="007345C5">
        <w:rPr>
          <w:rFonts w:ascii="Arial" w:hAnsi="Arial" w:cs="Arial"/>
          <w:iCs/>
          <w:color w:val="000000"/>
          <w:sz w:val="24"/>
          <w:szCs w:val="24"/>
        </w:rPr>
        <w:t>SA Journal of Human Resource Management</w:t>
      </w:r>
      <w:r w:rsidRPr="007345C5">
        <w:rPr>
          <w:rFonts w:ascii="Arial" w:hAnsi="Arial" w:cs="Arial"/>
          <w:color w:val="000000"/>
          <w:sz w:val="24"/>
          <w:szCs w:val="24"/>
        </w:rPr>
        <w:t>, [online] 19(0), p.12. Available at: https://sajhrm.co.za/index.php/sajhrm/article/view/1396/2406 [Accessed 8 Feb. 2023].</w:t>
      </w:r>
    </w:p>
    <w:p w14:paraId="4536663A" w14:textId="77777777" w:rsidR="007345C5" w:rsidRPr="007345C5" w:rsidRDefault="007345C5" w:rsidP="007345C5">
      <w:pPr>
        <w:pStyle w:val="NoSpacing"/>
        <w:spacing w:line="360" w:lineRule="auto"/>
        <w:ind w:left="720" w:hanging="720"/>
        <w:rPr>
          <w:rFonts w:ascii="Arial" w:hAnsi="Arial" w:cs="Arial"/>
          <w:color w:val="000000"/>
          <w:sz w:val="24"/>
          <w:szCs w:val="24"/>
        </w:rPr>
      </w:pPr>
      <w:r w:rsidRPr="007345C5">
        <w:rPr>
          <w:rFonts w:ascii="Arial" w:hAnsi="Arial" w:cs="Arial"/>
          <w:color w:val="000000"/>
          <w:sz w:val="24"/>
          <w:szCs w:val="24"/>
        </w:rPr>
        <w:t>‌Ghani, B., Zada, M., Memon, K.R., Ullah, R., Khattak, A., Han, H., Ariza-Montes, A. and Araya-Castillo, L. (2022). Challenges and Strategies for Employee Retention in the Hospitality Industry: A Review. </w:t>
      </w:r>
      <w:r w:rsidRPr="007345C5">
        <w:rPr>
          <w:rFonts w:ascii="Arial" w:hAnsi="Arial" w:cs="Arial"/>
          <w:iCs/>
          <w:color w:val="000000"/>
          <w:sz w:val="24"/>
          <w:szCs w:val="24"/>
        </w:rPr>
        <w:t>Sustainability</w:t>
      </w:r>
      <w:r w:rsidRPr="007345C5">
        <w:rPr>
          <w:rFonts w:ascii="Arial" w:hAnsi="Arial" w:cs="Arial"/>
          <w:color w:val="000000"/>
          <w:sz w:val="24"/>
          <w:szCs w:val="24"/>
        </w:rPr>
        <w:t xml:space="preserve">, [online] 14(5), p.2885. </w:t>
      </w:r>
      <w:proofErr w:type="spellStart"/>
      <w:proofErr w:type="gramStart"/>
      <w:r w:rsidRPr="007345C5">
        <w:rPr>
          <w:rFonts w:ascii="Arial" w:hAnsi="Arial" w:cs="Arial"/>
          <w:color w:val="000000"/>
          <w:sz w:val="24"/>
          <w:szCs w:val="24"/>
        </w:rPr>
        <w:t>doi:https</w:t>
      </w:r>
      <w:proofErr w:type="spellEnd"/>
      <w:r w:rsidRPr="007345C5">
        <w:rPr>
          <w:rFonts w:ascii="Arial" w:hAnsi="Arial" w:cs="Arial"/>
          <w:color w:val="000000"/>
          <w:sz w:val="24"/>
          <w:szCs w:val="24"/>
        </w:rPr>
        <w:t>://doi.org/10.3390/su14052885</w:t>
      </w:r>
      <w:proofErr w:type="gramEnd"/>
      <w:r w:rsidRPr="007345C5">
        <w:rPr>
          <w:rFonts w:ascii="Arial" w:hAnsi="Arial" w:cs="Arial"/>
          <w:color w:val="000000"/>
          <w:sz w:val="24"/>
          <w:szCs w:val="24"/>
        </w:rPr>
        <w:t>.</w:t>
      </w:r>
    </w:p>
    <w:p w14:paraId="52FCA8B8" w14:textId="77777777" w:rsidR="007345C5" w:rsidRPr="007345C5" w:rsidRDefault="007345C5" w:rsidP="007345C5">
      <w:pPr>
        <w:pStyle w:val="NoSpacing"/>
        <w:spacing w:line="360" w:lineRule="auto"/>
        <w:ind w:left="720" w:hanging="720"/>
        <w:rPr>
          <w:rFonts w:ascii="Arial" w:hAnsi="Arial" w:cs="Arial"/>
          <w:color w:val="000000"/>
          <w:sz w:val="24"/>
          <w:szCs w:val="24"/>
        </w:rPr>
      </w:pPr>
      <w:r w:rsidRPr="007345C5">
        <w:rPr>
          <w:rFonts w:ascii="Arial" w:hAnsi="Arial" w:cs="Arial"/>
          <w:color w:val="000000"/>
          <w:sz w:val="24"/>
          <w:szCs w:val="24"/>
        </w:rPr>
        <w:t>Google Books. (2022). </w:t>
      </w:r>
      <w:r w:rsidRPr="007345C5">
        <w:rPr>
          <w:rFonts w:ascii="Arial" w:hAnsi="Arial" w:cs="Arial"/>
          <w:iCs/>
          <w:color w:val="000000"/>
          <w:sz w:val="24"/>
          <w:szCs w:val="24"/>
        </w:rPr>
        <w:t>The Dynamic Fire Chief</w:t>
      </w:r>
      <w:r w:rsidRPr="007345C5">
        <w:rPr>
          <w:rFonts w:ascii="Arial" w:hAnsi="Arial" w:cs="Arial"/>
          <w:color w:val="000000"/>
          <w:sz w:val="24"/>
          <w:szCs w:val="24"/>
        </w:rPr>
        <w:t>. [online] Available at: https://books.google.co.ke/books?hl=en&amp;lr=&amp;id=giKUEAAAQBAJ&amp;oi=fnd&amp;pg=PT11&amp;dq=As+a+result,+the+Human+Resources+(HR)+division+of+a+large+hotel+needs+to+be+well-equipped+to+guarantee+that+it+can+draw+in,+hire,+onboard,+grow,+keep,+and+eventually+part+ways+with+its+staff&amp;ots=NKSSsM_Pol&amp;sig=VWJevyiqqcHRu34PxT4GYXwP2U0&amp;redir_esc=y#v=onepage&amp;q&amp;f=false [Accessed 7 Feb. 2023].</w:t>
      </w:r>
    </w:p>
    <w:p w14:paraId="41E17907" w14:textId="77777777" w:rsidR="007345C5" w:rsidRPr="007345C5" w:rsidRDefault="007345C5" w:rsidP="007345C5">
      <w:pPr>
        <w:pStyle w:val="NoSpacing"/>
        <w:spacing w:line="360" w:lineRule="auto"/>
        <w:ind w:left="720" w:hanging="720"/>
        <w:rPr>
          <w:rFonts w:ascii="Arial" w:hAnsi="Arial" w:cs="Arial"/>
          <w:color w:val="000000"/>
          <w:sz w:val="24"/>
          <w:szCs w:val="24"/>
        </w:rPr>
      </w:pPr>
      <w:proofErr w:type="spellStart"/>
      <w:r w:rsidRPr="007345C5">
        <w:rPr>
          <w:rFonts w:ascii="Arial" w:hAnsi="Arial" w:cs="Arial"/>
          <w:color w:val="000000"/>
          <w:sz w:val="24"/>
          <w:szCs w:val="24"/>
        </w:rPr>
        <w:t>Kalogiannidis</w:t>
      </w:r>
      <w:proofErr w:type="spellEnd"/>
      <w:r w:rsidRPr="007345C5">
        <w:rPr>
          <w:rFonts w:ascii="Arial" w:hAnsi="Arial" w:cs="Arial"/>
          <w:color w:val="000000"/>
          <w:sz w:val="24"/>
          <w:szCs w:val="24"/>
        </w:rPr>
        <w:t>, S. (2020). Impact of Effective Business Communication on Employee Performance. </w:t>
      </w:r>
      <w:r w:rsidRPr="007345C5">
        <w:rPr>
          <w:rFonts w:ascii="Arial" w:hAnsi="Arial" w:cs="Arial"/>
          <w:iCs/>
          <w:color w:val="000000"/>
          <w:sz w:val="24"/>
          <w:szCs w:val="24"/>
        </w:rPr>
        <w:t>European Journal of Business and Management Research</w:t>
      </w:r>
      <w:r w:rsidRPr="007345C5">
        <w:rPr>
          <w:rFonts w:ascii="Arial" w:hAnsi="Arial" w:cs="Arial"/>
          <w:color w:val="000000"/>
          <w:sz w:val="24"/>
          <w:szCs w:val="24"/>
        </w:rPr>
        <w:t xml:space="preserve">, [online] 5(6). </w:t>
      </w:r>
      <w:proofErr w:type="spellStart"/>
      <w:proofErr w:type="gramStart"/>
      <w:r w:rsidRPr="007345C5">
        <w:rPr>
          <w:rFonts w:ascii="Arial" w:hAnsi="Arial" w:cs="Arial"/>
          <w:color w:val="000000"/>
          <w:sz w:val="24"/>
          <w:szCs w:val="24"/>
        </w:rPr>
        <w:t>doi:https</w:t>
      </w:r>
      <w:proofErr w:type="spellEnd"/>
      <w:r w:rsidRPr="007345C5">
        <w:rPr>
          <w:rFonts w:ascii="Arial" w:hAnsi="Arial" w:cs="Arial"/>
          <w:color w:val="000000"/>
          <w:sz w:val="24"/>
          <w:szCs w:val="24"/>
        </w:rPr>
        <w:t>://doi.org/10.24018/ejbmr.2020.5.6.631</w:t>
      </w:r>
      <w:proofErr w:type="gramEnd"/>
      <w:r w:rsidRPr="007345C5">
        <w:rPr>
          <w:rFonts w:ascii="Arial" w:hAnsi="Arial" w:cs="Arial"/>
          <w:color w:val="000000"/>
          <w:sz w:val="24"/>
          <w:szCs w:val="24"/>
        </w:rPr>
        <w:t>.</w:t>
      </w:r>
    </w:p>
    <w:p w14:paraId="01ECE7C0" w14:textId="77777777" w:rsidR="007345C5" w:rsidRPr="007345C5" w:rsidRDefault="007345C5" w:rsidP="007345C5">
      <w:pPr>
        <w:pStyle w:val="NoSpacing"/>
        <w:spacing w:line="360" w:lineRule="auto"/>
        <w:ind w:left="720" w:hanging="720"/>
        <w:rPr>
          <w:rFonts w:ascii="Arial" w:hAnsi="Arial" w:cs="Arial"/>
          <w:color w:val="000000"/>
          <w:sz w:val="24"/>
          <w:szCs w:val="24"/>
        </w:rPr>
      </w:pPr>
      <w:r w:rsidRPr="007345C5">
        <w:rPr>
          <w:rFonts w:ascii="Arial" w:hAnsi="Arial" w:cs="Arial"/>
          <w:color w:val="000000"/>
          <w:sz w:val="24"/>
          <w:szCs w:val="24"/>
        </w:rPr>
        <w:t>‌Michael, N. and Fotiadis, A.K. (2022). </w:t>
      </w:r>
      <w:r w:rsidRPr="007345C5">
        <w:rPr>
          <w:rFonts w:ascii="Arial" w:hAnsi="Arial" w:cs="Arial"/>
          <w:iCs/>
          <w:color w:val="000000"/>
          <w:sz w:val="24"/>
          <w:szCs w:val="24"/>
        </w:rPr>
        <w:t>Employee Turnover: The Hotel Industry Perspective</w:t>
      </w:r>
      <w:r w:rsidRPr="007345C5">
        <w:rPr>
          <w:rFonts w:ascii="Arial" w:hAnsi="Arial" w:cs="Arial"/>
          <w:color w:val="000000"/>
          <w:sz w:val="24"/>
          <w:szCs w:val="24"/>
        </w:rPr>
        <w:t>. [online] Ssrn.com. Available at: https://papers.ssrn.com/sol3/papers.cfm?abstract_id=4121197 [Accessed 8 Feb. 2023].</w:t>
      </w:r>
    </w:p>
    <w:p w14:paraId="78835AEE" w14:textId="77777777" w:rsidR="007345C5" w:rsidRPr="007345C5" w:rsidRDefault="007345C5" w:rsidP="007345C5">
      <w:pPr>
        <w:pStyle w:val="NoSpacing"/>
        <w:spacing w:line="360" w:lineRule="auto"/>
        <w:ind w:left="720" w:hanging="720"/>
        <w:rPr>
          <w:rFonts w:ascii="Arial" w:hAnsi="Arial" w:cs="Arial"/>
          <w:color w:val="000000"/>
          <w:sz w:val="24"/>
          <w:szCs w:val="24"/>
        </w:rPr>
      </w:pPr>
      <w:r w:rsidRPr="007345C5">
        <w:rPr>
          <w:rFonts w:ascii="Arial" w:hAnsi="Arial" w:cs="Arial"/>
          <w:color w:val="000000"/>
          <w:sz w:val="24"/>
          <w:szCs w:val="24"/>
        </w:rPr>
        <w:t>‌The International Journal of Human Resource Management. (2021). </w:t>
      </w:r>
      <w:r w:rsidRPr="007345C5">
        <w:rPr>
          <w:rFonts w:ascii="Arial" w:hAnsi="Arial" w:cs="Arial"/>
          <w:iCs/>
          <w:color w:val="000000"/>
          <w:sz w:val="24"/>
          <w:szCs w:val="24"/>
        </w:rPr>
        <w:t>Organizational career growth and career commitment: Moderated mediation model of work engagement and role modeling</w:t>
      </w:r>
      <w:r w:rsidRPr="007345C5">
        <w:rPr>
          <w:rFonts w:ascii="Arial" w:hAnsi="Arial" w:cs="Arial"/>
          <w:color w:val="000000"/>
          <w:sz w:val="24"/>
          <w:szCs w:val="24"/>
        </w:rPr>
        <w:t>. [online] Available at: https://www.tandfonline.com/doi/abs/10.1080/09585192.2019.1657165 [Accessed 7 Feb. 2023].</w:t>
      </w:r>
    </w:p>
    <w:p w14:paraId="624466C7" w14:textId="77777777" w:rsidR="007345C5" w:rsidRPr="007345C5" w:rsidRDefault="007345C5" w:rsidP="007345C5">
      <w:pPr>
        <w:pStyle w:val="NoSpacing"/>
        <w:spacing w:line="360" w:lineRule="auto"/>
        <w:ind w:left="720" w:hanging="720"/>
        <w:rPr>
          <w:rFonts w:ascii="Arial" w:hAnsi="Arial" w:cs="Arial"/>
          <w:color w:val="000000"/>
          <w:sz w:val="24"/>
          <w:szCs w:val="24"/>
        </w:rPr>
      </w:pPr>
      <w:r w:rsidRPr="007345C5">
        <w:rPr>
          <w:rFonts w:ascii="Arial" w:hAnsi="Arial" w:cs="Arial"/>
          <w:color w:val="000000"/>
          <w:sz w:val="24"/>
          <w:szCs w:val="24"/>
        </w:rPr>
        <w:lastRenderedPageBreak/>
        <w:t>The International Journal of Human Resource Management. (2021). </w:t>
      </w:r>
      <w:r w:rsidRPr="007345C5">
        <w:rPr>
          <w:rFonts w:ascii="Arial" w:hAnsi="Arial" w:cs="Arial"/>
          <w:iCs/>
          <w:color w:val="000000"/>
          <w:sz w:val="24"/>
          <w:szCs w:val="24"/>
        </w:rPr>
        <w:t>The effects of entrepreneurial orientation on job stressors and the moderating role of high-performance work systems: employee perspectives from two industries</w:t>
      </w:r>
      <w:r w:rsidRPr="007345C5">
        <w:rPr>
          <w:rFonts w:ascii="Arial" w:hAnsi="Arial" w:cs="Arial"/>
          <w:color w:val="000000"/>
          <w:sz w:val="24"/>
          <w:szCs w:val="24"/>
        </w:rPr>
        <w:t>. [online] Available at: https://www.tandfonline.com/doi/abs/10.1080/09585192.2019.1629983 [Accessed 7 Feb. 2023].</w:t>
      </w:r>
    </w:p>
    <w:p w14:paraId="7527DD0C" w14:textId="77777777" w:rsidR="007345C5" w:rsidRPr="007345C5" w:rsidRDefault="007345C5" w:rsidP="007345C5">
      <w:pPr>
        <w:pStyle w:val="NoSpacing"/>
        <w:spacing w:line="360" w:lineRule="auto"/>
        <w:ind w:left="720" w:hanging="720"/>
        <w:rPr>
          <w:rFonts w:ascii="Arial" w:hAnsi="Arial" w:cs="Arial"/>
          <w:color w:val="000000"/>
          <w:sz w:val="24"/>
          <w:szCs w:val="24"/>
        </w:rPr>
      </w:pPr>
      <w:r w:rsidRPr="007345C5">
        <w:rPr>
          <w:rFonts w:ascii="Arial" w:hAnsi="Arial" w:cs="Arial"/>
          <w:color w:val="000000"/>
          <w:sz w:val="24"/>
          <w:szCs w:val="24"/>
        </w:rPr>
        <w:t xml:space="preserve">‌Yong, J.Y., </w:t>
      </w:r>
      <w:proofErr w:type="spellStart"/>
      <w:r w:rsidRPr="007345C5">
        <w:rPr>
          <w:rFonts w:ascii="Arial" w:hAnsi="Arial" w:cs="Arial"/>
          <w:color w:val="000000"/>
          <w:sz w:val="24"/>
          <w:szCs w:val="24"/>
        </w:rPr>
        <w:t>Yusliza</w:t>
      </w:r>
      <w:proofErr w:type="spellEnd"/>
      <w:r w:rsidRPr="007345C5">
        <w:rPr>
          <w:rFonts w:ascii="Arial" w:hAnsi="Arial" w:cs="Arial"/>
          <w:color w:val="000000"/>
          <w:sz w:val="24"/>
          <w:szCs w:val="24"/>
        </w:rPr>
        <w:t xml:space="preserve">, M., </w:t>
      </w:r>
      <w:proofErr w:type="spellStart"/>
      <w:r w:rsidRPr="007345C5">
        <w:rPr>
          <w:rFonts w:ascii="Arial" w:hAnsi="Arial" w:cs="Arial"/>
          <w:color w:val="000000"/>
          <w:sz w:val="24"/>
          <w:szCs w:val="24"/>
        </w:rPr>
        <w:t>Ramayah</w:t>
      </w:r>
      <w:proofErr w:type="spellEnd"/>
      <w:r w:rsidRPr="007345C5">
        <w:rPr>
          <w:rFonts w:ascii="Arial" w:hAnsi="Arial" w:cs="Arial"/>
          <w:color w:val="000000"/>
          <w:sz w:val="24"/>
          <w:szCs w:val="24"/>
        </w:rPr>
        <w:t xml:space="preserve">, T., Chiappetta </w:t>
      </w:r>
      <w:proofErr w:type="spellStart"/>
      <w:r w:rsidRPr="007345C5">
        <w:rPr>
          <w:rFonts w:ascii="Arial" w:hAnsi="Arial" w:cs="Arial"/>
          <w:color w:val="000000"/>
          <w:sz w:val="24"/>
          <w:szCs w:val="24"/>
        </w:rPr>
        <w:t>Jabbour</w:t>
      </w:r>
      <w:proofErr w:type="spellEnd"/>
      <w:r w:rsidRPr="007345C5">
        <w:rPr>
          <w:rFonts w:ascii="Arial" w:hAnsi="Arial" w:cs="Arial"/>
          <w:color w:val="000000"/>
          <w:sz w:val="24"/>
          <w:szCs w:val="24"/>
        </w:rPr>
        <w:t xml:space="preserve">, C.J., </w:t>
      </w:r>
      <w:proofErr w:type="spellStart"/>
      <w:r w:rsidRPr="007345C5">
        <w:rPr>
          <w:rFonts w:ascii="Arial" w:hAnsi="Arial" w:cs="Arial"/>
          <w:color w:val="000000"/>
          <w:sz w:val="24"/>
          <w:szCs w:val="24"/>
        </w:rPr>
        <w:t>Sehnem</w:t>
      </w:r>
      <w:proofErr w:type="spellEnd"/>
      <w:r w:rsidRPr="007345C5">
        <w:rPr>
          <w:rFonts w:ascii="Arial" w:hAnsi="Arial" w:cs="Arial"/>
          <w:color w:val="000000"/>
          <w:sz w:val="24"/>
          <w:szCs w:val="24"/>
        </w:rPr>
        <w:t>, S. and Mani, V. (2019). Pathways towards sustainability in manufacturing organizations: Empirical evidence on the role of green human resource management. </w:t>
      </w:r>
      <w:r w:rsidRPr="007345C5">
        <w:rPr>
          <w:rFonts w:ascii="Arial" w:hAnsi="Arial" w:cs="Arial"/>
          <w:iCs/>
          <w:color w:val="000000"/>
          <w:sz w:val="24"/>
          <w:szCs w:val="24"/>
        </w:rPr>
        <w:t>Business Strategy and the Environment</w:t>
      </w:r>
      <w:r w:rsidRPr="007345C5">
        <w:rPr>
          <w:rFonts w:ascii="Arial" w:hAnsi="Arial" w:cs="Arial"/>
          <w:color w:val="000000"/>
          <w:sz w:val="24"/>
          <w:szCs w:val="24"/>
        </w:rPr>
        <w:t xml:space="preserve">, [online] 29(1), pp.212–228. </w:t>
      </w:r>
      <w:proofErr w:type="spellStart"/>
      <w:proofErr w:type="gramStart"/>
      <w:r w:rsidRPr="007345C5">
        <w:rPr>
          <w:rFonts w:ascii="Arial" w:hAnsi="Arial" w:cs="Arial"/>
          <w:color w:val="000000"/>
          <w:sz w:val="24"/>
          <w:szCs w:val="24"/>
        </w:rPr>
        <w:t>doi:https</w:t>
      </w:r>
      <w:proofErr w:type="spellEnd"/>
      <w:r w:rsidRPr="007345C5">
        <w:rPr>
          <w:rFonts w:ascii="Arial" w:hAnsi="Arial" w:cs="Arial"/>
          <w:color w:val="000000"/>
          <w:sz w:val="24"/>
          <w:szCs w:val="24"/>
        </w:rPr>
        <w:t>://doi.org/10.1002/bse.2359</w:t>
      </w:r>
      <w:proofErr w:type="gramEnd"/>
      <w:r w:rsidRPr="007345C5">
        <w:rPr>
          <w:rFonts w:ascii="Arial" w:hAnsi="Arial" w:cs="Arial"/>
          <w:color w:val="000000"/>
          <w:sz w:val="24"/>
          <w:szCs w:val="24"/>
        </w:rPr>
        <w:t>.</w:t>
      </w:r>
    </w:p>
    <w:sectPr w:rsidR="007345C5" w:rsidRPr="007345C5" w:rsidSect="00B25707">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FA71C" w14:textId="77777777" w:rsidR="00AA0344" w:rsidRDefault="00AA0344" w:rsidP="00AC3D69">
      <w:pPr>
        <w:spacing w:after="0" w:line="240" w:lineRule="auto"/>
      </w:pPr>
      <w:r>
        <w:separator/>
      </w:r>
    </w:p>
  </w:endnote>
  <w:endnote w:type="continuationSeparator" w:id="0">
    <w:p w14:paraId="645E2DA7" w14:textId="77777777" w:rsidR="00AA0344" w:rsidRDefault="00AA0344" w:rsidP="00AC3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B5326" w14:textId="77777777" w:rsidR="00AA0344" w:rsidRDefault="00AA0344" w:rsidP="00AC3D69">
      <w:pPr>
        <w:spacing w:after="0" w:line="240" w:lineRule="auto"/>
      </w:pPr>
      <w:r>
        <w:separator/>
      </w:r>
    </w:p>
  </w:footnote>
  <w:footnote w:type="continuationSeparator" w:id="0">
    <w:p w14:paraId="1B1EB99C" w14:textId="77777777" w:rsidR="00AA0344" w:rsidRDefault="00AA0344" w:rsidP="00AC3D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72815"/>
      <w:docPartObj>
        <w:docPartGallery w:val="Page Numbers (Top of Page)"/>
        <w:docPartUnique/>
      </w:docPartObj>
    </w:sdtPr>
    <w:sdtEndPr>
      <w:rPr>
        <w:rFonts w:ascii="Arial" w:hAnsi="Arial" w:cs="Arial"/>
        <w:sz w:val="24"/>
        <w:szCs w:val="24"/>
      </w:rPr>
    </w:sdtEndPr>
    <w:sdtContent>
      <w:p w14:paraId="692B8C85" w14:textId="77777777" w:rsidR="00AC3D69" w:rsidRPr="007345C5" w:rsidRDefault="00000000">
        <w:pPr>
          <w:pStyle w:val="Header"/>
          <w:jc w:val="right"/>
          <w:rPr>
            <w:rFonts w:ascii="Arial" w:hAnsi="Arial" w:cs="Arial"/>
            <w:sz w:val="24"/>
            <w:szCs w:val="24"/>
          </w:rPr>
        </w:pPr>
        <w:r w:rsidRPr="007345C5">
          <w:rPr>
            <w:rFonts w:ascii="Arial" w:hAnsi="Arial" w:cs="Arial"/>
            <w:sz w:val="24"/>
            <w:szCs w:val="24"/>
          </w:rPr>
          <w:fldChar w:fldCharType="begin"/>
        </w:r>
        <w:r w:rsidRPr="007345C5">
          <w:rPr>
            <w:rFonts w:ascii="Arial" w:hAnsi="Arial" w:cs="Arial"/>
            <w:sz w:val="24"/>
            <w:szCs w:val="24"/>
          </w:rPr>
          <w:instrText xml:space="preserve"> PAGE   \* MERGEFORMAT </w:instrText>
        </w:r>
        <w:r w:rsidRPr="007345C5">
          <w:rPr>
            <w:rFonts w:ascii="Arial" w:hAnsi="Arial" w:cs="Arial"/>
            <w:sz w:val="24"/>
            <w:szCs w:val="24"/>
          </w:rPr>
          <w:fldChar w:fldCharType="separate"/>
        </w:r>
        <w:r w:rsidR="00AC7436" w:rsidRPr="007345C5">
          <w:rPr>
            <w:rFonts w:ascii="Arial" w:hAnsi="Arial" w:cs="Arial"/>
            <w:noProof/>
            <w:sz w:val="24"/>
            <w:szCs w:val="24"/>
          </w:rPr>
          <w:t>9</w:t>
        </w:r>
        <w:r w:rsidRPr="007345C5">
          <w:rPr>
            <w:rFonts w:ascii="Arial" w:hAnsi="Arial" w:cs="Arial"/>
            <w:noProof/>
            <w:sz w:val="24"/>
            <w:szCs w:val="24"/>
          </w:rPr>
          <w:fldChar w:fldCharType="end"/>
        </w:r>
      </w:p>
    </w:sdtContent>
  </w:sdt>
  <w:p w14:paraId="46BABE28" w14:textId="77777777" w:rsidR="00AC3D69" w:rsidRDefault="00AC3D6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949"/>
    <w:rsid w:val="000D04F9"/>
    <w:rsid w:val="00182C6B"/>
    <w:rsid w:val="00203962"/>
    <w:rsid w:val="00237641"/>
    <w:rsid w:val="003D0AE7"/>
    <w:rsid w:val="004A1892"/>
    <w:rsid w:val="005030EC"/>
    <w:rsid w:val="007345C5"/>
    <w:rsid w:val="00765D3B"/>
    <w:rsid w:val="009F54E2"/>
    <w:rsid w:val="00AA0344"/>
    <w:rsid w:val="00AC3D69"/>
    <w:rsid w:val="00AC7436"/>
    <w:rsid w:val="00AD15E5"/>
    <w:rsid w:val="00B25707"/>
    <w:rsid w:val="00C21E42"/>
    <w:rsid w:val="00E41F6F"/>
    <w:rsid w:val="00F227A5"/>
    <w:rsid w:val="00F439EB"/>
    <w:rsid w:val="00F719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45865"/>
  <w15:docId w15:val="{76D57A8C-29AA-45F1-AAF0-1E12C727B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707"/>
    <w:rPr>
      <w:lang w:val="en-GB"/>
    </w:rPr>
  </w:style>
  <w:style w:type="paragraph" w:styleId="Heading1">
    <w:name w:val="heading 1"/>
    <w:basedOn w:val="Normal"/>
    <w:next w:val="Normal"/>
    <w:link w:val="Heading1Char"/>
    <w:uiPriority w:val="9"/>
    <w:qFormat/>
    <w:rsid w:val="007345C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030EC"/>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5030EC"/>
    <w:rPr>
      <w:b/>
      <w:bCs/>
    </w:rPr>
  </w:style>
  <w:style w:type="paragraph" w:styleId="Header">
    <w:name w:val="header"/>
    <w:basedOn w:val="Normal"/>
    <w:link w:val="HeaderChar"/>
    <w:uiPriority w:val="99"/>
    <w:unhideWhenUsed/>
    <w:rsid w:val="00AC3D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3D69"/>
    <w:rPr>
      <w:lang w:val="en-GB"/>
    </w:rPr>
  </w:style>
  <w:style w:type="paragraph" w:styleId="Footer">
    <w:name w:val="footer"/>
    <w:basedOn w:val="Normal"/>
    <w:link w:val="FooterChar"/>
    <w:uiPriority w:val="99"/>
    <w:unhideWhenUsed/>
    <w:rsid w:val="00AC3D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3D69"/>
    <w:rPr>
      <w:lang w:val="en-GB"/>
    </w:rPr>
  </w:style>
  <w:style w:type="character" w:customStyle="1" w:styleId="Heading1Char">
    <w:name w:val="Heading 1 Char"/>
    <w:basedOn w:val="DefaultParagraphFont"/>
    <w:link w:val="Heading1"/>
    <w:uiPriority w:val="9"/>
    <w:rsid w:val="007345C5"/>
    <w:rPr>
      <w:rFonts w:asciiTheme="majorHAnsi" w:eastAsiaTheme="majorEastAsia" w:hAnsiTheme="majorHAnsi" w:cstheme="majorBidi"/>
      <w:color w:val="365F91" w:themeColor="accent1" w:themeShade="BF"/>
      <w:sz w:val="32"/>
      <w:szCs w:val="32"/>
      <w:lang w:val="en-GB"/>
    </w:rPr>
  </w:style>
  <w:style w:type="paragraph" w:styleId="NoSpacing">
    <w:name w:val="No Spacing"/>
    <w:uiPriority w:val="1"/>
    <w:qFormat/>
    <w:rsid w:val="007345C5"/>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27714">
      <w:bodyDiv w:val="1"/>
      <w:marLeft w:val="0"/>
      <w:marRight w:val="0"/>
      <w:marTop w:val="0"/>
      <w:marBottom w:val="0"/>
      <w:divBdr>
        <w:top w:val="none" w:sz="0" w:space="0" w:color="auto"/>
        <w:left w:val="none" w:sz="0" w:space="0" w:color="auto"/>
        <w:bottom w:val="none" w:sz="0" w:space="0" w:color="auto"/>
        <w:right w:val="none" w:sz="0" w:space="0" w:color="auto"/>
      </w:divBdr>
    </w:div>
    <w:div w:id="448670885">
      <w:bodyDiv w:val="1"/>
      <w:marLeft w:val="0"/>
      <w:marRight w:val="0"/>
      <w:marTop w:val="0"/>
      <w:marBottom w:val="0"/>
      <w:divBdr>
        <w:top w:val="none" w:sz="0" w:space="0" w:color="auto"/>
        <w:left w:val="none" w:sz="0" w:space="0" w:color="auto"/>
        <w:bottom w:val="none" w:sz="0" w:space="0" w:color="auto"/>
        <w:right w:val="none" w:sz="0" w:space="0" w:color="auto"/>
      </w:divBdr>
    </w:div>
    <w:div w:id="623273248">
      <w:bodyDiv w:val="1"/>
      <w:marLeft w:val="0"/>
      <w:marRight w:val="0"/>
      <w:marTop w:val="0"/>
      <w:marBottom w:val="0"/>
      <w:divBdr>
        <w:top w:val="none" w:sz="0" w:space="0" w:color="auto"/>
        <w:left w:val="none" w:sz="0" w:space="0" w:color="auto"/>
        <w:bottom w:val="none" w:sz="0" w:space="0" w:color="auto"/>
        <w:right w:val="none" w:sz="0" w:space="0" w:color="auto"/>
      </w:divBdr>
    </w:div>
    <w:div w:id="807286706">
      <w:bodyDiv w:val="1"/>
      <w:marLeft w:val="0"/>
      <w:marRight w:val="0"/>
      <w:marTop w:val="0"/>
      <w:marBottom w:val="0"/>
      <w:divBdr>
        <w:top w:val="none" w:sz="0" w:space="0" w:color="auto"/>
        <w:left w:val="none" w:sz="0" w:space="0" w:color="auto"/>
        <w:bottom w:val="none" w:sz="0" w:space="0" w:color="auto"/>
        <w:right w:val="none" w:sz="0" w:space="0" w:color="auto"/>
      </w:divBdr>
    </w:div>
    <w:div w:id="874272711">
      <w:bodyDiv w:val="1"/>
      <w:marLeft w:val="0"/>
      <w:marRight w:val="0"/>
      <w:marTop w:val="0"/>
      <w:marBottom w:val="0"/>
      <w:divBdr>
        <w:top w:val="none" w:sz="0" w:space="0" w:color="auto"/>
        <w:left w:val="none" w:sz="0" w:space="0" w:color="auto"/>
        <w:bottom w:val="none" w:sz="0" w:space="0" w:color="auto"/>
        <w:right w:val="none" w:sz="0" w:space="0" w:color="auto"/>
      </w:divBdr>
    </w:div>
    <w:div w:id="886599296">
      <w:bodyDiv w:val="1"/>
      <w:marLeft w:val="0"/>
      <w:marRight w:val="0"/>
      <w:marTop w:val="0"/>
      <w:marBottom w:val="0"/>
      <w:divBdr>
        <w:top w:val="none" w:sz="0" w:space="0" w:color="auto"/>
        <w:left w:val="none" w:sz="0" w:space="0" w:color="auto"/>
        <w:bottom w:val="none" w:sz="0" w:space="0" w:color="auto"/>
        <w:right w:val="none" w:sz="0" w:space="0" w:color="auto"/>
      </w:divBdr>
    </w:div>
    <w:div w:id="920867797">
      <w:bodyDiv w:val="1"/>
      <w:marLeft w:val="0"/>
      <w:marRight w:val="0"/>
      <w:marTop w:val="0"/>
      <w:marBottom w:val="0"/>
      <w:divBdr>
        <w:top w:val="none" w:sz="0" w:space="0" w:color="auto"/>
        <w:left w:val="none" w:sz="0" w:space="0" w:color="auto"/>
        <w:bottom w:val="none" w:sz="0" w:space="0" w:color="auto"/>
        <w:right w:val="none" w:sz="0" w:space="0" w:color="auto"/>
      </w:divBdr>
    </w:div>
    <w:div w:id="966356715">
      <w:bodyDiv w:val="1"/>
      <w:marLeft w:val="0"/>
      <w:marRight w:val="0"/>
      <w:marTop w:val="0"/>
      <w:marBottom w:val="0"/>
      <w:divBdr>
        <w:top w:val="none" w:sz="0" w:space="0" w:color="auto"/>
        <w:left w:val="none" w:sz="0" w:space="0" w:color="auto"/>
        <w:bottom w:val="none" w:sz="0" w:space="0" w:color="auto"/>
        <w:right w:val="none" w:sz="0" w:space="0" w:color="auto"/>
      </w:divBdr>
    </w:div>
    <w:div w:id="972103114">
      <w:bodyDiv w:val="1"/>
      <w:marLeft w:val="0"/>
      <w:marRight w:val="0"/>
      <w:marTop w:val="0"/>
      <w:marBottom w:val="0"/>
      <w:divBdr>
        <w:top w:val="none" w:sz="0" w:space="0" w:color="auto"/>
        <w:left w:val="none" w:sz="0" w:space="0" w:color="auto"/>
        <w:bottom w:val="none" w:sz="0" w:space="0" w:color="auto"/>
        <w:right w:val="none" w:sz="0" w:space="0" w:color="auto"/>
      </w:divBdr>
    </w:div>
    <w:div w:id="1073309293">
      <w:bodyDiv w:val="1"/>
      <w:marLeft w:val="0"/>
      <w:marRight w:val="0"/>
      <w:marTop w:val="0"/>
      <w:marBottom w:val="0"/>
      <w:divBdr>
        <w:top w:val="none" w:sz="0" w:space="0" w:color="auto"/>
        <w:left w:val="none" w:sz="0" w:space="0" w:color="auto"/>
        <w:bottom w:val="none" w:sz="0" w:space="0" w:color="auto"/>
        <w:right w:val="none" w:sz="0" w:space="0" w:color="auto"/>
      </w:divBdr>
    </w:div>
    <w:div w:id="1121338554">
      <w:bodyDiv w:val="1"/>
      <w:marLeft w:val="0"/>
      <w:marRight w:val="0"/>
      <w:marTop w:val="0"/>
      <w:marBottom w:val="0"/>
      <w:divBdr>
        <w:top w:val="none" w:sz="0" w:space="0" w:color="auto"/>
        <w:left w:val="none" w:sz="0" w:space="0" w:color="auto"/>
        <w:bottom w:val="none" w:sz="0" w:space="0" w:color="auto"/>
        <w:right w:val="none" w:sz="0" w:space="0" w:color="auto"/>
      </w:divBdr>
    </w:div>
    <w:div w:id="1125126157">
      <w:bodyDiv w:val="1"/>
      <w:marLeft w:val="0"/>
      <w:marRight w:val="0"/>
      <w:marTop w:val="0"/>
      <w:marBottom w:val="0"/>
      <w:divBdr>
        <w:top w:val="none" w:sz="0" w:space="0" w:color="auto"/>
        <w:left w:val="none" w:sz="0" w:space="0" w:color="auto"/>
        <w:bottom w:val="none" w:sz="0" w:space="0" w:color="auto"/>
        <w:right w:val="none" w:sz="0" w:space="0" w:color="auto"/>
      </w:divBdr>
    </w:div>
    <w:div w:id="1504470906">
      <w:bodyDiv w:val="1"/>
      <w:marLeft w:val="0"/>
      <w:marRight w:val="0"/>
      <w:marTop w:val="0"/>
      <w:marBottom w:val="0"/>
      <w:divBdr>
        <w:top w:val="none" w:sz="0" w:space="0" w:color="auto"/>
        <w:left w:val="none" w:sz="0" w:space="0" w:color="auto"/>
        <w:bottom w:val="none" w:sz="0" w:space="0" w:color="auto"/>
        <w:right w:val="none" w:sz="0" w:space="0" w:color="auto"/>
      </w:divBdr>
    </w:div>
    <w:div w:id="1537692176">
      <w:bodyDiv w:val="1"/>
      <w:marLeft w:val="0"/>
      <w:marRight w:val="0"/>
      <w:marTop w:val="0"/>
      <w:marBottom w:val="0"/>
      <w:divBdr>
        <w:top w:val="none" w:sz="0" w:space="0" w:color="auto"/>
        <w:left w:val="none" w:sz="0" w:space="0" w:color="auto"/>
        <w:bottom w:val="none" w:sz="0" w:space="0" w:color="auto"/>
        <w:right w:val="none" w:sz="0" w:space="0" w:color="auto"/>
      </w:divBdr>
    </w:div>
    <w:div w:id="1547641126">
      <w:bodyDiv w:val="1"/>
      <w:marLeft w:val="0"/>
      <w:marRight w:val="0"/>
      <w:marTop w:val="0"/>
      <w:marBottom w:val="0"/>
      <w:divBdr>
        <w:top w:val="none" w:sz="0" w:space="0" w:color="auto"/>
        <w:left w:val="none" w:sz="0" w:space="0" w:color="auto"/>
        <w:bottom w:val="none" w:sz="0" w:space="0" w:color="auto"/>
        <w:right w:val="none" w:sz="0" w:space="0" w:color="auto"/>
      </w:divBdr>
    </w:div>
    <w:div w:id="1554269924">
      <w:bodyDiv w:val="1"/>
      <w:marLeft w:val="0"/>
      <w:marRight w:val="0"/>
      <w:marTop w:val="0"/>
      <w:marBottom w:val="0"/>
      <w:divBdr>
        <w:top w:val="none" w:sz="0" w:space="0" w:color="auto"/>
        <w:left w:val="none" w:sz="0" w:space="0" w:color="auto"/>
        <w:bottom w:val="none" w:sz="0" w:space="0" w:color="auto"/>
        <w:right w:val="none" w:sz="0" w:space="0" w:color="auto"/>
      </w:divBdr>
    </w:div>
    <w:div w:id="1599561741">
      <w:bodyDiv w:val="1"/>
      <w:marLeft w:val="0"/>
      <w:marRight w:val="0"/>
      <w:marTop w:val="0"/>
      <w:marBottom w:val="0"/>
      <w:divBdr>
        <w:top w:val="none" w:sz="0" w:space="0" w:color="auto"/>
        <w:left w:val="none" w:sz="0" w:space="0" w:color="auto"/>
        <w:bottom w:val="none" w:sz="0" w:space="0" w:color="auto"/>
        <w:right w:val="none" w:sz="0" w:space="0" w:color="auto"/>
      </w:divBdr>
    </w:div>
    <w:div w:id="1760373557">
      <w:bodyDiv w:val="1"/>
      <w:marLeft w:val="0"/>
      <w:marRight w:val="0"/>
      <w:marTop w:val="0"/>
      <w:marBottom w:val="0"/>
      <w:divBdr>
        <w:top w:val="none" w:sz="0" w:space="0" w:color="auto"/>
        <w:left w:val="none" w:sz="0" w:space="0" w:color="auto"/>
        <w:bottom w:val="none" w:sz="0" w:space="0" w:color="auto"/>
        <w:right w:val="none" w:sz="0" w:space="0" w:color="auto"/>
      </w:divBdr>
    </w:div>
    <w:div w:id="1786924621">
      <w:bodyDiv w:val="1"/>
      <w:marLeft w:val="0"/>
      <w:marRight w:val="0"/>
      <w:marTop w:val="0"/>
      <w:marBottom w:val="0"/>
      <w:divBdr>
        <w:top w:val="none" w:sz="0" w:space="0" w:color="auto"/>
        <w:left w:val="none" w:sz="0" w:space="0" w:color="auto"/>
        <w:bottom w:val="none" w:sz="0" w:space="0" w:color="auto"/>
        <w:right w:val="none" w:sz="0" w:space="0" w:color="auto"/>
      </w:divBdr>
    </w:div>
    <w:div w:id="1830124848">
      <w:bodyDiv w:val="1"/>
      <w:marLeft w:val="0"/>
      <w:marRight w:val="0"/>
      <w:marTop w:val="0"/>
      <w:marBottom w:val="0"/>
      <w:divBdr>
        <w:top w:val="none" w:sz="0" w:space="0" w:color="auto"/>
        <w:left w:val="none" w:sz="0" w:space="0" w:color="auto"/>
        <w:bottom w:val="none" w:sz="0" w:space="0" w:color="auto"/>
        <w:right w:val="none" w:sz="0" w:space="0" w:color="auto"/>
      </w:divBdr>
    </w:div>
    <w:div w:id="1927491266">
      <w:bodyDiv w:val="1"/>
      <w:marLeft w:val="0"/>
      <w:marRight w:val="0"/>
      <w:marTop w:val="0"/>
      <w:marBottom w:val="0"/>
      <w:divBdr>
        <w:top w:val="none" w:sz="0" w:space="0" w:color="auto"/>
        <w:left w:val="none" w:sz="0" w:space="0" w:color="auto"/>
        <w:bottom w:val="none" w:sz="0" w:space="0" w:color="auto"/>
        <w:right w:val="none" w:sz="0" w:space="0" w:color="auto"/>
      </w:divBdr>
    </w:div>
    <w:div w:id="1934044060">
      <w:bodyDiv w:val="1"/>
      <w:marLeft w:val="0"/>
      <w:marRight w:val="0"/>
      <w:marTop w:val="0"/>
      <w:marBottom w:val="0"/>
      <w:divBdr>
        <w:top w:val="none" w:sz="0" w:space="0" w:color="auto"/>
        <w:left w:val="none" w:sz="0" w:space="0" w:color="auto"/>
        <w:bottom w:val="none" w:sz="0" w:space="0" w:color="auto"/>
        <w:right w:val="none" w:sz="0" w:space="0" w:color="auto"/>
      </w:divBdr>
    </w:div>
    <w:div w:id="2047442786">
      <w:bodyDiv w:val="1"/>
      <w:marLeft w:val="0"/>
      <w:marRight w:val="0"/>
      <w:marTop w:val="0"/>
      <w:marBottom w:val="0"/>
      <w:divBdr>
        <w:top w:val="none" w:sz="0" w:space="0" w:color="auto"/>
        <w:left w:val="none" w:sz="0" w:space="0" w:color="auto"/>
        <w:bottom w:val="none" w:sz="0" w:space="0" w:color="auto"/>
        <w:right w:val="none" w:sz="0" w:space="0" w:color="auto"/>
      </w:divBdr>
    </w:div>
    <w:div w:id="2078624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3379</Words>
  <Characters>19266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EMMANUEL</dc:creator>
  <cp:lastModifiedBy>Sabrina Belcianu</cp:lastModifiedBy>
  <cp:revision>3</cp:revision>
  <dcterms:created xsi:type="dcterms:W3CDTF">2023-02-08T07:33:00Z</dcterms:created>
  <dcterms:modified xsi:type="dcterms:W3CDTF">2023-02-10T20:59:00Z</dcterms:modified>
</cp:coreProperties>
</file>