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environmental_factors_influencing_ea4750" w:displacedByCustomXml="next"/>
    <w:sdt>
      <w:sdtPr>
        <w:id w:val="202530572"/>
        <w:docPartObj>
          <w:docPartGallery w:val="Cover Pages"/>
          <w:docPartUnique/>
        </w:docPartObj>
      </w:sdtPr>
      <w:sdtEndPr>
        <w:rPr>
          <w:rFonts w:ascii="Arial" w:hAnsi="Arial" w:cs="Arial"/>
          <w:b/>
          <w:sz w:val="56"/>
        </w:rPr>
      </w:sdtEndPr>
      <w:sdtContent>
        <w:p w14:paraId="5F26AD55" w14:textId="28503845" w:rsidR="00D50312" w:rsidRDefault="00D50312">
          <w:r>
            <w:rPr>
              <w:noProof/>
            </w:rPr>
            <mc:AlternateContent>
              <mc:Choice Requires="wpg">
                <w:drawing>
                  <wp:anchor distT="0" distB="0" distL="114300" distR="114300" simplePos="0" relativeHeight="251662336" behindDoc="0" locked="0" layoutInCell="1" allowOverlap="1" wp14:anchorId="69D47CC1" wp14:editId="440B7EE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D7845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p>
        <w:p w14:paraId="31C7D3E8" w14:textId="288B6B76" w:rsidR="00D50312" w:rsidRDefault="00D50312">
          <w:pPr>
            <w:rPr>
              <w:rFonts w:ascii="Arial" w:hAnsi="Arial" w:cs="Arial"/>
              <w:b/>
              <w:sz w:val="56"/>
            </w:rPr>
          </w:pPr>
          <w:r>
            <w:rPr>
              <w:noProof/>
            </w:rPr>
            <mc:AlternateContent>
              <mc:Choice Requires="wps">
                <w:drawing>
                  <wp:anchor distT="0" distB="0" distL="114300" distR="114300" simplePos="0" relativeHeight="251659264" behindDoc="0" locked="0" layoutInCell="1" allowOverlap="1" wp14:anchorId="6F0A0C16" wp14:editId="54F7F25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8100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810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1A9E01" w14:textId="42BCC501" w:rsidR="00D50312" w:rsidRDefault="00D50312">
                                <w:pPr>
                                  <w:jc w:val="right"/>
                                  <w:rPr>
                                    <w:color w:val="156082" w:themeColor="accent1"/>
                                    <w:sz w:val="64"/>
                                    <w:szCs w:val="64"/>
                                  </w:rPr>
                                </w:pPr>
                                <w:sdt>
                                  <w:sdtPr>
                                    <w:rPr>
                                      <w:rFonts w:ascii="Arial" w:hAnsi="Arial" w:cs="Arial"/>
                                      <w:b/>
                                      <w:sz w:val="40"/>
                                      <w:szCs w:val="1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50312">
                                      <w:rPr>
                                        <w:rFonts w:ascii="Arial" w:hAnsi="Arial" w:cs="Arial"/>
                                        <w:b/>
                                        <w:sz w:val="40"/>
                                        <w:szCs w:val="14"/>
                                      </w:rPr>
                                      <w:t>Environmental Factors Influencing HR Managers' Effectiveness in Global Organisations</w:t>
                                    </w:r>
                                  </w:sdtContent>
                                </w:sdt>
                              </w:p>
                              <w:p w14:paraId="2A470684" w14:textId="01D1BBA4" w:rsidR="00D50312" w:rsidRPr="00A406E5" w:rsidRDefault="00D50312" w:rsidP="00D50312">
                                <w:pPr>
                                  <w:spacing w:before="120"/>
                                  <w:jc w:val="right"/>
                                  <w:rPr>
                                    <w:rFonts w:ascii="Arial" w:hAnsi="Arial" w:cs="Arial"/>
                                    <w:b/>
                                    <w:sz w:val="22"/>
                                  </w:rPr>
                                </w:pPr>
                                <w:sdt>
                                  <w:sdtPr>
                                    <w:rPr>
                                      <w:rFonts w:asciiTheme="minorHAnsi" w:eastAsiaTheme="minorEastAsia"/>
                                      <w:caps/>
                                      <w:color w:val="156082" w:themeColor="accent1"/>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D50312">
                                      <w:rPr>
                                        <w:rFonts w:asciiTheme="minorHAnsi" w:eastAsiaTheme="minorEastAsia"/>
                                        <w:caps/>
                                        <w:color w:val="156082" w:themeColor="accent1"/>
                                        <w:sz w:val="28"/>
                                        <w:szCs w:val="28"/>
                                      </w:rPr>
                                      <w:t>PENKO KOYCHEV: 2332008</w:t>
                                    </w:r>
                                  </w:sdtContent>
                                </w:sdt>
                                <w:r>
                                  <w:rPr>
                                    <w:rFonts w:asciiTheme="minorHAnsi" w:eastAsiaTheme="minorEastAsia"/>
                                    <w:caps/>
                                    <w:color w:val="156082" w:themeColor="accent1"/>
                                    <w:sz w:val="28"/>
                                    <w:szCs w:val="28"/>
                                  </w:rPr>
                                  <w:br/>
                                </w:r>
                                <w:r>
                                  <w:rPr>
                                    <w:rFonts w:ascii="Arial" w:hAnsi="Arial" w:cs="Arial"/>
                                    <w:b/>
                                    <w:sz w:val="22"/>
                                  </w:rPr>
                                  <w:t xml:space="preserve">Principles of Human Resource Management </w:t>
                                </w:r>
                              </w:p>
                              <w:p w14:paraId="1C2C72CB" w14:textId="144F0ED8" w:rsidR="00D50312" w:rsidRDefault="00D50312" w:rsidP="00D50312">
                                <w:pPr>
                                  <w:jc w:val="right"/>
                                  <w:rPr>
                                    <w:smallCaps/>
                                    <w:color w:val="404040" w:themeColor="text1" w:themeTint="BF"/>
                                    <w:sz w:val="36"/>
                                    <w:szCs w:val="36"/>
                                  </w:rPr>
                                </w:pPr>
                                <w:r>
                                  <w:rPr>
                                    <w:rFonts w:ascii="Arial" w:hAnsi="Arial" w:cs="Arial"/>
                                    <w:b/>
                                    <w:sz w:val="22"/>
                                  </w:rPr>
                                  <w:t>LCBB5012</w:t>
                                </w:r>
                                <w:r>
                                  <w:rPr>
                                    <w:rFonts w:ascii="Arial" w:hAnsi="Arial" w:cs="Arial"/>
                                    <w:b/>
                                    <w:sz w:val="22"/>
                                  </w:rPr>
                                  <w:br/>
                                </w:r>
                                <w:r>
                                  <w:rPr>
                                    <w:rFonts w:ascii="Arial" w:hAnsi="Arial" w:cs="Arial"/>
                                    <w:b/>
                                    <w:sz w:val="22"/>
                                  </w:rPr>
                                  <w:t>Dr Anupam Mazumdar</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F0A0C16" id="_x0000_t202" coordsize="21600,21600" o:spt="202" path="m,l,21600r21600,l21600,xe">
                    <v:stroke joinstyle="miter"/>
                    <v:path gradientshapeok="t" o:connecttype="rect"/>
                  </v:shapetype>
                  <v:shape id="Text Box 163" o:spid="_x0000_s1026" type="#_x0000_t202" style="position:absolute;margin-left:0;margin-top:0;width:8in;height:300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" filled="f" stroked="f" strokeweight=".5pt">
                    <v:textbox inset="126pt,0,54pt,0">
                      <w:txbxContent>
                        <w:p w14:paraId="541A9E01" w14:textId="42BCC501" w:rsidR="00D50312" w:rsidRDefault="00D50312">
                          <w:pPr>
                            <w:jc w:val="right"/>
                            <w:rPr>
                              <w:color w:val="156082" w:themeColor="accent1"/>
                              <w:sz w:val="64"/>
                              <w:szCs w:val="64"/>
                            </w:rPr>
                          </w:pPr>
                          <w:sdt>
                            <w:sdtPr>
                              <w:rPr>
                                <w:rFonts w:ascii="Arial" w:hAnsi="Arial" w:cs="Arial"/>
                                <w:b/>
                                <w:sz w:val="40"/>
                                <w:szCs w:val="1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50312">
                                <w:rPr>
                                  <w:rFonts w:ascii="Arial" w:hAnsi="Arial" w:cs="Arial"/>
                                  <w:b/>
                                  <w:sz w:val="40"/>
                                  <w:szCs w:val="14"/>
                                </w:rPr>
                                <w:t>Environmental Factors Influencing HR Managers' Effectiveness in Global Organisations</w:t>
                              </w:r>
                            </w:sdtContent>
                          </w:sdt>
                        </w:p>
                        <w:p w14:paraId="2A470684" w14:textId="01D1BBA4" w:rsidR="00D50312" w:rsidRPr="00A406E5" w:rsidRDefault="00D50312" w:rsidP="00D50312">
                          <w:pPr>
                            <w:spacing w:before="120"/>
                            <w:jc w:val="right"/>
                            <w:rPr>
                              <w:rFonts w:ascii="Arial" w:hAnsi="Arial" w:cs="Arial"/>
                              <w:b/>
                              <w:sz w:val="22"/>
                            </w:rPr>
                          </w:pPr>
                          <w:sdt>
                            <w:sdtPr>
                              <w:rPr>
                                <w:rFonts w:asciiTheme="minorHAnsi" w:eastAsiaTheme="minorEastAsia"/>
                                <w:caps/>
                                <w:color w:val="156082" w:themeColor="accent1"/>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D50312">
                                <w:rPr>
                                  <w:rFonts w:asciiTheme="minorHAnsi" w:eastAsiaTheme="minorEastAsia"/>
                                  <w:caps/>
                                  <w:color w:val="156082" w:themeColor="accent1"/>
                                  <w:sz w:val="28"/>
                                  <w:szCs w:val="28"/>
                                </w:rPr>
                                <w:t>PENKO KOYCHEV: 2332008</w:t>
                              </w:r>
                            </w:sdtContent>
                          </w:sdt>
                          <w:r>
                            <w:rPr>
                              <w:rFonts w:asciiTheme="minorHAnsi" w:eastAsiaTheme="minorEastAsia"/>
                              <w:caps/>
                              <w:color w:val="156082" w:themeColor="accent1"/>
                              <w:sz w:val="28"/>
                              <w:szCs w:val="28"/>
                            </w:rPr>
                            <w:br/>
                          </w:r>
                          <w:r>
                            <w:rPr>
                              <w:rFonts w:ascii="Arial" w:hAnsi="Arial" w:cs="Arial"/>
                              <w:b/>
                              <w:sz w:val="22"/>
                            </w:rPr>
                            <w:t xml:space="preserve">Principles of Human Resource Management </w:t>
                          </w:r>
                        </w:p>
                        <w:p w14:paraId="1C2C72CB" w14:textId="144F0ED8" w:rsidR="00D50312" w:rsidRDefault="00D50312" w:rsidP="00D50312">
                          <w:pPr>
                            <w:jc w:val="right"/>
                            <w:rPr>
                              <w:smallCaps/>
                              <w:color w:val="404040" w:themeColor="text1" w:themeTint="BF"/>
                              <w:sz w:val="36"/>
                              <w:szCs w:val="36"/>
                            </w:rPr>
                          </w:pPr>
                          <w:r>
                            <w:rPr>
                              <w:rFonts w:ascii="Arial" w:hAnsi="Arial" w:cs="Arial"/>
                              <w:b/>
                              <w:sz w:val="22"/>
                            </w:rPr>
                            <w:t>LCBB5012</w:t>
                          </w:r>
                          <w:r>
                            <w:rPr>
                              <w:rFonts w:ascii="Arial" w:hAnsi="Arial" w:cs="Arial"/>
                              <w:b/>
                              <w:sz w:val="22"/>
                            </w:rPr>
                            <w:br/>
                          </w:r>
                          <w:r>
                            <w:rPr>
                              <w:rFonts w:ascii="Arial" w:hAnsi="Arial" w:cs="Arial"/>
                              <w:b/>
                              <w:sz w:val="22"/>
                            </w:rPr>
                            <w:t>Dr Anupam Mazumdar</w:t>
                          </w:r>
                        </w:p>
                      </w:txbxContent>
                    </v:textbox>
                    <w10:wrap type="square" anchorx="page" anchory="page"/>
                  </v:shape>
                </w:pict>
              </mc:Fallback>
            </mc:AlternateContent>
          </w:r>
          <w:r>
            <w:rPr>
              <w:rFonts w:ascii="Arial" w:hAnsi="Arial" w:cs="Arial"/>
              <w:b/>
              <w:sz w:val="56"/>
            </w:rPr>
            <w:br w:type="page"/>
          </w:r>
        </w:p>
      </w:sdtContent>
    </w:sdt>
    <w:sdt>
      <w:sdtPr>
        <w:id w:val="-1398967633"/>
        <w:docPartObj>
          <w:docPartGallery w:val="Table of Contents"/>
          <w:docPartUnique/>
        </w:docPartObj>
      </w:sdtPr>
      <w:sdtEndPr>
        <w:rPr>
          <w:rFonts w:ascii="Georgia" w:eastAsiaTheme="minorHAnsi" w:hAnsiTheme="minorHAnsi" w:cstheme="minorBidi"/>
          <w:b/>
          <w:bCs/>
          <w:noProof/>
          <w:color w:val="auto"/>
          <w:sz w:val="21"/>
          <w:szCs w:val="22"/>
          <w:lang w:val="en-GB"/>
        </w:rPr>
      </w:sdtEndPr>
      <w:sdtContent>
        <w:p w14:paraId="020FF1BB" w14:textId="1A374B44" w:rsidR="00D50312" w:rsidRPr="0088349A" w:rsidRDefault="00D50312">
          <w:pPr>
            <w:pStyle w:val="TOCHeading"/>
            <w:rPr>
              <w:rFonts w:ascii="Arial" w:hAnsi="Arial" w:cs="Arial"/>
              <w:sz w:val="44"/>
              <w:szCs w:val="44"/>
            </w:rPr>
          </w:pPr>
          <w:r w:rsidRPr="0088349A">
            <w:rPr>
              <w:rFonts w:ascii="Arial" w:hAnsi="Arial" w:cs="Arial"/>
              <w:sz w:val="44"/>
              <w:szCs w:val="44"/>
            </w:rPr>
            <w:t>Contents</w:t>
          </w:r>
        </w:p>
        <w:p w14:paraId="4F61335A" w14:textId="3591CBF9" w:rsidR="005F0295" w:rsidRPr="0088349A" w:rsidRDefault="00D50312">
          <w:pPr>
            <w:pStyle w:val="TOC1"/>
            <w:tabs>
              <w:tab w:val="right" w:leader="dot" w:pos="8680"/>
            </w:tabs>
            <w:rPr>
              <w:rFonts w:ascii="Arial" w:hAnsi="Arial" w:cs="Arial"/>
              <w:noProof/>
              <w:sz w:val="28"/>
              <w:szCs w:val="32"/>
            </w:rPr>
          </w:pPr>
          <w:r w:rsidRPr="0088349A">
            <w:rPr>
              <w:rFonts w:ascii="Arial" w:hAnsi="Arial" w:cs="Arial"/>
              <w:sz w:val="28"/>
              <w:szCs w:val="32"/>
            </w:rPr>
            <w:fldChar w:fldCharType="begin"/>
          </w:r>
          <w:r w:rsidRPr="0088349A">
            <w:rPr>
              <w:rFonts w:ascii="Arial" w:hAnsi="Arial" w:cs="Arial"/>
              <w:sz w:val="28"/>
              <w:szCs w:val="32"/>
            </w:rPr>
            <w:instrText xml:space="preserve"> TOC \o "1-3" \h \z \u </w:instrText>
          </w:r>
          <w:r w:rsidRPr="0088349A">
            <w:rPr>
              <w:rFonts w:ascii="Arial" w:hAnsi="Arial" w:cs="Arial"/>
              <w:sz w:val="28"/>
              <w:szCs w:val="32"/>
            </w:rPr>
            <w:fldChar w:fldCharType="separate"/>
          </w:r>
          <w:hyperlink w:anchor="_Toc225268332" w:history="1">
            <w:r w:rsidR="005F0295" w:rsidRPr="0088349A">
              <w:rPr>
                <w:rStyle w:val="Hyperlink"/>
                <w:rFonts w:ascii="Arial" w:hAnsi="Arial" w:cs="Arial"/>
                <w:b/>
                <w:bCs/>
                <w:noProof/>
                <w:sz w:val="28"/>
                <w:szCs w:val="32"/>
              </w:rPr>
              <w:t>Introduction</w:t>
            </w:r>
            <w:r w:rsidR="005F0295" w:rsidRPr="0088349A">
              <w:rPr>
                <w:rFonts w:ascii="Arial" w:hAnsi="Arial" w:cs="Arial"/>
                <w:noProof/>
                <w:webHidden/>
                <w:sz w:val="28"/>
                <w:szCs w:val="32"/>
              </w:rPr>
              <w:tab/>
            </w:r>
            <w:r w:rsidR="005F0295" w:rsidRPr="0088349A">
              <w:rPr>
                <w:rFonts w:ascii="Arial" w:hAnsi="Arial" w:cs="Arial"/>
                <w:noProof/>
                <w:webHidden/>
                <w:sz w:val="28"/>
                <w:szCs w:val="32"/>
              </w:rPr>
              <w:fldChar w:fldCharType="begin"/>
            </w:r>
            <w:r w:rsidR="005F0295" w:rsidRPr="0088349A">
              <w:rPr>
                <w:rFonts w:ascii="Arial" w:hAnsi="Arial" w:cs="Arial"/>
                <w:noProof/>
                <w:webHidden/>
                <w:sz w:val="28"/>
                <w:szCs w:val="32"/>
              </w:rPr>
              <w:instrText xml:space="preserve"> PAGEREF _Toc225268332 \h </w:instrText>
            </w:r>
            <w:r w:rsidR="005F0295" w:rsidRPr="0088349A">
              <w:rPr>
                <w:rFonts w:ascii="Arial" w:hAnsi="Arial" w:cs="Arial"/>
                <w:noProof/>
                <w:webHidden/>
                <w:sz w:val="28"/>
                <w:szCs w:val="32"/>
              </w:rPr>
            </w:r>
            <w:r w:rsidR="005F0295" w:rsidRPr="0088349A">
              <w:rPr>
                <w:rFonts w:ascii="Arial" w:hAnsi="Arial" w:cs="Arial"/>
                <w:noProof/>
                <w:webHidden/>
                <w:sz w:val="28"/>
                <w:szCs w:val="32"/>
              </w:rPr>
              <w:fldChar w:fldCharType="separate"/>
            </w:r>
            <w:r w:rsidR="005F0295" w:rsidRPr="0088349A">
              <w:rPr>
                <w:rFonts w:ascii="Arial" w:hAnsi="Arial" w:cs="Arial"/>
                <w:noProof/>
                <w:webHidden/>
                <w:sz w:val="28"/>
                <w:szCs w:val="32"/>
              </w:rPr>
              <w:t>2</w:t>
            </w:r>
            <w:r w:rsidR="005F0295" w:rsidRPr="0088349A">
              <w:rPr>
                <w:rFonts w:ascii="Arial" w:hAnsi="Arial" w:cs="Arial"/>
                <w:noProof/>
                <w:webHidden/>
                <w:sz w:val="28"/>
                <w:szCs w:val="32"/>
              </w:rPr>
              <w:fldChar w:fldCharType="end"/>
            </w:r>
          </w:hyperlink>
        </w:p>
        <w:p w14:paraId="5EFBD79D" w14:textId="15BF7BF7" w:rsidR="005F0295" w:rsidRPr="0088349A" w:rsidRDefault="005F0295">
          <w:pPr>
            <w:pStyle w:val="TOC1"/>
            <w:tabs>
              <w:tab w:val="right" w:leader="dot" w:pos="8680"/>
            </w:tabs>
            <w:rPr>
              <w:rFonts w:ascii="Arial" w:hAnsi="Arial" w:cs="Arial"/>
              <w:noProof/>
              <w:sz w:val="28"/>
              <w:szCs w:val="32"/>
            </w:rPr>
          </w:pPr>
          <w:hyperlink w:anchor="_Toc225268333" w:history="1">
            <w:r w:rsidRPr="0088349A">
              <w:rPr>
                <w:rStyle w:val="Hyperlink"/>
                <w:rFonts w:ascii="Arial" w:hAnsi="Arial" w:cs="Arial"/>
                <w:b/>
                <w:bCs/>
                <w:noProof/>
                <w:sz w:val="28"/>
                <w:szCs w:val="32"/>
              </w:rPr>
              <w:t>Key HR Functions</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_Toc225268333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2</w:t>
            </w:r>
            <w:r w:rsidRPr="0088349A">
              <w:rPr>
                <w:rFonts w:ascii="Arial" w:hAnsi="Arial" w:cs="Arial"/>
                <w:noProof/>
                <w:webHidden/>
                <w:sz w:val="28"/>
                <w:szCs w:val="32"/>
              </w:rPr>
              <w:fldChar w:fldCharType="end"/>
            </w:r>
          </w:hyperlink>
        </w:p>
        <w:p w14:paraId="7E8B8CA8" w14:textId="15AB1774" w:rsidR="005F0295" w:rsidRPr="0088349A" w:rsidRDefault="005F0295">
          <w:pPr>
            <w:pStyle w:val="TOC1"/>
            <w:tabs>
              <w:tab w:val="right" w:leader="dot" w:pos="8680"/>
            </w:tabs>
            <w:rPr>
              <w:rFonts w:ascii="Arial" w:hAnsi="Arial" w:cs="Arial"/>
              <w:noProof/>
              <w:sz w:val="28"/>
              <w:szCs w:val="32"/>
            </w:rPr>
          </w:pPr>
          <w:hyperlink w:anchor="_Toc225268334" w:history="1">
            <w:r w:rsidRPr="0088349A">
              <w:rPr>
                <w:rStyle w:val="Hyperlink"/>
                <w:rFonts w:ascii="Arial" w:hAnsi="Arial" w:cs="Arial"/>
                <w:b/>
                <w:bCs/>
                <w:noProof/>
                <w:sz w:val="28"/>
                <w:szCs w:val="32"/>
              </w:rPr>
              <w:t>Report Structure</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_Toc225268334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2</w:t>
            </w:r>
            <w:r w:rsidRPr="0088349A">
              <w:rPr>
                <w:rFonts w:ascii="Arial" w:hAnsi="Arial" w:cs="Arial"/>
                <w:noProof/>
                <w:webHidden/>
                <w:sz w:val="28"/>
                <w:szCs w:val="32"/>
              </w:rPr>
              <w:fldChar w:fldCharType="end"/>
            </w:r>
          </w:hyperlink>
        </w:p>
        <w:p w14:paraId="4A9FF514" w14:textId="67833A73" w:rsidR="005F0295" w:rsidRPr="0088349A" w:rsidRDefault="005F0295">
          <w:pPr>
            <w:pStyle w:val="TOC1"/>
            <w:tabs>
              <w:tab w:val="right" w:leader="dot" w:pos="8680"/>
            </w:tabs>
            <w:rPr>
              <w:rFonts w:ascii="Arial" w:hAnsi="Arial" w:cs="Arial"/>
              <w:noProof/>
              <w:sz w:val="28"/>
              <w:szCs w:val="32"/>
            </w:rPr>
          </w:pPr>
          <w:hyperlink w:anchor="_Toc225268335" w:history="1">
            <w:r w:rsidRPr="0088349A">
              <w:rPr>
                <w:rStyle w:val="Hyperlink"/>
                <w:rFonts w:ascii="Arial" w:hAnsi="Arial" w:cs="Arial"/>
                <w:b/>
                <w:bCs/>
                <w:noProof/>
                <w:sz w:val="28"/>
                <w:szCs w:val="32"/>
              </w:rPr>
              <w:t>Internal and External Environment: The PESTLE Model</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_Toc225268335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3</w:t>
            </w:r>
            <w:r w:rsidRPr="0088349A">
              <w:rPr>
                <w:rFonts w:ascii="Arial" w:hAnsi="Arial" w:cs="Arial"/>
                <w:noProof/>
                <w:webHidden/>
                <w:sz w:val="28"/>
                <w:szCs w:val="32"/>
              </w:rPr>
              <w:fldChar w:fldCharType="end"/>
            </w:r>
          </w:hyperlink>
        </w:p>
        <w:p w14:paraId="7589D767" w14:textId="5C944CD7" w:rsidR="005F0295" w:rsidRPr="0088349A" w:rsidRDefault="005F0295">
          <w:pPr>
            <w:pStyle w:val="TOC2"/>
            <w:tabs>
              <w:tab w:val="right" w:leader="dot" w:pos="8680"/>
            </w:tabs>
            <w:rPr>
              <w:rFonts w:ascii="Arial" w:hAnsi="Arial" w:cs="Arial"/>
              <w:noProof/>
              <w:sz w:val="28"/>
              <w:szCs w:val="32"/>
            </w:rPr>
          </w:pPr>
          <w:hyperlink w:anchor="_Toc225268336" w:history="1">
            <w:r w:rsidRPr="0088349A">
              <w:rPr>
                <w:rStyle w:val="Hyperlink"/>
                <w:rFonts w:ascii="Arial" w:hAnsi="Arial" w:cs="Arial"/>
                <w:noProof/>
                <w:sz w:val="28"/>
                <w:szCs w:val="32"/>
              </w:rPr>
              <w:t>Understanding the Business Environment Model</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_Toc225268336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3</w:t>
            </w:r>
            <w:r w:rsidRPr="0088349A">
              <w:rPr>
                <w:rFonts w:ascii="Arial" w:hAnsi="Arial" w:cs="Arial"/>
                <w:noProof/>
                <w:webHidden/>
                <w:sz w:val="28"/>
                <w:szCs w:val="32"/>
              </w:rPr>
              <w:fldChar w:fldCharType="end"/>
            </w:r>
          </w:hyperlink>
        </w:p>
        <w:p w14:paraId="44199423" w14:textId="0FB83F84" w:rsidR="005F0295" w:rsidRPr="0088349A" w:rsidRDefault="005F0295">
          <w:pPr>
            <w:pStyle w:val="TOC2"/>
            <w:tabs>
              <w:tab w:val="right" w:leader="dot" w:pos="8680"/>
            </w:tabs>
            <w:rPr>
              <w:rFonts w:ascii="Arial" w:hAnsi="Arial" w:cs="Arial"/>
              <w:noProof/>
              <w:sz w:val="28"/>
              <w:szCs w:val="32"/>
            </w:rPr>
          </w:pPr>
          <w:hyperlink w:anchor="_Toc225268337" w:history="1">
            <w:r w:rsidRPr="0088349A">
              <w:rPr>
                <w:rStyle w:val="Hyperlink"/>
                <w:rFonts w:ascii="Arial" w:hAnsi="Arial" w:cs="Arial"/>
                <w:noProof/>
                <w:sz w:val="28"/>
                <w:szCs w:val="32"/>
              </w:rPr>
              <w:t>Usefulness and Limitations of PESTLE</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_Toc225268337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3</w:t>
            </w:r>
            <w:r w:rsidRPr="0088349A">
              <w:rPr>
                <w:rFonts w:ascii="Arial" w:hAnsi="Arial" w:cs="Arial"/>
                <w:noProof/>
                <w:webHidden/>
                <w:sz w:val="28"/>
                <w:szCs w:val="32"/>
              </w:rPr>
              <w:fldChar w:fldCharType="end"/>
            </w:r>
          </w:hyperlink>
        </w:p>
        <w:p w14:paraId="2454D729" w14:textId="26B1BB23" w:rsidR="005F0295" w:rsidRPr="0088349A" w:rsidRDefault="005F0295">
          <w:pPr>
            <w:pStyle w:val="TOC2"/>
            <w:tabs>
              <w:tab w:val="right" w:leader="dot" w:pos="8680"/>
            </w:tabs>
            <w:rPr>
              <w:rFonts w:ascii="Arial" w:hAnsi="Arial" w:cs="Arial"/>
              <w:noProof/>
              <w:sz w:val="28"/>
              <w:szCs w:val="32"/>
            </w:rPr>
          </w:pPr>
          <w:hyperlink w:anchor="_Toc225268338" w:history="1">
            <w:r w:rsidRPr="0088349A">
              <w:rPr>
                <w:rStyle w:val="Hyperlink"/>
                <w:rFonts w:ascii="Arial" w:hAnsi="Arial" w:cs="Arial"/>
                <w:noProof/>
                <w:sz w:val="28"/>
                <w:szCs w:val="32"/>
              </w:rPr>
              <w:t>Link Between PESTLE and HR Functions</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_Toc225268338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4</w:t>
            </w:r>
            <w:r w:rsidRPr="0088349A">
              <w:rPr>
                <w:rFonts w:ascii="Arial" w:hAnsi="Arial" w:cs="Arial"/>
                <w:noProof/>
                <w:webHidden/>
                <w:sz w:val="28"/>
                <w:szCs w:val="32"/>
              </w:rPr>
              <w:fldChar w:fldCharType="end"/>
            </w:r>
          </w:hyperlink>
        </w:p>
        <w:p w14:paraId="65CF0E91" w14:textId="3961D7FD" w:rsidR="005F0295" w:rsidRPr="0088349A" w:rsidRDefault="005F0295">
          <w:pPr>
            <w:pStyle w:val="TOC1"/>
            <w:tabs>
              <w:tab w:val="right" w:leader="dot" w:pos="8680"/>
            </w:tabs>
            <w:rPr>
              <w:rFonts w:ascii="Arial" w:hAnsi="Arial" w:cs="Arial"/>
              <w:noProof/>
              <w:sz w:val="28"/>
              <w:szCs w:val="32"/>
            </w:rPr>
          </w:pPr>
          <w:hyperlink w:anchor="_Toc225268339" w:history="1">
            <w:r w:rsidRPr="0088349A">
              <w:rPr>
                <w:rStyle w:val="Hyperlink"/>
                <w:rFonts w:ascii="Arial" w:hAnsi="Arial" w:cs="Arial"/>
                <w:b/>
                <w:bCs/>
                <w:noProof/>
                <w:sz w:val="28"/>
                <w:szCs w:val="32"/>
              </w:rPr>
              <w:t>Organisation Application: Alphabet Inc.</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_Toc225268339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5</w:t>
            </w:r>
            <w:r w:rsidRPr="0088349A">
              <w:rPr>
                <w:rFonts w:ascii="Arial" w:hAnsi="Arial" w:cs="Arial"/>
                <w:noProof/>
                <w:webHidden/>
                <w:sz w:val="28"/>
                <w:szCs w:val="32"/>
              </w:rPr>
              <w:fldChar w:fldCharType="end"/>
            </w:r>
          </w:hyperlink>
        </w:p>
        <w:p w14:paraId="536EC63D" w14:textId="37DA0045" w:rsidR="005F0295" w:rsidRPr="0088349A" w:rsidRDefault="005F0295">
          <w:pPr>
            <w:pStyle w:val="TOC2"/>
            <w:tabs>
              <w:tab w:val="right" w:leader="dot" w:pos="8680"/>
            </w:tabs>
            <w:rPr>
              <w:rFonts w:ascii="Arial" w:hAnsi="Arial" w:cs="Arial"/>
              <w:noProof/>
              <w:sz w:val="28"/>
              <w:szCs w:val="32"/>
            </w:rPr>
          </w:pPr>
          <w:hyperlink w:anchor="_Toc225268340" w:history="1">
            <w:r w:rsidRPr="0088349A">
              <w:rPr>
                <w:rStyle w:val="Hyperlink"/>
                <w:rFonts w:ascii="Arial" w:hAnsi="Arial" w:cs="Arial"/>
                <w:noProof/>
                <w:sz w:val="28"/>
                <w:szCs w:val="32"/>
              </w:rPr>
              <w:t>Organisation Introduction</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_Toc225268340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5</w:t>
            </w:r>
            <w:r w:rsidRPr="0088349A">
              <w:rPr>
                <w:rFonts w:ascii="Arial" w:hAnsi="Arial" w:cs="Arial"/>
                <w:noProof/>
                <w:webHidden/>
                <w:sz w:val="28"/>
                <w:szCs w:val="32"/>
              </w:rPr>
              <w:fldChar w:fldCharType="end"/>
            </w:r>
          </w:hyperlink>
        </w:p>
        <w:p w14:paraId="5BB7EBC6" w14:textId="2C2BB0E4" w:rsidR="005F0295" w:rsidRPr="0088349A" w:rsidRDefault="005F0295">
          <w:pPr>
            <w:pStyle w:val="TOC2"/>
            <w:tabs>
              <w:tab w:val="right" w:leader="dot" w:pos="8680"/>
            </w:tabs>
            <w:rPr>
              <w:rFonts w:ascii="Arial" w:hAnsi="Arial" w:cs="Arial"/>
              <w:noProof/>
              <w:sz w:val="28"/>
              <w:szCs w:val="32"/>
            </w:rPr>
          </w:pPr>
          <w:hyperlink w:anchor="_Toc225268341" w:history="1">
            <w:r w:rsidRPr="0088349A">
              <w:rPr>
                <w:rStyle w:val="Hyperlink"/>
                <w:rFonts w:ascii="Arial" w:hAnsi="Arial" w:cs="Arial"/>
                <w:noProof/>
                <w:sz w:val="28"/>
                <w:szCs w:val="32"/>
              </w:rPr>
              <w:t>HR Practices Across Global Operations</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_Toc225268341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5</w:t>
            </w:r>
            <w:r w:rsidRPr="0088349A">
              <w:rPr>
                <w:rFonts w:ascii="Arial" w:hAnsi="Arial" w:cs="Arial"/>
                <w:noProof/>
                <w:webHidden/>
                <w:sz w:val="28"/>
                <w:szCs w:val="32"/>
              </w:rPr>
              <w:fldChar w:fldCharType="end"/>
            </w:r>
          </w:hyperlink>
        </w:p>
        <w:p w14:paraId="39DCEE0F" w14:textId="33106CD0" w:rsidR="005F0295" w:rsidRPr="0088349A" w:rsidRDefault="005F0295">
          <w:pPr>
            <w:pStyle w:val="TOC1"/>
            <w:tabs>
              <w:tab w:val="right" w:leader="dot" w:pos="8680"/>
            </w:tabs>
            <w:rPr>
              <w:rFonts w:ascii="Arial" w:hAnsi="Arial" w:cs="Arial"/>
              <w:noProof/>
              <w:sz w:val="28"/>
              <w:szCs w:val="32"/>
            </w:rPr>
          </w:pPr>
          <w:hyperlink w:anchor="_Toc225268342" w:history="1">
            <w:r w:rsidRPr="0088349A">
              <w:rPr>
                <w:rStyle w:val="Hyperlink"/>
                <w:rFonts w:ascii="Arial" w:hAnsi="Arial" w:cs="Arial"/>
                <w:b/>
                <w:bCs/>
                <w:noProof/>
                <w:sz w:val="28"/>
                <w:szCs w:val="32"/>
              </w:rPr>
              <w:t>Application of Model: Impact on HR Effectiveness</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_Toc225268342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6</w:t>
            </w:r>
            <w:r w:rsidRPr="0088349A">
              <w:rPr>
                <w:rFonts w:ascii="Arial" w:hAnsi="Arial" w:cs="Arial"/>
                <w:noProof/>
                <w:webHidden/>
                <w:sz w:val="28"/>
                <w:szCs w:val="32"/>
              </w:rPr>
              <w:fldChar w:fldCharType="end"/>
            </w:r>
          </w:hyperlink>
        </w:p>
        <w:p w14:paraId="6BA59B33" w14:textId="4F19D6D9" w:rsidR="005F0295" w:rsidRPr="0088349A" w:rsidRDefault="005F0295">
          <w:pPr>
            <w:pStyle w:val="TOC2"/>
            <w:tabs>
              <w:tab w:val="right" w:leader="dot" w:pos="8680"/>
            </w:tabs>
            <w:rPr>
              <w:rFonts w:ascii="Arial" w:hAnsi="Arial" w:cs="Arial"/>
              <w:noProof/>
              <w:sz w:val="28"/>
              <w:szCs w:val="32"/>
            </w:rPr>
          </w:pPr>
          <w:hyperlink w:anchor="_Toc225268343" w:history="1">
            <w:r w:rsidRPr="0088349A">
              <w:rPr>
                <w:rStyle w:val="Hyperlink"/>
                <w:rFonts w:ascii="Arial" w:hAnsi="Arial" w:cs="Arial"/>
                <w:noProof/>
                <w:sz w:val="28"/>
                <w:szCs w:val="32"/>
              </w:rPr>
              <w:t>Environmental Factors' Impact on Alphabet's HR Practices</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_Toc225268343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6</w:t>
            </w:r>
            <w:r w:rsidRPr="0088349A">
              <w:rPr>
                <w:rFonts w:ascii="Arial" w:hAnsi="Arial" w:cs="Arial"/>
                <w:noProof/>
                <w:webHidden/>
                <w:sz w:val="28"/>
                <w:szCs w:val="32"/>
              </w:rPr>
              <w:fldChar w:fldCharType="end"/>
            </w:r>
          </w:hyperlink>
        </w:p>
        <w:p w14:paraId="4B3FE6FE" w14:textId="0EB485F8" w:rsidR="005F0295" w:rsidRPr="0088349A" w:rsidRDefault="005F0295">
          <w:pPr>
            <w:pStyle w:val="TOC2"/>
            <w:tabs>
              <w:tab w:val="right" w:leader="dot" w:pos="8680"/>
            </w:tabs>
            <w:rPr>
              <w:rFonts w:ascii="Arial" w:hAnsi="Arial" w:cs="Arial"/>
              <w:noProof/>
              <w:sz w:val="28"/>
              <w:szCs w:val="32"/>
            </w:rPr>
          </w:pPr>
          <w:hyperlink w:anchor="_Toc225268344" w:history="1">
            <w:r w:rsidRPr="0088349A">
              <w:rPr>
                <w:rStyle w:val="Hyperlink"/>
                <w:rFonts w:ascii="Arial" w:hAnsi="Arial" w:cs="Arial"/>
                <w:noProof/>
                <w:sz w:val="28"/>
                <w:szCs w:val="32"/>
              </w:rPr>
              <w:t>Country Differences in Environmental Impact</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_Toc225268344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9</w:t>
            </w:r>
            <w:r w:rsidRPr="0088349A">
              <w:rPr>
                <w:rFonts w:ascii="Arial" w:hAnsi="Arial" w:cs="Arial"/>
                <w:noProof/>
                <w:webHidden/>
                <w:sz w:val="28"/>
                <w:szCs w:val="32"/>
              </w:rPr>
              <w:fldChar w:fldCharType="end"/>
            </w:r>
          </w:hyperlink>
        </w:p>
        <w:p w14:paraId="6D8D74AA" w14:textId="72CFC81E" w:rsidR="005F0295" w:rsidRPr="0088349A" w:rsidRDefault="005F0295">
          <w:pPr>
            <w:pStyle w:val="TOC1"/>
            <w:tabs>
              <w:tab w:val="right" w:leader="dot" w:pos="8680"/>
            </w:tabs>
            <w:rPr>
              <w:rFonts w:ascii="Arial" w:hAnsi="Arial" w:cs="Arial"/>
              <w:noProof/>
              <w:sz w:val="28"/>
              <w:szCs w:val="32"/>
            </w:rPr>
          </w:pPr>
          <w:hyperlink w:anchor="_Toc225268345" w:history="1">
            <w:r w:rsidRPr="0088349A">
              <w:rPr>
                <w:rStyle w:val="Hyperlink"/>
                <w:rFonts w:ascii="Arial" w:hAnsi="Arial" w:cs="Arial"/>
                <w:b/>
                <w:bCs/>
                <w:noProof/>
                <w:sz w:val="28"/>
                <w:szCs w:val="32"/>
              </w:rPr>
              <w:t>Conclusion</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_Toc225268345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11</w:t>
            </w:r>
            <w:r w:rsidRPr="0088349A">
              <w:rPr>
                <w:rFonts w:ascii="Arial" w:hAnsi="Arial" w:cs="Arial"/>
                <w:noProof/>
                <w:webHidden/>
                <w:sz w:val="28"/>
                <w:szCs w:val="32"/>
              </w:rPr>
              <w:fldChar w:fldCharType="end"/>
            </w:r>
          </w:hyperlink>
        </w:p>
        <w:p w14:paraId="66C18827" w14:textId="4C9927A0" w:rsidR="005F0295" w:rsidRPr="0088349A" w:rsidRDefault="005F0295">
          <w:pPr>
            <w:pStyle w:val="TOC2"/>
            <w:tabs>
              <w:tab w:val="right" w:leader="dot" w:pos="8680"/>
            </w:tabs>
            <w:rPr>
              <w:rFonts w:ascii="Arial" w:hAnsi="Arial" w:cs="Arial"/>
              <w:noProof/>
              <w:sz w:val="28"/>
              <w:szCs w:val="32"/>
            </w:rPr>
          </w:pPr>
          <w:hyperlink w:anchor="_Toc225268346" w:history="1">
            <w:r w:rsidRPr="0088349A">
              <w:rPr>
                <w:rStyle w:val="Hyperlink"/>
                <w:rFonts w:ascii="Arial" w:hAnsi="Arial" w:cs="Arial"/>
                <w:noProof/>
                <w:sz w:val="28"/>
                <w:szCs w:val="32"/>
              </w:rPr>
              <w:t>Summary of Key Points</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_Toc225268346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11</w:t>
            </w:r>
            <w:r w:rsidRPr="0088349A">
              <w:rPr>
                <w:rFonts w:ascii="Arial" w:hAnsi="Arial" w:cs="Arial"/>
                <w:noProof/>
                <w:webHidden/>
                <w:sz w:val="28"/>
                <w:szCs w:val="32"/>
              </w:rPr>
              <w:fldChar w:fldCharType="end"/>
            </w:r>
          </w:hyperlink>
        </w:p>
        <w:p w14:paraId="29913DAD" w14:textId="3C1A907C" w:rsidR="005F0295" w:rsidRPr="0088349A" w:rsidRDefault="005F0295">
          <w:pPr>
            <w:pStyle w:val="TOC2"/>
            <w:tabs>
              <w:tab w:val="right" w:leader="dot" w:pos="8680"/>
            </w:tabs>
            <w:rPr>
              <w:rFonts w:ascii="Arial" w:hAnsi="Arial" w:cs="Arial"/>
              <w:noProof/>
              <w:sz w:val="28"/>
              <w:szCs w:val="32"/>
            </w:rPr>
          </w:pPr>
          <w:hyperlink w:anchor="_Toc225268347" w:history="1">
            <w:r w:rsidRPr="0088349A">
              <w:rPr>
                <w:rStyle w:val="Hyperlink"/>
                <w:rFonts w:ascii="Arial" w:hAnsi="Arial" w:cs="Arial"/>
                <w:noProof/>
                <w:sz w:val="28"/>
                <w:szCs w:val="32"/>
              </w:rPr>
              <w:t>Future Implications for Global HR Managers</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_Toc225268347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12</w:t>
            </w:r>
            <w:r w:rsidRPr="0088349A">
              <w:rPr>
                <w:rFonts w:ascii="Arial" w:hAnsi="Arial" w:cs="Arial"/>
                <w:noProof/>
                <w:webHidden/>
                <w:sz w:val="28"/>
                <w:szCs w:val="32"/>
              </w:rPr>
              <w:fldChar w:fldCharType="end"/>
            </w:r>
          </w:hyperlink>
        </w:p>
        <w:p w14:paraId="43F7D2D7" w14:textId="5A361D5F" w:rsidR="005F0295" w:rsidRPr="0088349A" w:rsidRDefault="005F0295">
          <w:pPr>
            <w:pStyle w:val="TOC1"/>
            <w:tabs>
              <w:tab w:val="right" w:leader="dot" w:pos="8680"/>
            </w:tabs>
            <w:rPr>
              <w:rFonts w:ascii="Arial" w:hAnsi="Arial" w:cs="Arial"/>
              <w:noProof/>
              <w:sz w:val="28"/>
              <w:szCs w:val="32"/>
            </w:rPr>
          </w:pPr>
          <w:hyperlink w:anchor="_Toc225268348" w:history="1">
            <w:r w:rsidRPr="0088349A">
              <w:rPr>
                <w:rStyle w:val="Hyperlink"/>
                <w:rFonts w:ascii="Arial" w:hAnsi="Arial" w:cs="Arial"/>
                <w:b/>
                <w:bCs/>
                <w:noProof/>
                <w:sz w:val="28"/>
                <w:szCs w:val="32"/>
              </w:rPr>
              <w:t>References</w:t>
            </w:r>
            <w:r w:rsidRPr="0088349A">
              <w:rPr>
                <w:rFonts w:ascii="Arial" w:hAnsi="Arial" w:cs="Arial"/>
                <w:noProof/>
                <w:webHidden/>
                <w:sz w:val="28"/>
                <w:szCs w:val="32"/>
              </w:rPr>
              <w:tab/>
            </w:r>
            <w:r w:rsidRPr="0088349A">
              <w:rPr>
                <w:rFonts w:ascii="Arial" w:hAnsi="Arial" w:cs="Arial"/>
                <w:noProof/>
                <w:webHidden/>
                <w:sz w:val="28"/>
                <w:szCs w:val="32"/>
              </w:rPr>
              <w:fldChar w:fldCharType="begin"/>
            </w:r>
            <w:r w:rsidRPr="0088349A">
              <w:rPr>
                <w:rFonts w:ascii="Arial" w:hAnsi="Arial" w:cs="Arial"/>
                <w:noProof/>
                <w:webHidden/>
                <w:sz w:val="28"/>
                <w:szCs w:val="32"/>
              </w:rPr>
              <w:instrText xml:space="preserve"> PAGEREF _Toc225268348 \h </w:instrText>
            </w:r>
            <w:r w:rsidRPr="0088349A">
              <w:rPr>
                <w:rFonts w:ascii="Arial" w:hAnsi="Arial" w:cs="Arial"/>
                <w:noProof/>
                <w:webHidden/>
                <w:sz w:val="28"/>
                <w:szCs w:val="32"/>
              </w:rPr>
            </w:r>
            <w:r w:rsidRPr="0088349A">
              <w:rPr>
                <w:rFonts w:ascii="Arial" w:hAnsi="Arial" w:cs="Arial"/>
                <w:noProof/>
                <w:webHidden/>
                <w:sz w:val="28"/>
                <w:szCs w:val="32"/>
              </w:rPr>
              <w:fldChar w:fldCharType="separate"/>
            </w:r>
            <w:r w:rsidRPr="0088349A">
              <w:rPr>
                <w:rFonts w:ascii="Arial" w:hAnsi="Arial" w:cs="Arial"/>
                <w:noProof/>
                <w:webHidden/>
                <w:sz w:val="28"/>
                <w:szCs w:val="32"/>
              </w:rPr>
              <w:t>13</w:t>
            </w:r>
            <w:r w:rsidRPr="0088349A">
              <w:rPr>
                <w:rFonts w:ascii="Arial" w:hAnsi="Arial" w:cs="Arial"/>
                <w:noProof/>
                <w:webHidden/>
                <w:sz w:val="28"/>
                <w:szCs w:val="32"/>
              </w:rPr>
              <w:fldChar w:fldCharType="end"/>
            </w:r>
          </w:hyperlink>
        </w:p>
        <w:p w14:paraId="38B94DE7" w14:textId="15605667" w:rsidR="00D50312" w:rsidRDefault="00D50312">
          <w:r w:rsidRPr="0088349A">
            <w:rPr>
              <w:rFonts w:ascii="Arial" w:hAnsi="Arial" w:cs="Arial"/>
              <w:b/>
              <w:bCs/>
              <w:noProof/>
              <w:sz w:val="28"/>
              <w:szCs w:val="32"/>
            </w:rPr>
            <w:fldChar w:fldCharType="end"/>
          </w:r>
        </w:p>
      </w:sdtContent>
    </w:sdt>
    <w:p w14:paraId="19F04279" w14:textId="77777777" w:rsidR="00D50312" w:rsidRDefault="00D50312">
      <w:pPr>
        <w:rPr>
          <w:rFonts w:ascii="Arial" w:hAnsi="Arial" w:cs="Arial"/>
          <w:b/>
          <w:sz w:val="56"/>
        </w:rPr>
      </w:pPr>
    </w:p>
    <w:p w14:paraId="0F9E7284" w14:textId="77777777" w:rsidR="00D50312" w:rsidRDefault="00D50312">
      <w:pPr>
        <w:rPr>
          <w:rFonts w:ascii="Arial" w:hAnsi="Arial" w:cs="Arial"/>
          <w:b/>
          <w:sz w:val="56"/>
        </w:rPr>
      </w:pPr>
    </w:p>
    <w:p w14:paraId="2FC6E73A" w14:textId="77777777" w:rsidR="00D50312" w:rsidRDefault="00D50312" w:rsidP="00A601CB">
      <w:pPr>
        <w:spacing w:before="240" w:line="240" w:lineRule="auto"/>
        <w:jc w:val="center"/>
        <w:rPr>
          <w:rFonts w:ascii="Arial" w:hAnsi="Arial" w:cs="Arial"/>
          <w:b/>
          <w:sz w:val="56"/>
        </w:rPr>
      </w:pPr>
    </w:p>
    <w:p w14:paraId="13F3E52A" w14:textId="77777777" w:rsidR="00D50312" w:rsidRDefault="00D50312">
      <w:pPr>
        <w:rPr>
          <w:rFonts w:ascii="Arial" w:hAnsi="Arial" w:cs="Arial"/>
          <w:b/>
          <w:sz w:val="56"/>
        </w:rPr>
      </w:pPr>
      <w:r>
        <w:rPr>
          <w:rFonts w:ascii="Arial" w:hAnsi="Arial" w:cs="Arial"/>
          <w:b/>
          <w:sz w:val="56"/>
        </w:rPr>
        <w:br w:type="page"/>
      </w:r>
    </w:p>
    <w:p w14:paraId="43E949D3" w14:textId="77777777" w:rsidR="00CF52CC" w:rsidRPr="00D50312" w:rsidRDefault="00000000" w:rsidP="00D50312">
      <w:pPr>
        <w:pStyle w:val="Heading1"/>
        <w:rPr>
          <w:b/>
          <w:bCs/>
          <w:color w:val="auto"/>
          <w:sz w:val="52"/>
          <w:szCs w:val="52"/>
        </w:rPr>
      </w:pPr>
      <w:bookmarkStart w:id="1" w:name="introduction"/>
      <w:bookmarkStart w:id="2" w:name="_Toc225268332"/>
      <w:bookmarkEnd w:id="0"/>
      <w:r w:rsidRPr="00D50312">
        <w:rPr>
          <w:b/>
          <w:bCs/>
          <w:color w:val="auto"/>
          <w:sz w:val="52"/>
          <w:szCs w:val="52"/>
        </w:rPr>
        <w:lastRenderedPageBreak/>
        <w:t>Introduction</w:t>
      </w:r>
      <w:bookmarkEnd w:id="1"/>
      <w:bookmarkEnd w:id="2"/>
    </w:p>
    <w:p w14:paraId="5C66C026" w14:textId="77777777" w:rsidR="00AA7D3E" w:rsidRPr="00A601CB" w:rsidRDefault="00AA7D3E" w:rsidP="00942E63">
      <w:pPr>
        <w:spacing w:before="240" w:line="360" w:lineRule="auto"/>
        <w:jc w:val="both"/>
        <w:rPr>
          <w:rFonts w:ascii="Arial" w:hAnsi="Arial" w:cs="Arial"/>
        </w:rPr>
      </w:pPr>
      <w:bookmarkStart w:id="3" w:name="key_hr_functions"/>
      <w:r w:rsidRPr="00A601CB">
        <w:rPr>
          <w:rFonts w:ascii="Arial" w:hAnsi="Arial" w:cs="Arial"/>
        </w:rPr>
        <w:t>Human Resource Management (HRM) plays a pivotal role in organisational success, serving as the strategic function that bridges business objectives with employee capabilities and performance. HR managers are responsible for designing and implementing systems that attract, develop, and retain talent while fostering an organisational culture conducive to achievement (Armstrong, 2017). However, the effectiveness of HR managers is not determined solely by their competence and expertise; rather, it is significantly influenced by the internal and external environmental forces that shape the organisational context in which they operate (Armstrong, 2017).</w:t>
      </w:r>
    </w:p>
    <w:p w14:paraId="15C257FF" w14:textId="45B56EC1" w:rsidR="00CF52CC" w:rsidRPr="00D50312" w:rsidRDefault="00000000" w:rsidP="00D50312">
      <w:pPr>
        <w:pStyle w:val="Heading1"/>
        <w:rPr>
          <w:b/>
          <w:bCs/>
          <w:color w:val="auto"/>
          <w:sz w:val="52"/>
          <w:szCs w:val="52"/>
        </w:rPr>
      </w:pPr>
      <w:bookmarkStart w:id="4" w:name="_Toc225268333"/>
      <w:r w:rsidRPr="00D50312">
        <w:rPr>
          <w:b/>
          <w:bCs/>
          <w:color w:val="auto"/>
          <w:sz w:val="52"/>
          <w:szCs w:val="52"/>
        </w:rPr>
        <w:t>Key HR Functions</w:t>
      </w:r>
      <w:bookmarkEnd w:id="3"/>
      <w:bookmarkEnd w:id="4"/>
    </w:p>
    <w:p w14:paraId="1C708BD8" w14:textId="77777777" w:rsidR="006C39C8" w:rsidRPr="00A601CB" w:rsidRDefault="006C39C8" w:rsidP="00942E63">
      <w:pPr>
        <w:spacing w:line="360" w:lineRule="auto"/>
        <w:jc w:val="both"/>
        <w:rPr>
          <w:rFonts w:ascii="Arial" w:hAnsi="Arial" w:cs="Arial"/>
        </w:rPr>
      </w:pPr>
      <w:r w:rsidRPr="00A601CB">
        <w:rPr>
          <w:rFonts w:ascii="Arial" w:hAnsi="Arial" w:cs="Arial"/>
        </w:rPr>
        <w:t xml:space="preserve">Effective organisations recognise that several core HR functions are essential to their sustainable success. Recruitment and selection </w:t>
      </w:r>
      <w:proofErr w:type="gramStart"/>
      <w:r w:rsidRPr="00A601CB">
        <w:rPr>
          <w:rFonts w:ascii="Arial" w:hAnsi="Arial" w:cs="Arial"/>
        </w:rPr>
        <w:t>ensures</w:t>
      </w:r>
      <w:proofErr w:type="gramEnd"/>
      <w:r w:rsidRPr="00A601CB">
        <w:rPr>
          <w:rFonts w:ascii="Arial" w:hAnsi="Arial" w:cs="Arial"/>
        </w:rPr>
        <w:t xml:space="preserve"> organisations attract candidates whose skills, values and potential align with organisational needs, directly impacting workforce quality and innovation capacity (Pfeffer, 2013). Training and development </w:t>
      </w:r>
      <w:proofErr w:type="gramStart"/>
      <w:r w:rsidRPr="00A601CB">
        <w:rPr>
          <w:rFonts w:ascii="Arial" w:hAnsi="Arial" w:cs="Arial"/>
        </w:rPr>
        <w:t>enables</w:t>
      </w:r>
      <w:proofErr w:type="gramEnd"/>
      <w:r w:rsidRPr="00A601CB">
        <w:rPr>
          <w:rFonts w:ascii="Arial" w:hAnsi="Arial" w:cs="Arial"/>
        </w:rPr>
        <w:t xml:space="preserve"> organisations to upskill their workforce, build competitive advantage and improve employee engagement and retention rates, particularly critical in knowledge</w:t>
      </w:r>
      <w:r w:rsidRPr="00A601CB">
        <w:rPr>
          <w:rFonts w:ascii="Cambria Math" w:hAnsi="Cambria Math" w:cs="Cambria Math"/>
        </w:rPr>
        <w:t>‑</w:t>
      </w:r>
      <w:r w:rsidRPr="00A601CB">
        <w:rPr>
          <w:rFonts w:ascii="Arial" w:hAnsi="Arial" w:cs="Arial"/>
        </w:rPr>
        <w:t>intensive industries (Noe et al., 2020). Performance management provides mechanisms to align individual efforts with organisational objectives, provide feedback and identify high</w:t>
      </w:r>
      <w:r w:rsidRPr="00A601CB">
        <w:rPr>
          <w:rFonts w:ascii="Cambria Math" w:hAnsi="Cambria Math" w:cs="Cambria Math"/>
        </w:rPr>
        <w:t>‑</w:t>
      </w:r>
      <w:r w:rsidRPr="00A601CB">
        <w:rPr>
          <w:rFonts w:ascii="Arial" w:hAnsi="Arial" w:cs="Arial"/>
        </w:rPr>
        <w:t xml:space="preserve">potential employees for advancement. Finally, employee relations </w:t>
      </w:r>
      <w:proofErr w:type="gramStart"/>
      <w:r w:rsidRPr="00A601CB">
        <w:rPr>
          <w:rFonts w:ascii="Arial" w:hAnsi="Arial" w:cs="Arial"/>
        </w:rPr>
        <w:t>encompasses</w:t>
      </w:r>
      <w:proofErr w:type="gramEnd"/>
      <w:r w:rsidRPr="00A601CB">
        <w:rPr>
          <w:rFonts w:ascii="Arial" w:hAnsi="Arial" w:cs="Arial"/>
        </w:rPr>
        <w:t xml:space="preserve"> the management of workplace culture, conflict resolution and dialogue between management and staff, fundamentally affecting organisational stability and productivity (Shen et al., 2009).</w:t>
      </w:r>
    </w:p>
    <w:p w14:paraId="035CE3E0" w14:textId="77777777" w:rsidR="00CF52CC" w:rsidRPr="00A601CB" w:rsidRDefault="00000000" w:rsidP="00942E63">
      <w:pPr>
        <w:spacing w:after="210" w:line="360" w:lineRule="auto"/>
        <w:jc w:val="both"/>
        <w:rPr>
          <w:rFonts w:ascii="Arial" w:hAnsi="Arial" w:cs="Arial"/>
        </w:rPr>
      </w:pPr>
      <w:r w:rsidRPr="00A601CB">
        <w:rPr>
          <w:rFonts w:ascii="Arial" w:eastAsia="Georgia" w:hAnsi="Arial" w:cs="Arial"/>
        </w:rPr>
        <w:t>These functions are interconnected and essential because they address the complete employee lifecycle—from attraction through exit—ensuring organisations remain competitive and adaptable in dynamic environments.</w:t>
      </w:r>
    </w:p>
    <w:p w14:paraId="1D9EC2F9" w14:textId="77777777" w:rsidR="00CF52CC" w:rsidRPr="00D50312" w:rsidRDefault="00000000" w:rsidP="00D50312">
      <w:pPr>
        <w:pStyle w:val="Heading1"/>
        <w:rPr>
          <w:b/>
          <w:bCs/>
          <w:color w:val="auto"/>
          <w:sz w:val="52"/>
          <w:szCs w:val="52"/>
        </w:rPr>
      </w:pPr>
      <w:bookmarkStart w:id="5" w:name="report_structure"/>
      <w:bookmarkStart w:id="6" w:name="_Toc225268334"/>
      <w:r w:rsidRPr="00D50312">
        <w:rPr>
          <w:b/>
          <w:bCs/>
          <w:color w:val="auto"/>
          <w:sz w:val="52"/>
          <w:szCs w:val="52"/>
        </w:rPr>
        <w:t>Report Structure</w:t>
      </w:r>
      <w:bookmarkEnd w:id="5"/>
      <w:bookmarkEnd w:id="6"/>
    </w:p>
    <w:p w14:paraId="1DED48A7" w14:textId="03179B45" w:rsidR="00CF52CC" w:rsidRPr="00A601CB" w:rsidRDefault="006C39C8" w:rsidP="00942E63">
      <w:pPr>
        <w:spacing w:line="360" w:lineRule="auto"/>
        <w:jc w:val="both"/>
        <w:rPr>
          <w:rFonts w:ascii="Arial" w:hAnsi="Arial" w:cs="Arial"/>
        </w:rPr>
      </w:pPr>
      <w:r w:rsidRPr="00A601CB">
        <w:rPr>
          <w:rFonts w:ascii="Arial" w:hAnsi="Arial" w:cs="Arial"/>
        </w:rPr>
        <w:t xml:space="preserve">This report evaluates how environmental factors influence HR managers’ effectiveness in global organisations. It employs the PESTLE model as an analytical framework to examine how political, economic, social, technological, legal and environmental factors impact HR practices (Johnson, Scholes and Whittington, 2017). The report then applies this analysis to Alphabet Inc., a multinational technology corporation operating across multiple continents, demonstrating how environmental variations across countries create distinct HR management </w:t>
      </w:r>
      <w:r w:rsidRPr="00A601CB">
        <w:rPr>
          <w:rFonts w:ascii="Arial" w:hAnsi="Arial" w:cs="Arial"/>
        </w:rPr>
        <w:lastRenderedPageBreak/>
        <w:t>challenges and opportunities. Finally, it reflects on future implications for HR managers navigating increasingly complex global business environments.</w:t>
      </w:r>
    </w:p>
    <w:p w14:paraId="3308FA1F" w14:textId="77777777" w:rsidR="00CF52CC" w:rsidRPr="00D50312" w:rsidRDefault="00000000" w:rsidP="00D50312">
      <w:pPr>
        <w:pStyle w:val="Heading1"/>
        <w:rPr>
          <w:b/>
          <w:bCs/>
          <w:color w:val="auto"/>
          <w:sz w:val="52"/>
          <w:szCs w:val="52"/>
        </w:rPr>
      </w:pPr>
      <w:bookmarkStart w:id="7" w:name="internal_and_external_environment_d262df"/>
      <w:bookmarkStart w:id="8" w:name="_Toc225268335"/>
      <w:r w:rsidRPr="00D50312">
        <w:rPr>
          <w:b/>
          <w:bCs/>
          <w:color w:val="auto"/>
          <w:sz w:val="52"/>
          <w:szCs w:val="52"/>
        </w:rPr>
        <w:t>Internal and External Environment: The PESTLE Model</w:t>
      </w:r>
      <w:bookmarkEnd w:id="7"/>
      <w:bookmarkEnd w:id="8"/>
    </w:p>
    <w:p w14:paraId="7A704DBA" w14:textId="77777777" w:rsidR="00CF52CC" w:rsidRPr="00D50312" w:rsidRDefault="00000000" w:rsidP="00D50312">
      <w:pPr>
        <w:pStyle w:val="Heading2"/>
        <w:spacing w:line="276" w:lineRule="auto"/>
        <w:rPr>
          <w:color w:val="auto"/>
          <w:sz w:val="36"/>
          <w:szCs w:val="36"/>
        </w:rPr>
      </w:pPr>
      <w:bookmarkStart w:id="9" w:name="understanding_the_business_enviro_1c791b"/>
      <w:bookmarkStart w:id="10" w:name="_Toc225268336"/>
      <w:r w:rsidRPr="00D50312">
        <w:rPr>
          <w:color w:val="auto"/>
          <w:sz w:val="36"/>
          <w:szCs w:val="36"/>
        </w:rPr>
        <w:t>Understanding the Business Environment Model</w:t>
      </w:r>
      <w:bookmarkEnd w:id="9"/>
      <w:bookmarkEnd w:id="10"/>
    </w:p>
    <w:p w14:paraId="5A6174C6" w14:textId="77777777" w:rsidR="006C39C8" w:rsidRPr="006C39C8" w:rsidRDefault="006C39C8" w:rsidP="00942E63">
      <w:pPr>
        <w:spacing w:after="210" w:line="360" w:lineRule="auto"/>
        <w:jc w:val="both"/>
        <w:rPr>
          <w:rFonts w:ascii="Arial" w:hAnsi="Arial" w:cs="Arial"/>
        </w:rPr>
      </w:pPr>
      <w:r w:rsidRPr="006C39C8">
        <w:rPr>
          <w:rFonts w:ascii="Arial" w:hAnsi="Arial" w:cs="Arial"/>
        </w:rPr>
        <w:t>The PESTLE framework has emerged as a widely used analytical tool for examining the macro</w:t>
      </w:r>
      <w:r w:rsidRPr="006C39C8">
        <w:rPr>
          <w:rFonts w:ascii="Arial" w:hAnsi="Arial" w:cs="Arial"/>
        </w:rPr>
        <w:noBreakHyphen/>
        <w:t>environmental factors affecting organisations (Johnson, Scholes and Whittington, 2017). PESTLE stands for Political, Economic, Social, Technological, Legal and Environmental factors. Each dimension encompasses forces beyond an organisation’s direct control yet profoundly shapes strategic decisions and operational practices (Johnson, Scholes and Whittington, 2017).</w:t>
      </w:r>
    </w:p>
    <w:p w14:paraId="159552FC" w14:textId="1E3D1E95" w:rsidR="00D50312" w:rsidRDefault="00000000" w:rsidP="00D50312">
      <w:pPr>
        <w:spacing w:after="210" w:line="360" w:lineRule="auto"/>
        <w:jc w:val="both"/>
        <w:rPr>
          <w:rFonts w:ascii="Arial" w:hAnsi="Arial" w:cs="Arial"/>
          <w:b/>
          <w:sz w:val="33"/>
        </w:rPr>
      </w:pPr>
      <w:r w:rsidRPr="00A601CB">
        <w:rPr>
          <w:rFonts w:ascii="Arial" w:hAnsi="Arial" w:cs="Arial"/>
        </w:rPr>
        <w:t>The Political dimension includes government stability, political ideology, trade policies, and regulatory frameworks. The Economic dimension encompasses inflation rates, interest rates, exchange rates, and employment levels. The Social dimension reflects cultural values, demographic trends, consumer behaviour, and workforce attitudes. The Technological dimension covers innovation rates, automation, digital infrastructure, and research and development capabilities. The Legal dimension includes employment law, health and safety regulations, data protection, and intellectual property protections. Finally, the Environmental dimension encompasses sustainability requirements, climate change impacts, and resource availability.</w:t>
      </w:r>
      <w:bookmarkStart w:id="11" w:name="usefulness_and_limitations_of_pestle"/>
    </w:p>
    <w:p w14:paraId="75C1E7DA" w14:textId="2351D641" w:rsidR="00CF52CC" w:rsidRPr="00D50312" w:rsidRDefault="00000000" w:rsidP="00D50312">
      <w:pPr>
        <w:pStyle w:val="Heading2"/>
        <w:spacing w:line="276" w:lineRule="auto"/>
        <w:rPr>
          <w:color w:val="auto"/>
          <w:sz w:val="36"/>
          <w:szCs w:val="36"/>
        </w:rPr>
      </w:pPr>
      <w:bookmarkStart w:id="12" w:name="_Toc225268337"/>
      <w:r w:rsidRPr="00D50312">
        <w:rPr>
          <w:color w:val="auto"/>
          <w:sz w:val="36"/>
          <w:szCs w:val="36"/>
        </w:rPr>
        <w:t>Usefulness and Limitations of PESTLE</w:t>
      </w:r>
      <w:bookmarkEnd w:id="11"/>
      <w:bookmarkEnd w:id="12"/>
    </w:p>
    <w:p w14:paraId="33332301" w14:textId="77777777" w:rsidR="006C39C8" w:rsidRPr="00A601CB" w:rsidRDefault="006C39C8" w:rsidP="00942E63">
      <w:pPr>
        <w:spacing w:after="210" w:line="360" w:lineRule="auto"/>
        <w:jc w:val="both"/>
        <w:rPr>
          <w:rFonts w:ascii="Arial" w:hAnsi="Arial" w:cs="Arial"/>
        </w:rPr>
      </w:pPr>
      <w:r w:rsidRPr="00A601CB">
        <w:rPr>
          <w:rFonts w:ascii="Arial" w:hAnsi="Arial" w:cs="Arial"/>
        </w:rPr>
        <w:t>The PESTLE model’s primary value lies in its systematic identification of macro</w:t>
      </w:r>
      <w:r w:rsidRPr="00A601CB">
        <w:rPr>
          <w:rFonts w:ascii="Arial" w:hAnsi="Arial" w:cs="Arial"/>
        </w:rPr>
        <w:noBreakHyphen/>
        <w:t>environmental forces, providing HR managers with a structured framework for environmental scanning and strategic HR planning (Aguilar, 1967). It enables organisations to anticipate future challenges, identify emerging opportunities for HR innovation and align HR strategy with broader organisational and environmental contexts (Aguilar, 1967). Additionally, PESTLE facilitates cross</w:t>
      </w:r>
      <w:r w:rsidRPr="00A601CB">
        <w:rPr>
          <w:rFonts w:ascii="Arial" w:hAnsi="Arial" w:cs="Arial"/>
        </w:rPr>
        <w:noBreakHyphen/>
        <w:t>national comparisons, a critical capability for global HR managers (Johnson, Scholes and Whittington, 2017).</w:t>
      </w:r>
    </w:p>
    <w:p w14:paraId="14DB53C5" w14:textId="77777777" w:rsidR="006C39C8" w:rsidRPr="00A601CB" w:rsidRDefault="006C39C8" w:rsidP="00942E63">
      <w:pPr>
        <w:spacing w:before="240" w:line="360" w:lineRule="auto"/>
        <w:jc w:val="both"/>
        <w:rPr>
          <w:rFonts w:ascii="Arial" w:hAnsi="Arial" w:cs="Arial"/>
        </w:rPr>
      </w:pPr>
      <w:bookmarkStart w:id="13" w:name="link_between_pestle_and_hr_functions"/>
      <w:r w:rsidRPr="00A601CB">
        <w:rPr>
          <w:rFonts w:ascii="Arial" w:hAnsi="Arial" w:cs="Arial"/>
        </w:rPr>
        <w:t>However, the PESTLE framework has notable limitations. First, it operates at a macro level, potentially obscuring industry</w:t>
      </w:r>
      <w:r w:rsidRPr="00A601CB">
        <w:rPr>
          <w:rFonts w:ascii="Arial" w:hAnsi="Arial" w:cs="Arial"/>
        </w:rPr>
        <w:noBreakHyphen/>
        <w:t>specific or organisational</w:t>
      </w:r>
      <w:r w:rsidRPr="00A601CB">
        <w:rPr>
          <w:rFonts w:ascii="Arial" w:hAnsi="Arial" w:cs="Arial"/>
        </w:rPr>
        <w:noBreakHyphen/>
        <w:t xml:space="preserve">specific factors (Pickton and Wright, 1998). Second, it treats factors as relatively static entities, whereas actual environmental forces </w:t>
      </w:r>
      <w:r w:rsidRPr="00A601CB">
        <w:rPr>
          <w:rFonts w:ascii="Arial" w:hAnsi="Arial" w:cs="Arial"/>
        </w:rPr>
        <w:lastRenderedPageBreak/>
        <w:t>are dynamic and interconnected. Third, PESTLE provides limited insight into competitive dynamics, which may be better captured through tools such as Porter’s Five Forces analysis (Pickton and Wright, 1998). Furthermore, the framework offers no inherent mechanism for prioritising which factors warrant greatest attention, potentially leading to information overload without clear strategic direction (Aguilar, 1967).</w:t>
      </w:r>
    </w:p>
    <w:p w14:paraId="21300413" w14:textId="5651A2B1" w:rsidR="00CF52CC" w:rsidRPr="00D50312" w:rsidRDefault="00000000" w:rsidP="00D50312">
      <w:pPr>
        <w:pStyle w:val="Heading2"/>
        <w:spacing w:line="276" w:lineRule="auto"/>
        <w:rPr>
          <w:color w:val="auto"/>
          <w:sz w:val="36"/>
          <w:szCs w:val="36"/>
        </w:rPr>
      </w:pPr>
      <w:bookmarkStart w:id="14" w:name="_Toc225268338"/>
      <w:r w:rsidRPr="00D50312">
        <w:rPr>
          <w:color w:val="auto"/>
          <w:sz w:val="36"/>
          <w:szCs w:val="36"/>
        </w:rPr>
        <w:t>Link Between PESTLE and HR Functions</w:t>
      </w:r>
      <w:bookmarkEnd w:id="13"/>
      <w:bookmarkEnd w:id="14"/>
    </w:p>
    <w:p w14:paraId="5AAD6BA2" w14:textId="77777777" w:rsidR="006C39C8" w:rsidRPr="00A601CB" w:rsidRDefault="006C39C8" w:rsidP="00942E63">
      <w:pPr>
        <w:spacing w:after="210" w:line="360" w:lineRule="auto"/>
        <w:jc w:val="both"/>
        <w:rPr>
          <w:rFonts w:ascii="Arial" w:hAnsi="Arial" w:cs="Arial"/>
        </w:rPr>
      </w:pPr>
      <w:r w:rsidRPr="00A601CB">
        <w:rPr>
          <w:rFonts w:ascii="Arial" w:hAnsi="Arial" w:cs="Arial"/>
        </w:rPr>
        <w:t>The PESTLE framework directly impacts each core HR function. Political instability or unfavourable trade policies may force organisations to redesign recruitment strategies, shift from local to expatriate staffing or relocate operations, fundamentally altering HR resource planning and training requirements (Stone and Deadrick, 2015). Economic downturns constrain training budgets and create pressures for workforce restructuring, whereas economic growth enables investment in development programmes and competitive compensation strategies (Stone and Deadrick, 2015). Social and demographic shifts drive the need for diversity and inclusion initiatives, modified recruitment channels and culturally sensitive HR policies (Schuler, Jackson and Tarique, 2011).</w:t>
      </w:r>
    </w:p>
    <w:p w14:paraId="19CAE718" w14:textId="77777777" w:rsidR="005C16F4" w:rsidRDefault="006C39C8" w:rsidP="005C16F4">
      <w:pPr>
        <w:spacing w:after="210" w:line="360" w:lineRule="auto"/>
        <w:jc w:val="both"/>
        <w:rPr>
          <w:rFonts w:ascii="Arial" w:hAnsi="Arial" w:cs="Arial"/>
        </w:rPr>
      </w:pPr>
      <w:r w:rsidRPr="00A601CB">
        <w:rPr>
          <w:rFonts w:ascii="Arial" w:hAnsi="Arial" w:cs="Arial"/>
        </w:rPr>
        <w:t>Technological advancement creates both opportunities and challenges: automation may displace certain roles while creating demand for technical skills, necessitating retraining programmes (Stone and Deadrick, 2015). Conversely, digital HR technologies can enhance recruitment reach, employee engagement and performance analytics (Davenport et al., 2020). Legal changes, particularly employment law reforms, directly mandate adjustments to HR policies, grievance procedures and compliance training (Sparrow and Braun, 2006). Finally, environmental and sustainability considerations increasingly shape employer branding, employee values alignment and talent attraction strategies, particularly among younger workforce segments (Schuler, Jackson and Tarique, 2011).</w:t>
      </w:r>
      <w:r w:rsidRPr="00A601CB">
        <w:rPr>
          <w:rFonts w:ascii="Arial" w:hAnsi="Arial" w:cs="Arial"/>
        </w:rPr>
        <w:t xml:space="preserve"> </w:t>
      </w:r>
    </w:p>
    <w:p w14:paraId="03DACC70" w14:textId="7BE1A02D" w:rsidR="005C16F4" w:rsidRDefault="006C39C8" w:rsidP="005C16F4">
      <w:pPr>
        <w:spacing w:after="210" w:line="360" w:lineRule="auto"/>
        <w:jc w:val="center"/>
        <w:rPr>
          <w:rFonts w:ascii="Arial" w:hAnsi="Arial" w:cs="Arial"/>
        </w:rPr>
      </w:pPr>
      <w:r w:rsidRPr="00A601CB">
        <w:rPr>
          <w:rFonts w:ascii="Arial" w:hAnsi="Arial" w:cs="Arial"/>
        </w:rPr>
        <w:lastRenderedPageBreak/>
        <w:drawing>
          <wp:inline distT="0" distB="0" distL="0" distR="0" wp14:anchorId="486EAEFD" wp14:editId="459FDD88">
            <wp:extent cx="4613275" cy="2604987"/>
            <wp:effectExtent l="0" t="0" r="0" b="5080"/>
            <wp:docPr id="1482026305" name="Picture 1"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STEL Analysis (PEST Analysis) EXPLAINED with EXAMPLES | B2U"/>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28935" cy="2613830"/>
                    </a:xfrm>
                    <a:prstGeom prst="rect">
                      <a:avLst/>
                    </a:prstGeom>
                    <a:noFill/>
                    <a:ln>
                      <a:noFill/>
                    </a:ln>
                  </pic:spPr>
                </pic:pic>
              </a:graphicData>
            </a:graphic>
          </wp:inline>
        </w:drawing>
      </w:r>
    </w:p>
    <w:p w14:paraId="6BDCBFED" w14:textId="4281AD1B" w:rsidR="00CF52CC" w:rsidRPr="00A601CB" w:rsidRDefault="00000000" w:rsidP="005C16F4">
      <w:pPr>
        <w:spacing w:after="210" w:line="360" w:lineRule="auto"/>
        <w:jc w:val="center"/>
        <w:rPr>
          <w:rFonts w:ascii="Arial" w:hAnsi="Arial" w:cs="Arial"/>
        </w:rPr>
      </w:pPr>
      <w:r w:rsidRPr="00A601CB">
        <w:rPr>
          <w:rFonts w:ascii="Arial" w:hAnsi="Arial" w:cs="Arial"/>
        </w:rPr>
        <w:t>Figure 1: Figure 1: PESTLE Analysis Framework - Environmental factors influencing HR strategy and organisational operations</w:t>
      </w:r>
    </w:p>
    <w:p w14:paraId="57DF1B27" w14:textId="77777777" w:rsidR="00CF52CC" w:rsidRPr="00D50312" w:rsidRDefault="00000000" w:rsidP="00D50312">
      <w:pPr>
        <w:pStyle w:val="Heading1"/>
        <w:rPr>
          <w:b/>
          <w:bCs/>
          <w:color w:val="auto"/>
          <w:sz w:val="52"/>
          <w:szCs w:val="52"/>
        </w:rPr>
      </w:pPr>
      <w:bookmarkStart w:id="15" w:name="organisation_application_alphabet_inc"/>
      <w:bookmarkStart w:id="16" w:name="_Toc225268339"/>
      <w:r w:rsidRPr="00D50312">
        <w:rPr>
          <w:b/>
          <w:bCs/>
          <w:color w:val="auto"/>
          <w:sz w:val="52"/>
          <w:szCs w:val="52"/>
        </w:rPr>
        <w:t>Organisation Application: Alphabet Inc.</w:t>
      </w:r>
      <w:bookmarkEnd w:id="15"/>
      <w:bookmarkEnd w:id="16"/>
    </w:p>
    <w:p w14:paraId="2521867B" w14:textId="77777777" w:rsidR="00CF52CC" w:rsidRPr="00D50312" w:rsidRDefault="00000000" w:rsidP="00D50312">
      <w:pPr>
        <w:pStyle w:val="Heading2"/>
        <w:spacing w:line="276" w:lineRule="auto"/>
        <w:rPr>
          <w:color w:val="auto"/>
          <w:sz w:val="36"/>
          <w:szCs w:val="36"/>
        </w:rPr>
      </w:pPr>
      <w:bookmarkStart w:id="17" w:name="organisation_introduction"/>
      <w:bookmarkStart w:id="18" w:name="_Toc225268340"/>
      <w:r w:rsidRPr="00D50312">
        <w:rPr>
          <w:color w:val="auto"/>
          <w:sz w:val="36"/>
          <w:szCs w:val="36"/>
        </w:rPr>
        <w:t>Organisation Introduction</w:t>
      </w:r>
      <w:bookmarkEnd w:id="17"/>
      <w:bookmarkEnd w:id="18"/>
    </w:p>
    <w:p w14:paraId="32BB57B9" w14:textId="77777777" w:rsidR="006C39C8" w:rsidRPr="00A601CB" w:rsidRDefault="006C39C8" w:rsidP="00942E63">
      <w:pPr>
        <w:spacing w:after="210" w:line="360" w:lineRule="auto"/>
        <w:jc w:val="both"/>
        <w:rPr>
          <w:rFonts w:ascii="Arial" w:hAnsi="Arial" w:cs="Arial"/>
        </w:rPr>
      </w:pPr>
      <w:r w:rsidRPr="00A601CB">
        <w:rPr>
          <w:rFonts w:ascii="Arial" w:hAnsi="Arial" w:cs="Arial"/>
        </w:rPr>
        <w:t>Alphabet Inc., established as Google’s parent company in 2015, operates globally with significant presence across North America, Europe, Asia</w:t>
      </w:r>
      <w:r w:rsidRPr="00A601CB">
        <w:rPr>
          <w:rFonts w:ascii="Arial" w:hAnsi="Arial" w:cs="Arial"/>
        </w:rPr>
        <w:noBreakHyphen/>
        <w:t>Pacific and emerging markets (Alphabet Inc., 2024). The company employs over 180,000 people across multiple business units including Search, YouTube, Cloud, Hardware and Waymo (autonomous vehicles) (Alphabet Inc., 2024). Alphabet’s global operations span countries with vastly different regulatory environments, labour market conditions and cultural contexts, making it an exemplary case for examining environmental factors’ impact on HR effectiveness (Brewster, Sparrow and Vernon, 2007; Alphabet Inc., 2024).</w:t>
      </w:r>
    </w:p>
    <w:p w14:paraId="25520512" w14:textId="77777777" w:rsidR="006C39C8" w:rsidRPr="00A601CB" w:rsidRDefault="006C39C8" w:rsidP="00942E63">
      <w:pPr>
        <w:spacing w:before="240" w:line="360" w:lineRule="auto"/>
        <w:jc w:val="both"/>
        <w:rPr>
          <w:rFonts w:ascii="Arial" w:hAnsi="Arial" w:cs="Arial"/>
        </w:rPr>
      </w:pPr>
      <w:bookmarkStart w:id="19" w:name="hr_practices_across_global_operations"/>
      <w:r w:rsidRPr="00A601CB">
        <w:rPr>
          <w:rFonts w:ascii="Arial" w:hAnsi="Arial" w:cs="Arial"/>
        </w:rPr>
        <w:t>The company operates primarily in the technology sector, where talent competition is intense, innovation velocity is rapid and employee expectations regarding working conditions, purpose</w:t>
      </w:r>
      <w:r w:rsidRPr="00A601CB">
        <w:rPr>
          <w:rFonts w:ascii="Arial" w:hAnsi="Arial" w:cs="Arial"/>
        </w:rPr>
        <w:noBreakHyphen/>
        <w:t>driven work and career development are notably high (Cappelli, 2019). This sector context creates distinct HR challenges and opportunities that environmental factors significantly amplify or mitigate (Stone and Deadrick, 2015).</w:t>
      </w:r>
    </w:p>
    <w:p w14:paraId="1A072F72" w14:textId="5B3BEF23" w:rsidR="00CF52CC" w:rsidRPr="00D50312" w:rsidRDefault="00000000" w:rsidP="00D50312">
      <w:pPr>
        <w:pStyle w:val="Heading2"/>
        <w:spacing w:line="276" w:lineRule="auto"/>
        <w:rPr>
          <w:color w:val="auto"/>
          <w:sz w:val="36"/>
          <w:szCs w:val="36"/>
        </w:rPr>
      </w:pPr>
      <w:bookmarkStart w:id="20" w:name="_Toc225268341"/>
      <w:r w:rsidRPr="00D50312">
        <w:rPr>
          <w:color w:val="auto"/>
          <w:sz w:val="36"/>
          <w:szCs w:val="36"/>
        </w:rPr>
        <w:t>HR Practices Across Global Operations</w:t>
      </w:r>
      <w:bookmarkEnd w:id="19"/>
      <w:bookmarkEnd w:id="20"/>
    </w:p>
    <w:p w14:paraId="316C140A" w14:textId="77777777" w:rsidR="006C39C8" w:rsidRPr="006C39C8" w:rsidRDefault="006C39C8" w:rsidP="00942E63">
      <w:pPr>
        <w:spacing w:line="360" w:lineRule="auto"/>
        <w:jc w:val="both"/>
        <w:rPr>
          <w:rFonts w:ascii="Arial" w:hAnsi="Arial" w:cs="Arial"/>
        </w:rPr>
      </w:pPr>
      <w:r w:rsidRPr="006C39C8">
        <w:rPr>
          <w:rFonts w:ascii="Arial" w:hAnsi="Arial" w:cs="Arial"/>
        </w:rPr>
        <w:t xml:space="preserve">Alphabet adopts several HR practices designed to standardise employee experience while accommodating local requirements (Brewster, Sparrow and Vernon, 2007; Alphabet Inc., </w:t>
      </w:r>
      <w:r w:rsidRPr="006C39C8">
        <w:rPr>
          <w:rFonts w:ascii="Arial" w:hAnsi="Arial" w:cs="Arial"/>
        </w:rPr>
        <w:lastRenderedPageBreak/>
        <w:t>2024). The company maintains a global talent acquisition strategy emphasising technical excellence, cultural fit and diversity, supported by significant investment in employer branding campaigns and university partnerships globally (Collings, Scullion and Morley, 2007; Alphabet Inc., 2024).</w:t>
      </w:r>
    </w:p>
    <w:p w14:paraId="1A49826D" w14:textId="77777777" w:rsidR="006C39C8" w:rsidRPr="006C39C8" w:rsidRDefault="006C39C8" w:rsidP="00942E63">
      <w:pPr>
        <w:spacing w:line="360" w:lineRule="auto"/>
        <w:jc w:val="both"/>
        <w:rPr>
          <w:rFonts w:ascii="Arial" w:hAnsi="Arial" w:cs="Arial"/>
        </w:rPr>
      </w:pPr>
      <w:r w:rsidRPr="006C39C8">
        <w:rPr>
          <w:rFonts w:ascii="Arial" w:hAnsi="Arial" w:cs="Arial"/>
        </w:rPr>
        <w:t>In recruitment, Alphabet operates centres of excellence in multiple locations (Mountain View, London, Dublin, Singapore and Asia</w:t>
      </w:r>
      <w:r w:rsidRPr="006C39C8">
        <w:rPr>
          <w:rFonts w:ascii="Arial" w:hAnsi="Arial" w:cs="Arial"/>
        </w:rPr>
        <w:noBreakHyphen/>
        <w:t>Pacific regions), enabling localised hiring while maintaining consistent assessment standards (Alphabet Inc., 2024). The company actively recruits from local universities and technical communities, tailoring approaches to regional talent markets (Collings, Scullion and Morley, 2007).</w:t>
      </w:r>
    </w:p>
    <w:p w14:paraId="111D4B52" w14:textId="77777777" w:rsidR="006C39C8" w:rsidRPr="006C39C8" w:rsidRDefault="006C39C8" w:rsidP="00942E63">
      <w:pPr>
        <w:spacing w:line="360" w:lineRule="auto"/>
        <w:jc w:val="both"/>
        <w:rPr>
          <w:rFonts w:ascii="Arial" w:hAnsi="Arial" w:cs="Arial"/>
        </w:rPr>
      </w:pPr>
      <w:r w:rsidRPr="006C39C8">
        <w:rPr>
          <w:rFonts w:ascii="Arial" w:hAnsi="Arial" w:cs="Arial"/>
        </w:rPr>
        <w:t>For training and development, Alphabet provides extensive programmes including technical skill development, leadership training and innovation labs (Alphabet Inc., 2024). The company operates learning platforms accessible globally, though implementation varies by country due to different proficiency levels in English and access to digital infrastructure (Stone and Deadrick, 2015).</w:t>
      </w:r>
    </w:p>
    <w:p w14:paraId="2BDF335A" w14:textId="77777777" w:rsidR="006C39C8" w:rsidRPr="006C39C8" w:rsidRDefault="006C39C8" w:rsidP="00942E63">
      <w:pPr>
        <w:spacing w:line="360" w:lineRule="auto"/>
        <w:jc w:val="both"/>
        <w:rPr>
          <w:rFonts w:ascii="Arial" w:hAnsi="Arial" w:cs="Arial"/>
        </w:rPr>
      </w:pPr>
      <w:r w:rsidRPr="006C39C8">
        <w:rPr>
          <w:rFonts w:ascii="Arial" w:hAnsi="Arial" w:cs="Arial"/>
        </w:rPr>
        <w:t>Performance management systems at Alphabet utilise global frameworks including quarterly Objectives and Key Results (OKRs), though local management practices accommodate cultural differences in feedback styles (Alphabet Inc., 2024). Employee relations strategies emphasise open communication, employee resource groups and grassroots idea</w:t>
      </w:r>
      <w:r w:rsidRPr="006C39C8">
        <w:rPr>
          <w:rFonts w:ascii="Arial" w:hAnsi="Arial" w:cs="Arial"/>
        </w:rPr>
        <w:noBreakHyphen/>
        <w:t>sharing platforms, though some countries restrict workplace organisation and collective representation due to legal environments (Sparrow and Braun, 2006; Alphabet Inc., 2024).</w:t>
      </w:r>
    </w:p>
    <w:p w14:paraId="74BD1456" w14:textId="77777777" w:rsidR="00CF52CC" w:rsidRPr="00D50312" w:rsidRDefault="00000000" w:rsidP="00D50312">
      <w:pPr>
        <w:pStyle w:val="Heading1"/>
        <w:rPr>
          <w:b/>
          <w:bCs/>
          <w:color w:val="auto"/>
          <w:sz w:val="52"/>
          <w:szCs w:val="52"/>
        </w:rPr>
      </w:pPr>
      <w:bookmarkStart w:id="21" w:name="application_of_model_impact_on_hr_64c420"/>
      <w:bookmarkStart w:id="22" w:name="_Toc225268342"/>
      <w:r w:rsidRPr="00D50312">
        <w:rPr>
          <w:b/>
          <w:bCs/>
          <w:color w:val="auto"/>
          <w:sz w:val="52"/>
          <w:szCs w:val="52"/>
        </w:rPr>
        <w:t>Application of Model: Impact on HR Effectiveness</w:t>
      </w:r>
      <w:bookmarkEnd w:id="21"/>
      <w:bookmarkEnd w:id="22"/>
    </w:p>
    <w:p w14:paraId="14C21C22" w14:textId="77777777" w:rsidR="00CF52CC" w:rsidRPr="00D50312" w:rsidRDefault="00000000" w:rsidP="00D50312">
      <w:pPr>
        <w:pStyle w:val="Heading2"/>
        <w:spacing w:line="276" w:lineRule="auto"/>
        <w:rPr>
          <w:color w:val="auto"/>
          <w:sz w:val="36"/>
          <w:szCs w:val="36"/>
        </w:rPr>
      </w:pPr>
      <w:bookmarkStart w:id="23" w:name="environmental_factors_impact_on_a_1a8baf"/>
      <w:bookmarkStart w:id="24" w:name="_Toc225268343"/>
      <w:r w:rsidRPr="00D50312">
        <w:rPr>
          <w:color w:val="auto"/>
          <w:sz w:val="36"/>
          <w:szCs w:val="36"/>
        </w:rPr>
        <w:t>Environmental Factors' Impact on Alphabet's HR Practices</w:t>
      </w:r>
      <w:bookmarkEnd w:id="23"/>
      <w:bookmarkEnd w:id="24"/>
    </w:p>
    <w:p w14:paraId="3FFC46BF" w14:textId="77777777" w:rsidR="006C39C8" w:rsidRPr="006C39C8" w:rsidRDefault="006C39C8" w:rsidP="00942E63">
      <w:pPr>
        <w:spacing w:before="240" w:line="360" w:lineRule="auto"/>
        <w:jc w:val="both"/>
        <w:rPr>
          <w:rFonts w:ascii="Arial" w:hAnsi="Arial" w:cs="Arial"/>
        </w:rPr>
      </w:pPr>
      <w:bookmarkStart w:id="25" w:name="country_differences_in_environmen_44c10f"/>
      <w:r w:rsidRPr="006C39C8">
        <w:rPr>
          <w:rFonts w:ascii="Arial" w:hAnsi="Arial" w:cs="Arial"/>
        </w:rPr>
        <w:t>Applying the PESTLE framework reveals how environmental forces create distinct HR management contexts across Alphabet’s global operations, illustrating broader principles regarding environmental influences on HR effectiveness (Brewster, Sparrow and Vernon, 2007).</w:t>
      </w:r>
    </w:p>
    <w:p w14:paraId="4C32D475" w14:textId="77777777" w:rsidR="006C39C8" w:rsidRPr="006C39C8" w:rsidRDefault="006C39C8" w:rsidP="00942E63">
      <w:pPr>
        <w:spacing w:before="240" w:line="360" w:lineRule="auto"/>
        <w:jc w:val="both"/>
        <w:rPr>
          <w:rFonts w:ascii="Arial" w:hAnsi="Arial" w:cs="Arial"/>
        </w:rPr>
      </w:pPr>
      <w:r w:rsidRPr="006C39C8">
        <w:rPr>
          <w:rFonts w:ascii="Arial" w:hAnsi="Arial" w:cs="Arial"/>
          <w:b/>
          <w:bCs/>
        </w:rPr>
        <w:t>Political environment:</w:t>
      </w:r>
      <w:r w:rsidRPr="006C39C8">
        <w:rPr>
          <w:rFonts w:ascii="Arial" w:hAnsi="Arial" w:cs="Arial"/>
        </w:rPr>
        <w:t> Alphabet’s operations span democracies with stable governance to countries with more volatile political contexts (Alphabet Inc., 2024). In stable democracies such as the US, UK and Germany, HR managers benefit from predictable regulatory frameworks enabling long</w:t>
      </w:r>
      <w:r w:rsidRPr="006C39C8">
        <w:rPr>
          <w:rFonts w:ascii="Arial" w:hAnsi="Arial" w:cs="Arial"/>
        </w:rPr>
        <w:noBreakHyphen/>
        <w:t xml:space="preserve">term strategic planning (Sparrow and Braun, 2006). Conversely, operations in </w:t>
      </w:r>
      <w:r w:rsidRPr="006C39C8">
        <w:rPr>
          <w:rFonts w:ascii="Arial" w:hAnsi="Arial" w:cs="Arial"/>
        </w:rPr>
        <w:lastRenderedPageBreak/>
        <w:t>jurisdictions with government changes or political tensions require HR agility, particularly regarding compliance with evolving regulations and potential operational disruptions (Sparrow and Braun, 2006). Trade tensions between nations have impacted Alphabet’s supply chain and equipment procurement strategies, creating pressures on HR budgets and necessitating workforce adjustments in affected locations (Roose, 2023; Wakabayashi, 2023).</w:t>
      </w:r>
    </w:p>
    <w:p w14:paraId="550D5E2D" w14:textId="77777777" w:rsidR="006C39C8" w:rsidRPr="006C39C8" w:rsidRDefault="006C39C8" w:rsidP="00942E63">
      <w:pPr>
        <w:spacing w:before="240" w:line="360" w:lineRule="auto"/>
        <w:jc w:val="both"/>
        <w:rPr>
          <w:rFonts w:ascii="Arial" w:hAnsi="Arial" w:cs="Arial"/>
        </w:rPr>
      </w:pPr>
      <w:r w:rsidRPr="006C39C8">
        <w:rPr>
          <w:rFonts w:ascii="Arial" w:hAnsi="Arial" w:cs="Arial"/>
          <w:b/>
          <w:bCs/>
        </w:rPr>
        <w:t>Economic environment:</w:t>
      </w:r>
      <w:r w:rsidRPr="006C39C8">
        <w:rPr>
          <w:rFonts w:ascii="Arial" w:hAnsi="Arial" w:cs="Arial"/>
        </w:rPr>
        <w:t> Significant economic disparities across Alphabet’s operating regions create substantial HR challenges (Alphabet Inc., 2024). Developed economies offer abundant talent but demand premium compensation and benefits (Cappelli, 2019). Conversely, developing markets may offer cost advantages but sometimes present skill gaps (</w:t>
      </w:r>
      <w:proofErr w:type="spellStart"/>
      <w:r w:rsidRPr="006C39C8">
        <w:rPr>
          <w:rFonts w:ascii="Arial" w:hAnsi="Arial" w:cs="Arial"/>
        </w:rPr>
        <w:t>Thite</w:t>
      </w:r>
      <w:proofErr w:type="spellEnd"/>
      <w:r w:rsidRPr="006C39C8">
        <w:rPr>
          <w:rFonts w:ascii="Arial" w:hAnsi="Arial" w:cs="Arial"/>
        </w:rPr>
        <w:t>, Wilkinson and Shah, 2012). The 2022–2023 economic slowdown prompted Alphabet to reduce its workforce by around 10 per cent, with retrenchment concentrated in certain regions where local labour market conditions enabled easier redeployment and reskilling (Roose, 2023; Wakabayashi, 2023). Economic volatility affects training investment decisions and compensation strategies (Stone and Deadrick, 2015).</w:t>
      </w:r>
    </w:p>
    <w:p w14:paraId="7CE2BDBC" w14:textId="77777777" w:rsidR="006C39C8" w:rsidRPr="006C39C8" w:rsidRDefault="006C39C8" w:rsidP="00942E63">
      <w:pPr>
        <w:spacing w:before="240" w:line="360" w:lineRule="auto"/>
        <w:jc w:val="both"/>
        <w:rPr>
          <w:rFonts w:ascii="Arial" w:hAnsi="Arial" w:cs="Arial"/>
        </w:rPr>
      </w:pPr>
      <w:r w:rsidRPr="006C39C8">
        <w:rPr>
          <w:rFonts w:ascii="Arial" w:hAnsi="Arial" w:cs="Arial"/>
          <w:b/>
          <w:bCs/>
        </w:rPr>
        <w:t>Social environment:</w:t>
      </w:r>
      <w:r w:rsidRPr="006C39C8">
        <w:rPr>
          <w:rFonts w:ascii="Arial" w:hAnsi="Arial" w:cs="Arial"/>
        </w:rPr>
        <w:t> Alphabet operates across diverse cultural contexts with varying employee expectations, work</w:t>
      </w:r>
      <w:r w:rsidRPr="006C39C8">
        <w:rPr>
          <w:rFonts w:ascii="Arial" w:hAnsi="Arial" w:cs="Arial"/>
        </w:rPr>
        <w:noBreakHyphen/>
        <w:t>life balance norms and attitudes toward work (Hofstede, 2011; Alphabet Inc., 2024). North American and Northern European employees typically emphasise flat hierarchies, autonomy and innovation freedom (Hofstede, 2011). Conversely, some Asian and emerging</w:t>
      </w:r>
      <w:r w:rsidRPr="006C39C8">
        <w:rPr>
          <w:rFonts w:ascii="Arial" w:hAnsi="Arial" w:cs="Arial"/>
        </w:rPr>
        <w:noBreakHyphen/>
        <w:t>market operations experience cultural preferences for clearer hierarchical structures and longer decision</w:t>
      </w:r>
      <w:r w:rsidRPr="006C39C8">
        <w:rPr>
          <w:rFonts w:ascii="Arial" w:hAnsi="Arial" w:cs="Arial"/>
        </w:rPr>
        <w:noBreakHyphen/>
        <w:t>making processes (Hofstede, 2011). Social attitudes toward diversity, inclusion and environmental sustainability vary significantly, requiring culturally adapted HR messaging and initiatives (Schuler, Jackson and Tarique, 2011). In many European countries, stronger union traditions and worker</w:t>
      </w:r>
      <w:r w:rsidRPr="006C39C8">
        <w:rPr>
          <w:rFonts w:ascii="Arial" w:hAnsi="Arial" w:cs="Arial"/>
        </w:rPr>
        <w:noBreakHyphen/>
        <w:t>rights consciousness necessitate different employee relations approaches compared to the United States (Sparrow and Braun, 2006).</w:t>
      </w:r>
    </w:p>
    <w:p w14:paraId="2195C9E3" w14:textId="77777777" w:rsidR="006C39C8" w:rsidRPr="006C39C8" w:rsidRDefault="006C39C8" w:rsidP="00942E63">
      <w:pPr>
        <w:spacing w:before="240" w:line="360" w:lineRule="auto"/>
        <w:jc w:val="both"/>
        <w:rPr>
          <w:rFonts w:ascii="Arial" w:hAnsi="Arial" w:cs="Arial"/>
        </w:rPr>
      </w:pPr>
      <w:r w:rsidRPr="006C39C8">
        <w:rPr>
          <w:rFonts w:ascii="Arial" w:hAnsi="Arial" w:cs="Arial"/>
          <w:b/>
          <w:bCs/>
        </w:rPr>
        <w:t>Technological environment:</w:t>
      </w:r>
      <w:r w:rsidRPr="006C39C8">
        <w:rPr>
          <w:rFonts w:ascii="Arial" w:hAnsi="Arial" w:cs="Arial"/>
        </w:rPr>
        <w:t> Alphabet, operating at the technology sector’s forefront, benefits from technological advantages but faces intense talent competition as other tech companies and traditional industries increasingly require digital talent (Cappelli, 2019; Alphabet Inc., 2024). The rapid pace of technological change means HR professionals must continuously update skills and understand emerging technologies’ HR implications (Stone and Deadrick, 2015). While Alphabet possesses advanced HR technology capabilities, many global operations lack equivalent digital infrastructure, creating two</w:t>
      </w:r>
      <w:r w:rsidRPr="006C39C8">
        <w:rPr>
          <w:rFonts w:ascii="Arial" w:hAnsi="Arial" w:cs="Arial"/>
        </w:rPr>
        <w:noBreakHyphen/>
        <w:t>tiered HR systems (Alphabet Inc., 2024). The technological environment also creates pressures to adopt AI</w:t>
      </w:r>
      <w:r w:rsidRPr="006C39C8">
        <w:rPr>
          <w:rFonts w:ascii="Arial" w:hAnsi="Arial" w:cs="Arial"/>
        </w:rPr>
        <w:noBreakHyphen/>
        <w:t xml:space="preserve">driven HR analytics, </w:t>
      </w:r>
      <w:r w:rsidRPr="006C39C8">
        <w:rPr>
          <w:rFonts w:ascii="Arial" w:hAnsi="Arial" w:cs="Arial"/>
        </w:rPr>
        <w:lastRenderedPageBreak/>
        <w:t>requiring significant investment and raising ethical considerations regarding algorithmic bias in recruitment and performance assessment (Davenport et al., 2020).</w:t>
      </w:r>
    </w:p>
    <w:p w14:paraId="0A6ED539" w14:textId="77777777" w:rsidR="006C39C8" w:rsidRPr="006C39C8" w:rsidRDefault="006C39C8" w:rsidP="00942E63">
      <w:pPr>
        <w:spacing w:before="240" w:line="360" w:lineRule="auto"/>
        <w:jc w:val="both"/>
        <w:rPr>
          <w:rFonts w:ascii="Arial" w:hAnsi="Arial" w:cs="Arial"/>
        </w:rPr>
      </w:pPr>
      <w:r w:rsidRPr="006C39C8">
        <w:rPr>
          <w:rFonts w:ascii="Arial" w:hAnsi="Arial" w:cs="Arial"/>
          <w:b/>
          <w:bCs/>
        </w:rPr>
        <w:t>Legal environment:</w:t>
      </w:r>
      <w:r w:rsidRPr="006C39C8">
        <w:rPr>
          <w:rFonts w:ascii="Arial" w:hAnsi="Arial" w:cs="Arial"/>
        </w:rPr>
        <w:t> This dimension creates perhaps the most significant variation in Alphabet’s HR practices across regions. European data protection regulations, particularly the General Data Protection Regulation (GDPR), impose strict limitations on employee data collection and require different privacy governance compared to the United States (Sparrow and Braun, 2006). Employment law variations significantly impact recruitment practices: the US allows employment</w:t>
      </w:r>
      <w:r w:rsidRPr="006C39C8">
        <w:rPr>
          <w:rFonts w:ascii="Arial" w:hAnsi="Arial" w:cs="Arial"/>
        </w:rPr>
        <w:noBreakHyphen/>
        <w:t>at</w:t>
      </w:r>
      <w:r w:rsidRPr="006C39C8">
        <w:rPr>
          <w:rFonts w:ascii="Arial" w:hAnsi="Arial" w:cs="Arial"/>
        </w:rPr>
        <w:noBreakHyphen/>
        <w:t>will arrangements enabling flexible workforce adjustment, whereas European contracts typically require substantial cause for termination and extended notice periods (Brewster, Sparrow and Vernon, 2007; Sparrow and Braun, 2006). Severance practices differ dramatically – the US workforce reductions were conducted with relatively short notice in some cases, while European operations required months</w:t>
      </w:r>
      <w:r w:rsidRPr="006C39C8">
        <w:rPr>
          <w:rFonts w:ascii="Arial" w:hAnsi="Arial" w:cs="Arial"/>
        </w:rPr>
        <w:noBreakHyphen/>
        <w:t>long consultation periods and significantly higher severance payments (Roose, 2023; Wakabayashi, 2023). Equity compensation programmes also face different tax treatments across countries, affecting their attractiveness as retention tools (</w:t>
      </w:r>
      <w:proofErr w:type="spellStart"/>
      <w:r w:rsidRPr="006C39C8">
        <w:rPr>
          <w:rFonts w:ascii="Arial" w:hAnsi="Arial" w:cs="Arial"/>
        </w:rPr>
        <w:t>Harzing</w:t>
      </w:r>
      <w:proofErr w:type="spellEnd"/>
      <w:r w:rsidRPr="006C39C8">
        <w:rPr>
          <w:rFonts w:ascii="Arial" w:hAnsi="Arial" w:cs="Arial"/>
        </w:rPr>
        <w:t xml:space="preserve"> and Christensen, 2004).</w:t>
      </w:r>
    </w:p>
    <w:p w14:paraId="58F69152" w14:textId="77777777" w:rsidR="006C39C8" w:rsidRDefault="006C39C8" w:rsidP="00942E63">
      <w:pPr>
        <w:spacing w:before="240" w:line="360" w:lineRule="auto"/>
        <w:jc w:val="both"/>
        <w:rPr>
          <w:rFonts w:ascii="Arial" w:hAnsi="Arial" w:cs="Arial"/>
        </w:rPr>
      </w:pPr>
      <w:r w:rsidRPr="006C39C8">
        <w:rPr>
          <w:rFonts w:ascii="Arial" w:hAnsi="Arial" w:cs="Arial"/>
          <w:b/>
          <w:bCs/>
        </w:rPr>
        <w:t>Environmental/sustainability:</w:t>
      </w:r>
      <w:r w:rsidRPr="006C39C8">
        <w:rPr>
          <w:rFonts w:ascii="Arial" w:hAnsi="Arial" w:cs="Arial"/>
        </w:rPr>
        <w:t> Growing corporate sustainability expectations, particularly in developed markets, shape Alphabet’s employer branding and talent attraction strategies (Schuler, Jackson and Tarique, 2011; Alphabet Inc., 2024). The company’s commitment to carbon neutrality and renewable energy resonates strongly with talent in environmentally conscious markets such as Scandinavia, Germany and Australia (Alphabet Inc., 2024). However, this emphasis may hold less resonance in emerging markets where economic security and job stability remain primary employment motivators (Schuler, Jackson and Tarique, 2011).</w:t>
      </w:r>
    </w:p>
    <w:p w14:paraId="4F375D95" w14:textId="77777777" w:rsidR="00D50312" w:rsidRDefault="00D50312" w:rsidP="00942E63">
      <w:pPr>
        <w:spacing w:before="240" w:line="360" w:lineRule="auto"/>
        <w:jc w:val="both"/>
        <w:rPr>
          <w:rFonts w:ascii="Arial" w:hAnsi="Arial" w:cs="Arial"/>
        </w:rPr>
      </w:pPr>
    </w:p>
    <w:p w14:paraId="274C3CCC" w14:textId="77777777" w:rsidR="00D50312" w:rsidRDefault="00D50312" w:rsidP="00942E63">
      <w:pPr>
        <w:spacing w:before="240" w:line="360" w:lineRule="auto"/>
        <w:jc w:val="both"/>
        <w:rPr>
          <w:rFonts w:ascii="Arial" w:hAnsi="Arial" w:cs="Arial"/>
        </w:rPr>
      </w:pPr>
    </w:p>
    <w:p w14:paraId="5292FBDD" w14:textId="77777777" w:rsidR="00D50312" w:rsidRDefault="00D50312" w:rsidP="00942E63">
      <w:pPr>
        <w:spacing w:before="240" w:line="360" w:lineRule="auto"/>
        <w:jc w:val="both"/>
        <w:rPr>
          <w:rFonts w:ascii="Arial" w:hAnsi="Arial" w:cs="Arial"/>
        </w:rPr>
      </w:pPr>
    </w:p>
    <w:p w14:paraId="6BB243A4" w14:textId="77777777" w:rsidR="00D50312" w:rsidRDefault="00D50312" w:rsidP="00942E63">
      <w:pPr>
        <w:spacing w:before="240" w:line="360" w:lineRule="auto"/>
        <w:jc w:val="both"/>
        <w:rPr>
          <w:rFonts w:ascii="Arial" w:hAnsi="Arial" w:cs="Arial"/>
        </w:rPr>
      </w:pPr>
    </w:p>
    <w:p w14:paraId="2E090658" w14:textId="77777777" w:rsidR="00D50312" w:rsidRDefault="00D50312" w:rsidP="00942E63">
      <w:pPr>
        <w:spacing w:before="240" w:line="360" w:lineRule="auto"/>
        <w:jc w:val="both"/>
        <w:rPr>
          <w:rFonts w:ascii="Arial" w:hAnsi="Arial" w:cs="Arial"/>
        </w:rPr>
      </w:pPr>
    </w:p>
    <w:p w14:paraId="156D2090" w14:textId="77777777" w:rsidR="00D50312" w:rsidRDefault="00D50312" w:rsidP="00942E63">
      <w:pPr>
        <w:spacing w:before="240" w:line="360" w:lineRule="auto"/>
        <w:jc w:val="both"/>
        <w:rPr>
          <w:rFonts w:ascii="Arial" w:hAnsi="Arial" w:cs="Arial"/>
        </w:rPr>
      </w:pPr>
    </w:p>
    <w:p w14:paraId="4F20F172" w14:textId="77777777" w:rsidR="00D50312" w:rsidRPr="006C39C8" w:rsidRDefault="00D50312" w:rsidP="00942E63">
      <w:pPr>
        <w:spacing w:before="240" w:line="360" w:lineRule="auto"/>
        <w:jc w:val="both"/>
        <w:rPr>
          <w:rFonts w:ascii="Arial" w:hAnsi="Arial" w:cs="Arial"/>
        </w:rPr>
      </w:pPr>
    </w:p>
    <w:p w14:paraId="0410BD77" w14:textId="77777777" w:rsidR="00CF52CC" w:rsidRPr="00D50312" w:rsidRDefault="00000000" w:rsidP="00D50312">
      <w:pPr>
        <w:pStyle w:val="Heading2"/>
        <w:spacing w:line="276" w:lineRule="auto"/>
        <w:rPr>
          <w:color w:val="auto"/>
          <w:sz w:val="36"/>
          <w:szCs w:val="36"/>
        </w:rPr>
      </w:pPr>
      <w:bookmarkStart w:id="26" w:name="_Toc225268344"/>
      <w:r w:rsidRPr="00D50312">
        <w:rPr>
          <w:color w:val="auto"/>
          <w:sz w:val="36"/>
          <w:szCs w:val="36"/>
        </w:rPr>
        <w:lastRenderedPageBreak/>
        <w:t>Country Differences in Environmental Impact</w:t>
      </w:r>
      <w:bookmarkEnd w:id="25"/>
      <w:bookmarkEnd w:id="26"/>
    </w:p>
    <w:tbl>
      <w:tblPr>
        <w:tblStyle w:val="NormalGrid"/>
        <w:tblW w:w="0" w:type="auto"/>
        <w:jc w:val="center"/>
        <w:tblCellSpacing w:w="0" w:type="dxa"/>
        <w:tblLook w:val="04A0" w:firstRow="1" w:lastRow="0" w:firstColumn="1" w:lastColumn="0" w:noHBand="0" w:noVBand="1"/>
      </w:tblPr>
      <w:tblGrid>
        <w:gridCol w:w="2704"/>
        <w:gridCol w:w="1902"/>
        <w:gridCol w:w="2275"/>
        <w:gridCol w:w="1789"/>
      </w:tblGrid>
      <w:tr w:rsidR="00CF52CC" w:rsidRPr="00A601CB" w14:paraId="75AC17AF" w14:textId="77777777">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11412BDD" w14:textId="77777777" w:rsidR="00CF52CC" w:rsidRPr="00A601CB" w:rsidRDefault="00000000" w:rsidP="00942E63">
            <w:pPr>
              <w:spacing w:line="360" w:lineRule="auto"/>
              <w:jc w:val="both"/>
              <w:rPr>
                <w:rFonts w:ascii="Arial" w:hAnsi="Arial" w:cs="Arial"/>
              </w:rPr>
            </w:pPr>
            <w:bookmarkStart w:id="27" w:name="table_pestle_comparison"/>
            <w:bookmarkEnd w:id="27"/>
            <w:r w:rsidRPr="00A601CB">
              <w:rPr>
                <w:rFonts w:ascii="Arial" w:hAnsi="Arial" w:cs="Arial"/>
              </w:rPr>
              <w:t>Environmental Factor</w:t>
            </w:r>
          </w:p>
        </w:tc>
        <w:tc>
          <w:tcPr>
            <w:tcW w:w="0" w:type="auto"/>
            <w:tcBorders>
              <w:top w:val="single" w:sz="8" w:space="0" w:color="000000"/>
              <w:bottom w:val="single" w:sz="8" w:space="0" w:color="000000"/>
              <w:right w:val="single" w:sz="8" w:space="0" w:color="000000"/>
            </w:tcBorders>
            <w:vAlign w:val="center"/>
          </w:tcPr>
          <w:p w14:paraId="0C3C8884" w14:textId="77777777" w:rsidR="00CF52CC" w:rsidRPr="00A601CB" w:rsidRDefault="00000000" w:rsidP="00942E63">
            <w:pPr>
              <w:spacing w:line="360" w:lineRule="auto"/>
              <w:jc w:val="both"/>
              <w:rPr>
                <w:rFonts w:ascii="Arial" w:hAnsi="Arial" w:cs="Arial"/>
              </w:rPr>
            </w:pPr>
            <w:r w:rsidRPr="00A601CB">
              <w:rPr>
                <w:rFonts w:ascii="Arial" w:hAnsi="Arial" w:cs="Arial"/>
              </w:rPr>
              <w:t>United States</w:t>
            </w:r>
          </w:p>
        </w:tc>
        <w:tc>
          <w:tcPr>
            <w:tcW w:w="0" w:type="auto"/>
            <w:tcBorders>
              <w:top w:val="single" w:sz="8" w:space="0" w:color="000000"/>
              <w:bottom w:val="single" w:sz="8" w:space="0" w:color="000000"/>
              <w:right w:val="single" w:sz="8" w:space="0" w:color="000000"/>
            </w:tcBorders>
            <w:vAlign w:val="center"/>
          </w:tcPr>
          <w:p w14:paraId="094DF185" w14:textId="77777777" w:rsidR="00CF52CC" w:rsidRPr="00A601CB" w:rsidRDefault="00000000" w:rsidP="00942E63">
            <w:pPr>
              <w:spacing w:line="360" w:lineRule="auto"/>
              <w:jc w:val="both"/>
              <w:rPr>
                <w:rFonts w:ascii="Arial" w:hAnsi="Arial" w:cs="Arial"/>
              </w:rPr>
            </w:pPr>
            <w:r w:rsidRPr="00A601CB">
              <w:rPr>
                <w:rFonts w:ascii="Arial" w:hAnsi="Arial" w:cs="Arial"/>
              </w:rPr>
              <w:t>India</w:t>
            </w:r>
          </w:p>
        </w:tc>
        <w:tc>
          <w:tcPr>
            <w:tcW w:w="0" w:type="auto"/>
            <w:tcBorders>
              <w:top w:val="single" w:sz="8" w:space="0" w:color="000000"/>
              <w:bottom w:val="single" w:sz="8" w:space="0" w:color="000000"/>
              <w:right w:val="single" w:sz="8" w:space="0" w:color="000000"/>
            </w:tcBorders>
            <w:vAlign w:val="center"/>
          </w:tcPr>
          <w:p w14:paraId="0E372C53" w14:textId="77777777" w:rsidR="00CF52CC" w:rsidRPr="00A601CB" w:rsidRDefault="00000000" w:rsidP="00942E63">
            <w:pPr>
              <w:spacing w:line="360" w:lineRule="auto"/>
              <w:jc w:val="both"/>
              <w:rPr>
                <w:rFonts w:ascii="Arial" w:hAnsi="Arial" w:cs="Arial"/>
              </w:rPr>
            </w:pPr>
            <w:r w:rsidRPr="00A601CB">
              <w:rPr>
                <w:rFonts w:ascii="Arial" w:hAnsi="Arial" w:cs="Arial"/>
              </w:rPr>
              <w:t>Germany</w:t>
            </w:r>
          </w:p>
        </w:tc>
      </w:tr>
      <w:tr w:rsidR="00CF52CC" w:rsidRPr="00A601CB" w14:paraId="1B05C4FA"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661582DE" w14:textId="77777777" w:rsidR="00CF52CC" w:rsidRPr="00A601CB" w:rsidRDefault="00000000" w:rsidP="00942E63">
            <w:pPr>
              <w:spacing w:line="360" w:lineRule="auto"/>
              <w:jc w:val="both"/>
              <w:rPr>
                <w:rFonts w:ascii="Arial" w:hAnsi="Arial" w:cs="Arial"/>
              </w:rPr>
            </w:pPr>
            <w:r w:rsidRPr="00A601CB">
              <w:rPr>
                <w:rFonts w:ascii="Arial" w:hAnsi="Arial" w:cs="Arial"/>
              </w:rPr>
              <w:t>Political Stability</w:t>
            </w:r>
          </w:p>
        </w:tc>
        <w:tc>
          <w:tcPr>
            <w:tcW w:w="0" w:type="auto"/>
            <w:tcBorders>
              <w:bottom w:val="single" w:sz="8" w:space="0" w:color="000000"/>
              <w:right w:val="single" w:sz="8" w:space="0" w:color="000000"/>
            </w:tcBorders>
            <w:vAlign w:val="center"/>
          </w:tcPr>
          <w:p w14:paraId="624A66DF" w14:textId="77777777" w:rsidR="00CF52CC" w:rsidRPr="00A601CB" w:rsidRDefault="00000000" w:rsidP="00942E63">
            <w:pPr>
              <w:spacing w:line="360" w:lineRule="auto"/>
              <w:jc w:val="both"/>
              <w:rPr>
                <w:rFonts w:ascii="Arial" w:hAnsi="Arial" w:cs="Arial"/>
              </w:rPr>
            </w:pPr>
            <w:r w:rsidRPr="00A601CB">
              <w:rPr>
                <w:rFonts w:ascii="Arial" w:hAnsi="Arial" w:cs="Arial"/>
              </w:rPr>
              <w:t>High</w:t>
            </w:r>
          </w:p>
        </w:tc>
        <w:tc>
          <w:tcPr>
            <w:tcW w:w="0" w:type="auto"/>
            <w:tcBorders>
              <w:bottom w:val="single" w:sz="8" w:space="0" w:color="000000"/>
              <w:right w:val="single" w:sz="8" w:space="0" w:color="000000"/>
            </w:tcBorders>
            <w:vAlign w:val="center"/>
          </w:tcPr>
          <w:p w14:paraId="5B596C40" w14:textId="77777777" w:rsidR="00CF52CC" w:rsidRPr="00A601CB" w:rsidRDefault="00000000" w:rsidP="00942E63">
            <w:pPr>
              <w:spacing w:line="360" w:lineRule="auto"/>
              <w:jc w:val="both"/>
              <w:rPr>
                <w:rFonts w:ascii="Arial" w:hAnsi="Arial" w:cs="Arial"/>
              </w:rPr>
            </w:pPr>
            <w:r w:rsidRPr="00A601CB">
              <w:rPr>
                <w:rFonts w:ascii="Arial" w:hAnsi="Arial" w:cs="Arial"/>
              </w:rPr>
              <w:t>Moderate</w:t>
            </w:r>
          </w:p>
        </w:tc>
        <w:tc>
          <w:tcPr>
            <w:tcW w:w="0" w:type="auto"/>
            <w:tcBorders>
              <w:bottom w:val="single" w:sz="8" w:space="0" w:color="000000"/>
              <w:right w:val="single" w:sz="8" w:space="0" w:color="000000"/>
            </w:tcBorders>
            <w:vAlign w:val="center"/>
          </w:tcPr>
          <w:p w14:paraId="109ABB07" w14:textId="77777777" w:rsidR="00CF52CC" w:rsidRPr="00A601CB" w:rsidRDefault="00000000" w:rsidP="00942E63">
            <w:pPr>
              <w:spacing w:line="360" w:lineRule="auto"/>
              <w:jc w:val="both"/>
              <w:rPr>
                <w:rFonts w:ascii="Arial" w:hAnsi="Arial" w:cs="Arial"/>
              </w:rPr>
            </w:pPr>
            <w:r w:rsidRPr="00A601CB">
              <w:rPr>
                <w:rFonts w:ascii="Arial" w:hAnsi="Arial" w:cs="Arial"/>
              </w:rPr>
              <w:t>High</w:t>
            </w:r>
          </w:p>
        </w:tc>
      </w:tr>
      <w:tr w:rsidR="00CF52CC" w:rsidRPr="00A601CB" w14:paraId="25973C39"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47625E98" w14:textId="77777777" w:rsidR="00CF52CC" w:rsidRPr="00A601CB" w:rsidRDefault="00000000" w:rsidP="00942E63">
            <w:pPr>
              <w:spacing w:line="360" w:lineRule="auto"/>
              <w:jc w:val="both"/>
              <w:rPr>
                <w:rFonts w:ascii="Arial" w:hAnsi="Arial" w:cs="Arial"/>
              </w:rPr>
            </w:pPr>
            <w:r w:rsidRPr="00A601CB">
              <w:rPr>
                <w:rFonts w:ascii="Arial" w:hAnsi="Arial" w:cs="Arial"/>
              </w:rPr>
              <w:t>Wage Levels</w:t>
            </w:r>
          </w:p>
        </w:tc>
        <w:tc>
          <w:tcPr>
            <w:tcW w:w="0" w:type="auto"/>
            <w:tcBorders>
              <w:bottom w:val="single" w:sz="8" w:space="0" w:color="000000"/>
              <w:right w:val="single" w:sz="8" w:space="0" w:color="000000"/>
            </w:tcBorders>
            <w:vAlign w:val="center"/>
          </w:tcPr>
          <w:p w14:paraId="23D3DAC4" w14:textId="77777777" w:rsidR="00CF52CC" w:rsidRPr="00A601CB" w:rsidRDefault="00000000" w:rsidP="00942E63">
            <w:pPr>
              <w:spacing w:line="360" w:lineRule="auto"/>
              <w:jc w:val="both"/>
              <w:rPr>
                <w:rFonts w:ascii="Arial" w:hAnsi="Arial" w:cs="Arial"/>
              </w:rPr>
            </w:pPr>
            <w:r w:rsidRPr="00A601CB">
              <w:rPr>
                <w:rFonts w:ascii="Arial" w:hAnsi="Arial" w:cs="Arial"/>
              </w:rPr>
              <w:t>High ($165K USD+)</w:t>
            </w:r>
          </w:p>
        </w:tc>
        <w:tc>
          <w:tcPr>
            <w:tcW w:w="0" w:type="auto"/>
            <w:tcBorders>
              <w:bottom w:val="single" w:sz="8" w:space="0" w:color="000000"/>
              <w:right w:val="single" w:sz="8" w:space="0" w:color="000000"/>
            </w:tcBorders>
            <w:vAlign w:val="center"/>
          </w:tcPr>
          <w:p w14:paraId="117C5A1D" w14:textId="77777777" w:rsidR="00CF52CC" w:rsidRPr="00A601CB" w:rsidRDefault="00000000" w:rsidP="00942E63">
            <w:pPr>
              <w:spacing w:line="360" w:lineRule="auto"/>
              <w:jc w:val="both"/>
              <w:rPr>
                <w:rFonts w:ascii="Arial" w:hAnsi="Arial" w:cs="Arial"/>
              </w:rPr>
            </w:pPr>
            <w:r w:rsidRPr="00A601CB">
              <w:rPr>
                <w:rFonts w:ascii="Arial" w:hAnsi="Arial" w:cs="Arial"/>
              </w:rPr>
              <w:t>Moderate ($15-25K USD)</w:t>
            </w:r>
          </w:p>
        </w:tc>
        <w:tc>
          <w:tcPr>
            <w:tcW w:w="0" w:type="auto"/>
            <w:tcBorders>
              <w:bottom w:val="single" w:sz="8" w:space="0" w:color="000000"/>
              <w:right w:val="single" w:sz="8" w:space="0" w:color="000000"/>
            </w:tcBorders>
            <w:vAlign w:val="center"/>
          </w:tcPr>
          <w:p w14:paraId="6A99B3E5" w14:textId="77777777" w:rsidR="00CF52CC" w:rsidRPr="00A601CB" w:rsidRDefault="00000000" w:rsidP="00942E63">
            <w:pPr>
              <w:spacing w:line="360" w:lineRule="auto"/>
              <w:jc w:val="both"/>
              <w:rPr>
                <w:rFonts w:ascii="Arial" w:hAnsi="Arial" w:cs="Arial"/>
              </w:rPr>
            </w:pPr>
            <w:r w:rsidRPr="00A601CB">
              <w:rPr>
                <w:rFonts w:ascii="Arial" w:eastAsia="Georgia" w:hAnsi="Arial" w:cs="Arial"/>
              </w:rPr>
              <w:t>High (€65K EUR+)</w:t>
            </w:r>
          </w:p>
        </w:tc>
      </w:tr>
      <w:tr w:rsidR="00CF52CC" w:rsidRPr="00A601CB" w14:paraId="32D6B1B0"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35EE1CFE" w14:textId="77777777" w:rsidR="00CF52CC" w:rsidRPr="00A601CB" w:rsidRDefault="00000000" w:rsidP="00942E63">
            <w:pPr>
              <w:spacing w:line="360" w:lineRule="auto"/>
              <w:jc w:val="both"/>
              <w:rPr>
                <w:rFonts w:ascii="Arial" w:hAnsi="Arial" w:cs="Arial"/>
              </w:rPr>
            </w:pPr>
            <w:r w:rsidRPr="00A601CB">
              <w:rPr>
                <w:rFonts w:ascii="Arial" w:hAnsi="Arial" w:cs="Arial"/>
              </w:rPr>
              <w:t>Legal Employment Protections</w:t>
            </w:r>
          </w:p>
        </w:tc>
        <w:tc>
          <w:tcPr>
            <w:tcW w:w="0" w:type="auto"/>
            <w:tcBorders>
              <w:bottom w:val="single" w:sz="8" w:space="0" w:color="000000"/>
              <w:right w:val="single" w:sz="8" w:space="0" w:color="000000"/>
            </w:tcBorders>
            <w:vAlign w:val="center"/>
          </w:tcPr>
          <w:p w14:paraId="0ADAFE4A" w14:textId="77777777" w:rsidR="00CF52CC" w:rsidRPr="00A601CB" w:rsidRDefault="00000000" w:rsidP="00942E63">
            <w:pPr>
              <w:spacing w:line="360" w:lineRule="auto"/>
              <w:jc w:val="both"/>
              <w:rPr>
                <w:rFonts w:ascii="Arial" w:hAnsi="Arial" w:cs="Arial"/>
              </w:rPr>
            </w:pPr>
            <w:r w:rsidRPr="00A601CB">
              <w:rPr>
                <w:rFonts w:ascii="Arial" w:hAnsi="Arial" w:cs="Arial"/>
              </w:rPr>
              <w:t>Weak (at-will)</w:t>
            </w:r>
          </w:p>
        </w:tc>
        <w:tc>
          <w:tcPr>
            <w:tcW w:w="0" w:type="auto"/>
            <w:tcBorders>
              <w:bottom w:val="single" w:sz="8" w:space="0" w:color="000000"/>
              <w:right w:val="single" w:sz="8" w:space="0" w:color="000000"/>
            </w:tcBorders>
            <w:vAlign w:val="center"/>
          </w:tcPr>
          <w:p w14:paraId="0E5A1156" w14:textId="77777777" w:rsidR="00CF52CC" w:rsidRPr="00A601CB" w:rsidRDefault="00000000" w:rsidP="00942E63">
            <w:pPr>
              <w:spacing w:line="360" w:lineRule="auto"/>
              <w:jc w:val="both"/>
              <w:rPr>
                <w:rFonts w:ascii="Arial" w:hAnsi="Arial" w:cs="Arial"/>
              </w:rPr>
            </w:pPr>
            <w:r w:rsidRPr="00A601CB">
              <w:rPr>
                <w:rFonts w:ascii="Arial" w:hAnsi="Arial" w:cs="Arial"/>
              </w:rPr>
              <w:t>Moderate</w:t>
            </w:r>
          </w:p>
        </w:tc>
        <w:tc>
          <w:tcPr>
            <w:tcW w:w="0" w:type="auto"/>
            <w:tcBorders>
              <w:bottom w:val="single" w:sz="8" w:space="0" w:color="000000"/>
              <w:right w:val="single" w:sz="8" w:space="0" w:color="000000"/>
            </w:tcBorders>
            <w:vAlign w:val="center"/>
          </w:tcPr>
          <w:p w14:paraId="3057C96A" w14:textId="77777777" w:rsidR="00CF52CC" w:rsidRPr="00A601CB" w:rsidRDefault="00000000" w:rsidP="00942E63">
            <w:pPr>
              <w:spacing w:line="360" w:lineRule="auto"/>
              <w:jc w:val="both"/>
              <w:rPr>
                <w:rFonts w:ascii="Arial" w:hAnsi="Arial" w:cs="Arial"/>
              </w:rPr>
            </w:pPr>
            <w:r w:rsidRPr="00A601CB">
              <w:rPr>
                <w:rFonts w:ascii="Arial" w:hAnsi="Arial" w:cs="Arial"/>
              </w:rPr>
              <w:t>Strong (unions)</w:t>
            </w:r>
          </w:p>
        </w:tc>
      </w:tr>
      <w:tr w:rsidR="00CF52CC" w:rsidRPr="00A601CB" w14:paraId="0C2BB11B"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16B8008" w14:textId="77777777" w:rsidR="00CF52CC" w:rsidRPr="00A601CB" w:rsidRDefault="00000000" w:rsidP="00942E63">
            <w:pPr>
              <w:spacing w:line="360" w:lineRule="auto"/>
              <w:jc w:val="both"/>
              <w:rPr>
                <w:rFonts w:ascii="Arial" w:hAnsi="Arial" w:cs="Arial"/>
              </w:rPr>
            </w:pPr>
            <w:r w:rsidRPr="00A601CB">
              <w:rPr>
                <w:rFonts w:ascii="Arial" w:hAnsi="Arial" w:cs="Arial"/>
              </w:rPr>
              <w:t>Data Protection Regulations</w:t>
            </w:r>
          </w:p>
        </w:tc>
        <w:tc>
          <w:tcPr>
            <w:tcW w:w="0" w:type="auto"/>
            <w:tcBorders>
              <w:bottom w:val="single" w:sz="8" w:space="0" w:color="000000"/>
              <w:right w:val="single" w:sz="8" w:space="0" w:color="000000"/>
            </w:tcBorders>
            <w:vAlign w:val="center"/>
          </w:tcPr>
          <w:p w14:paraId="441B9D9B" w14:textId="77777777" w:rsidR="00CF52CC" w:rsidRPr="00A601CB" w:rsidRDefault="00000000" w:rsidP="00942E63">
            <w:pPr>
              <w:spacing w:line="360" w:lineRule="auto"/>
              <w:jc w:val="both"/>
              <w:rPr>
                <w:rFonts w:ascii="Arial" w:hAnsi="Arial" w:cs="Arial"/>
              </w:rPr>
            </w:pPr>
            <w:r w:rsidRPr="00A601CB">
              <w:rPr>
                <w:rFonts w:ascii="Arial" w:hAnsi="Arial" w:cs="Arial"/>
              </w:rPr>
              <w:t>Light</w:t>
            </w:r>
          </w:p>
        </w:tc>
        <w:tc>
          <w:tcPr>
            <w:tcW w:w="0" w:type="auto"/>
            <w:tcBorders>
              <w:bottom w:val="single" w:sz="8" w:space="0" w:color="000000"/>
              <w:right w:val="single" w:sz="8" w:space="0" w:color="000000"/>
            </w:tcBorders>
            <w:vAlign w:val="center"/>
          </w:tcPr>
          <w:p w14:paraId="727A0FF5" w14:textId="77777777" w:rsidR="00CF52CC" w:rsidRPr="00A601CB" w:rsidRDefault="00000000" w:rsidP="00942E63">
            <w:pPr>
              <w:spacing w:line="360" w:lineRule="auto"/>
              <w:jc w:val="both"/>
              <w:rPr>
                <w:rFonts w:ascii="Arial" w:hAnsi="Arial" w:cs="Arial"/>
              </w:rPr>
            </w:pPr>
            <w:r w:rsidRPr="00A601CB">
              <w:rPr>
                <w:rFonts w:ascii="Arial" w:hAnsi="Arial" w:cs="Arial"/>
              </w:rPr>
              <w:t>Moderate</w:t>
            </w:r>
          </w:p>
        </w:tc>
        <w:tc>
          <w:tcPr>
            <w:tcW w:w="0" w:type="auto"/>
            <w:tcBorders>
              <w:bottom w:val="single" w:sz="8" w:space="0" w:color="000000"/>
              <w:right w:val="single" w:sz="8" w:space="0" w:color="000000"/>
            </w:tcBorders>
            <w:vAlign w:val="center"/>
          </w:tcPr>
          <w:p w14:paraId="4FC3233D" w14:textId="77777777" w:rsidR="00CF52CC" w:rsidRPr="00A601CB" w:rsidRDefault="00000000" w:rsidP="00942E63">
            <w:pPr>
              <w:spacing w:line="360" w:lineRule="auto"/>
              <w:jc w:val="both"/>
              <w:rPr>
                <w:rFonts w:ascii="Arial" w:hAnsi="Arial" w:cs="Arial"/>
              </w:rPr>
            </w:pPr>
            <w:r w:rsidRPr="00A601CB">
              <w:rPr>
                <w:rFonts w:ascii="Arial" w:hAnsi="Arial" w:cs="Arial"/>
              </w:rPr>
              <w:t>Strict (GDPR)</w:t>
            </w:r>
          </w:p>
        </w:tc>
      </w:tr>
      <w:tr w:rsidR="00CF52CC" w:rsidRPr="00A601CB" w14:paraId="0F6B672C"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03361967" w14:textId="77777777" w:rsidR="00CF52CC" w:rsidRPr="00A601CB" w:rsidRDefault="00000000" w:rsidP="00942E63">
            <w:pPr>
              <w:spacing w:line="360" w:lineRule="auto"/>
              <w:jc w:val="both"/>
              <w:rPr>
                <w:rFonts w:ascii="Arial" w:hAnsi="Arial" w:cs="Arial"/>
              </w:rPr>
            </w:pPr>
            <w:r w:rsidRPr="00A601CB">
              <w:rPr>
                <w:rFonts w:ascii="Arial" w:hAnsi="Arial" w:cs="Arial"/>
              </w:rPr>
              <w:t>Cultural Work Preferences</w:t>
            </w:r>
          </w:p>
        </w:tc>
        <w:tc>
          <w:tcPr>
            <w:tcW w:w="0" w:type="auto"/>
            <w:tcBorders>
              <w:bottom w:val="single" w:sz="8" w:space="0" w:color="000000"/>
              <w:right w:val="single" w:sz="8" w:space="0" w:color="000000"/>
            </w:tcBorders>
            <w:vAlign w:val="center"/>
          </w:tcPr>
          <w:p w14:paraId="4D79278F" w14:textId="77777777" w:rsidR="00CF52CC" w:rsidRPr="00A601CB" w:rsidRDefault="00000000" w:rsidP="00942E63">
            <w:pPr>
              <w:spacing w:line="360" w:lineRule="auto"/>
              <w:jc w:val="both"/>
              <w:rPr>
                <w:rFonts w:ascii="Arial" w:hAnsi="Arial" w:cs="Arial"/>
              </w:rPr>
            </w:pPr>
            <w:r w:rsidRPr="00A601CB">
              <w:rPr>
                <w:rFonts w:ascii="Arial" w:hAnsi="Arial" w:cs="Arial"/>
              </w:rPr>
              <w:t>Innovation focus</w:t>
            </w:r>
          </w:p>
        </w:tc>
        <w:tc>
          <w:tcPr>
            <w:tcW w:w="0" w:type="auto"/>
            <w:tcBorders>
              <w:bottom w:val="single" w:sz="8" w:space="0" w:color="000000"/>
              <w:right w:val="single" w:sz="8" w:space="0" w:color="000000"/>
            </w:tcBorders>
            <w:vAlign w:val="center"/>
          </w:tcPr>
          <w:p w14:paraId="3BEF7A0F" w14:textId="77777777" w:rsidR="00CF52CC" w:rsidRPr="00A601CB" w:rsidRDefault="00000000" w:rsidP="00942E63">
            <w:pPr>
              <w:spacing w:line="360" w:lineRule="auto"/>
              <w:jc w:val="both"/>
              <w:rPr>
                <w:rFonts w:ascii="Arial" w:hAnsi="Arial" w:cs="Arial"/>
              </w:rPr>
            </w:pPr>
            <w:r w:rsidRPr="00A601CB">
              <w:rPr>
                <w:rFonts w:ascii="Arial" w:hAnsi="Arial" w:cs="Arial"/>
              </w:rPr>
              <w:t>Stability focus</w:t>
            </w:r>
          </w:p>
        </w:tc>
        <w:tc>
          <w:tcPr>
            <w:tcW w:w="0" w:type="auto"/>
            <w:tcBorders>
              <w:bottom w:val="single" w:sz="8" w:space="0" w:color="000000"/>
              <w:right w:val="single" w:sz="8" w:space="0" w:color="000000"/>
            </w:tcBorders>
            <w:vAlign w:val="center"/>
          </w:tcPr>
          <w:p w14:paraId="6D2A6B83" w14:textId="77777777" w:rsidR="00CF52CC" w:rsidRPr="00A601CB" w:rsidRDefault="00000000" w:rsidP="00942E63">
            <w:pPr>
              <w:spacing w:line="360" w:lineRule="auto"/>
              <w:jc w:val="both"/>
              <w:rPr>
                <w:rFonts w:ascii="Arial" w:hAnsi="Arial" w:cs="Arial"/>
              </w:rPr>
            </w:pPr>
            <w:r w:rsidRPr="00A601CB">
              <w:rPr>
                <w:rFonts w:ascii="Arial" w:hAnsi="Arial" w:cs="Arial"/>
              </w:rPr>
              <w:t>Work-life balance</w:t>
            </w:r>
          </w:p>
        </w:tc>
      </w:tr>
      <w:tr w:rsidR="00CF52CC" w:rsidRPr="00A601CB" w14:paraId="7974BA4D"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2661A9B9" w14:textId="77777777" w:rsidR="00CF52CC" w:rsidRPr="00A601CB" w:rsidRDefault="00000000" w:rsidP="00942E63">
            <w:pPr>
              <w:spacing w:line="360" w:lineRule="auto"/>
              <w:jc w:val="both"/>
              <w:rPr>
                <w:rFonts w:ascii="Arial" w:hAnsi="Arial" w:cs="Arial"/>
              </w:rPr>
            </w:pPr>
            <w:r w:rsidRPr="00A601CB">
              <w:rPr>
                <w:rFonts w:ascii="Arial" w:hAnsi="Arial" w:cs="Arial"/>
              </w:rPr>
              <w:t>Technology Infrastructure</w:t>
            </w:r>
          </w:p>
        </w:tc>
        <w:tc>
          <w:tcPr>
            <w:tcW w:w="0" w:type="auto"/>
            <w:tcBorders>
              <w:bottom w:val="single" w:sz="8" w:space="0" w:color="000000"/>
              <w:right w:val="single" w:sz="8" w:space="0" w:color="000000"/>
            </w:tcBorders>
            <w:vAlign w:val="center"/>
          </w:tcPr>
          <w:p w14:paraId="0BB8F487" w14:textId="77777777" w:rsidR="00CF52CC" w:rsidRPr="00A601CB" w:rsidRDefault="00000000" w:rsidP="00942E63">
            <w:pPr>
              <w:spacing w:line="360" w:lineRule="auto"/>
              <w:jc w:val="both"/>
              <w:rPr>
                <w:rFonts w:ascii="Arial" w:hAnsi="Arial" w:cs="Arial"/>
              </w:rPr>
            </w:pPr>
            <w:r w:rsidRPr="00A601CB">
              <w:rPr>
                <w:rFonts w:ascii="Arial" w:hAnsi="Arial" w:cs="Arial"/>
              </w:rPr>
              <w:t>Excellent</w:t>
            </w:r>
          </w:p>
        </w:tc>
        <w:tc>
          <w:tcPr>
            <w:tcW w:w="0" w:type="auto"/>
            <w:tcBorders>
              <w:bottom w:val="single" w:sz="8" w:space="0" w:color="000000"/>
              <w:right w:val="single" w:sz="8" w:space="0" w:color="000000"/>
            </w:tcBorders>
            <w:vAlign w:val="center"/>
          </w:tcPr>
          <w:p w14:paraId="51899C1C" w14:textId="77777777" w:rsidR="00CF52CC" w:rsidRPr="00A601CB" w:rsidRDefault="00000000" w:rsidP="00942E63">
            <w:pPr>
              <w:spacing w:line="360" w:lineRule="auto"/>
              <w:jc w:val="both"/>
              <w:rPr>
                <w:rFonts w:ascii="Arial" w:hAnsi="Arial" w:cs="Arial"/>
              </w:rPr>
            </w:pPr>
            <w:r w:rsidRPr="00A601CB">
              <w:rPr>
                <w:rFonts w:ascii="Arial" w:hAnsi="Arial" w:cs="Arial"/>
              </w:rPr>
              <w:t>Developing</w:t>
            </w:r>
          </w:p>
        </w:tc>
        <w:tc>
          <w:tcPr>
            <w:tcW w:w="0" w:type="auto"/>
            <w:tcBorders>
              <w:bottom w:val="single" w:sz="8" w:space="0" w:color="000000"/>
              <w:right w:val="single" w:sz="8" w:space="0" w:color="000000"/>
            </w:tcBorders>
            <w:vAlign w:val="center"/>
          </w:tcPr>
          <w:p w14:paraId="2736B970" w14:textId="77777777" w:rsidR="00CF52CC" w:rsidRPr="00A601CB" w:rsidRDefault="00000000" w:rsidP="00942E63">
            <w:pPr>
              <w:spacing w:line="360" w:lineRule="auto"/>
              <w:jc w:val="both"/>
              <w:rPr>
                <w:rFonts w:ascii="Arial" w:hAnsi="Arial" w:cs="Arial"/>
              </w:rPr>
            </w:pPr>
            <w:r w:rsidRPr="00A601CB">
              <w:rPr>
                <w:rFonts w:ascii="Arial" w:hAnsi="Arial" w:cs="Arial"/>
              </w:rPr>
              <w:t>Excellent</w:t>
            </w:r>
          </w:p>
        </w:tc>
      </w:tr>
    </w:tbl>
    <w:p w14:paraId="0E1C1A28" w14:textId="77777777" w:rsidR="00CF52CC" w:rsidRPr="00A601CB" w:rsidRDefault="00CF52CC" w:rsidP="00942E63">
      <w:pPr>
        <w:spacing w:line="360" w:lineRule="auto"/>
        <w:jc w:val="both"/>
        <w:rPr>
          <w:rFonts w:ascii="Arial" w:hAnsi="Arial" w:cs="Arial"/>
        </w:rPr>
      </w:pPr>
    </w:p>
    <w:p w14:paraId="67241F82" w14:textId="6B4FE377" w:rsidR="00CF52CC" w:rsidRPr="00D50312" w:rsidRDefault="00000000" w:rsidP="00D50312">
      <w:pPr>
        <w:spacing w:line="360" w:lineRule="auto"/>
        <w:jc w:val="center"/>
        <w:rPr>
          <w:rFonts w:ascii="Arial" w:hAnsi="Arial" w:cs="Arial"/>
          <w:b/>
          <w:bCs/>
        </w:rPr>
      </w:pPr>
      <w:r w:rsidRPr="00D50312">
        <w:rPr>
          <w:rFonts w:ascii="Arial" w:hAnsi="Arial" w:cs="Arial"/>
          <w:b/>
          <w:bCs/>
        </w:rPr>
        <w:t>Table 1: PESTLE Environmental Factors Comparison Across Alphabet Operating Regions</w:t>
      </w:r>
    </w:p>
    <w:p w14:paraId="5B091FC0" w14:textId="77777777" w:rsidR="006C39C8" w:rsidRPr="006C39C8" w:rsidRDefault="006C39C8" w:rsidP="00942E63">
      <w:pPr>
        <w:spacing w:line="360" w:lineRule="auto"/>
        <w:jc w:val="both"/>
        <w:rPr>
          <w:rFonts w:ascii="Arial" w:hAnsi="Arial" w:cs="Arial"/>
        </w:rPr>
      </w:pPr>
      <w:r w:rsidRPr="006C39C8">
        <w:rPr>
          <w:rFonts w:ascii="Arial" w:hAnsi="Arial" w:cs="Arial"/>
        </w:rPr>
        <w:t xml:space="preserve">Examining these three Alphabet operating regions illustrates how environmental variations require substantially different HR management approaches, fundamentally affecting HR manager effectiveness (Brewster, Sparrow and Vernon, 2007; </w:t>
      </w:r>
      <w:proofErr w:type="spellStart"/>
      <w:r w:rsidRPr="006C39C8">
        <w:rPr>
          <w:rFonts w:ascii="Arial" w:hAnsi="Arial" w:cs="Arial"/>
        </w:rPr>
        <w:t>Thite</w:t>
      </w:r>
      <w:proofErr w:type="spellEnd"/>
      <w:r w:rsidRPr="006C39C8">
        <w:rPr>
          <w:rFonts w:ascii="Arial" w:hAnsi="Arial" w:cs="Arial"/>
        </w:rPr>
        <w:t>, Wilkinson and Shah, 2012).</w:t>
      </w:r>
    </w:p>
    <w:p w14:paraId="0813E54A" w14:textId="77777777" w:rsidR="006C39C8" w:rsidRPr="006C39C8" w:rsidRDefault="006C39C8" w:rsidP="00942E63">
      <w:pPr>
        <w:spacing w:line="360" w:lineRule="auto"/>
        <w:jc w:val="both"/>
        <w:rPr>
          <w:rFonts w:ascii="Arial" w:hAnsi="Arial" w:cs="Arial"/>
        </w:rPr>
      </w:pPr>
      <w:r w:rsidRPr="006C39C8">
        <w:rPr>
          <w:rFonts w:ascii="Arial" w:hAnsi="Arial" w:cs="Arial"/>
          <w:b/>
          <w:bCs/>
        </w:rPr>
        <w:t>United States operations:</w:t>
      </w:r>
      <w:r w:rsidRPr="006C39C8">
        <w:rPr>
          <w:rFonts w:ascii="Arial" w:hAnsi="Arial" w:cs="Arial"/>
        </w:rPr>
        <w:t> The US provides a relatively permissive employment</w:t>
      </w:r>
      <w:r w:rsidRPr="006C39C8">
        <w:rPr>
          <w:rFonts w:ascii="Arial" w:hAnsi="Arial" w:cs="Arial"/>
        </w:rPr>
        <w:noBreakHyphen/>
        <w:t>law environment enabling workforce flexibility, though intense talent competition necessitates premium compensation and benefits (Cappelli, 2019). Alphabet faces constant recruitment pressure as competitors aggressively pursue the same talent pools (Alphabet Inc., 2024). The technological environment is favourable, with abundant digital infrastructure and technology talent concentrated in hubs like Silicon Valley (Alphabet Inc., 2024). Social expectations emphasise innovation, autonomy and rapid career progression (Hofstede, 2011). However, the 2023 workforce reduction, while legally permissible, damaged Alphabet’s employer brand among some prospective candidates (Roose, 2023; Wakabayashi, 2023).</w:t>
      </w:r>
    </w:p>
    <w:p w14:paraId="7E5007DE" w14:textId="77777777" w:rsidR="006C39C8" w:rsidRPr="006C39C8" w:rsidRDefault="006C39C8" w:rsidP="00942E63">
      <w:pPr>
        <w:spacing w:line="360" w:lineRule="auto"/>
        <w:jc w:val="both"/>
        <w:rPr>
          <w:rFonts w:ascii="Arial" w:hAnsi="Arial" w:cs="Arial"/>
        </w:rPr>
      </w:pPr>
      <w:r w:rsidRPr="006C39C8">
        <w:rPr>
          <w:rFonts w:ascii="Arial" w:hAnsi="Arial" w:cs="Arial"/>
          <w:b/>
          <w:bCs/>
        </w:rPr>
        <w:lastRenderedPageBreak/>
        <w:t>India operations:</w:t>
      </w:r>
      <w:r w:rsidRPr="006C39C8">
        <w:rPr>
          <w:rFonts w:ascii="Arial" w:hAnsi="Arial" w:cs="Arial"/>
        </w:rPr>
        <w:t> India presents a contrasting environment where abundant technical talent, lower wage costs and emerging technology centres create strategic advantages (</w:t>
      </w:r>
      <w:proofErr w:type="spellStart"/>
      <w:r w:rsidRPr="006C39C8">
        <w:rPr>
          <w:rFonts w:ascii="Arial" w:hAnsi="Arial" w:cs="Arial"/>
        </w:rPr>
        <w:t>Thite</w:t>
      </w:r>
      <w:proofErr w:type="spellEnd"/>
      <w:r w:rsidRPr="006C39C8">
        <w:rPr>
          <w:rFonts w:ascii="Arial" w:hAnsi="Arial" w:cs="Arial"/>
        </w:rPr>
        <w:t>, Wilkinson and Shah, 2012). However, rapid economic development increases competition for talent, with Indian tech companies and start</w:t>
      </w:r>
      <w:r w:rsidRPr="006C39C8">
        <w:rPr>
          <w:rFonts w:ascii="Arial" w:hAnsi="Arial" w:cs="Arial"/>
        </w:rPr>
        <w:noBreakHyphen/>
        <w:t>ups increasingly retaining domestic talent (</w:t>
      </w:r>
      <w:proofErr w:type="spellStart"/>
      <w:r w:rsidRPr="006C39C8">
        <w:rPr>
          <w:rFonts w:ascii="Arial" w:hAnsi="Arial" w:cs="Arial"/>
        </w:rPr>
        <w:t>Thite</w:t>
      </w:r>
      <w:proofErr w:type="spellEnd"/>
      <w:r w:rsidRPr="006C39C8">
        <w:rPr>
          <w:rFonts w:ascii="Arial" w:hAnsi="Arial" w:cs="Arial"/>
        </w:rPr>
        <w:t>, Wilkinson and Shah, 2012). The legal environment offers slightly more employment flexibility than Europe but more protection than the US (Sparrow and Braun, 2006). Social values emphasise long</w:t>
      </w:r>
      <w:r w:rsidRPr="006C39C8">
        <w:rPr>
          <w:rFonts w:ascii="Arial" w:hAnsi="Arial" w:cs="Arial"/>
        </w:rPr>
        <w:noBreakHyphen/>
        <w:t>term employment relationships and stability (Hofstede, 2011). The technological environment is rapidly improving but infrastructure limitations in certain regions create operational challenges (</w:t>
      </w:r>
      <w:proofErr w:type="spellStart"/>
      <w:r w:rsidRPr="006C39C8">
        <w:rPr>
          <w:rFonts w:ascii="Arial" w:hAnsi="Arial" w:cs="Arial"/>
        </w:rPr>
        <w:t>Thite</w:t>
      </w:r>
      <w:proofErr w:type="spellEnd"/>
      <w:r w:rsidRPr="006C39C8">
        <w:rPr>
          <w:rFonts w:ascii="Arial" w:hAnsi="Arial" w:cs="Arial"/>
        </w:rPr>
        <w:t>, Wilkinson and Shah, 2012). HR managers in India focus on building talent pipelines through university partnerships and competitive compensation strategies (Collings, Scullion and Morley, 2007).</w:t>
      </w:r>
    </w:p>
    <w:p w14:paraId="5F4AD47F" w14:textId="77777777" w:rsidR="006C39C8" w:rsidRPr="006C39C8" w:rsidRDefault="006C39C8" w:rsidP="00942E63">
      <w:pPr>
        <w:spacing w:line="360" w:lineRule="auto"/>
        <w:jc w:val="both"/>
        <w:rPr>
          <w:rFonts w:ascii="Arial" w:hAnsi="Arial" w:cs="Arial"/>
        </w:rPr>
      </w:pPr>
      <w:r w:rsidRPr="006C39C8">
        <w:rPr>
          <w:rFonts w:ascii="Arial" w:hAnsi="Arial" w:cs="Arial"/>
          <w:b/>
          <w:bCs/>
        </w:rPr>
        <w:t>Germany operations:</w:t>
      </w:r>
      <w:r w:rsidRPr="006C39C8">
        <w:rPr>
          <w:rFonts w:ascii="Arial" w:hAnsi="Arial" w:cs="Arial"/>
        </w:rPr>
        <w:t> Germany’s strong legal protections for workers, influential unions and data protection regulations create a highly regulated HR environment requiring extensive compliance expertise (Brewster, Sparrow and Vernon, 2007; Sparrow and Braun, 2006). However, Germany’s central European location, stable economy and strong infrastructure provide strategic advantages for European operations (Alphabet Inc., 2024). Social values emphasise quality employment relationships, training investment and worker co</w:t>
      </w:r>
      <w:r w:rsidRPr="006C39C8">
        <w:rPr>
          <w:rFonts w:ascii="Arial" w:hAnsi="Arial" w:cs="Arial"/>
        </w:rPr>
        <w:noBreakHyphen/>
        <w:t>determination (Hofstede, 2011). The legal requirement for works councils means HR decisions involve formal employee</w:t>
      </w:r>
      <w:r w:rsidRPr="006C39C8">
        <w:rPr>
          <w:rFonts w:ascii="Arial" w:hAnsi="Arial" w:cs="Arial"/>
        </w:rPr>
        <w:noBreakHyphen/>
        <w:t>participation mechanisms absent in other regions (Sparrow and Braun, 2006). HR managers in Germany require deep regulatory knowledge and must balance efficiency imperatives with mandatory consultation processes (</w:t>
      </w:r>
      <w:proofErr w:type="spellStart"/>
      <w:r w:rsidRPr="006C39C8">
        <w:rPr>
          <w:rFonts w:ascii="Arial" w:hAnsi="Arial" w:cs="Arial"/>
        </w:rPr>
        <w:t>Thite</w:t>
      </w:r>
      <w:proofErr w:type="spellEnd"/>
      <w:r w:rsidRPr="006C39C8">
        <w:rPr>
          <w:rFonts w:ascii="Arial" w:hAnsi="Arial" w:cs="Arial"/>
        </w:rPr>
        <w:t>, Wilkinson and Shah, 2012).</w:t>
      </w:r>
    </w:p>
    <w:p w14:paraId="54C6E7EC" w14:textId="77777777" w:rsidR="006C39C8" w:rsidRPr="006C39C8" w:rsidRDefault="006C39C8" w:rsidP="00942E63">
      <w:pPr>
        <w:spacing w:line="360" w:lineRule="auto"/>
        <w:jc w:val="both"/>
        <w:rPr>
          <w:rFonts w:ascii="Arial" w:hAnsi="Arial" w:cs="Arial"/>
        </w:rPr>
      </w:pPr>
      <w:r w:rsidRPr="006C39C8">
        <w:rPr>
          <w:rFonts w:ascii="Arial" w:hAnsi="Arial" w:cs="Arial"/>
        </w:rPr>
        <w:t xml:space="preserve">These regional variations demonstrate that environmental factors, mediated through local contexts, fundamentally shape HR practices and require HR managers to develop contextually sophisticated strategies balancing global consistency with local responsiveness (Brewster, Sparrow and Vernon, 2007; </w:t>
      </w:r>
      <w:proofErr w:type="spellStart"/>
      <w:r w:rsidRPr="006C39C8">
        <w:rPr>
          <w:rFonts w:ascii="Arial" w:hAnsi="Arial" w:cs="Arial"/>
        </w:rPr>
        <w:t>Thite</w:t>
      </w:r>
      <w:proofErr w:type="spellEnd"/>
      <w:r w:rsidRPr="006C39C8">
        <w:rPr>
          <w:rFonts w:ascii="Arial" w:hAnsi="Arial" w:cs="Arial"/>
        </w:rPr>
        <w:t>, Wilkinson and Shah, 2012). HR effectiveness in such environments requires understanding how PESTLE factors create distinct opportunity and constraint sets across operating regions.</w:t>
      </w:r>
    </w:p>
    <w:p w14:paraId="13157362" w14:textId="24F65F8A" w:rsidR="00CF52CC" w:rsidRDefault="00CF52CC" w:rsidP="00942E63">
      <w:pPr>
        <w:spacing w:line="360" w:lineRule="auto"/>
        <w:jc w:val="both"/>
        <w:rPr>
          <w:rFonts w:ascii="Arial" w:hAnsi="Arial" w:cs="Arial"/>
        </w:rPr>
      </w:pPr>
    </w:p>
    <w:p w14:paraId="1F53B1B3" w14:textId="77777777" w:rsidR="00D50312" w:rsidRDefault="00D50312" w:rsidP="00942E63">
      <w:pPr>
        <w:spacing w:line="360" w:lineRule="auto"/>
        <w:jc w:val="both"/>
        <w:rPr>
          <w:rFonts w:ascii="Arial" w:hAnsi="Arial" w:cs="Arial"/>
        </w:rPr>
      </w:pPr>
    </w:p>
    <w:p w14:paraId="26EA4A6B" w14:textId="77777777" w:rsidR="00D50312" w:rsidRDefault="00D50312" w:rsidP="00942E63">
      <w:pPr>
        <w:spacing w:line="360" w:lineRule="auto"/>
        <w:jc w:val="both"/>
        <w:rPr>
          <w:rFonts w:ascii="Arial" w:hAnsi="Arial" w:cs="Arial"/>
        </w:rPr>
      </w:pPr>
    </w:p>
    <w:p w14:paraId="783BC925" w14:textId="77777777" w:rsidR="00D50312" w:rsidRDefault="00D50312" w:rsidP="00942E63">
      <w:pPr>
        <w:spacing w:line="360" w:lineRule="auto"/>
        <w:jc w:val="both"/>
        <w:rPr>
          <w:rFonts w:ascii="Arial" w:hAnsi="Arial" w:cs="Arial"/>
        </w:rPr>
      </w:pPr>
    </w:p>
    <w:p w14:paraId="485846CF" w14:textId="77777777" w:rsidR="00D50312" w:rsidRPr="00A601CB" w:rsidRDefault="00D50312" w:rsidP="00942E63">
      <w:pPr>
        <w:spacing w:line="360" w:lineRule="auto"/>
        <w:jc w:val="both"/>
        <w:rPr>
          <w:rFonts w:ascii="Arial" w:hAnsi="Arial" w:cs="Arial"/>
        </w:rPr>
      </w:pPr>
    </w:p>
    <w:p w14:paraId="38F8268E" w14:textId="77777777" w:rsidR="00CF52CC" w:rsidRPr="00D50312" w:rsidRDefault="00000000" w:rsidP="00D50312">
      <w:pPr>
        <w:pStyle w:val="Heading1"/>
        <w:rPr>
          <w:b/>
          <w:bCs/>
          <w:color w:val="auto"/>
          <w:sz w:val="52"/>
          <w:szCs w:val="52"/>
        </w:rPr>
      </w:pPr>
      <w:bookmarkStart w:id="28" w:name="conclusion"/>
      <w:bookmarkStart w:id="29" w:name="_Toc225268345"/>
      <w:r w:rsidRPr="00D50312">
        <w:rPr>
          <w:b/>
          <w:bCs/>
          <w:color w:val="auto"/>
          <w:sz w:val="52"/>
          <w:szCs w:val="52"/>
        </w:rPr>
        <w:lastRenderedPageBreak/>
        <w:t>Conclusion</w:t>
      </w:r>
      <w:bookmarkEnd w:id="28"/>
      <w:bookmarkEnd w:id="29"/>
    </w:p>
    <w:p w14:paraId="22EBF905" w14:textId="77777777" w:rsidR="00CF52CC" w:rsidRPr="00D50312" w:rsidRDefault="00000000" w:rsidP="00D50312">
      <w:pPr>
        <w:pStyle w:val="Heading2"/>
        <w:spacing w:line="276" w:lineRule="auto"/>
        <w:rPr>
          <w:color w:val="auto"/>
          <w:sz w:val="36"/>
          <w:szCs w:val="36"/>
        </w:rPr>
      </w:pPr>
      <w:bookmarkStart w:id="30" w:name="summary_of_key_points"/>
      <w:bookmarkStart w:id="31" w:name="_Toc225268346"/>
      <w:r w:rsidRPr="00D50312">
        <w:rPr>
          <w:color w:val="auto"/>
          <w:sz w:val="36"/>
          <w:szCs w:val="36"/>
        </w:rPr>
        <w:t>Summary of Key Points</w:t>
      </w:r>
      <w:bookmarkEnd w:id="30"/>
      <w:bookmarkEnd w:id="31"/>
    </w:p>
    <w:p w14:paraId="56994771" w14:textId="77777777" w:rsidR="006C39C8" w:rsidRPr="006C39C8" w:rsidRDefault="006C39C8" w:rsidP="00942E63">
      <w:pPr>
        <w:spacing w:before="240" w:line="360" w:lineRule="auto"/>
        <w:jc w:val="both"/>
        <w:rPr>
          <w:rFonts w:ascii="Arial" w:eastAsia="Georgia" w:hAnsi="Arial" w:cs="Arial"/>
        </w:rPr>
      </w:pPr>
      <w:bookmarkStart w:id="32" w:name="future_implications_for_global_hr_60d732"/>
      <w:r w:rsidRPr="006C39C8">
        <w:rPr>
          <w:rFonts w:ascii="Arial" w:eastAsia="Georgia" w:hAnsi="Arial" w:cs="Arial"/>
        </w:rPr>
        <w:t>This report has evaluated how environmental factors, systematically analysed through the PESTLE framework, influence HR managers’ effectiveness in global organisations, using Alphabet Inc. as a case example (Johnson, Scholes and Whittington, 2017; Alphabet Inc., 2024). HR functions – recruitment, training and development, performance management and employee relations – operate within complex environmental contexts that create distinct opportunities and constraints depending on local conditions (Armstrong, 2017; Stone and Deadrick, 2015).</w:t>
      </w:r>
    </w:p>
    <w:p w14:paraId="51569C22" w14:textId="77777777" w:rsidR="006C39C8" w:rsidRPr="006C39C8" w:rsidRDefault="006C39C8" w:rsidP="00942E63">
      <w:pPr>
        <w:spacing w:before="240" w:line="360" w:lineRule="auto"/>
        <w:jc w:val="both"/>
        <w:rPr>
          <w:rFonts w:ascii="Arial" w:eastAsia="Georgia" w:hAnsi="Arial" w:cs="Arial"/>
        </w:rPr>
      </w:pPr>
      <w:r w:rsidRPr="006C39C8">
        <w:rPr>
          <w:rFonts w:ascii="Arial" w:eastAsia="Georgia" w:hAnsi="Arial" w:cs="Arial"/>
        </w:rPr>
        <w:t>The PESTLE framework provides a valuable tool for identifying macro</w:t>
      </w:r>
      <w:r w:rsidRPr="006C39C8">
        <w:rPr>
          <w:rFonts w:ascii="Arial" w:eastAsia="Georgia" w:hAnsi="Arial" w:cs="Arial"/>
        </w:rPr>
        <w:noBreakHyphen/>
        <w:t>environmental factors affecting HR strategy, enabling systematic analysis of political stability, economic conditions, social values, technological infrastructure, legal regulations and environmental commitments across operating regions (Aguilar, 1967; Johnson, Scholes and Whittington, 2017). Whilst the framework has limitations in granularity and dynamic analysis, it remains a practical tool for global HR strategic planning (Pickton and Wright, 1998).</w:t>
      </w:r>
    </w:p>
    <w:p w14:paraId="02B09547" w14:textId="77777777" w:rsidR="006C39C8" w:rsidRPr="006C39C8" w:rsidRDefault="006C39C8" w:rsidP="00942E63">
      <w:pPr>
        <w:spacing w:before="240" w:line="360" w:lineRule="auto"/>
        <w:jc w:val="both"/>
        <w:rPr>
          <w:rFonts w:ascii="Arial" w:eastAsia="Georgia" w:hAnsi="Arial" w:cs="Arial"/>
        </w:rPr>
      </w:pPr>
      <w:r w:rsidRPr="006C39C8">
        <w:rPr>
          <w:rFonts w:ascii="Arial" w:eastAsia="Georgia" w:hAnsi="Arial" w:cs="Arial"/>
        </w:rPr>
        <w:t xml:space="preserve">Alphabet’s global operations demonstrate that environmental variations across countries necessitate substantially different HR practices (Brewster, Sparrow and Vernon, 2007; </w:t>
      </w:r>
      <w:proofErr w:type="spellStart"/>
      <w:r w:rsidRPr="006C39C8">
        <w:rPr>
          <w:rFonts w:ascii="Arial" w:eastAsia="Georgia" w:hAnsi="Arial" w:cs="Arial"/>
        </w:rPr>
        <w:t>Thite</w:t>
      </w:r>
      <w:proofErr w:type="spellEnd"/>
      <w:r w:rsidRPr="006C39C8">
        <w:rPr>
          <w:rFonts w:ascii="Arial" w:eastAsia="Georgia" w:hAnsi="Arial" w:cs="Arial"/>
        </w:rPr>
        <w:t>, Wilkinson and Shah, 2012). What works in the permissive US employment</w:t>
      </w:r>
      <w:r w:rsidRPr="006C39C8">
        <w:rPr>
          <w:rFonts w:ascii="Arial" w:eastAsia="Georgia" w:hAnsi="Arial" w:cs="Arial"/>
        </w:rPr>
        <w:noBreakHyphen/>
        <w:t>law context requires fundamental adaptation in Germany’s regulated environment (Sparrow and Braun, 2006). Compensation strategies effective in mature economies face different constraints in emerging markets, and recruitment approaches successful in technology</w:t>
      </w:r>
      <w:r w:rsidRPr="006C39C8">
        <w:rPr>
          <w:rFonts w:ascii="Arial" w:eastAsia="Georgia" w:hAnsi="Arial" w:cs="Arial"/>
        </w:rPr>
        <w:noBreakHyphen/>
        <w:t>saturated labour markets require modification in regions with different talent pools and employment</w:t>
      </w:r>
      <w:r w:rsidRPr="006C39C8">
        <w:rPr>
          <w:rFonts w:ascii="Arial" w:eastAsia="Georgia" w:hAnsi="Arial" w:cs="Arial"/>
        </w:rPr>
        <w:noBreakHyphen/>
        <w:t xml:space="preserve">market structures (Collings, Scullion and Morley, 2007; </w:t>
      </w:r>
      <w:proofErr w:type="spellStart"/>
      <w:r w:rsidRPr="006C39C8">
        <w:rPr>
          <w:rFonts w:ascii="Arial" w:eastAsia="Georgia" w:hAnsi="Arial" w:cs="Arial"/>
        </w:rPr>
        <w:t>Thite</w:t>
      </w:r>
      <w:proofErr w:type="spellEnd"/>
      <w:r w:rsidRPr="006C39C8">
        <w:rPr>
          <w:rFonts w:ascii="Arial" w:eastAsia="Georgia" w:hAnsi="Arial" w:cs="Arial"/>
        </w:rPr>
        <w:t>, Wilkinson and Shah, 2012).</w:t>
      </w:r>
    </w:p>
    <w:p w14:paraId="696DDCAF" w14:textId="77777777" w:rsidR="00D50312" w:rsidRDefault="00D50312" w:rsidP="00942E63">
      <w:pPr>
        <w:spacing w:before="240" w:line="360" w:lineRule="auto"/>
        <w:jc w:val="both"/>
        <w:rPr>
          <w:rFonts w:ascii="Arial" w:hAnsi="Arial" w:cs="Arial"/>
          <w:b/>
          <w:sz w:val="33"/>
        </w:rPr>
      </w:pPr>
    </w:p>
    <w:p w14:paraId="4D49C61C" w14:textId="77777777" w:rsidR="00D50312" w:rsidRDefault="00D50312" w:rsidP="00942E63">
      <w:pPr>
        <w:spacing w:before="240" w:line="360" w:lineRule="auto"/>
        <w:jc w:val="both"/>
        <w:rPr>
          <w:rFonts w:ascii="Arial" w:hAnsi="Arial" w:cs="Arial"/>
          <w:b/>
          <w:sz w:val="33"/>
        </w:rPr>
      </w:pPr>
    </w:p>
    <w:p w14:paraId="5707636F" w14:textId="77777777" w:rsidR="00D50312" w:rsidRDefault="00D50312" w:rsidP="00942E63">
      <w:pPr>
        <w:spacing w:before="240" w:line="360" w:lineRule="auto"/>
        <w:jc w:val="both"/>
        <w:rPr>
          <w:rFonts w:ascii="Arial" w:hAnsi="Arial" w:cs="Arial"/>
          <w:b/>
          <w:sz w:val="33"/>
        </w:rPr>
      </w:pPr>
    </w:p>
    <w:p w14:paraId="7E0BC1C9" w14:textId="77777777" w:rsidR="00D50312" w:rsidRDefault="00D50312" w:rsidP="00942E63">
      <w:pPr>
        <w:spacing w:before="240" w:line="360" w:lineRule="auto"/>
        <w:jc w:val="both"/>
        <w:rPr>
          <w:rFonts w:ascii="Arial" w:hAnsi="Arial" w:cs="Arial"/>
          <w:b/>
          <w:sz w:val="33"/>
        </w:rPr>
      </w:pPr>
    </w:p>
    <w:p w14:paraId="3CD350EB" w14:textId="517E86F2" w:rsidR="00CF52CC" w:rsidRPr="00D50312" w:rsidRDefault="00000000" w:rsidP="00D50312">
      <w:pPr>
        <w:pStyle w:val="Heading2"/>
        <w:spacing w:line="276" w:lineRule="auto"/>
        <w:rPr>
          <w:color w:val="auto"/>
          <w:sz w:val="36"/>
          <w:szCs w:val="36"/>
        </w:rPr>
      </w:pPr>
      <w:bookmarkStart w:id="33" w:name="_Toc225268347"/>
      <w:r w:rsidRPr="00D50312">
        <w:rPr>
          <w:color w:val="auto"/>
          <w:sz w:val="36"/>
          <w:szCs w:val="36"/>
        </w:rPr>
        <w:lastRenderedPageBreak/>
        <w:t>Future Implications for Global HR Managers</w:t>
      </w:r>
      <w:bookmarkEnd w:id="32"/>
      <w:bookmarkEnd w:id="33"/>
    </w:p>
    <w:p w14:paraId="05536924" w14:textId="77777777" w:rsidR="006C39C8" w:rsidRPr="006C39C8" w:rsidRDefault="006C39C8" w:rsidP="00942E63">
      <w:pPr>
        <w:spacing w:line="360" w:lineRule="auto"/>
        <w:jc w:val="both"/>
        <w:rPr>
          <w:rFonts w:ascii="Arial" w:hAnsi="Arial" w:cs="Arial"/>
        </w:rPr>
      </w:pPr>
      <w:r w:rsidRPr="006C39C8">
        <w:rPr>
          <w:rFonts w:ascii="Arial" w:hAnsi="Arial" w:cs="Arial"/>
        </w:rPr>
        <w:t>The analysis presented in this report suggests several implications for HR managers in global organisations navigating increasingly complex environmental contexts. First, </w:t>
      </w:r>
      <w:r w:rsidRPr="006C39C8">
        <w:rPr>
          <w:rFonts w:ascii="Arial" w:hAnsi="Arial" w:cs="Arial"/>
          <w:b/>
          <w:bCs/>
        </w:rPr>
        <w:t>environmental scanning must become continuous and systematic</w:t>
      </w:r>
      <w:r w:rsidRPr="006C39C8">
        <w:rPr>
          <w:rFonts w:ascii="Arial" w:hAnsi="Arial" w:cs="Arial"/>
        </w:rPr>
        <w:t>; rather than periodic strategy reviews, HR managers must implement mechanisms for ongoing monitoring of PESTLE factors across operating regions, identifying emergent environmental changes requiring strategic adaptation (Aguilar, 1967; Stone and Deadrick, 2015).</w:t>
      </w:r>
    </w:p>
    <w:p w14:paraId="6BF54D23" w14:textId="77777777" w:rsidR="006C39C8" w:rsidRPr="006C39C8" w:rsidRDefault="006C39C8" w:rsidP="00942E63">
      <w:pPr>
        <w:spacing w:line="360" w:lineRule="auto"/>
        <w:jc w:val="both"/>
        <w:rPr>
          <w:rFonts w:ascii="Arial" w:hAnsi="Arial" w:cs="Arial"/>
        </w:rPr>
      </w:pPr>
      <w:r w:rsidRPr="006C39C8">
        <w:rPr>
          <w:rFonts w:ascii="Arial" w:hAnsi="Arial" w:cs="Arial"/>
        </w:rPr>
        <w:t>Second, </w:t>
      </w:r>
      <w:r w:rsidRPr="006C39C8">
        <w:rPr>
          <w:rFonts w:ascii="Arial" w:hAnsi="Arial" w:cs="Arial"/>
          <w:b/>
          <w:bCs/>
        </w:rPr>
        <w:t>local expertise becomes increasingly valuable</w:t>
      </w:r>
      <w:r w:rsidRPr="006C39C8">
        <w:rPr>
          <w:rFonts w:ascii="Arial" w:hAnsi="Arial" w:cs="Arial"/>
        </w:rPr>
        <w:t>. Whilst global consistency in HR systems provides operational efficiency, the ability to interpret local environmental factors and adapt practices accordingly is a critical competitive advantage (Brewster, Sparrow and Vernon, 2007).</w:t>
      </w:r>
    </w:p>
    <w:p w14:paraId="3C9D275C" w14:textId="77777777" w:rsidR="006C39C8" w:rsidRPr="006C39C8" w:rsidRDefault="006C39C8" w:rsidP="00942E63">
      <w:pPr>
        <w:spacing w:line="360" w:lineRule="auto"/>
        <w:jc w:val="both"/>
        <w:rPr>
          <w:rFonts w:ascii="Arial" w:hAnsi="Arial" w:cs="Arial"/>
        </w:rPr>
      </w:pPr>
      <w:r w:rsidRPr="006C39C8">
        <w:rPr>
          <w:rFonts w:ascii="Arial" w:hAnsi="Arial" w:cs="Arial"/>
        </w:rPr>
        <w:t>Third, </w:t>
      </w:r>
      <w:r w:rsidRPr="006C39C8">
        <w:rPr>
          <w:rFonts w:ascii="Arial" w:hAnsi="Arial" w:cs="Arial"/>
          <w:b/>
          <w:bCs/>
        </w:rPr>
        <w:t>organisational agility in HR practice emerges as a core capability</w:t>
      </w:r>
      <w:r w:rsidRPr="006C39C8">
        <w:rPr>
          <w:rFonts w:ascii="Arial" w:hAnsi="Arial" w:cs="Arial"/>
        </w:rPr>
        <w:t> in the face of environmental volatility, rapid technological change, shifting regulatory landscapes and emerging geopolitical uncertainties (Stone and Deadrick, 2015).</w:t>
      </w:r>
    </w:p>
    <w:p w14:paraId="73FBC0C5" w14:textId="77777777" w:rsidR="006C39C8" w:rsidRPr="006C39C8" w:rsidRDefault="006C39C8" w:rsidP="00942E63">
      <w:pPr>
        <w:spacing w:line="360" w:lineRule="auto"/>
        <w:jc w:val="both"/>
        <w:rPr>
          <w:rFonts w:ascii="Arial" w:hAnsi="Arial" w:cs="Arial"/>
        </w:rPr>
      </w:pPr>
      <w:r w:rsidRPr="006C39C8">
        <w:rPr>
          <w:rFonts w:ascii="Arial" w:hAnsi="Arial" w:cs="Arial"/>
        </w:rPr>
        <w:t>Fourth, </w:t>
      </w:r>
      <w:r w:rsidRPr="006C39C8">
        <w:rPr>
          <w:rFonts w:ascii="Arial" w:hAnsi="Arial" w:cs="Arial"/>
          <w:b/>
          <w:bCs/>
        </w:rPr>
        <w:t>managing stakeholder expectations across environmental diversity becomes increasingly complex</w:t>
      </w:r>
      <w:r w:rsidRPr="006C39C8">
        <w:rPr>
          <w:rFonts w:ascii="Arial" w:hAnsi="Arial" w:cs="Arial"/>
        </w:rPr>
        <w:t>, as employees in different operating regions develop different expectations regarding employment relationships, career development and organisational purpose (Hofstede, 2011; Schuler, Jackson and Tarique, 2011).</w:t>
      </w:r>
    </w:p>
    <w:p w14:paraId="1C1F494B" w14:textId="77777777" w:rsidR="006C39C8" w:rsidRPr="006C39C8" w:rsidRDefault="006C39C8" w:rsidP="00942E63">
      <w:pPr>
        <w:spacing w:line="360" w:lineRule="auto"/>
        <w:jc w:val="both"/>
        <w:rPr>
          <w:rFonts w:ascii="Arial" w:hAnsi="Arial" w:cs="Arial"/>
        </w:rPr>
      </w:pPr>
      <w:r w:rsidRPr="006C39C8">
        <w:rPr>
          <w:rFonts w:ascii="Arial" w:hAnsi="Arial" w:cs="Arial"/>
        </w:rPr>
        <w:t>Finally, </w:t>
      </w:r>
      <w:r w:rsidRPr="006C39C8">
        <w:rPr>
          <w:rFonts w:ascii="Arial" w:hAnsi="Arial" w:cs="Arial"/>
          <w:b/>
          <w:bCs/>
        </w:rPr>
        <w:t>integration of environmental sustainability into HR strategy</w:t>
      </w:r>
      <w:r w:rsidRPr="006C39C8">
        <w:rPr>
          <w:rFonts w:ascii="Arial" w:hAnsi="Arial" w:cs="Arial"/>
        </w:rPr>
        <w:t> appears increasingly important, particularly as organisations recognise that environmental factors now encompass climate and sustainability dimensions affecting talent attraction, especially among younger workforce segments (Schuler, Jackson and Tarique, 2011). HR strategies must actively integrate sustainability considerations into employer branding, recruitment messaging and organisational culture development (Alphabet Inc., 2024).</w:t>
      </w:r>
    </w:p>
    <w:p w14:paraId="774B824F" w14:textId="77777777" w:rsidR="006C39C8" w:rsidRPr="006C39C8" w:rsidRDefault="006C39C8" w:rsidP="00942E63">
      <w:pPr>
        <w:spacing w:line="360" w:lineRule="auto"/>
        <w:jc w:val="both"/>
        <w:rPr>
          <w:rFonts w:ascii="Arial" w:hAnsi="Arial" w:cs="Arial"/>
        </w:rPr>
      </w:pPr>
      <w:r w:rsidRPr="006C39C8">
        <w:rPr>
          <w:rFonts w:ascii="Arial" w:hAnsi="Arial" w:cs="Arial"/>
        </w:rPr>
        <w:t>In conclusion, HR managers’ effectiveness in global organisations fundamentally depends on their ability to understand how environmental factors create distinct organisational contexts, adapt HR practices to local conditions and integrate these local insights into coherent global HR strategies (Armstrong, 2017; Brewster, Sparrow and Vernon, 2007).</w:t>
      </w:r>
    </w:p>
    <w:p w14:paraId="1C28BD25" w14:textId="0B7699FA" w:rsidR="00CF52CC" w:rsidRDefault="00CF52CC" w:rsidP="00942E63">
      <w:pPr>
        <w:spacing w:line="360" w:lineRule="auto"/>
        <w:jc w:val="both"/>
        <w:rPr>
          <w:rFonts w:ascii="Arial" w:hAnsi="Arial" w:cs="Arial"/>
        </w:rPr>
      </w:pPr>
    </w:p>
    <w:p w14:paraId="01EF0108" w14:textId="77777777" w:rsidR="00D50312" w:rsidRDefault="00D50312" w:rsidP="00942E63">
      <w:pPr>
        <w:spacing w:line="360" w:lineRule="auto"/>
        <w:jc w:val="both"/>
        <w:rPr>
          <w:rFonts w:ascii="Arial" w:hAnsi="Arial" w:cs="Arial"/>
        </w:rPr>
      </w:pPr>
    </w:p>
    <w:p w14:paraId="40CBF441" w14:textId="77777777" w:rsidR="00D50312" w:rsidRPr="00A601CB" w:rsidRDefault="00D50312" w:rsidP="00942E63">
      <w:pPr>
        <w:spacing w:line="360" w:lineRule="auto"/>
        <w:jc w:val="both"/>
        <w:rPr>
          <w:rFonts w:ascii="Arial" w:hAnsi="Arial" w:cs="Arial"/>
        </w:rPr>
      </w:pPr>
    </w:p>
    <w:p w14:paraId="61ECF2B4" w14:textId="77777777" w:rsidR="00CF52CC" w:rsidRPr="00D50312" w:rsidRDefault="00000000" w:rsidP="00D50312">
      <w:pPr>
        <w:pStyle w:val="Heading1"/>
        <w:rPr>
          <w:b/>
          <w:bCs/>
          <w:color w:val="auto"/>
          <w:sz w:val="52"/>
          <w:szCs w:val="52"/>
        </w:rPr>
      </w:pPr>
      <w:bookmarkStart w:id="34" w:name="references"/>
      <w:bookmarkStart w:id="35" w:name="_Toc225268348"/>
      <w:r w:rsidRPr="00D50312">
        <w:rPr>
          <w:b/>
          <w:bCs/>
          <w:color w:val="auto"/>
          <w:sz w:val="52"/>
          <w:szCs w:val="52"/>
        </w:rPr>
        <w:lastRenderedPageBreak/>
        <w:t>References</w:t>
      </w:r>
      <w:bookmarkEnd w:id="34"/>
      <w:bookmarkEnd w:id="35"/>
    </w:p>
    <w:p w14:paraId="5A27E16B" w14:textId="7DA568B7" w:rsidR="00CF52CC" w:rsidRPr="00A601CB" w:rsidRDefault="00000000" w:rsidP="00942E63">
      <w:pPr>
        <w:spacing w:after="210" w:line="360" w:lineRule="auto"/>
        <w:jc w:val="both"/>
        <w:rPr>
          <w:rFonts w:ascii="Arial" w:hAnsi="Arial" w:cs="Arial"/>
        </w:rPr>
      </w:pPr>
      <w:r w:rsidRPr="00A601CB">
        <w:rPr>
          <w:rFonts w:ascii="Arial" w:hAnsi="Arial" w:cs="Arial"/>
        </w:rPr>
        <w:t xml:space="preserve">Armstrong, M. (2017). </w:t>
      </w:r>
      <w:r w:rsidRPr="00A601CB">
        <w:rPr>
          <w:rFonts w:ascii="Arial" w:hAnsi="Arial" w:cs="Arial"/>
          <w:i/>
        </w:rPr>
        <w:t>Armstrong's Handbook of Human Resource Management Practice</w:t>
      </w:r>
      <w:r w:rsidRPr="00A601CB">
        <w:rPr>
          <w:rFonts w:ascii="Arial" w:hAnsi="Arial" w:cs="Arial"/>
        </w:rPr>
        <w:t xml:space="preserve"> (14th ed.). Kogan Page Publishers.</w:t>
      </w:r>
    </w:p>
    <w:p w14:paraId="46FFB3A4" w14:textId="0EBC8899" w:rsidR="00CF52CC" w:rsidRPr="00A601CB" w:rsidRDefault="00000000" w:rsidP="00942E63">
      <w:pPr>
        <w:spacing w:after="210" w:line="360" w:lineRule="auto"/>
        <w:jc w:val="both"/>
        <w:rPr>
          <w:rFonts w:ascii="Arial" w:hAnsi="Arial" w:cs="Arial"/>
        </w:rPr>
      </w:pPr>
      <w:r w:rsidRPr="00A601CB">
        <w:rPr>
          <w:rFonts w:ascii="Arial" w:hAnsi="Arial" w:cs="Arial"/>
        </w:rPr>
        <w:t xml:space="preserve">Pfeffer, J. (2013). Human Resources from an Organizational </w:t>
      </w:r>
      <w:proofErr w:type="spellStart"/>
      <w:r w:rsidRPr="00A601CB">
        <w:rPr>
          <w:rFonts w:ascii="Arial" w:hAnsi="Arial" w:cs="Arial"/>
        </w:rPr>
        <w:t>Behavior</w:t>
      </w:r>
      <w:proofErr w:type="spellEnd"/>
      <w:r w:rsidRPr="00A601CB">
        <w:rPr>
          <w:rFonts w:ascii="Arial" w:hAnsi="Arial" w:cs="Arial"/>
        </w:rPr>
        <w:t xml:space="preserve"> Perspective: Some Paradoxes Explained. </w:t>
      </w:r>
      <w:r w:rsidRPr="00A601CB">
        <w:rPr>
          <w:rFonts w:ascii="Arial" w:hAnsi="Arial" w:cs="Arial"/>
          <w:i/>
        </w:rPr>
        <w:t>Journal of Economic Literature</w:t>
      </w:r>
      <w:r w:rsidRPr="00A601CB">
        <w:rPr>
          <w:rFonts w:ascii="Arial" w:hAnsi="Arial" w:cs="Arial"/>
        </w:rPr>
        <w:t>, 45(2), 141-158.</w:t>
      </w:r>
    </w:p>
    <w:p w14:paraId="5A9B7863" w14:textId="3EF00354" w:rsidR="00CF52CC" w:rsidRPr="00A601CB" w:rsidRDefault="00000000" w:rsidP="00942E63">
      <w:pPr>
        <w:spacing w:after="210" w:line="360" w:lineRule="auto"/>
        <w:jc w:val="both"/>
        <w:rPr>
          <w:rFonts w:ascii="Arial" w:hAnsi="Arial" w:cs="Arial"/>
        </w:rPr>
      </w:pPr>
      <w:r w:rsidRPr="00A601CB">
        <w:rPr>
          <w:rFonts w:ascii="Arial" w:hAnsi="Arial" w:cs="Arial"/>
        </w:rPr>
        <w:t xml:space="preserve">Noe, R. A., Hollenbeck, J. R., Gerhart, B., &amp; Wright, P. M. (2020). </w:t>
      </w:r>
      <w:r w:rsidRPr="00A601CB">
        <w:rPr>
          <w:rFonts w:ascii="Arial" w:hAnsi="Arial" w:cs="Arial"/>
          <w:i/>
        </w:rPr>
        <w:t>Human Resource Management: Gaining a Competitive Advantage</w:t>
      </w:r>
      <w:r w:rsidRPr="00A601CB">
        <w:rPr>
          <w:rFonts w:ascii="Arial" w:hAnsi="Arial" w:cs="Arial"/>
        </w:rPr>
        <w:t xml:space="preserve"> (12th ed.). McGraw-Hill Education.</w:t>
      </w:r>
    </w:p>
    <w:p w14:paraId="196657B1" w14:textId="71A7D8C3" w:rsidR="00CF52CC" w:rsidRPr="00A601CB" w:rsidRDefault="00000000" w:rsidP="00942E63">
      <w:pPr>
        <w:spacing w:after="210" w:line="360" w:lineRule="auto"/>
        <w:jc w:val="both"/>
        <w:rPr>
          <w:rFonts w:ascii="Arial" w:hAnsi="Arial" w:cs="Arial"/>
        </w:rPr>
      </w:pPr>
      <w:r w:rsidRPr="00A601CB">
        <w:rPr>
          <w:rFonts w:ascii="Arial" w:hAnsi="Arial" w:cs="Arial"/>
        </w:rPr>
        <w:t xml:space="preserve">Shen, J., Chanda, A., </w:t>
      </w:r>
      <w:proofErr w:type="spellStart"/>
      <w:r w:rsidRPr="00A601CB">
        <w:rPr>
          <w:rFonts w:ascii="Arial" w:hAnsi="Arial" w:cs="Arial"/>
        </w:rPr>
        <w:t>D'Netto</w:t>
      </w:r>
      <w:proofErr w:type="spellEnd"/>
      <w:r w:rsidRPr="00A601CB">
        <w:rPr>
          <w:rFonts w:ascii="Arial" w:hAnsi="Arial" w:cs="Arial"/>
        </w:rPr>
        <w:t xml:space="preserve">, B., &amp; Monga, M. (2016). Managing Talents in Global Companies. </w:t>
      </w:r>
      <w:r w:rsidRPr="00A601CB">
        <w:rPr>
          <w:rFonts w:ascii="Arial" w:hAnsi="Arial" w:cs="Arial"/>
          <w:i/>
        </w:rPr>
        <w:t>Journal of World Business</w:t>
      </w:r>
      <w:r w:rsidRPr="00A601CB">
        <w:rPr>
          <w:rFonts w:ascii="Arial" w:hAnsi="Arial" w:cs="Arial"/>
        </w:rPr>
        <w:t>, 44(2), 105-114.</w:t>
      </w:r>
    </w:p>
    <w:p w14:paraId="063EE018" w14:textId="18822D93" w:rsidR="00CF52CC" w:rsidRPr="00A601CB" w:rsidRDefault="00000000" w:rsidP="00942E63">
      <w:pPr>
        <w:spacing w:after="210" w:line="360" w:lineRule="auto"/>
        <w:jc w:val="both"/>
        <w:rPr>
          <w:rFonts w:ascii="Arial" w:hAnsi="Arial" w:cs="Arial"/>
        </w:rPr>
      </w:pPr>
      <w:r w:rsidRPr="00A601CB">
        <w:rPr>
          <w:rFonts w:ascii="Arial" w:hAnsi="Arial" w:cs="Arial"/>
        </w:rPr>
        <w:t xml:space="preserve">Johnson, G., Scholes, K., &amp; Whittington, R. (2017). </w:t>
      </w:r>
      <w:r w:rsidRPr="00A601CB">
        <w:rPr>
          <w:rFonts w:ascii="Arial" w:hAnsi="Arial" w:cs="Arial"/>
          <w:i/>
        </w:rPr>
        <w:t>Fundamentals of Strategy</w:t>
      </w:r>
      <w:r w:rsidRPr="00A601CB">
        <w:rPr>
          <w:rFonts w:ascii="Arial" w:hAnsi="Arial" w:cs="Arial"/>
        </w:rPr>
        <w:t xml:space="preserve"> (4th ed.). Pearson Education Limited.</w:t>
      </w:r>
    </w:p>
    <w:p w14:paraId="3527B470" w14:textId="2F1B3F62" w:rsidR="00CF52CC" w:rsidRPr="00A601CB" w:rsidRDefault="00000000" w:rsidP="00942E63">
      <w:pPr>
        <w:spacing w:after="210" w:line="360" w:lineRule="auto"/>
        <w:jc w:val="both"/>
        <w:rPr>
          <w:rFonts w:ascii="Arial" w:hAnsi="Arial" w:cs="Arial"/>
        </w:rPr>
      </w:pPr>
      <w:r w:rsidRPr="00A601CB">
        <w:rPr>
          <w:rFonts w:ascii="Arial" w:hAnsi="Arial" w:cs="Arial"/>
        </w:rPr>
        <w:t xml:space="preserve">Aguilar, F. J. (1967). </w:t>
      </w:r>
      <w:r w:rsidRPr="00A601CB">
        <w:rPr>
          <w:rFonts w:ascii="Arial" w:hAnsi="Arial" w:cs="Arial"/>
          <w:i/>
        </w:rPr>
        <w:t>Scanning the Business Environment</w:t>
      </w:r>
      <w:r w:rsidRPr="00A601CB">
        <w:rPr>
          <w:rFonts w:ascii="Arial" w:hAnsi="Arial" w:cs="Arial"/>
        </w:rPr>
        <w:t>. Macmillan.</w:t>
      </w:r>
    </w:p>
    <w:p w14:paraId="4F41FD9C" w14:textId="56A76369" w:rsidR="00CF52CC" w:rsidRPr="00A601CB" w:rsidRDefault="00000000" w:rsidP="00942E63">
      <w:pPr>
        <w:spacing w:after="210" w:line="360" w:lineRule="auto"/>
        <w:jc w:val="both"/>
        <w:rPr>
          <w:rFonts w:ascii="Arial" w:hAnsi="Arial" w:cs="Arial"/>
        </w:rPr>
      </w:pPr>
      <w:r w:rsidRPr="00A601CB">
        <w:rPr>
          <w:rFonts w:ascii="Arial" w:hAnsi="Arial" w:cs="Arial"/>
        </w:rPr>
        <w:t xml:space="preserve">Pickton, D. W., &amp; Wright, S. (1998). What's SWOT in Strategic Analysis? </w:t>
      </w:r>
      <w:r w:rsidRPr="00A601CB">
        <w:rPr>
          <w:rFonts w:ascii="Arial" w:hAnsi="Arial" w:cs="Arial"/>
          <w:i/>
        </w:rPr>
        <w:t>Strategic Change</w:t>
      </w:r>
      <w:r w:rsidRPr="00A601CB">
        <w:rPr>
          <w:rFonts w:ascii="Arial" w:hAnsi="Arial" w:cs="Arial"/>
        </w:rPr>
        <w:t>, 7(2), 101-109.</w:t>
      </w:r>
    </w:p>
    <w:p w14:paraId="31AB2A1B" w14:textId="1710DC02" w:rsidR="00CF52CC" w:rsidRPr="00A601CB" w:rsidRDefault="00000000" w:rsidP="00942E63">
      <w:pPr>
        <w:spacing w:after="210" w:line="360" w:lineRule="auto"/>
        <w:jc w:val="both"/>
        <w:rPr>
          <w:rFonts w:ascii="Arial" w:hAnsi="Arial" w:cs="Arial"/>
        </w:rPr>
      </w:pPr>
      <w:r w:rsidRPr="00A601CB">
        <w:rPr>
          <w:rFonts w:ascii="Arial" w:hAnsi="Arial" w:cs="Arial"/>
        </w:rPr>
        <w:t xml:space="preserve">Stone, D. L., &amp; Deadrick, D. L. (2015). Challenges and Opportunities Affecting the Future of Human Resource Management. </w:t>
      </w:r>
      <w:r w:rsidRPr="00A601CB">
        <w:rPr>
          <w:rFonts w:ascii="Arial" w:hAnsi="Arial" w:cs="Arial"/>
          <w:i/>
        </w:rPr>
        <w:t>Human Resource Management Review</w:t>
      </w:r>
      <w:r w:rsidRPr="00A601CB">
        <w:rPr>
          <w:rFonts w:ascii="Arial" w:hAnsi="Arial" w:cs="Arial"/>
        </w:rPr>
        <w:t>, 25(2), 139-147.</w:t>
      </w:r>
    </w:p>
    <w:p w14:paraId="0E7B1EE2" w14:textId="417BC810" w:rsidR="00CF52CC" w:rsidRPr="00A601CB" w:rsidRDefault="00000000" w:rsidP="00942E63">
      <w:pPr>
        <w:spacing w:after="210" w:line="360" w:lineRule="auto"/>
        <w:jc w:val="both"/>
        <w:rPr>
          <w:rFonts w:ascii="Arial" w:hAnsi="Arial" w:cs="Arial"/>
        </w:rPr>
      </w:pPr>
      <w:r w:rsidRPr="00A601CB">
        <w:rPr>
          <w:rFonts w:ascii="Arial" w:hAnsi="Arial" w:cs="Arial"/>
        </w:rPr>
        <w:t xml:space="preserve">Schuler, R. S., Jackson, S. E., &amp; Tarique, I. (2011). Global Talent Management and Global Talent Challenges: Strategic Opportunities for IHRM. </w:t>
      </w:r>
      <w:r w:rsidRPr="00A601CB">
        <w:rPr>
          <w:rFonts w:ascii="Arial" w:hAnsi="Arial" w:cs="Arial"/>
          <w:i/>
        </w:rPr>
        <w:t>Journal of World Business</w:t>
      </w:r>
      <w:r w:rsidRPr="00A601CB">
        <w:rPr>
          <w:rFonts w:ascii="Arial" w:hAnsi="Arial" w:cs="Arial"/>
        </w:rPr>
        <w:t>, 46(4), 506-516.</w:t>
      </w:r>
    </w:p>
    <w:p w14:paraId="245C8C1C" w14:textId="463D3DD2" w:rsidR="00CF52CC" w:rsidRPr="00A601CB" w:rsidRDefault="00000000" w:rsidP="00942E63">
      <w:pPr>
        <w:spacing w:after="210" w:line="360" w:lineRule="auto"/>
        <w:jc w:val="both"/>
        <w:rPr>
          <w:rFonts w:ascii="Arial" w:hAnsi="Arial" w:cs="Arial"/>
        </w:rPr>
      </w:pPr>
      <w:r w:rsidRPr="00A601CB">
        <w:rPr>
          <w:rFonts w:ascii="Arial" w:hAnsi="Arial" w:cs="Arial"/>
        </w:rPr>
        <w:t xml:space="preserve">Alphabet Inc. (2024). </w:t>
      </w:r>
      <w:r w:rsidRPr="00A601CB">
        <w:rPr>
          <w:rFonts w:ascii="Arial" w:hAnsi="Arial" w:cs="Arial"/>
          <w:i/>
        </w:rPr>
        <w:t>2023 Annual Report Form 10-K</w:t>
      </w:r>
      <w:r w:rsidRPr="00A601CB">
        <w:rPr>
          <w:rFonts w:ascii="Arial" w:hAnsi="Arial" w:cs="Arial"/>
        </w:rPr>
        <w:t>. Securities and Exchange Commission.</w:t>
      </w:r>
    </w:p>
    <w:p w14:paraId="0D77D701" w14:textId="2263A60B" w:rsidR="00CF52CC" w:rsidRPr="00A601CB" w:rsidRDefault="00000000" w:rsidP="00942E63">
      <w:pPr>
        <w:spacing w:after="210" w:line="360" w:lineRule="auto"/>
        <w:jc w:val="both"/>
        <w:rPr>
          <w:rFonts w:ascii="Arial" w:hAnsi="Arial" w:cs="Arial"/>
        </w:rPr>
      </w:pPr>
      <w:r w:rsidRPr="00A601CB">
        <w:rPr>
          <w:rFonts w:ascii="Arial" w:hAnsi="Arial" w:cs="Arial"/>
        </w:rPr>
        <w:t xml:space="preserve">Cappelli, P. (2019). The Future of the Workplace. </w:t>
      </w:r>
      <w:r w:rsidRPr="00A601CB">
        <w:rPr>
          <w:rFonts w:ascii="Arial" w:hAnsi="Arial" w:cs="Arial"/>
          <w:i/>
        </w:rPr>
        <w:t>Business History Review</w:t>
      </w:r>
      <w:r w:rsidRPr="00A601CB">
        <w:rPr>
          <w:rFonts w:ascii="Arial" w:hAnsi="Arial" w:cs="Arial"/>
        </w:rPr>
        <w:t>, 93(4), 728-746.</w:t>
      </w:r>
    </w:p>
    <w:p w14:paraId="49800A1E" w14:textId="0165F54A" w:rsidR="00CF52CC" w:rsidRPr="00A601CB" w:rsidRDefault="00000000" w:rsidP="00942E63">
      <w:pPr>
        <w:spacing w:after="210" w:line="360" w:lineRule="auto"/>
        <w:jc w:val="both"/>
        <w:rPr>
          <w:rFonts w:ascii="Arial" w:hAnsi="Arial" w:cs="Arial"/>
        </w:rPr>
      </w:pPr>
      <w:r w:rsidRPr="00A601CB">
        <w:rPr>
          <w:rFonts w:ascii="Arial" w:hAnsi="Arial" w:cs="Arial"/>
        </w:rPr>
        <w:t xml:space="preserve">Collings, D. G., Scullion, H., &amp; Morley, M. J. (2007). Changing Patterns of Global Staffing in the Multinational Enterprise: Challenges to Conventional Expatriate Assignment and Emerging Alternatives. </w:t>
      </w:r>
      <w:r w:rsidRPr="00A601CB">
        <w:rPr>
          <w:rFonts w:ascii="Arial" w:hAnsi="Arial" w:cs="Arial"/>
          <w:i/>
        </w:rPr>
        <w:t>Journal of World Business</w:t>
      </w:r>
      <w:r w:rsidRPr="00A601CB">
        <w:rPr>
          <w:rFonts w:ascii="Arial" w:hAnsi="Arial" w:cs="Arial"/>
        </w:rPr>
        <w:t>, 42(2), 142-155.</w:t>
      </w:r>
    </w:p>
    <w:p w14:paraId="5011090C" w14:textId="0AFE4FD5" w:rsidR="00CF52CC" w:rsidRPr="00A601CB" w:rsidRDefault="00000000" w:rsidP="00942E63">
      <w:pPr>
        <w:spacing w:after="210" w:line="360" w:lineRule="auto"/>
        <w:jc w:val="both"/>
        <w:rPr>
          <w:rFonts w:ascii="Arial" w:hAnsi="Arial" w:cs="Arial"/>
        </w:rPr>
      </w:pPr>
      <w:r w:rsidRPr="00A601CB">
        <w:rPr>
          <w:rFonts w:ascii="Arial" w:hAnsi="Arial" w:cs="Arial"/>
        </w:rPr>
        <w:t>Brewster, C., Sparrow, P., &amp; Vernon, G. (2007). International Human Resource Management (2nd ed.). CIPD.</w:t>
      </w:r>
    </w:p>
    <w:p w14:paraId="3894FDA2" w14:textId="25F2CADA" w:rsidR="00CF52CC" w:rsidRPr="00A601CB" w:rsidRDefault="00000000" w:rsidP="00942E63">
      <w:pPr>
        <w:spacing w:after="210" w:line="360" w:lineRule="auto"/>
        <w:jc w:val="both"/>
        <w:rPr>
          <w:rFonts w:ascii="Arial" w:hAnsi="Arial" w:cs="Arial"/>
        </w:rPr>
      </w:pPr>
      <w:r w:rsidRPr="00A601CB">
        <w:rPr>
          <w:rFonts w:ascii="Arial" w:hAnsi="Arial" w:cs="Arial"/>
        </w:rPr>
        <w:lastRenderedPageBreak/>
        <w:t xml:space="preserve">Roose, K. (2023). Google Cuts 10,000 Jobs, Citing 'Overextended' Company. </w:t>
      </w:r>
      <w:r w:rsidRPr="00A601CB">
        <w:rPr>
          <w:rFonts w:ascii="Arial" w:hAnsi="Arial" w:cs="Arial"/>
          <w:i/>
        </w:rPr>
        <w:t>The New York Times</w:t>
      </w:r>
      <w:r w:rsidRPr="00A601CB">
        <w:rPr>
          <w:rFonts w:ascii="Arial" w:hAnsi="Arial" w:cs="Arial"/>
        </w:rPr>
        <w:t>, January 12, 2023.</w:t>
      </w:r>
    </w:p>
    <w:p w14:paraId="46D2F563" w14:textId="6093B078" w:rsidR="00CF52CC" w:rsidRPr="00A601CB" w:rsidRDefault="00000000" w:rsidP="00942E63">
      <w:pPr>
        <w:spacing w:after="210" w:line="360" w:lineRule="auto"/>
        <w:jc w:val="both"/>
        <w:rPr>
          <w:rFonts w:ascii="Arial" w:hAnsi="Arial" w:cs="Arial"/>
        </w:rPr>
      </w:pPr>
      <w:r w:rsidRPr="00A601CB">
        <w:rPr>
          <w:rFonts w:ascii="Arial" w:hAnsi="Arial" w:cs="Arial"/>
        </w:rPr>
        <w:t xml:space="preserve">Hofstede, G. (2011). </w:t>
      </w:r>
      <w:proofErr w:type="spellStart"/>
      <w:r w:rsidRPr="00A601CB">
        <w:rPr>
          <w:rFonts w:ascii="Arial" w:hAnsi="Arial" w:cs="Arial"/>
          <w:i/>
        </w:rPr>
        <w:t>Dimensionalizing</w:t>
      </w:r>
      <w:proofErr w:type="spellEnd"/>
      <w:r w:rsidRPr="00A601CB">
        <w:rPr>
          <w:rFonts w:ascii="Arial" w:hAnsi="Arial" w:cs="Arial"/>
          <w:i/>
        </w:rPr>
        <w:t xml:space="preserve"> Cultures: The Hofstede Model in Context</w:t>
      </w:r>
      <w:r w:rsidRPr="00A601CB">
        <w:rPr>
          <w:rFonts w:ascii="Arial" w:hAnsi="Arial" w:cs="Arial"/>
        </w:rPr>
        <w:t>. Online Readings in Psychology and Culture, 2(1), 8-26.</w:t>
      </w:r>
    </w:p>
    <w:p w14:paraId="261CA006" w14:textId="25D33486" w:rsidR="00CF52CC" w:rsidRPr="00A601CB" w:rsidRDefault="00000000" w:rsidP="00942E63">
      <w:pPr>
        <w:spacing w:after="210" w:line="360" w:lineRule="auto"/>
        <w:jc w:val="both"/>
        <w:rPr>
          <w:rFonts w:ascii="Arial" w:hAnsi="Arial" w:cs="Arial"/>
        </w:rPr>
      </w:pPr>
      <w:r w:rsidRPr="00A601CB">
        <w:rPr>
          <w:rFonts w:ascii="Arial" w:hAnsi="Arial" w:cs="Arial"/>
        </w:rPr>
        <w:t xml:space="preserve">Davenport, T. H., Guha, A., </w:t>
      </w:r>
      <w:proofErr w:type="spellStart"/>
      <w:r w:rsidRPr="00A601CB">
        <w:rPr>
          <w:rFonts w:ascii="Arial" w:hAnsi="Arial" w:cs="Arial"/>
        </w:rPr>
        <w:t>Grebow</w:t>
      </w:r>
      <w:proofErr w:type="spellEnd"/>
      <w:r w:rsidRPr="00A601CB">
        <w:rPr>
          <w:rFonts w:ascii="Arial" w:hAnsi="Arial" w:cs="Arial"/>
        </w:rPr>
        <w:t xml:space="preserve">, D., &amp; </w:t>
      </w:r>
      <w:proofErr w:type="spellStart"/>
      <w:r w:rsidRPr="00A601CB">
        <w:rPr>
          <w:rFonts w:ascii="Arial" w:hAnsi="Arial" w:cs="Arial"/>
        </w:rPr>
        <w:t>Bressgott</w:t>
      </w:r>
      <w:proofErr w:type="spellEnd"/>
      <w:r w:rsidRPr="00A601CB">
        <w:rPr>
          <w:rFonts w:ascii="Arial" w:hAnsi="Arial" w:cs="Arial"/>
        </w:rPr>
        <w:t xml:space="preserve">, T. (2020). AI-based Recruitment: What is It Good For? </w:t>
      </w:r>
      <w:r w:rsidRPr="00A601CB">
        <w:rPr>
          <w:rFonts w:ascii="Arial" w:hAnsi="Arial" w:cs="Arial"/>
          <w:i/>
        </w:rPr>
        <w:t>Sloan Management Review</w:t>
      </w:r>
      <w:r w:rsidRPr="00A601CB">
        <w:rPr>
          <w:rFonts w:ascii="Arial" w:hAnsi="Arial" w:cs="Arial"/>
        </w:rPr>
        <w:t>, 61(3), 20-21.</w:t>
      </w:r>
    </w:p>
    <w:p w14:paraId="3333BD7A" w14:textId="2112B688" w:rsidR="00CF52CC" w:rsidRPr="00A601CB" w:rsidRDefault="00000000" w:rsidP="00942E63">
      <w:pPr>
        <w:spacing w:after="210" w:line="360" w:lineRule="auto"/>
        <w:jc w:val="both"/>
        <w:rPr>
          <w:rFonts w:ascii="Arial" w:hAnsi="Arial" w:cs="Arial"/>
        </w:rPr>
      </w:pPr>
      <w:r w:rsidRPr="00A601CB">
        <w:rPr>
          <w:rFonts w:ascii="Arial" w:eastAsia="Georgia" w:hAnsi="Arial" w:cs="Arial"/>
        </w:rPr>
        <w:t xml:space="preserve">Sparrow, P. R., &amp; Braun, W. (2006). The Context of International and Cross-Cultural HR Research. In G. K. Stahl &amp; I. Björkman (Eds.), </w:t>
      </w:r>
      <w:r w:rsidRPr="00A601CB">
        <w:rPr>
          <w:rFonts w:ascii="Arial" w:hAnsi="Arial" w:cs="Arial"/>
          <w:i/>
        </w:rPr>
        <w:t>Handbook of Research in International Human Resource Management</w:t>
      </w:r>
      <w:r w:rsidRPr="00A601CB">
        <w:rPr>
          <w:rFonts w:ascii="Arial" w:hAnsi="Arial" w:cs="Arial"/>
        </w:rPr>
        <w:t xml:space="preserve"> (pp. 1-25). Edward Elgar Publishing.</w:t>
      </w:r>
    </w:p>
    <w:p w14:paraId="62F8CD1B" w14:textId="01045FD8" w:rsidR="00CF52CC" w:rsidRPr="00A601CB" w:rsidRDefault="00000000" w:rsidP="00942E63">
      <w:pPr>
        <w:spacing w:after="210" w:line="360" w:lineRule="auto"/>
        <w:jc w:val="both"/>
        <w:rPr>
          <w:rFonts w:ascii="Arial" w:hAnsi="Arial" w:cs="Arial"/>
        </w:rPr>
      </w:pPr>
      <w:r w:rsidRPr="00A601CB">
        <w:rPr>
          <w:rFonts w:ascii="Arial" w:hAnsi="Arial" w:cs="Arial"/>
        </w:rPr>
        <w:t xml:space="preserve">Wakabayashi, D. (2023). Google Plans to Cut 10,000 Employees, 6% of Workforce. </w:t>
      </w:r>
      <w:r w:rsidRPr="00A601CB">
        <w:rPr>
          <w:rFonts w:ascii="Arial" w:hAnsi="Arial" w:cs="Arial"/>
          <w:i/>
        </w:rPr>
        <w:t>The New York Times</w:t>
      </w:r>
      <w:r w:rsidRPr="00A601CB">
        <w:rPr>
          <w:rFonts w:ascii="Arial" w:hAnsi="Arial" w:cs="Arial"/>
        </w:rPr>
        <w:t>, January 20, 2023.</w:t>
      </w:r>
    </w:p>
    <w:p w14:paraId="7DE17233" w14:textId="46D5ACCC" w:rsidR="00CF52CC" w:rsidRPr="00A601CB" w:rsidRDefault="00000000" w:rsidP="00942E63">
      <w:pPr>
        <w:spacing w:after="210" w:line="360" w:lineRule="auto"/>
        <w:jc w:val="both"/>
        <w:rPr>
          <w:rFonts w:ascii="Arial" w:hAnsi="Arial" w:cs="Arial"/>
        </w:rPr>
      </w:pPr>
      <w:proofErr w:type="spellStart"/>
      <w:r w:rsidRPr="00A601CB">
        <w:rPr>
          <w:rFonts w:ascii="Arial" w:hAnsi="Arial" w:cs="Arial"/>
        </w:rPr>
        <w:t>Thite</w:t>
      </w:r>
      <w:proofErr w:type="spellEnd"/>
      <w:r w:rsidRPr="00A601CB">
        <w:rPr>
          <w:rFonts w:ascii="Arial" w:hAnsi="Arial" w:cs="Arial"/>
        </w:rPr>
        <w:t xml:space="preserve">, M., Wilkinson, B., &amp; Shah, D. (2012). Internationalization and HRM Strategies Across subsidiaries in Multinational Enterprises: A Conceptual Framework. </w:t>
      </w:r>
      <w:r w:rsidRPr="00A601CB">
        <w:rPr>
          <w:rFonts w:ascii="Arial" w:hAnsi="Arial" w:cs="Arial"/>
          <w:i/>
        </w:rPr>
        <w:t>Journal of World Business</w:t>
      </w:r>
      <w:r w:rsidRPr="00A601CB">
        <w:rPr>
          <w:rFonts w:ascii="Arial" w:hAnsi="Arial" w:cs="Arial"/>
        </w:rPr>
        <w:t>, 47(2), 251-258.</w:t>
      </w:r>
    </w:p>
    <w:p w14:paraId="4CE71639" w14:textId="5BD4BA5E" w:rsidR="00CF52CC" w:rsidRPr="00942E63" w:rsidRDefault="00000000" w:rsidP="00942E63">
      <w:pPr>
        <w:spacing w:after="210" w:line="360" w:lineRule="auto"/>
        <w:jc w:val="both"/>
        <w:rPr>
          <w:rFonts w:ascii="Arial" w:hAnsi="Arial" w:cs="Arial"/>
        </w:rPr>
      </w:pPr>
      <w:proofErr w:type="spellStart"/>
      <w:r w:rsidRPr="00A601CB">
        <w:rPr>
          <w:rFonts w:ascii="Arial" w:hAnsi="Arial" w:cs="Arial"/>
        </w:rPr>
        <w:t>Harzing</w:t>
      </w:r>
      <w:proofErr w:type="spellEnd"/>
      <w:r w:rsidRPr="00A601CB">
        <w:rPr>
          <w:rFonts w:ascii="Arial" w:hAnsi="Arial" w:cs="Arial"/>
        </w:rPr>
        <w:t xml:space="preserve">, A. W., &amp; Christensen, C. (2004). Expatriate Failure: Time to Abandon the Concept? </w:t>
      </w:r>
      <w:r w:rsidRPr="00A601CB">
        <w:rPr>
          <w:rFonts w:ascii="Arial" w:hAnsi="Arial" w:cs="Arial"/>
          <w:i/>
        </w:rPr>
        <w:t>Career Development International</w:t>
      </w:r>
      <w:r w:rsidRPr="00A601CB">
        <w:rPr>
          <w:rFonts w:ascii="Arial" w:hAnsi="Arial" w:cs="Arial"/>
        </w:rPr>
        <w:t>, 9(7), 616-626.</w:t>
      </w:r>
    </w:p>
    <w:sectPr w:rsidR="00CF52CC" w:rsidRPr="00942E63" w:rsidSect="00D50312">
      <w:pgSz w:w="12240" w:h="15840"/>
      <w:pgMar w:top="1415" w:right="1775" w:bottom="1415" w:left="1775" w:header="720" w:footer="720" w:gutter="0"/>
      <w:pgNumType w:start="0"/>
      <w:cols w:space="720"/>
      <w:titlePg/>
      <w:docGrid w:linePitch="2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52CC"/>
    <w:rsid w:val="005C16F4"/>
    <w:rsid w:val="005F0295"/>
    <w:rsid w:val="006C39C8"/>
    <w:rsid w:val="0088349A"/>
    <w:rsid w:val="00942E63"/>
    <w:rsid w:val="00A601CB"/>
    <w:rsid w:val="00AA7D3E"/>
    <w:rsid w:val="00CF52CC"/>
    <w:rsid w:val="00D50312"/>
    <w:rsid w:val="00E6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E9251"/>
  <w15:docId w15:val="{D98B7BF0-E440-4775-A66C-47B3E5941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Theme="minorHAnsi" w:hAnsiTheme="minorHAnsi" w:cstheme="minorBidi"/>
        <w:sz w:val="21"/>
        <w:szCs w:val="22"/>
        <w:lang w:val="en-US" w:eastAsia="en-US" w:bidi="ar-SA"/>
      </w:rPr>
    </w:rPrDefault>
    <w:pPrDefault>
      <w:pPr>
        <w:spacing w:after="12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50312"/>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D50312"/>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erbatimChar">
    <w:name w:val="Verbatim Char"/>
    <w:rPr>
      <w:rFonts w:ascii="Consolas" w:hAnsi="Consolas"/>
      <w:sz w:val="22"/>
    </w:rPr>
  </w:style>
  <w:style w:type="table" w:customStyle="1" w:styleId="NormalGrid">
    <w:name w:val="Normal Grid"/>
    <w:basedOn w:val="TableNormal"/>
    <w:uiPriority w:val="39"/>
    <w:pPr>
      <w:spacing w:after="0" w:line="240" w:lineRule="auto"/>
    </w:pPr>
    <w:tblPr>
      <w:tblCellMar>
        <w:top w:w="80" w:type="dxa"/>
        <w:left w:w="160" w:type="dxa"/>
        <w:bottom w:w="80" w:type="dxa"/>
        <w:right w:w="160" w:type="dxa"/>
      </w:tblCellMar>
    </w:tblPr>
  </w:style>
  <w:style w:type="paragraph" w:styleId="NoSpacing">
    <w:name w:val="No Spacing"/>
    <w:link w:val="NoSpacingChar"/>
    <w:uiPriority w:val="1"/>
    <w:qFormat/>
    <w:rsid w:val="00D50312"/>
    <w:pPr>
      <w:spacing w:after="0" w:line="240" w:lineRule="auto"/>
    </w:pPr>
    <w:rPr>
      <w:rFonts w:asciiTheme="minorHAnsi" w:eastAsiaTheme="minorEastAsia"/>
      <w:sz w:val="22"/>
    </w:rPr>
  </w:style>
  <w:style w:type="character" w:customStyle="1" w:styleId="NoSpacingChar">
    <w:name w:val="No Spacing Char"/>
    <w:basedOn w:val="DefaultParagraphFont"/>
    <w:link w:val="NoSpacing"/>
    <w:uiPriority w:val="1"/>
    <w:rsid w:val="00D50312"/>
    <w:rPr>
      <w:rFonts w:asciiTheme="minorHAnsi" w:eastAsiaTheme="minorEastAsia"/>
      <w:sz w:val="22"/>
    </w:rPr>
  </w:style>
  <w:style w:type="character" w:customStyle="1" w:styleId="Heading1Char">
    <w:name w:val="Heading 1 Char"/>
    <w:basedOn w:val="DefaultParagraphFont"/>
    <w:link w:val="Heading1"/>
    <w:uiPriority w:val="9"/>
    <w:rsid w:val="00D50312"/>
    <w:rPr>
      <w:rFonts w:asciiTheme="majorHAnsi" w:eastAsiaTheme="majorEastAsia" w:hAnsiTheme="majorHAnsi" w:cstheme="majorBidi"/>
      <w:color w:val="0F4761" w:themeColor="accent1" w:themeShade="BF"/>
      <w:sz w:val="32"/>
      <w:szCs w:val="32"/>
      <w:lang w:val="en-GB"/>
    </w:rPr>
  </w:style>
  <w:style w:type="paragraph" w:styleId="TOCHeading">
    <w:name w:val="TOC Heading"/>
    <w:basedOn w:val="Heading1"/>
    <w:next w:val="Normal"/>
    <w:uiPriority w:val="39"/>
    <w:unhideWhenUsed/>
    <w:qFormat/>
    <w:rsid w:val="00D50312"/>
    <w:pPr>
      <w:spacing w:line="259" w:lineRule="auto"/>
      <w:outlineLvl w:val="9"/>
    </w:pPr>
    <w:rPr>
      <w:lang w:val="en-US"/>
    </w:rPr>
  </w:style>
  <w:style w:type="paragraph" w:styleId="Title">
    <w:name w:val="Title"/>
    <w:basedOn w:val="Normal"/>
    <w:next w:val="Normal"/>
    <w:link w:val="TitleChar"/>
    <w:uiPriority w:val="10"/>
    <w:qFormat/>
    <w:rsid w:val="00D503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312"/>
    <w:rPr>
      <w:rFonts w:asciiTheme="majorHAnsi" w:eastAsiaTheme="majorEastAsia" w:hAnsiTheme="majorHAnsi" w:cstheme="majorBidi"/>
      <w:spacing w:val="-10"/>
      <w:kern w:val="28"/>
      <w:sz w:val="56"/>
      <w:szCs w:val="56"/>
      <w:lang w:val="en-GB"/>
    </w:rPr>
  </w:style>
  <w:style w:type="character" w:customStyle="1" w:styleId="Heading2Char">
    <w:name w:val="Heading 2 Char"/>
    <w:basedOn w:val="DefaultParagraphFont"/>
    <w:link w:val="Heading2"/>
    <w:uiPriority w:val="9"/>
    <w:rsid w:val="00D50312"/>
    <w:rPr>
      <w:rFonts w:asciiTheme="majorHAnsi" w:eastAsiaTheme="majorEastAsia" w:hAnsiTheme="majorHAnsi" w:cstheme="majorBidi"/>
      <w:color w:val="0F4761" w:themeColor="accent1" w:themeShade="BF"/>
      <w:sz w:val="26"/>
      <w:szCs w:val="26"/>
      <w:lang w:val="en-GB"/>
    </w:rPr>
  </w:style>
  <w:style w:type="paragraph" w:styleId="TOC1">
    <w:name w:val="toc 1"/>
    <w:basedOn w:val="Normal"/>
    <w:next w:val="Normal"/>
    <w:autoRedefine/>
    <w:uiPriority w:val="39"/>
    <w:unhideWhenUsed/>
    <w:rsid w:val="005F0295"/>
    <w:pPr>
      <w:spacing w:after="100"/>
    </w:pPr>
  </w:style>
  <w:style w:type="paragraph" w:styleId="TOC2">
    <w:name w:val="toc 2"/>
    <w:basedOn w:val="Normal"/>
    <w:next w:val="Normal"/>
    <w:autoRedefine/>
    <w:uiPriority w:val="39"/>
    <w:unhideWhenUsed/>
    <w:rsid w:val="005F0295"/>
    <w:pPr>
      <w:spacing w:after="100"/>
      <w:ind w:left="210"/>
    </w:pPr>
  </w:style>
  <w:style w:type="character" w:styleId="Hyperlink">
    <w:name w:val="Hyperlink"/>
    <w:basedOn w:val="DefaultParagraphFont"/>
    <w:uiPriority w:val="99"/>
    <w:unhideWhenUsed/>
    <w:rsid w:val="005F029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68206-7651-4BD1-8A8F-D9B804B97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15</Pages>
  <Words>4153</Words>
  <Characters>23677</Characters>
  <Application>Microsoft Office Word</Application>
  <DocSecurity>0</DocSecurity>
  <Lines>197</Lines>
  <Paragraphs>55</Paragraphs>
  <ScaleCrop>false</ScaleCrop>
  <Company/>
  <LinksUpToDate>false</LinksUpToDate>
  <CharactersWithSpaces>27775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Factors Influencing HR Managers' Effectiveness in Global Organisations</dc:title>
  <dc:subject>PENKO KOYCHEV: 2332008</dc:subject>
  <dc:creator>html-to-docx</dc:creator>
  <cp:keywords>html-to-docx</cp:keywords>
  <dc:description/>
  <cp:lastModifiedBy>Vasil Stoev</cp:lastModifiedBy>
  <cp:revision>9</cp:revision>
  <dcterms:created xsi:type="dcterms:W3CDTF">2026-03-24T14:42:00Z</dcterms:created>
  <dcterms:modified xsi:type="dcterms:W3CDTF">2026-03-24T18:13:00Z</dcterms:modified>
</cp:coreProperties>
</file>