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rFonts w:ascii="Arial" w:cs="Arial" w:eastAsia="Arial" w:hAnsi="Arial"/>
        </w:rPr>
      </w:pPr>
      <w:r w:rsidDel="00000000" w:rsidR="00000000" w:rsidRPr="00000000">
        <w:rPr>
          <w:rtl w:val="0"/>
        </w:rPr>
      </w:r>
    </w:p>
    <w:p w:rsidR="00000000" w:rsidDel="00000000" w:rsidP="00000000" w:rsidRDefault="00000000" w:rsidRPr="00000000" w14:paraId="00000002">
      <w:pPr>
        <w:jc w:val="both"/>
        <w:rPr>
          <w:rFonts w:ascii="Arial" w:cs="Arial" w:eastAsia="Arial" w:hAnsi="Arial"/>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Afsa Hussain </w:t>
      </w:r>
    </w:p>
    <w:p w:rsidR="00000000" w:rsidDel="00000000" w:rsidP="00000000" w:rsidRDefault="00000000" w:rsidRPr="00000000" w14:paraId="00000004">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2016500</w:t>
      </w:r>
    </w:p>
    <w:p w:rsidR="00000000" w:rsidDel="00000000" w:rsidP="00000000" w:rsidRDefault="00000000" w:rsidRPr="00000000" w14:paraId="00000005">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Helen Parsons </w:t>
      </w:r>
    </w:p>
    <w:p w:rsidR="00000000" w:rsidDel="00000000" w:rsidP="00000000" w:rsidRDefault="00000000" w:rsidRPr="00000000" w14:paraId="00000006">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Professional Development within Health and Social Care</w:t>
      </w:r>
    </w:p>
    <w:p w:rsidR="00000000" w:rsidDel="00000000" w:rsidP="00000000" w:rsidRDefault="00000000" w:rsidRPr="00000000" w14:paraId="00000007">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LCHS4010</w:t>
      </w:r>
    </w:p>
    <w:p w:rsidR="00000000" w:rsidDel="00000000" w:rsidP="00000000" w:rsidRDefault="00000000" w:rsidRPr="00000000" w14:paraId="00000008">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Assignment Title: Personal Development Portfolio</w:t>
      </w:r>
    </w:p>
    <w:p w:rsidR="00000000" w:rsidDel="00000000" w:rsidP="00000000" w:rsidRDefault="00000000" w:rsidRPr="00000000" w14:paraId="00000009">
      <w:pPr>
        <w:jc w:val="both"/>
        <w:rPr>
          <w:rFonts w:ascii="Arial" w:cs="Arial" w:eastAsia="Arial" w:hAnsi="Arial"/>
        </w:rPr>
      </w:pPr>
      <w:r w:rsidDel="00000000" w:rsidR="00000000" w:rsidRPr="00000000">
        <w:rPr>
          <w:rtl w:val="0"/>
        </w:rPr>
      </w:r>
    </w:p>
    <w:p w:rsidR="00000000" w:rsidDel="00000000" w:rsidP="00000000" w:rsidRDefault="00000000" w:rsidRPr="00000000" w14:paraId="0000000A">
      <w:pPr>
        <w:jc w:val="both"/>
        <w:rPr>
          <w:rFonts w:ascii="Arial" w:cs="Arial" w:eastAsia="Arial" w:hAnsi="Arial"/>
        </w:rPr>
      </w:pPr>
      <w:r w:rsidDel="00000000" w:rsidR="00000000" w:rsidRPr="00000000">
        <w:rPr>
          <w:rtl w:val="0"/>
        </w:rPr>
      </w:r>
    </w:p>
    <w:p w:rsidR="00000000" w:rsidDel="00000000" w:rsidP="00000000" w:rsidRDefault="00000000" w:rsidRPr="00000000" w14:paraId="0000000B">
      <w:pPr>
        <w:jc w:val="both"/>
        <w:rPr>
          <w:rFonts w:ascii="Arial" w:cs="Arial" w:eastAsia="Arial" w:hAnsi="Arial"/>
        </w:rPr>
      </w:pP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tl w:val="0"/>
        </w:rPr>
      </w:r>
    </w:p>
    <w:p w:rsidR="00000000" w:rsidDel="00000000" w:rsidP="00000000" w:rsidRDefault="00000000" w:rsidRPr="00000000" w14:paraId="0000000D">
      <w:pPr>
        <w:jc w:val="both"/>
        <w:rPr>
          <w:rFonts w:ascii="Arial" w:cs="Arial" w:eastAsia="Arial" w:hAnsi="Arial"/>
        </w:rPr>
      </w:pPr>
      <w:r w:rsidDel="00000000" w:rsidR="00000000" w:rsidRPr="00000000">
        <w:rPr>
          <w:rtl w:val="0"/>
        </w:rPr>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tl w:val="0"/>
        </w:rPr>
      </w:r>
    </w:p>
    <w:p w:rsidR="00000000" w:rsidDel="00000000" w:rsidP="00000000" w:rsidRDefault="00000000" w:rsidRPr="00000000" w14:paraId="00000010">
      <w:pPr>
        <w:jc w:val="both"/>
        <w:rPr>
          <w:rFonts w:ascii="Arial" w:cs="Arial" w:eastAsia="Arial" w:hAnsi="Arial"/>
        </w:rPr>
      </w:pPr>
      <w:r w:rsidDel="00000000" w:rsidR="00000000" w:rsidRPr="00000000">
        <w:rPr>
          <w:rtl w:val="0"/>
        </w:rPr>
      </w:r>
    </w:p>
    <w:p w:rsidR="00000000" w:rsidDel="00000000" w:rsidP="00000000" w:rsidRDefault="00000000" w:rsidRPr="00000000" w14:paraId="00000011">
      <w:pPr>
        <w:jc w:val="both"/>
        <w:rPr>
          <w:rFonts w:ascii="Arial" w:cs="Arial" w:eastAsia="Arial" w:hAnsi="Arial"/>
        </w:rPr>
      </w:pPr>
      <w:r w:rsidDel="00000000" w:rsidR="00000000" w:rsidRPr="00000000">
        <w:rPr>
          <w:rtl w:val="0"/>
        </w:rPr>
      </w:r>
    </w:p>
    <w:p w:rsidR="00000000" w:rsidDel="00000000" w:rsidP="00000000" w:rsidRDefault="00000000" w:rsidRPr="00000000" w14:paraId="00000012">
      <w:pPr>
        <w:jc w:val="both"/>
        <w:rPr>
          <w:rFonts w:ascii="Arial" w:cs="Arial" w:eastAsia="Arial" w:hAnsi="Arial"/>
        </w:rPr>
      </w:pPr>
      <w:r w:rsidDel="00000000" w:rsidR="00000000" w:rsidRPr="00000000">
        <w:rPr>
          <w:rtl w:val="0"/>
        </w:rPr>
      </w:r>
    </w:p>
    <w:p w:rsidR="00000000" w:rsidDel="00000000" w:rsidP="00000000" w:rsidRDefault="00000000" w:rsidRPr="00000000" w14:paraId="00000013">
      <w:pPr>
        <w:jc w:val="both"/>
        <w:rPr>
          <w:rFonts w:ascii="Arial" w:cs="Arial" w:eastAsia="Arial" w:hAnsi="Arial"/>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pPr>
      <w:r w:rsidDel="00000000" w:rsidR="00000000" w:rsidRPr="00000000">
        <w:rPr>
          <w:rtl w:val="0"/>
        </w:rPr>
      </w:r>
    </w:p>
    <w:p w:rsidR="00000000" w:rsidDel="00000000" w:rsidP="00000000" w:rsidRDefault="00000000" w:rsidRPr="00000000" w14:paraId="00000015">
      <w:pPr>
        <w:jc w:val="both"/>
        <w:rPr>
          <w:rFonts w:ascii="Arial" w:cs="Arial" w:eastAsia="Arial" w:hAnsi="Arial"/>
        </w:rPr>
      </w:pPr>
      <w:r w:rsidDel="00000000" w:rsidR="00000000" w:rsidRPr="00000000">
        <w:rPr>
          <w:rtl w:val="0"/>
        </w:rPr>
      </w:r>
    </w:p>
    <w:p w:rsidR="00000000" w:rsidDel="00000000" w:rsidP="00000000" w:rsidRDefault="00000000" w:rsidRPr="00000000" w14:paraId="00000016">
      <w:pPr>
        <w:jc w:val="both"/>
        <w:rPr>
          <w:rFonts w:ascii="Arial" w:cs="Arial" w:eastAsia="Arial" w:hAnsi="Arial"/>
        </w:rPr>
      </w:pPr>
      <w:r w:rsidDel="00000000" w:rsidR="00000000" w:rsidRPr="00000000">
        <w:rPr>
          <w:rtl w:val="0"/>
        </w:rPr>
      </w:r>
    </w:p>
    <w:p w:rsidR="00000000" w:rsidDel="00000000" w:rsidP="00000000" w:rsidRDefault="00000000" w:rsidRPr="00000000" w14:paraId="00000017">
      <w:pPr>
        <w:jc w:val="both"/>
        <w:rPr>
          <w:rFonts w:ascii="Arial" w:cs="Arial" w:eastAsia="Arial" w:hAnsi="Arial"/>
        </w:rPr>
      </w:pPr>
      <w:r w:rsidDel="00000000" w:rsidR="00000000" w:rsidRPr="00000000">
        <w:rPr>
          <w:rtl w:val="0"/>
        </w:rPr>
      </w:r>
    </w:p>
    <w:p w:rsidR="00000000" w:rsidDel="00000000" w:rsidP="00000000" w:rsidRDefault="00000000" w:rsidRPr="00000000" w14:paraId="00000018">
      <w:pPr>
        <w:jc w:val="both"/>
        <w:rPr>
          <w:rFonts w:ascii="Arial" w:cs="Arial" w:eastAsia="Arial" w:hAnsi="Arial"/>
        </w:rPr>
      </w:pPr>
      <w:r w:rsidDel="00000000" w:rsidR="00000000" w:rsidRPr="00000000">
        <w:rPr>
          <w:rtl w:val="0"/>
        </w:rPr>
      </w:r>
    </w:p>
    <w:p w:rsidR="00000000" w:rsidDel="00000000" w:rsidP="00000000" w:rsidRDefault="00000000" w:rsidRPr="00000000" w14:paraId="00000019">
      <w:pPr>
        <w:jc w:val="both"/>
        <w:rPr>
          <w:rFonts w:ascii="Arial" w:cs="Arial" w:eastAsia="Arial" w:hAnsi="Arial"/>
        </w:rPr>
      </w:pPr>
      <w:r w:rsidDel="00000000" w:rsidR="00000000" w:rsidRPr="00000000">
        <w:rPr>
          <w:rtl w:val="0"/>
        </w:rPr>
      </w:r>
    </w:p>
    <w:p w:rsidR="00000000" w:rsidDel="00000000" w:rsidP="00000000" w:rsidRDefault="00000000" w:rsidRPr="00000000" w14:paraId="0000001A">
      <w:pPr>
        <w:jc w:val="both"/>
        <w:rPr>
          <w:rFonts w:ascii="Arial" w:cs="Arial" w:eastAsia="Arial" w:hAnsi="Arial"/>
        </w:rPr>
      </w:pPr>
      <w:r w:rsidDel="00000000" w:rsidR="00000000" w:rsidRPr="00000000">
        <w:rPr>
          <w:rtl w:val="0"/>
        </w:rPr>
      </w:r>
    </w:p>
    <w:p w:rsidR="00000000" w:rsidDel="00000000" w:rsidP="00000000" w:rsidRDefault="00000000" w:rsidRPr="00000000" w14:paraId="0000001B">
      <w:pPr>
        <w:jc w:val="both"/>
        <w:rPr>
          <w:rFonts w:ascii="Arial" w:cs="Arial" w:eastAsia="Arial" w:hAnsi="Arial"/>
        </w:rPr>
      </w:pPr>
      <w:r w:rsidDel="00000000" w:rsidR="00000000" w:rsidRPr="00000000">
        <w:rPr>
          <w:rtl w:val="0"/>
        </w:rPr>
      </w:r>
    </w:p>
    <w:p w:rsidR="00000000" w:rsidDel="00000000" w:rsidP="00000000" w:rsidRDefault="00000000" w:rsidRPr="00000000" w14:paraId="0000001C">
      <w:pPr>
        <w:jc w:val="both"/>
        <w:rPr>
          <w:rFonts w:ascii="Arial" w:cs="Arial" w:eastAsia="Arial" w:hAnsi="Arial"/>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1: Personal Action Plan for Staff Nurse (Adult) Role</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this assignment I have chosen the role of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Staff Nurse (Adult)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 an NHS acute medical ward. The post involves delivering safe, person-centred care, administering medicines, monitoring patients and coordinating with the multidisciplinary team. Employers expect applicants to show clinical knowledge, good communication, effective teamwork, professionalism and commitment to continuous learning (Nilsson, Edvardsson and Rushton, 2018).</w:t>
      </w:r>
    </w:p>
    <w:p w:rsidR="00000000" w:rsidDel="00000000" w:rsidP="00000000" w:rsidRDefault="00000000" w:rsidRPr="00000000" w14:paraId="0000001F">
      <w:pPr>
        <w:rPr>
          <w:b w:val="1"/>
          <w:bCs w:val="1"/>
        </w:rPr>
      </w:pPr>
      <w:r w:rsidDel="00000000" w:rsidR="00000000" w:rsidRPr="00000000">
        <w:rPr>
          <w:b w:val="1"/>
          <w:bCs w:val="1"/>
          <w:rtl w:val="0"/>
        </w:rPr>
        <w:t xml:space="preserve">Key Skills Required and How I Meet Them</w:t>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Communication and Therapeutic Interpersonal Skills</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Staff nurses must explain information clearly, listen actively and provide emotional support to patients and relatives (Gaeeni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2014). Through my health and social care studies and placement experience, I have developed these skills by giving verbal handovers, documenting accurately and speaking with people from diverse backgrounds. I use plain language, open questions and empathy to build trust, and I check understanding by asking patients to repeat key information.</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Teamwork and collaboration</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Nurses work closely with doctors, healthcare assistants, therapists and social workers. Employers look for people who can share information, respect others’ roles and contribute to a positive ward culture (Brandt, Essig and Balthasar, 2025). During group projects at college and voluntary work in a care setting, I have learned to take shared responsibility, offer help when colleagues are under pressure and accept feedback. I am comfortable taking the lead on small tasks and following instructions when others have more expertise.</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Professionalism, Time Management and Organisation</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role requires prioritising workload, meeting deadlines and maintaining professional standards such as confidentiality, infection control and safe documentation (Brandt, Essig and Balthasar, 2025). I demonstrate these skills by arriving punctually on placement, reviewing patient notes before shifts and using a to-do list to organise tasks. In academic work I manage deadlines by breaking large assignments into smaller steps, which shows my ability to plan ahead and stay calm under pressure.</w:t>
      </w:r>
    </w:p>
    <w:p w:rsidR="00000000" w:rsidDel="00000000" w:rsidP="00000000" w:rsidRDefault="00000000" w:rsidRPr="00000000" w14:paraId="00000026">
      <w:pPr>
        <w:rPr>
          <w:b w:val="1"/>
          <w:bCs w:val="1"/>
        </w:rPr>
      </w:pPr>
      <w:r w:rsidDel="00000000" w:rsidR="00000000" w:rsidRPr="00000000">
        <w:rPr>
          <w:b w:val="1"/>
          <w:bCs w:val="1"/>
          <w:rtl w:val="0"/>
        </w:rPr>
        <w:t xml:space="preserve">Skill gaps and Personal Development Plan (PDP)</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Although I have a strong foundation, there are areas I need to improve before applying for a Staff Nurse role. My main gaps are limited experience with complex clinical procedures, confidence in challenging situations and deeper knowledge of medicines management and NHS policies. To address these, I have created the following Personal Development Plan.</w:t>
      </w:r>
    </w:p>
    <w:p w:rsidR="00000000" w:rsidDel="00000000" w:rsidP="00000000" w:rsidRDefault="00000000" w:rsidRPr="00000000" w14:paraId="00000028">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0"/>
          <w:bCs w:val="0"/>
          <w:i w:val="1"/>
          <w:iCs w:val="1"/>
          <w:smallCaps w:val="0"/>
          <w:strike w:val="0"/>
          <w:color w:val="0e2841"/>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0e2841"/>
          <w:sz w:val="18"/>
          <w:szCs w:val="18"/>
          <w:u w:val="none"/>
          <w:shd w:fill="auto" w:val="clear"/>
          <w:vertAlign w:val="baseline"/>
          <w:rtl w:val="0"/>
        </w:rPr>
        <w:t xml:space="preserve">Table 1: Personal Development Plan (PDP)</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06"/>
        <w:gridCol w:w="1540"/>
        <w:gridCol w:w="1621"/>
        <w:gridCol w:w="1621"/>
        <w:gridCol w:w="1223"/>
        <w:gridCol w:w="1505"/>
        <w:tblGridChange w:id="0">
          <w:tblGrid>
            <w:gridCol w:w="1506"/>
            <w:gridCol w:w="1540"/>
            <w:gridCol w:w="1621"/>
            <w:gridCol w:w="1621"/>
            <w:gridCol w:w="1223"/>
            <w:gridCol w:w="1505"/>
          </w:tblGrid>
        </w:tblGridChange>
      </w:tblGrid>
      <w:tr>
        <w:trPr>
          <w:cantSplit w:val="0"/>
          <w:tblHeader w:val="0"/>
        </w:trPr>
        <w:tc>
          <w:tcPr/>
          <w:p w:rsidR="00000000" w:rsidDel="00000000" w:rsidP="00000000" w:rsidRDefault="00000000" w:rsidRPr="00000000" w14:paraId="00000029">
            <w:pPr>
              <w:jc w:val="both"/>
              <w:rPr>
                <w:rFonts w:ascii="Arial" w:cs="Arial" w:eastAsia="Arial" w:hAnsi="Arial"/>
                <w:b w:val="1"/>
                <w:bCs w:val="1"/>
              </w:rPr>
            </w:pPr>
            <w:r w:rsidDel="00000000" w:rsidR="00000000" w:rsidRPr="00000000">
              <w:rPr>
                <w:rFonts w:ascii="Arial" w:cs="Arial" w:eastAsia="Arial" w:hAnsi="Arial"/>
                <w:b w:val="1"/>
                <w:bCs w:val="1"/>
                <w:rtl w:val="0"/>
              </w:rPr>
              <w:t xml:space="preserve">Skill to develop</w:t>
            </w:r>
          </w:p>
        </w:tc>
        <w:tc>
          <w:tcPr/>
          <w:p w:rsidR="00000000" w:rsidDel="00000000" w:rsidP="00000000" w:rsidRDefault="00000000" w:rsidRPr="00000000" w14:paraId="0000002A">
            <w:pPr>
              <w:jc w:val="both"/>
              <w:rPr>
                <w:rFonts w:ascii="Arial" w:cs="Arial" w:eastAsia="Arial" w:hAnsi="Arial"/>
                <w:b w:val="1"/>
                <w:bCs w:val="1"/>
              </w:rPr>
            </w:pPr>
            <w:r w:rsidDel="00000000" w:rsidR="00000000" w:rsidRPr="00000000">
              <w:rPr>
                <w:rFonts w:ascii="Arial" w:cs="Arial" w:eastAsia="Arial" w:hAnsi="Arial"/>
                <w:b w:val="1"/>
                <w:bCs w:val="1"/>
                <w:rtl w:val="0"/>
              </w:rPr>
              <w:t xml:space="preserve">Current position</w:t>
            </w:r>
          </w:p>
        </w:tc>
        <w:tc>
          <w:tcPr/>
          <w:p w:rsidR="00000000" w:rsidDel="00000000" w:rsidP="00000000" w:rsidRDefault="00000000" w:rsidRPr="00000000" w14:paraId="0000002B">
            <w:pPr>
              <w:jc w:val="both"/>
              <w:rPr>
                <w:rFonts w:ascii="Arial" w:cs="Arial" w:eastAsia="Arial" w:hAnsi="Arial"/>
                <w:b w:val="1"/>
                <w:bCs w:val="1"/>
              </w:rPr>
            </w:pPr>
            <w:r w:rsidDel="00000000" w:rsidR="00000000" w:rsidRPr="00000000">
              <w:rPr>
                <w:rFonts w:ascii="Arial" w:cs="Arial" w:eastAsia="Arial" w:hAnsi="Arial"/>
                <w:b w:val="1"/>
                <w:bCs w:val="1"/>
                <w:rtl w:val="0"/>
              </w:rPr>
              <w:t xml:space="preserve">SMART goal</w:t>
            </w:r>
          </w:p>
        </w:tc>
        <w:tc>
          <w:tcPr/>
          <w:p w:rsidR="00000000" w:rsidDel="00000000" w:rsidP="00000000" w:rsidRDefault="00000000" w:rsidRPr="00000000" w14:paraId="0000002C">
            <w:pPr>
              <w:jc w:val="both"/>
              <w:rPr>
                <w:rFonts w:ascii="Arial" w:cs="Arial" w:eastAsia="Arial" w:hAnsi="Arial"/>
                <w:b w:val="1"/>
                <w:bCs w:val="1"/>
              </w:rPr>
            </w:pPr>
            <w:r w:rsidDel="00000000" w:rsidR="00000000" w:rsidRPr="00000000">
              <w:rPr>
                <w:rFonts w:ascii="Arial" w:cs="Arial" w:eastAsia="Arial" w:hAnsi="Arial"/>
                <w:b w:val="1"/>
                <w:bCs w:val="1"/>
                <w:rtl w:val="0"/>
              </w:rPr>
              <w:t xml:space="preserve">Key actions and resources</w:t>
            </w:r>
          </w:p>
        </w:tc>
        <w:tc>
          <w:tcPr/>
          <w:p w:rsidR="00000000" w:rsidDel="00000000" w:rsidP="00000000" w:rsidRDefault="00000000" w:rsidRPr="00000000" w14:paraId="0000002D">
            <w:pPr>
              <w:jc w:val="both"/>
              <w:rPr>
                <w:rFonts w:ascii="Arial" w:cs="Arial" w:eastAsia="Arial" w:hAnsi="Arial"/>
                <w:b w:val="1"/>
                <w:bCs w:val="1"/>
              </w:rPr>
            </w:pPr>
            <w:r w:rsidDel="00000000" w:rsidR="00000000" w:rsidRPr="00000000">
              <w:rPr>
                <w:rFonts w:ascii="Arial" w:cs="Arial" w:eastAsia="Arial" w:hAnsi="Arial"/>
                <w:b w:val="1"/>
                <w:bCs w:val="1"/>
                <w:rtl w:val="0"/>
              </w:rPr>
              <w:t xml:space="preserve">Timescale</w:t>
            </w:r>
          </w:p>
        </w:tc>
        <w:tc>
          <w:tcPr/>
          <w:p w:rsidR="00000000" w:rsidDel="00000000" w:rsidP="00000000" w:rsidRDefault="00000000" w:rsidRPr="00000000" w14:paraId="0000002E">
            <w:pPr>
              <w:jc w:val="both"/>
              <w:rPr>
                <w:rFonts w:ascii="Arial" w:cs="Arial" w:eastAsia="Arial" w:hAnsi="Arial"/>
                <w:b w:val="1"/>
                <w:bCs w:val="1"/>
              </w:rPr>
            </w:pPr>
            <w:r w:rsidDel="00000000" w:rsidR="00000000" w:rsidRPr="00000000">
              <w:rPr>
                <w:rFonts w:ascii="Arial" w:cs="Arial" w:eastAsia="Arial" w:hAnsi="Arial"/>
                <w:b w:val="1"/>
                <w:bCs w:val="1"/>
                <w:rtl w:val="0"/>
              </w:rPr>
              <w:t xml:space="preserve">Evidence of achievement</w:t>
            </w:r>
          </w:p>
        </w:tc>
      </w:tr>
      <w:tr>
        <w:trPr>
          <w:cantSplit w:val="0"/>
          <w:tblHeader w:val="0"/>
        </w:trPr>
        <w:tc>
          <w:tcPr/>
          <w:p w:rsidR="00000000" w:rsidDel="00000000" w:rsidP="00000000" w:rsidRDefault="00000000" w:rsidRPr="00000000" w14:paraId="0000002F">
            <w:pPr>
              <w:jc w:val="both"/>
              <w:rPr>
                <w:rFonts w:ascii="Arial" w:cs="Arial" w:eastAsia="Arial" w:hAnsi="Arial"/>
              </w:rPr>
            </w:pPr>
            <w:r w:rsidDel="00000000" w:rsidR="00000000" w:rsidRPr="00000000">
              <w:rPr>
                <w:rFonts w:ascii="Arial" w:cs="Arial" w:eastAsia="Arial" w:hAnsi="Arial"/>
                <w:rtl w:val="0"/>
              </w:rPr>
              <w:t xml:space="preserve">Medicines management and numeracy</w:t>
            </w:r>
          </w:p>
        </w:tc>
        <w:tc>
          <w:tcPr/>
          <w:p w:rsidR="00000000" w:rsidDel="00000000" w:rsidP="00000000" w:rsidRDefault="00000000" w:rsidRPr="00000000" w14:paraId="00000030">
            <w:pPr>
              <w:jc w:val="both"/>
              <w:rPr>
                <w:rFonts w:ascii="Arial" w:cs="Arial" w:eastAsia="Arial" w:hAnsi="Arial"/>
              </w:rPr>
            </w:pPr>
            <w:r w:rsidDel="00000000" w:rsidR="00000000" w:rsidRPr="00000000">
              <w:rPr>
                <w:rFonts w:ascii="Arial" w:cs="Arial" w:eastAsia="Arial" w:hAnsi="Arial"/>
                <w:rtl w:val="0"/>
              </w:rPr>
              <w:t xml:space="preserve">Basic understanding from college but limited practice</w:t>
            </w:r>
          </w:p>
        </w:tc>
        <w:tc>
          <w:tcPr/>
          <w:p w:rsidR="00000000" w:rsidDel="00000000" w:rsidP="00000000" w:rsidRDefault="00000000" w:rsidRPr="00000000" w14:paraId="00000031">
            <w:pPr>
              <w:jc w:val="both"/>
              <w:rPr>
                <w:rFonts w:ascii="Arial" w:cs="Arial" w:eastAsia="Arial" w:hAnsi="Arial"/>
              </w:rPr>
            </w:pPr>
            <w:r w:rsidDel="00000000" w:rsidR="00000000" w:rsidRPr="00000000">
              <w:rPr>
                <w:rFonts w:ascii="Arial" w:cs="Arial" w:eastAsia="Arial" w:hAnsi="Arial"/>
                <w:rtl w:val="0"/>
              </w:rPr>
              <w:t xml:space="preserve">Within 6 months, improve drug calculation accuracy and knowledge of common ward medicines</w:t>
            </w:r>
          </w:p>
        </w:tc>
        <w:tc>
          <w:tcPr/>
          <w:p w:rsidR="00000000" w:rsidDel="00000000" w:rsidP="00000000" w:rsidRDefault="00000000" w:rsidRPr="00000000" w14:paraId="00000032">
            <w:pPr>
              <w:jc w:val="both"/>
              <w:rPr>
                <w:rFonts w:ascii="Arial" w:cs="Arial" w:eastAsia="Arial" w:hAnsi="Arial"/>
              </w:rPr>
            </w:pPr>
            <w:r w:rsidDel="00000000" w:rsidR="00000000" w:rsidRPr="00000000">
              <w:rPr>
                <w:rFonts w:ascii="Arial" w:cs="Arial" w:eastAsia="Arial" w:hAnsi="Arial"/>
                <w:rtl w:val="0"/>
              </w:rPr>
              <w:t xml:space="preserve">Attend medicines management workshops; complete online modules; practise calculations weekly; observe medication rounds with supervision</w:t>
            </w:r>
          </w:p>
        </w:tc>
        <w:tc>
          <w:tcPr/>
          <w:p w:rsidR="00000000" w:rsidDel="00000000" w:rsidP="00000000" w:rsidRDefault="00000000" w:rsidRPr="00000000" w14:paraId="00000033">
            <w:pPr>
              <w:jc w:val="both"/>
              <w:rPr>
                <w:rFonts w:ascii="Arial" w:cs="Arial" w:eastAsia="Arial" w:hAnsi="Arial"/>
              </w:rPr>
            </w:pPr>
            <w:r w:rsidDel="00000000" w:rsidR="00000000" w:rsidRPr="00000000">
              <w:rPr>
                <w:rFonts w:ascii="Arial" w:cs="Arial" w:eastAsia="Arial" w:hAnsi="Arial"/>
                <w:rtl w:val="0"/>
              </w:rPr>
              <w:t xml:space="preserve">6 months</w:t>
            </w:r>
          </w:p>
        </w:tc>
        <w:tc>
          <w:tcPr/>
          <w:p w:rsidR="00000000" w:rsidDel="00000000" w:rsidP="00000000" w:rsidRDefault="00000000" w:rsidRPr="00000000" w14:paraId="00000034">
            <w:pPr>
              <w:jc w:val="both"/>
              <w:rPr>
                <w:rFonts w:ascii="Arial" w:cs="Arial" w:eastAsia="Arial" w:hAnsi="Arial"/>
              </w:rPr>
            </w:pPr>
            <w:r w:rsidDel="00000000" w:rsidR="00000000" w:rsidRPr="00000000">
              <w:rPr>
                <w:rFonts w:ascii="Arial" w:cs="Arial" w:eastAsia="Arial" w:hAnsi="Arial"/>
                <w:rtl w:val="0"/>
              </w:rPr>
              <w:t xml:space="preserve">90%+ in mock drug calculations; reflective log; positive mentor feedback</w:t>
            </w:r>
          </w:p>
        </w:tc>
      </w:tr>
      <w:tr>
        <w:trPr>
          <w:cantSplit w:val="0"/>
          <w:tblHeader w:val="0"/>
        </w:trPr>
        <w:tc>
          <w:tcPr/>
          <w:p w:rsidR="00000000" w:rsidDel="00000000" w:rsidP="00000000" w:rsidRDefault="00000000" w:rsidRPr="00000000" w14:paraId="00000035">
            <w:pPr>
              <w:jc w:val="both"/>
              <w:rPr>
                <w:rFonts w:ascii="Arial" w:cs="Arial" w:eastAsia="Arial" w:hAnsi="Arial"/>
              </w:rPr>
            </w:pPr>
            <w:r w:rsidDel="00000000" w:rsidR="00000000" w:rsidRPr="00000000">
              <w:rPr>
                <w:rFonts w:ascii="Arial" w:cs="Arial" w:eastAsia="Arial" w:hAnsi="Arial"/>
                <w:rtl w:val="0"/>
              </w:rPr>
              <w:t xml:space="preserve">Managing complex and deteriorating patients</w:t>
            </w:r>
          </w:p>
        </w:tc>
        <w:tc>
          <w:tcPr/>
          <w:p w:rsidR="00000000" w:rsidDel="00000000" w:rsidP="00000000" w:rsidRDefault="00000000" w:rsidRPr="00000000" w14:paraId="00000036">
            <w:pPr>
              <w:jc w:val="both"/>
              <w:rPr>
                <w:rFonts w:ascii="Arial" w:cs="Arial" w:eastAsia="Arial" w:hAnsi="Arial"/>
              </w:rPr>
            </w:pPr>
            <w:r w:rsidDel="00000000" w:rsidR="00000000" w:rsidRPr="00000000">
              <w:rPr>
                <w:rFonts w:ascii="Arial" w:cs="Arial" w:eastAsia="Arial" w:hAnsi="Arial"/>
                <w:rtl w:val="0"/>
              </w:rPr>
              <w:t xml:space="preserve">Confident with stable patients but less experienced with deterioration</w:t>
            </w:r>
          </w:p>
        </w:tc>
        <w:tc>
          <w:tcPr/>
          <w:p w:rsidR="00000000" w:rsidDel="00000000" w:rsidP="00000000" w:rsidRDefault="00000000" w:rsidRPr="00000000" w14:paraId="00000037">
            <w:pPr>
              <w:jc w:val="both"/>
              <w:rPr>
                <w:rFonts w:ascii="Arial" w:cs="Arial" w:eastAsia="Arial" w:hAnsi="Arial"/>
              </w:rPr>
            </w:pPr>
            <w:r w:rsidDel="00000000" w:rsidR="00000000" w:rsidRPr="00000000">
              <w:rPr>
                <w:rFonts w:ascii="Arial" w:cs="Arial" w:eastAsia="Arial" w:hAnsi="Arial"/>
                <w:rtl w:val="0"/>
              </w:rPr>
              <w:t xml:space="preserve">Over the next 9 months, develop confidence in recognising and escalating deterioration using early warning scores</w:t>
            </w:r>
          </w:p>
        </w:tc>
        <w:tc>
          <w:tcPr/>
          <w:p w:rsidR="00000000" w:rsidDel="00000000" w:rsidP="00000000" w:rsidRDefault="00000000" w:rsidRPr="00000000" w14:paraId="00000038">
            <w:pPr>
              <w:jc w:val="both"/>
              <w:rPr>
                <w:rFonts w:ascii="Arial" w:cs="Arial" w:eastAsia="Arial" w:hAnsi="Arial"/>
              </w:rPr>
            </w:pPr>
            <w:r w:rsidDel="00000000" w:rsidR="00000000" w:rsidRPr="00000000">
              <w:rPr>
                <w:rFonts w:ascii="Arial" w:cs="Arial" w:eastAsia="Arial" w:hAnsi="Arial"/>
                <w:rtl w:val="0"/>
              </w:rPr>
              <w:t xml:space="preserve">Shadow experienced nurses during busy shifts; practise using NEWS2 charts; join simulation sessions; review case studies</w:t>
            </w:r>
          </w:p>
        </w:tc>
        <w:tc>
          <w:tcPr/>
          <w:p w:rsidR="00000000" w:rsidDel="00000000" w:rsidP="00000000" w:rsidRDefault="00000000" w:rsidRPr="00000000" w14:paraId="00000039">
            <w:pPr>
              <w:jc w:val="both"/>
              <w:rPr>
                <w:rFonts w:ascii="Arial" w:cs="Arial" w:eastAsia="Arial" w:hAnsi="Arial"/>
              </w:rPr>
            </w:pPr>
            <w:r w:rsidDel="00000000" w:rsidR="00000000" w:rsidRPr="00000000">
              <w:rPr>
                <w:rFonts w:ascii="Arial" w:cs="Arial" w:eastAsia="Arial" w:hAnsi="Arial"/>
                <w:rtl w:val="0"/>
              </w:rPr>
              <w:t xml:space="preserve">9 months</w:t>
            </w:r>
          </w:p>
        </w:tc>
        <w:tc>
          <w:tcPr/>
          <w:p w:rsidR="00000000" w:rsidDel="00000000" w:rsidP="00000000" w:rsidRDefault="00000000" w:rsidRPr="00000000" w14:paraId="0000003A">
            <w:pPr>
              <w:jc w:val="both"/>
              <w:rPr>
                <w:rFonts w:ascii="Arial" w:cs="Arial" w:eastAsia="Arial" w:hAnsi="Arial"/>
              </w:rPr>
            </w:pPr>
            <w:r w:rsidDel="00000000" w:rsidR="00000000" w:rsidRPr="00000000">
              <w:rPr>
                <w:rFonts w:ascii="Arial" w:cs="Arial" w:eastAsia="Arial" w:hAnsi="Arial"/>
                <w:rtl w:val="0"/>
              </w:rPr>
              <w:t xml:space="preserve">Mentor sign-off; successful simulation; reflection showing appropriate escalation</w:t>
            </w:r>
          </w:p>
        </w:tc>
      </w:tr>
      <w:tr>
        <w:trPr>
          <w:cantSplit w:val="0"/>
          <w:tblHeader w:val="0"/>
        </w:trPr>
        <w:tc>
          <w:tcPr/>
          <w:p w:rsidR="00000000" w:rsidDel="00000000" w:rsidP="00000000" w:rsidRDefault="00000000" w:rsidRPr="00000000" w14:paraId="0000003B">
            <w:pPr>
              <w:jc w:val="both"/>
              <w:rPr>
                <w:rFonts w:ascii="Arial" w:cs="Arial" w:eastAsia="Arial" w:hAnsi="Arial"/>
              </w:rPr>
            </w:pPr>
            <w:r w:rsidDel="00000000" w:rsidR="00000000" w:rsidRPr="00000000">
              <w:rPr>
                <w:rFonts w:ascii="Arial" w:cs="Arial" w:eastAsia="Arial" w:hAnsi="Arial"/>
                <w:rtl w:val="0"/>
              </w:rPr>
              <w:t xml:space="preserve">Confidence in difficult conversations</w:t>
            </w:r>
          </w:p>
        </w:tc>
        <w:tc>
          <w:tcPr/>
          <w:p w:rsidR="00000000" w:rsidDel="00000000" w:rsidP="00000000" w:rsidRDefault="00000000" w:rsidRPr="00000000" w14:paraId="0000003C">
            <w:pPr>
              <w:jc w:val="both"/>
              <w:rPr>
                <w:rFonts w:ascii="Arial" w:cs="Arial" w:eastAsia="Arial" w:hAnsi="Arial"/>
              </w:rPr>
            </w:pPr>
            <w:r w:rsidDel="00000000" w:rsidR="00000000" w:rsidRPr="00000000">
              <w:rPr>
                <w:rFonts w:ascii="Arial" w:cs="Arial" w:eastAsia="Arial" w:hAnsi="Arial"/>
                <w:rtl w:val="0"/>
              </w:rPr>
              <w:t xml:space="preserve">Can feel anxious with upset relatives or when challenging unsafe practice</w:t>
            </w:r>
          </w:p>
        </w:tc>
        <w:tc>
          <w:tcPr/>
          <w:p w:rsidR="00000000" w:rsidDel="00000000" w:rsidP="00000000" w:rsidRDefault="00000000" w:rsidRPr="00000000" w14:paraId="0000003D">
            <w:pPr>
              <w:jc w:val="both"/>
              <w:rPr>
                <w:rFonts w:ascii="Arial" w:cs="Arial" w:eastAsia="Arial" w:hAnsi="Arial"/>
              </w:rPr>
            </w:pPr>
            <w:r w:rsidDel="00000000" w:rsidR="00000000" w:rsidRPr="00000000">
              <w:rPr>
                <w:rFonts w:ascii="Arial" w:cs="Arial" w:eastAsia="Arial" w:hAnsi="Arial"/>
                <w:rtl w:val="0"/>
              </w:rPr>
              <w:t xml:space="preserve">Within 12 months, handle difficult conversations using assertive but respectful communication</w:t>
            </w:r>
          </w:p>
        </w:tc>
        <w:tc>
          <w:tcPr/>
          <w:p w:rsidR="00000000" w:rsidDel="00000000" w:rsidP="00000000" w:rsidRDefault="00000000" w:rsidRPr="00000000" w14:paraId="0000003E">
            <w:pPr>
              <w:jc w:val="both"/>
              <w:rPr>
                <w:rFonts w:ascii="Arial" w:cs="Arial" w:eastAsia="Arial" w:hAnsi="Arial"/>
              </w:rPr>
            </w:pPr>
            <w:r w:rsidDel="00000000" w:rsidR="00000000" w:rsidRPr="00000000">
              <w:rPr>
                <w:rFonts w:ascii="Arial" w:cs="Arial" w:eastAsia="Arial" w:hAnsi="Arial"/>
                <w:rtl w:val="0"/>
              </w:rPr>
              <w:t xml:space="preserve">Attend communication skills training; role-play scenarios with peers; seek feedback from supervisors; use SBAR to structure handovers</w:t>
            </w:r>
          </w:p>
        </w:tc>
        <w:tc>
          <w:tcPr/>
          <w:p w:rsidR="00000000" w:rsidDel="00000000" w:rsidP="00000000" w:rsidRDefault="00000000" w:rsidRPr="00000000" w14:paraId="0000003F">
            <w:pPr>
              <w:jc w:val="both"/>
              <w:rPr>
                <w:rFonts w:ascii="Arial" w:cs="Arial" w:eastAsia="Arial" w:hAnsi="Arial"/>
              </w:rPr>
            </w:pPr>
            <w:r w:rsidDel="00000000" w:rsidR="00000000" w:rsidRPr="00000000">
              <w:rPr>
                <w:rFonts w:ascii="Arial" w:cs="Arial" w:eastAsia="Arial" w:hAnsi="Arial"/>
                <w:rtl w:val="0"/>
              </w:rPr>
              <w:t xml:space="preserve">12 months</w:t>
            </w:r>
          </w:p>
        </w:tc>
        <w:tc>
          <w:tcPr/>
          <w:p w:rsidR="00000000" w:rsidDel="00000000" w:rsidP="00000000" w:rsidRDefault="00000000" w:rsidRPr="00000000" w14:paraId="00000040">
            <w:pPr>
              <w:jc w:val="both"/>
              <w:rPr>
                <w:rFonts w:ascii="Arial" w:cs="Arial" w:eastAsia="Arial" w:hAnsi="Arial"/>
              </w:rPr>
            </w:pPr>
            <w:r w:rsidDel="00000000" w:rsidR="00000000" w:rsidRPr="00000000">
              <w:rPr>
                <w:rFonts w:ascii="Arial" w:cs="Arial" w:eastAsia="Arial" w:hAnsi="Arial"/>
                <w:rtl w:val="0"/>
              </w:rPr>
              <w:t xml:space="preserve">Feedback from mentors; self-evaluation; reflections on managing challenging conversations</w:t>
            </w:r>
          </w:p>
        </w:tc>
      </w:tr>
    </w:tbl>
    <w:p w:rsidR="00000000" w:rsidDel="00000000" w:rsidP="00000000" w:rsidRDefault="00000000" w:rsidRPr="00000000" w14:paraId="00000041">
      <w:pPr>
        <w:jc w:val="both"/>
        <w:rPr>
          <w:rFonts w:ascii="Arial" w:cs="Arial" w:eastAsia="Arial" w:hAnsi="Arial"/>
        </w:rPr>
      </w:pPr>
      <w:r w:rsidDel="00000000" w:rsidR="00000000" w:rsidRPr="00000000">
        <w:rPr>
          <w:rtl w:val="0"/>
        </w:rPr>
      </w:r>
    </w:p>
    <w:p w:rsidR="00000000" w:rsidDel="00000000" w:rsidP="00000000" w:rsidRDefault="00000000" w:rsidRPr="00000000" w14:paraId="00000042">
      <w:pPr>
        <w:jc w:val="both"/>
        <w:rPr>
          <w:rFonts w:ascii="Arial" w:cs="Arial" w:eastAsia="Arial" w:hAnsi="Arial"/>
          <w:b w:val="1"/>
          <w:bCs w:val="1"/>
        </w:rPr>
      </w:pPr>
      <w:r w:rsidDel="00000000" w:rsidR="00000000" w:rsidRPr="00000000">
        <w:rPr>
          <w:rFonts w:ascii="Arial" w:cs="Arial" w:eastAsia="Arial" w:hAnsi="Arial"/>
          <w:b w:val="1"/>
          <w:bCs w:val="1"/>
          <w:rtl w:val="0"/>
        </w:rPr>
        <w:t xml:space="preserve">Possible Interview Questions and How I Would Respond</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Can you tell us about a time you worked effectively in a team to support patient care?</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 example of a placement scenario would be when the ward became busy due to a new admission. My coordination with a healthcare assistant was also to make sure the observations were made as I informed the nurse in charge and updated the notes. This demonstrated the quality of communication and the exchange of tasks ensured that all patients were treated safely and I learned some valuable lessons about prioritisation and collaboration in the team.</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How would you deal with a situation where you noticed a potential medication error?</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Patient safety comes first. I would stop and double-check the prescription, patient identity and drug details. If I still had concerns, I would immediately escalate to the nurse in charge or prescriber and follow local policy, including incident reporting if needed. Afterwards I would reflect on how to prevent similar risks through better checks or communication.</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What do you do to ensure you keep your knowledge and skills up to date?</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am committed to lifelong learning, including attending teaching sessions, reading current guidelines and using e-learning modules. I keep a learning portfolio, seek feedback from mentors after placements and set personal goals as part of supervision and appraisal. As a registered nurse I would also follow my professional code and meet continuing professional development requirements.</w:t>
      </w:r>
    </w:p>
    <w:p w:rsidR="00000000" w:rsidDel="00000000" w:rsidP="00000000" w:rsidRDefault="00000000" w:rsidRPr="00000000" w14:paraId="00000049">
      <w:pPr>
        <w:jc w:val="both"/>
        <w:rPr>
          <w:rFonts w:ascii="Arial" w:cs="Arial" w:eastAsia="Arial" w:hAnsi="Arial"/>
        </w:rPr>
      </w:pPr>
      <w:r w:rsidDel="00000000" w:rsidR="00000000" w:rsidRPr="00000000">
        <w:rPr>
          <w:rtl w:val="0"/>
        </w:rPr>
      </w:r>
    </w:p>
    <w:p w:rsidR="00000000" w:rsidDel="00000000" w:rsidP="00000000" w:rsidRDefault="00000000" w:rsidRPr="00000000" w14:paraId="0000004A">
      <w:pPr>
        <w:jc w:val="both"/>
        <w:rPr>
          <w:rFonts w:ascii="Arial" w:cs="Arial" w:eastAsia="Arial" w:hAnsi="Arial"/>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2: Academic Report – Therapeutic Communication as a Key Skill in Adult Nursing</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The Importance of Therapeutic Communication in Adult Nursing</w:t>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Therapeutic communication is a core skill for staff in health care, and is especially important in the role of the adult staff nurse. It can be defined as the purposeful use of verbal and non-verbal communication, active listening and empathy to support understanding, promote trust and reduce distress. In busy environments where patients may feel frightened, in pain or confused, effective communication is essential to ensure that care is safe, person-centred and respectful (Khoir, 2020).</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Therapeutic communication involves several interrelated components. First, clear verbal communication is needed so that information about diagnosis, treatment and consent is understandable. This includes using plain language, avoiding jargon and checking the patient’s understanding by asking them to repeat or summarise key points (Howard, Jacobson and Kripalani, 2013). Second, non-verbal skills such as eye contact, open body posture and appropriate touch can convey warmth and interest, or, if poorly used, can signal impatience and disrespect. Third, active listening enables nurses to understand the patient’s concerns, preferences and values. Techniques such as minimal encouragers, reflection and summarising help patients feel heard and involved in decisions about their care (Khoir, 2020).</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competence is essential in developing therapeutic relationships. Patients are more willing to share sensitive information or ask questions and present early signs of deterioration when they feel that the staff listens and is able to explain everything. This enhances the assessment and care planning because the nurses are able to recognize the psychological and social needs and physical symptoms. Shared decision-making is also supported by good communication in which patients are collaborators in the planning of their treatment but not mere consumers (Chung and Jung, 2024).</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Therapeutic communication directly influences the safety and clinical outcomes of patients. Easy instructions regarding medication, processes and discharge arrangements enhance compliance with therapy and minimise mistakes at the household. The possibility of important information being lost during handovers or multidisciplinary teams is lowered by accurate and timely communication between professionals, such as during handovers or multidisciplinary meetings. Formalized methods like SBAR (Situation, Background, Assessment, Recommendation) can be used to assist nurses to raise the alarm about the worsening patients in a succinct and assertive manner. Poor communication, by contrast, has been implicated in incidents where patients receive the wrong medicine, do not understand follow-up instructions or feel too anxious to report new symptoms (Nilsson, Edvardsson and Rushton, 2018; Yun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2023).</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Professional and ethical standards in health care also emphasise communication. Codes of conduct require nurses to treat people as individuals, respect their dignity and maintain confidentiality. These duties cannot be met if staff fail to listen, use disrespectful language or share information carelessly (Gallagher, 2004). Therapeutic communication helps staff to discuss sensitive topics, such as breaking bad news or exploring end-of-life preferences, with compassion and honesty. It is also important when dealing with relatives, who may feel distressed or angry, and when working with vulnerable groups who have additional communication needs, such as people with learning disabilities or language barriers (Khoir, 2020).</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Because of its central importance, therapeutic communication must be developed through education and reflective practice. Classroom teaching can introduce theory and models, but skills are strengthened through simulated scenarios, supervised practice in clinical placements and feedback from mentors, peers and patients. Reflective tools encourage nurses to analyse challenging interactions, recognise their own emotional responses and plan how to respond more effectively in future. Ongoing development in communication is needed to ensure that adult nursing practice remains safe, compassionate and person-centred (Sherwood, 2024).</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summary, therapeutic communication is a key skill for adult nurses that underpins safe practice, patient experience and professional standards. It enables accurate assessment, shared decision-making, effective teamwork and respectful relationships with patients and families. For these reasons, employers consistently identify communication as a core requirement, and it should remain a central focus of training and development for anyone preparing to work in health care.</w:t>
      </w:r>
    </w:p>
    <w:p w:rsidR="00000000" w:rsidDel="00000000" w:rsidP="00000000" w:rsidRDefault="00000000" w:rsidRPr="00000000" w14:paraId="00000054">
      <w:pPr>
        <w:jc w:val="both"/>
        <w:rPr>
          <w:rFonts w:ascii="Arial" w:cs="Arial" w:eastAsia="Arial" w:hAnsi="Arial"/>
        </w:rPr>
      </w:pPr>
      <w:r w:rsidDel="00000000" w:rsidR="00000000" w:rsidRPr="00000000">
        <w:rPr>
          <w:rtl w:val="0"/>
        </w:rPr>
      </w:r>
    </w:p>
    <w:p w:rsidR="00000000" w:rsidDel="00000000" w:rsidP="00000000" w:rsidRDefault="00000000" w:rsidRPr="00000000" w14:paraId="00000055">
      <w:pPr>
        <w:jc w:val="both"/>
        <w:rPr>
          <w:rFonts w:ascii="Arial" w:cs="Arial" w:eastAsia="Arial" w:hAnsi="Arial"/>
        </w:rPr>
      </w:pPr>
      <w:r w:rsidDel="00000000" w:rsidR="00000000" w:rsidRPr="00000000">
        <w:rPr>
          <w:rtl w:val="0"/>
        </w:rPr>
      </w:r>
    </w:p>
    <w:p w:rsidR="00000000" w:rsidDel="00000000" w:rsidP="00000000" w:rsidRDefault="00000000" w:rsidRPr="00000000" w14:paraId="00000056">
      <w:pPr>
        <w:jc w:val="both"/>
        <w:rPr>
          <w:rFonts w:ascii="Arial" w:cs="Arial" w:eastAsia="Arial" w:hAnsi="Arial"/>
        </w:rPr>
      </w:pPr>
      <w:r w:rsidDel="00000000" w:rsidR="00000000" w:rsidRPr="00000000">
        <w:rPr>
          <w:rtl w:val="0"/>
        </w:rPr>
      </w:r>
    </w:p>
    <w:p w:rsidR="00000000" w:rsidDel="00000000" w:rsidP="00000000" w:rsidRDefault="00000000" w:rsidRPr="00000000" w14:paraId="00000057">
      <w:pPr>
        <w:jc w:val="both"/>
        <w:rPr>
          <w:rFonts w:ascii="Arial" w:cs="Arial" w:eastAsia="Arial" w:hAnsi="Arial"/>
        </w:rPr>
      </w:pPr>
      <w:r w:rsidDel="00000000" w:rsidR="00000000" w:rsidRPr="00000000">
        <w:rPr>
          <w:rtl w:val="0"/>
        </w:rPr>
      </w:r>
    </w:p>
    <w:p w:rsidR="00000000" w:rsidDel="00000000" w:rsidP="00000000" w:rsidRDefault="00000000" w:rsidRPr="00000000" w14:paraId="00000058">
      <w:pPr>
        <w:jc w:val="both"/>
        <w:rPr>
          <w:rFonts w:ascii="Arial" w:cs="Arial" w:eastAsia="Arial" w:hAnsi="Arial"/>
        </w:rPr>
      </w:pPr>
      <w:r w:rsidDel="00000000" w:rsidR="00000000" w:rsidRPr="00000000">
        <w:rPr>
          <w:rtl w:val="0"/>
        </w:rPr>
      </w:r>
    </w:p>
    <w:p w:rsidR="00000000" w:rsidDel="00000000" w:rsidP="00000000" w:rsidRDefault="00000000" w:rsidRPr="00000000" w14:paraId="00000059">
      <w:pPr>
        <w:jc w:val="both"/>
        <w:rPr>
          <w:rFonts w:ascii="Arial" w:cs="Arial" w:eastAsia="Arial" w:hAnsi="Arial"/>
        </w:rPr>
      </w:pPr>
      <w:r w:rsidDel="00000000" w:rsidR="00000000" w:rsidRPr="00000000">
        <w:rPr>
          <w:rtl w:val="0"/>
        </w:rPr>
      </w:r>
    </w:p>
    <w:p w:rsidR="00000000" w:rsidDel="00000000" w:rsidP="00000000" w:rsidRDefault="00000000" w:rsidRPr="00000000" w14:paraId="0000005A">
      <w:pPr>
        <w:jc w:val="both"/>
        <w:rPr>
          <w:rFonts w:ascii="Arial" w:cs="Arial" w:eastAsia="Arial" w:hAnsi="Arial"/>
          <w:b w:val="1"/>
          <w:bCs w:val="1"/>
        </w:rPr>
      </w:pPr>
      <w:r w:rsidDel="00000000" w:rsidR="00000000" w:rsidRPr="00000000">
        <w:rPr>
          <w:rFonts w:ascii="Arial" w:cs="Arial" w:eastAsia="Arial" w:hAnsi="Arial"/>
          <w:b w:val="1"/>
          <w:bCs w:val="1"/>
          <w:rtl w:val="0"/>
        </w:rPr>
        <w:t xml:space="preserve">References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Brandt, S.K., Essig, S. and Balthasar, A. (2025) ‘Health professionals’ willingness to share responsibility and strengthen interprofessional collaboration: a cross-sectional survey’,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Medical Education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25(1). doi:https://doi.org/10.1186/s12909-024-06351-9.</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Chung, J. and Jung, H. (2024) ‘Indicators of clinical deterioration in adult general ward patients from nurses’ perspectives: a mixed-methods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Nursing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23(1). doi:https://doi.org/10.1186/s12912-024-02531-6.</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Gaeeni, 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(2014) ‘Informational Support to Family Members of Intensive Care Unit Patients: The Perspectives of Families and Nurses’,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Global Journal of Health Science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7(2). doi:https://doi.org/10.5539/gjhs.v7n2p8.</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Gallagher, A. (2004) ‘Dignity and Respect for Dignity - Two Key Health Professional Values: implications for nursing Practice’,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Nursing Ethics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11(6), pp. 587–599. doi:https://doi.org/10.1191/0969733004ne744oa.</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Howard, T., Jacobson, K.L. and Kripalani, S. (2013) ‘Doctor Talk: Physicians’ Use of Clear Verbal Communication’,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Health Communication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18(8), pp. 991–1001. doi:https://doi.org/10.1080/10810730.2012.757398.</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Khoir, M. (2020) ‘Therapeutic communication skills of nurses in hospital’,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Nursing and Health Services (IJNHS)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3(2), pp. 686–694. doi:https://doi.org/10.35654/ijnhs.v3i2.197.</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Nilsson, A., Edvardsson, D. and Rushton, C. (2018) ‘Nurses’ descriptions of person</w:t>
      </w:r>
      <w:r w:rsidDel="00000000" w:rsidR="00000000" w:rsidRPr="00000000">
        <w:rPr>
          <w:rFonts w:ascii="Cambria Math" w:cs="Cambria Math" w:eastAsia="Cambria Math" w:hAnsi="Cambria Math"/>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centred care for older people in an acute medical ward </w:t>
      </w:r>
      <w:r w:rsidDel="00000000" w:rsidR="00000000" w:rsidRPr="00000000">
        <w:rPr>
          <w:rFonts w:ascii="Cambria Math" w:cs="Cambria Math" w:eastAsia="Cambria Math" w:hAnsi="Cambria Math"/>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 the individual, team and organizational levels’’,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Clinical Nursing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28(7-8), pp. 1251–1259. doi:https://doi.org/10.1111/jocn.14738.</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Sherwood, G. (2024) ‘Reflective Practice and Knowledge Development: Transforming Research for a Practice-Based Discipline’,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Nursing Sciences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11(4), pp. 399–404. doi:https://doi.org/10.1016/j.ijnss.2024.08.002.</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Yun, J.-M.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(2023) ‘Effectiveness of SBAR-based Simulation Programs for Nursing students: a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Medical Education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23(1). doi:https://doi.org/10.1186/s12909-023-04495-8.</w:t>
      </w:r>
    </w:p>
    <w:p w:rsidR="00000000" w:rsidDel="00000000" w:rsidP="00000000" w:rsidRDefault="00000000" w:rsidRPr="00000000" w14:paraId="00000064">
      <w:pPr>
        <w:jc w:val="both"/>
        <w:rPr>
          <w:rFonts w:ascii="Arial" w:cs="Arial" w:eastAsia="Arial" w:hAnsi="Arial"/>
          <w:b w:val="1"/>
          <w:bCs w:val="1"/>
        </w:rPr>
      </w:pPr>
      <w:r w:rsidDel="00000000" w:rsidR="00000000" w:rsidRPr="00000000">
        <w:rPr>
          <w:rtl w:val="0"/>
        </w:rPr>
      </w:r>
    </w:p>
    <w:sectPr>
      <w:footerReference r:id="rId7" w:type="default"/>
      <w:footerReference r:id="rId8"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Cambria Math">
    <w:embedRegular w:fontKey="{00000000-0000-0000-0000-000000000000}" r:id="rId3"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8"/>
      <w:szCs w:val="28"/>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C87A07"/>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C87A07"/>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C87A07"/>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61624"/>
    <w:rPr>
      <w:rFonts w:asciiTheme="majorBidi" w:cstheme="majorBidi" w:eastAsiaTheme="majorEastAsia" w:hAnsiTheme="majorBidi"/>
      <w:b w:val="1"/>
      <w:color w:val="0f4761" w:themeColor="accent1" w:themeShade="0000BF"/>
      <w:sz w:val="28"/>
      <w:szCs w:val="40"/>
    </w:rPr>
  </w:style>
  <w:style w:type="character" w:styleId="Heading2Char" w:customStyle="1">
    <w:name w:val="Heading 2 Char"/>
    <w:basedOn w:val="DefaultParagraphFont"/>
    <w:link w:val="Heading2"/>
    <w:uiPriority w:val="9"/>
    <w:rsid w:val="00FB6C67"/>
    <w:rPr>
      <w:rFonts w:asciiTheme="majorBidi" w:cstheme="majorBidi" w:eastAsiaTheme="majorEastAsia" w:hAnsiTheme="majorBidi"/>
      <w:b w:val="1"/>
      <w:color w:val="0f4761" w:themeColor="accent1" w:themeShade="0000BF"/>
      <w:szCs w:val="32"/>
    </w:rPr>
  </w:style>
  <w:style w:type="character" w:styleId="Heading3Char" w:customStyle="1">
    <w:name w:val="Heading 3 Char"/>
    <w:basedOn w:val="DefaultParagraphFont"/>
    <w:link w:val="Heading3"/>
    <w:uiPriority w:val="9"/>
    <w:rsid w:val="00BE4882"/>
    <w:rPr>
      <w:rFonts w:asciiTheme="majorBidi" w:cstheme="majorBidi" w:eastAsiaTheme="majorEastAsia" w:hAnsiTheme="majorBidi"/>
      <w:b w:val="1"/>
      <w:i w:val="1"/>
      <w:color w:val="0f4761" w:themeColor="accent1" w:themeShade="0000BF"/>
      <w:szCs w:val="28"/>
    </w:rPr>
  </w:style>
  <w:style w:type="character" w:styleId="Heading4Char" w:customStyle="1">
    <w:name w:val="Heading 4 Char"/>
    <w:basedOn w:val="DefaultParagraphFont"/>
    <w:link w:val="Heading4"/>
    <w:uiPriority w:val="9"/>
    <w:semiHidden w:val="1"/>
    <w:rsid w:val="00C87A07"/>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C87A07"/>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C87A07"/>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C87A07"/>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C87A07"/>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C87A07"/>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C87A07"/>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C87A07"/>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C87A07"/>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C87A07"/>
    <w:rPr>
      <w:rFonts w:asciiTheme="majorBidi" w:hAnsiTheme="majorBidi"/>
      <w:i w:val="1"/>
      <w:iCs w:val="1"/>
      <w:color w:val="404040" w:themeColor="text1" w:themeTint="0000BF"/>
    </w:rPr>
  </w:style>
  <w:style w:type="paragraph" w:styleId="ListParagraph">
    <w:name w:val="List Paragraph"/>
    <w:basedOn w:val="Normal"/>
    <w:uiPriority w:val="34"/>
    <w:qFormat w:val="1"/>
    <w:rsid w:val="00C87A07"/>
    <w:pPr>
      <w:ind w:left="720"/>
      <w:contextualSpacing w:val="1"/>
    </w:pPr>
  </w:style>
  <w:style w:type="character" w:styleId="IntenseEmphasis">
    <w:name w:val="Intense Emphasis"/>
    <w:basedOn w:val="DefaultParagraphFont"/>
    <w:uiPriority w:val="21"/>
    <w:qFormat w:val="1"/>
    <w:rsid w:val="00C87A07"/>
    <w:rPr>
      <w:i w:val="1"/>
      <w:iCs w:val="1"/>
      <w:color w:val="0f4761" w:themeColor="accent1" w:themeShade="0000BF"/>
    </w:rPr>
  </w:style>
  <w:style w:type="paragraph" w:styleId="IntenseQuote">
    <w:name w:val="Intense Quote"/>
    <w:basedOn w:val="Normal"/>
    <w:next w:val="Normal"/>
    <w:link w:val="IntenseQuoteChar"/>
    <w:uiPriority w:val="30"/>
    <w:qFormat w:val="1"/>
    <w:rsid w:val="00C87A07"/>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C87A07"/>
    <w:rPr>
      <w:rFonts w:asciiTheme="majorBidi" w:hAnsiTheme="majorBidi"/>
      <w:i w:val="1"/>
      <w:iCs w:val="1"/>
      <w:color w:val="0f4761" w:themeColor="accent1" w:themeShade="0000BF"/>
    </w:rPr>
  </w:style>
  <w:style w:type="character" w:styleId="IntenseReference">
    <w:name w:val="Intense Reference"/>
    <w:basedOn w:val="DefaultParagraphFont"/>
    <w:uiPriority w:val="32"/>
    <w:qFormat w:val="1"/>
    <w:rsid w:val="00C87A07"/>
    <w:rPr>
      <w:b w:val="1"/>
      <w:bCs w:val="1"/>
      <w:smallCaps w:val="1"/>
      <w:color w:val="0f4761" w:themeColor="accent1" w:themeShade="0000BF"/>
      <w:spacing w:val="5"/>
    </w:rPr>
  </w:style>
  <w:style w:type="paragraph" w:styleId="NormalWeb">
    <w:name w:val="Normal (Web)"/>
    <w:basedOn w:val="Normal"/>
    <w:uiPriority w:val="99"/>
    <w:unhideWhenUsed w:val="1"/>
    <w:rsid w:val="0002406C"/>
    <w:pPr>
      <w:spacing w:after="100" w:afterAutospacing="1" w:before="100" w:beforeAutospacing="1" w:line="240" w:lineRule="auto"/>
    </w:pPr>
    <w:rPr>
      <w:rFonts w:ascii="Times New Roman" w:cs="Times New Roman" w:eastAsia="Times New Roman" w:hAnsi="Times New Roman"/>
      <w:kern w:val="0"/>
      <w:sz w:val="24"/>
      <w:lang w:eastAsia="en-GB"/>
    </w:rPr>
  </w:style>
  <w:style w:type="character" w:styleId="Strong">
    <w:name w:val="Strong"/>
    <w:basedOn w:val="DefaultParagraphFont"/>
    <w:uiPriority w:val="22"/>
    <w:qFormat w:val="1"/>
    <w:rsid w:val="0002406C"/>
    <w:rPr>
      <w:b w:val="1"/>
      <w:bCs w:val="1"/>
    </w:rPr>
  </w:style>
  <w:style w:type="table" w:styleId="TableGrid">
    <w:name w:val="Table Grid"/>
    <w:basedOn w:val="TableNormal"/>
    <w:uiPriority w:val="39"/>
    <w:rsid w:val="00AB24FC"/>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Caption">
    <w:name w:val="caption"/>
    <w:basedOn w:val="Normal"/>
    <w:next w:val="Normal"/>
    <w:uiPriority w:val="35"/>
    <w:unhideWhenUsed w:val="1"/>
    <w:qFormat w:val="1"/>
    <w:rsid w:val="00681A02"/>
    <w:pPr>
      <w:spacing w:after="200" w:line="240" w:lineRule="auto"/>
    </w:pPr>
    <w:rPr>
      <w:i w:val="1"/>
      <w:iCs w:val="1"/>
      <w:color w:val="0e2841" w:themeColor="text2"/>
      <w:sz w:val="18"/>
      <w:szCs w:val="18"/>
    </w:rPr>
  </w:style>
  <w:style w:type="paragraph" w:styleId="Header">
    <w:name w:val="header"/>
    <w:basedOn w:val="Normal"/>
    <w:link w:val="HeaderChar"/>
    <w:uiPriority w:val="99"/>
    <w:unhideWhenUsed w:val="1"/>
    <w:rsid w:val="00E30BEC"/>
    <w:pPr>
      <w:tabs>
        <w:tab w:val="center" w:pos="4513"/>
        <w:tab w:val="right" w:pos="9026"/>
      </w:tabs>
      <w:spacing w:after="0" w:line="240" w:lineRule="auto"/>
    </w:pPr>
  </w:style>
  <w:style w:type="character" w:styleId="HeaderChar" w:customStyle="1">
    <w:name w:val="Header Char"/>
    <w:basedOn w:val="DefaultParagraphFont"/>
    <w:link w:val="Header"/>
    <w:uiPriority w:val="99"/>
    <w:rsid w:val="00E30BEC"/>
    <w:rPr>
      <w:rFonts w:asciiTheme="minorBidi" w:hAnsiTheme="minorBidi"/>
      <w:sz w:val="22"/>
    </w:rPr>
  </w:style>
  <w:style w:type="paragraph" w:styleId="Footer">
    <w:name w:val="footer"/>
    <w:basedOn w:val="Normal"/>
    <w:link w:val="FooterChar"/>
    <w:uiPriority w:val="99"/>
    <w:unhideWhenUsed w:val="1"/>
    <w:rsid w:val="00E30BEC"/>
    <w:pPr>
      <w:tabs>
        <w:tab w:val="center" w:pos="4513"/>
        <w:tab w:val="right" w:pos="9026"/>
      </w:tabs>
      <w:spacing w:after="0" w:line="240" w:lineRule="auto"/>
    </w:pPr>
  </w:style>
  <w:style w:type="character" w:styleId="FooterChar" w:customStyle="1">
    <w:name w:val="Footer Char"/>
    <w:basedOn w:val="DefaultParagraphFont"/>
    <w:link w:val="Footer"/>
    <w:uiPriority w:val="99"/>
    <w:rsid w:val="00E30BEC"/>
    <w:rPr>
      <w:rFonts w:asciiTheme="minorBidi" w:hAnsiTheme="minorBidi"/>
      <w:sz w:val="22"/>
    </w:rPr>
  </w:style>
  <w:style w:type="character" w:styleId="PageNumber">
    <w:name w:val="page number"/>
    <w:basedOn w:val="DefaultParagraphFont"/>
    <w:uiPriority w:val="99"/>
    <w:semiHidden w:val="1"/>
    <w:unhideWhenUsed w:val="1"/>
    <w:rsid w:val="00E30BEC"/>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Nr2hOW1xd5MxHFQokOvmlaR3Bg==">CgMxLjA4AHIhMVhtUE1GLU5JYnkwQWZjbVZpdi1IZ1kxZzUwbnNSd0hn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2025-11-17T07:56:00Z</dcterms:created>
  <dc:creator>WORD FILE</dc:creator>
</cp:coreProperties>
</file>