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cs="Calibri" w:asciiTheme="minorHAnsi" w:cstheme="minorHAnsi" w:hAnsiTheme="minorHAnsi"/>
          <w:b/>
          <w:b/>
          <w:color w:val="000000" w:themeColor="text1"/>
          <w:u w:val="single"/>
        </w:rPr>
      </w:pPr>
      <w:r>
        <w:rPr>
          <w:rFonts w:cs="Calibri" w:ascii="Calibri" w:hAnsi="Calibri" w:asciiTheme="minorHAnsi" w:cstheme="minorHAnsi" w:hAnsiTheme="minorHAnsi"/>
          <w:b/>
          <w:color w:val="000000" w:themeColor="text1"/>
          <w:u w:val="single"/>
        </w:rPr>
        <w:t>MAJOR PROJECT -   Final Report – 55%</w:t>
      </w:r>
    </w:p>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w:r>
    </w:p>
    <w:tbl>
      <w:tblPr>
        <w:tblStyle w:val="TableGrid"/>
        <w:tblW w:w="9576" w:type="dxa"/>
        <w:jc w:val="left"/>
        <w:tblInd w:w="-5" w:type="dxa"/>
        <w:tblCellMar>
          <w:top w:w="0" w:type="dxa"/>
          <w:left w:w="103" w:type="dxa"/>
          <w:bottom w:w="0" w:type="dxa"/>
          <w:right w:w="108" w:type="dxa"/>
        </w:tblCellMar>
        <w:tblLook w:val="04a0" w:noVBand="1" w:noHBand="0" w:lastColumn="0" w:firstColumn="1" w:lastRow="0" w:firstRow="1"/>
      </w:tblPr>
      <w:tblGrid>
        <w:gridCol w:w="2374"/>
        <w:gridCol w:w="7201"/>
      </w:tblGrid>
      <w:tr>
        <w:trPr>
          <w:trHeight w:val="551"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Student Name:</w:t>
            </w:r>
          </w:p>
        </w:tc>
        <w:tc>
          <w:tcPr>
            <w:tcW w:w="7201" w:type="dxa"/>
            <w:tcBorders/>
            <w:shd w:fill="auto"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Jamie McBride</w:t>
            </w:r>
          </w:p>
        </w:tc>
      </w:tr>
      <w:tr>
        <w:trPr>
          <w:trHeight w:val="545"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Title of Project:</w:t>
            </w:r>
          </w:p>
        </w:tc>
        <w:tc>
          <w:tcPr>
            <w:tcW w:w="7201" w:type="dxa"/>
            <w:tcBorders/>
            <w:shd w:fill="auto"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An Investigation into the effect of a Kohonen Self Organising Map on the Accuracy of Traditional Data Imputation Methods</w:t>
            </w:r>
          </w:p>
        </w:tc>
      </w:tr>
      <w:tr>
        <w:trPr>
          <w:trHeight w:val="552"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Supervisor:</w:t>
            </w:r>
          </w:p>
        </w:tc>
        <w:tc>
          <w:tcPr>
            <w:tcW w:w="7201" w:type="dxa"/>
            <w:tcBorders/>
            <w:shd w:fill="auto"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Glenn L. Jenkins</w:t>
            </w:r>
          </w:p>
        </w:tc>
      </w:tr>
      <w:tr>
        <w:trPr>
          <w:trHeight w:val="564"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2</w:t>
            </w:r>
            <w:r>
              <w:rPr>
                <w:rFonts w:cs="Calibri" w:ascii="Calibri" w:hAnsi="Calibri" w:asciiTheme="minorHAnsi" w:cstheme="minorHAnsi" w:hAnsiTheme="minorHAnsi"/>
                <w:b/>
                <w:color w:val="000000" w:themeColor="text1"/>
                <w:vertAlign w:val="superscript"/>
              </w:rPr>
              <w:t>nd</w:t>
            </w:r>
            <w:r>
              <w:rPr>
                <w:rFonts w:cs="Calibri" w:ascii="Calibri" w:hAnsi="Calibri" w:asciiTheme="minorHAnsi" w:cstheme="minorHAnsi" w:hAnsiTheme="minorHAnsi"/>
                <w:b/>
                <w:color w:val="000000" w:themeColor="text1"/>
              </w:rPr>
              <w:t xml:space="preserve"> marker: </w:t>
            </w:r>
          </w:p>
        </w:tc>
        <w:tc>
          <w:tcPr>
            <w:tcW w:w="7201" w:type="dxa"/>
            <w:tcBorders/>
            <w:shd w:fill="auto"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Tim Bashford</w:t>
            </w:r>
          </w:p>
        </w:tc>
      </w:tr>
      <w:tr>
        <w:trPr>
          <w:trHeight w:val="1291"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Course:    </w:t>
            </w:r>
          </w:p>
        </w:tc>
        <w:tc>
          <w:tcPr>
            <w:tcW w:w="7201" w:type="dxa"/>
            <w:tcBorders/>
            <w:shd w:fill="auto" w:val="clear"/>
            <w:tcMar>
              <w:left w:w="103" w:type="dxa"/>
            </w:tcMar>
            <w:vAlign w:val="center"/>
          </w:tcPr>
          <w:p>
            <w:pPr>
              <w:pStyle w:val="Normal"/>
              <w:spacing w:before="120" w:after="120"/>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BIT     BusComp    CIS    CNets    CSE      Electrical      </w:t>
            </w:r>
          </w:p>
          <w:p>
            <w:pPr>
              <w:pStyle w:val="Normal"/>
              <w:spacing w:before="240" w:after="0"/>
              <w:rPr>
                <w:rFonts w:ascii="Calibri" w:hAnsi="Calibri" w:cs="Calibri" w:asciiTheme="minorHAnsi" w:cstheme="minorHAnsi" w:hAnsiTheme="minorHAnsi"/>
                <w:b/>
                <w:b/>
                <w:color w:val="000000" w:themeColor="text1"/>
              </w:rPr>
            </w:pPr>
            <w:bookmarkStart w:id="0" w:name="_GoBack"/>
            <w:bookmarkEnd w:id="0"/>
            <w:r>
              <mc:AlternateContent>
                <mc:Choice Requires="wps">
                  <w:drawing>
                    <wp:anchor behindDoc="0" distT="0" distB="0" distL="0" distR="0" simplePos="0" locked="0" layoutInCell="1" allowOverlap="1" relativeHeight="2">
                      <wp:simplePos x="0" y="0"/>
                      <wp:positionH relativeFrom="column">
                        <wp:posOffset>1182370</wp:posOffset>
                      </wp:positionH>
                      <wp:positionV relativeFrom="paragraph">
                        <wp:posOffset>617220</wp:posOffset>
                      </wp:positionV>
                      <wp:extent cx="906145" cy="229870"/>
                      <wp:effectExtent l="0" t="0" r="0" b="0"/>
                      <wp:wrapNone/>
                      <wp:docPr id="1" name="Shape1"/>
                      <a:graphic xmlns:a="http://schemas.openxmlformats.org/drawingml/2006/main">
                        <a:graphicData uri="http://schemas.microsoft.com/office/word/2010/wordprocessingShape">
                          <wps:wsp>
                            <wps:cNvSpPr/>
                            <wps:spPr>
                              <a:xfrm>
                                <a:off x="0" y="0"/>
                                <a:ext cx="905400" cy="229320"/>
                              </a:xfrm>
                              <a:prstGeom prst="ellipse">
                                <a:avLst/>
                              </a:prstGeom>
                              <a:noFill/>
                              <a:ln w="36720">
                                <a:solidFill>
                                  <a:srgbClr val="000000"/>
                                </a:solidFill>
                                <a:round/>
                              </a:ln>
                            </wps:spPr>
                            <wps:style>
                              <a:lnRef idx="0"/>
                              <a:fillRef idx="0"/>
                              <a:effectRef idx="0"/>
                              <a:fontRef idx="minor"/>
                            </wps:style>
                            <wps:bodyPr/>
                          </wps:wsp>
                        </a:graphicData>
                      </a:graphic>
                    </wp:anchor>
                  </w:drawing>
                </mc:Choice>
                <mc:Fallback>
                  <w:pict>
                    <v:oval id="shape_0" ID="Shape1" stroked="t" style="position:absolute;margin-left:93.1pt;margin-top:48.6pt;width:71.25pt;height:18pt">
                      <w10:wrap type="none"/>
                      <v:fill o:detectmouseclick="t" on="false"/>
                      <v:stroke color="black" weight="36720" joinstyle="round" endcap="flat"/>
                    </v:oval>
                  </w:pict>
                </mc:Fallback>
              </mc:AlternateContent>
            </w:r>
            <w:r>
              <w:rPr>
                <w:rFonts w:cs="Calibri" w:ascii="Calibri" w:hAnsi="Calibri" w:asciiTheme="minorHAnsi" w:cstheme="minorHAnsi" w:hAnsiTheme="minorHAnsi"/>
                <w:b/>
                <w:color w:val="000000" w:themeColor="text1"/>
              </w:rPr>
              <w:t>Games      Mobile     TRE     SE     Web                                 (please circle)</w:t>
            </w:r>
          </w:p>
        </w:tc>
      </w:tr>
      <w:tr>
        <w:trPr>
          <w:trHeight w:val="1140" w:hRule="atLeast"/>
        </w:trPr>
        <w:tc>
          <w:tcPr>
            <w:tcW w:w="2374" w:type="dxa"/>
            <w:tcBorders/>
            <w:shd w:color="auto" w:fill="D9D9D9" w:themeFill="background1" w:themeFillShade="d9"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Project Type:    </w:t>
            </w:r>
          </w:p>
        </w:tc>
        <w:tc>
          <w:tcPr>
            <w:tcW w:w="7201" w:type="dxa"/>
            <w:tcBorders/>
            <w:shd w:fill="auto" w:val="clear"/>
            <w:tcMar>
              <w:left w:w="103"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Survey     Review     Experiment     Development            (please circle)</w:t>
            </w:r>
          </w:p>
        </w:tc>
      </w:tr>
    </w:tbl>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w:r>
    </w:p>
    <w:p>
      <w:pPr>
        <w:pStyle w:val="Normal"/>
        <w:ind w:right="-691" w:hanging="0"/>
        <w:rPr>
          <w:rFonts w:ascii="Calibri" w:hAnsi="Calibri" w:asciiTheme="minorHAnsi" w:hAnsiTheme="minorHAnsi"/>
          <w:b/>
          <w:b/>
          <w:color w:val="000000" w:themeColor="text1"/>
        </w:rPr>
      </w:pPr>
      <w:r>
        <w:rPr>
          <w:b/>
          <w:color w:val="000000" w:themeColor="text1"/>
        </w:rPr>
        <w:tab/>
        <w:tab/>
      </w:r>
      <w:r>
        <w:rPr>
          <w:rFonts w:ascii="Calibri" w:hAnsi="Calibri" w:asciiTheme="minorHAnsi" w:hAnsiTheme="minorHAnsi"/>
          <w:b/>
          <w:color w:val="000000" w:themeColor="text1"/>
        </w:rPr>
        <w:t xml:space="preserve">                           </w:t>
      </w:r>
    </w:p>
    <w:tbl>
      <w:tblPr>
        <w:tblW w:w="9628" w:type="dxa"/>
        <w:jc w:val="left"/>
        <w:tblInd w:w="-27"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Look w:val="0000" w:noVBand="0" w:noHBand="0" w:lastColumn="0" w:firstColumn="0" w:lastRow="0" w:firstRow="0"/>
      </w:tblPr>
      <w:tblGrid>
        <w:gridCol w:w="8493"/>
        <w:gridCol w:w="1134"/>
      </w:tblGrid>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98" w:type="dxa"/>
            </w:tcMar>
          </w:tcPr>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8" w:type="dxa"/>
            </w:tcMar>
          </w:tcPr>
          <w:p>
            <w:pPr>
              <w:pStyle w:val="Normal"/>
              <w:snapToGrid w:val="false"/>
              <w:jc w:val="center"/>
              <w:rPr>
                <w:rFonts w:ascii="Calibri" w:hAnsi="Calibri" w:asciiTheme="minorHAnsi" w:hAnsiTheme="minorHAnsi"/>
                <w:b/>
                <w:b/>
                <w:color w:val="000000" w:themeColor="text1"/>
              </w:rPr>
            </w:pPr>
            <w:r>
              <w:rPr>
                <w:rFonts w:ascii="Calibri" w:hAnsi="Calibri" w:asciiTheme="minorHAnsi" w:hAnsiTheme="minorHAnsi"/>
                <w:b/>
                <w:color w:val="000000" w:themeColor="text1"/>
              </w:rPr>
              <w:t>Mark %</w:t>
            </w:r>
          </w:p>
        </w:tc>
      </w:tr>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98"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First Marker’s General Comments and Original Mark</w:t>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rFonts w:ascii="Calibri" w:hAnsi="Calibri" w:asciiTheme="minorHAnsi" w:hAnsiTheme="minorHAnsi"/>
                <w:color w:val="FF0000"/>
              </w:rPr>
            </w:pPr>
            <w:r>
              <w:rPr>
                <w:rFonts w:ascii="Calibri" w:hAnsi="Calibri" w:asciiTheme="minorHAnsi" w:hAnsiTheme="minorHAnsi"/>
                <w:color w:val="000000"/>
              </w:rPr>
              <w:t xml:space="preserve">An excellent project which possibly merits publication.  Clear evidence of extensive research and carefully considered experimentation.  The development of the experiment apparatus (software) of a high standard and demonstrates the use of the selected method well.   Well reasoned conclusions are reached and future work proposed.  The standard of the document is high throughout with only a few minor slips. </w:t>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8" w:type="dxa"/>
            </w:tcMar>
          </w:tcPr>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color w:val="000000"/>
                <w:sz w:val="30"/>
                <w:szCs w:val="30"/>
              </w:rPr>
            </w:pPr>
            <w:r>
              <w:rPr>
                <w:rFonts w:ascii="Calibri" w:hAnsi="Calibri" w:asciiTheme="minorHAnsi" w:hAnsiTheme="minorHAnsi"/>
                <w:color w:val="000000"/>
                <w:sz w:val="30"/>
                <w:szCs w:val="30"/>
              </w:rPr>
              <w:t>79</w:t>
            </w:r>
            <w:r>
              <w:rPr>
                <w:rFonts w:ascii="Calibri" w:hAnsi="Calibri" w:asciiTheme="minorHAnsi" w:hAnsiTheme="minorHAnsi"/>
                <w:color w:val="000000"/>
                <w:sz w:val="30"/>
                <w:szCs w:val="30"/>
              </w:rPr>
              <w:t>.5</w:t>
            </w:r>
          </w:p>
        </w:tc>
      </w:tr>
      <w:tr>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98"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Second Marker’s General Comments and Original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98" w:type="dxa"/>
            </w:tcMar>
          </w:tcPr>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t>75</w:t>
            </w:r>
          </w:p>
        </w:tc>
      </w:tr>
      <w:tr>
        <w:trPr>
          <w:trHeight w:val="1876" w:hRule="atLeast"/>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98"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Comment After Consultation With Other Marker &amp; Final Agreed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snapToGrid w:val="false"/>
              <w:rPr>
                <w:rFonts w:ascii="Calibri" w:hAnsi="Calibri" w:asciiTheme="minorHAnsi" w:hAnsiTheme="minorHAnsi"/>
                <w:b w:val="false"/>
                <w:b w:val="false"/>
                <w:bCs w:val="false"/>
                <w:color w:val="000000" w:themeColor="text1"/>
                <w:u w:val="none"/>
              </w:rPr>
            </w:pPr>
            <w:r>
              <w:rPr>
                <w:rFonts w:asciiTheme="minorHAnsi" w:hAnsiTheme="minorHAnsi" w:ascii="Calibri" w:hAnsi="Calibri"/>
                <w:b w:val="false"/>
                <w:bCs w:val="false"/>
                <w:color w:val="000000" w:themeColor="text1"/>
                <w:u w:val="none"/>
              </w:rPr>
              <w:t xml:space="preserve">Both markers agree that this is a first class submission. </w:t>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98" w:type="dxa"/>
            </w:tcMar>
          </w:tcPr>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t>77</w:t>
            </w:r>
          </w:p>
        </w:tc>
      </w:tr>
    </w:tbl>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color w:val="000000" w:themeColor="text1"/>
        </w:rPr>
      </w:pPr>
      <w:r>
        <w:rPr>
          <w:rFonts w:ascii="Calibri" w:hAnsi="Calibri" w:asciiTheme="minorHAnsi" w:hAnsiTheme="minorHAnsi"/>
          <w:color w:val="000000" w:themeColor="text1"/>
        </w:rPr>
        <w:t>Signature: ………………………………………..........................……   Date: …………</w:t>
      </w:r>
      <w:r>
        <w:rPr>
          <w:rFonts w:ascii="Calibri" w:hAnsi="Calibri" w:asciiTheme="minorHAnsi" w:hAnsiTheme="minorHAnsi"/>
          <w:color w:val="000000" w:themeColor="text1"/>
        </w:rPr>
        <w:t>17/5/2017</w:t>
      </w:r>
      <w:r>
        <w:rPr>
          <w:rFonts w:ascii="Calibri" w:hAnsi="Calibri" w:asciiTheme="minorHAnsi" w:hAnsiTheme="minorHAnsi"/>
          <w:color w:val="000000" w:themeColor="text1"/>
        </w:rPr>
        <w:t>.....……..</w:t>
      </w:r>
    </w:p>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231" w:type="dxa"/>
        <w:jc w:val="left"/>
        <w:tblInd w:w="82" w:type="dxa"/>
        <w:tblBorders>
          <w:top w:val="single" w:sz="4"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noVBand="1" w:noHBand="0" w:lastColumn="0" w:firstColumn="1" w:lastRow="0" w:firstRow="1"/>
      </w:tblPr>
      <w:tblGrid>
        <w:gridCol w:w="3529"/>
        <w:gridCol w:w="1164"/>
        <w:gridCol w:w="994"/>
        <w:gridCol w:w="1700"/>
        <w:gridCol w:w="1844"/>
      </w:tblGrid>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1.Research-informed Literature</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Introduction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FF0000"/>
              </w:rPr>
            </w:pPr>
            <w:r>
              <w:rPr>
                <w:rFonts w:ascii="Calibri" w:hAnsi="Calibri" w:asciiTheme="minorHAnsi" w:hAnsiTheme="minorHAnsi"/>
                <w:color w:val="000000"/>
                <w:lang w:eastAsia="en-GB"/>
              </w:rPr>
              <w:t>5/5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Literature Review</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/20</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/35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19/20</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r>
      <w:tr>
        <w:trPr>
          <w:trHeight w:val="4068" w:hRule="atLeast"/>
        </w:trPr>
        <w:tc>
          <w:tcPr>
            <w:tcW w:w="9231"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tcMar>
              <w:left w:w="88" w:type="dxa"/>
            </w:tcMa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An excellent introduction, concise and to the point it sets the scope and content of the project and introduces the rest of the document. </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The literature review is detailed and well focused, I’d like to have seen a little more in the section on ANN approaches to redaction. </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2. Knowledge and Understanding of Subject</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Methodology</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FF0000"/>
              </w:rPr>
            </w:pPr>
            <w:r>
              <w:rPr>
                <w:rFonts w:ascii="Calibri" w:hAnsi="Calibri" w:asciiTheme="minorHAnsi" w:hAnsiTheme="minorHAnsi"/>
                <w:color w:val="000000"/>
                <w:lang w:eastAsia="en-GB"/>
              </w:rPr>
              <w:t>4/5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Survey 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Requirements/Design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470" w:hRule="atLeast"/>
        </w:trPr>
        <w:tc>
          <w:tcPr>
            <w:tcW w:w="9231"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88" w:type="dxa"/>
            </w:tcMar>
          </w:tcPr>
          <w:p>
            <w:pPr>
              <w:pStyle w:val="Normal"/>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color w:val="FF0000"/>
              </w:rPr>
            </w:pPr>
            <w:r>
              <w:rPr>
                <w:rFonts w:ascii="Calibri" w:hAnsi="Calibri" w:asciiTheme="minorHAnsi" w:hAnsiTheme="minorHAnsi"/>
                <w:color w:val="000000"/>
                <w:lang w:eastAsia="en-GB"/>
              </w:rPr>
              <w:t xml:space="preserve">A completed and detailed experiment methodology, this could be better structured with some tables. </w:t>
            </w:r>
          </w:p>
        </w:tc>
      </w:tr>
    </w:tbl>
    <w:p>
      <w:pPr>
        <w:pStyle w:val="Normal"/>
        <w:rPr>
          <w:color w:val="000000" w:themeColor="text1"/>
        </w:rPr>
      </w:pPr>
      <w:r>
        <w:rPr>
          <w:color w:val="000000" w:themeColor="text1"/>
        </w:rPr>
      </w:r>
      <w:r>
        <w:br w:type="page"/>
      </w:r>
    </w:p>
    <w:tbl>
      <w:tblPr>
        <w:tblW w:w="9485" w:type="dxa"/>
        <w:jc w:val="left"/>
        <w:tblInd w:w="82" w:type="dxa"/>
        <w:tblBorders>
          <w:top w:val="single" w:sz="8" w:space="0" w:color="00000A"/>
          <w:left w:val="single" w:sz="8" w:space="0" w:color="00000A"/>
          <w:bottom w:val="single" w:sz="8" w:space="0" w:color="00000A"/>
          <w:right w:val="single" w:sz="4" w:space="0" w:color="00000A"/>
          <w:insideH w:val="single" w:sz="8" w:space="0" w:color="00000A"/>
          <w:insideV w:val="single" w:sz="4" w:space="0" w:color="00000A"/>
        </w:tblBorders>
        <w:tblCellMar>
          <w:top w:w="0" w:type="dxa"/>
          <w:left w:w="88" w:type="dxa"/>
          <w:bottom w:w="0" w:type="dxa"/>
          <w:right w:w="108" w:type="dxa"/>
        </w:tblCellMar>
        <w:tblLook w:val="04a0" w:noVBand="1" w:noHBand="0" w:lastColumn="0" w:firstColumn="1" w:lastRow="0" w:firstRow="1"/>
      </w:tblPr>
      <w:tblGrid>
        <w:gridCol w:w="3404"/>
        <w:gridCol w:w="1329"/>
        <w:gridCol w:w="1327"/>
        <w:gridCol w:w="1643"/>
        <w:gridCol w:w="1782"/>
      </w:tblGrid>
      <w:tr>
        <w:trPr>
          <w:trHeight w:val="422"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FFFFFF" w:themeFill="background1" w:val="clear"/>
            <w:tcMar>
              <w:left w:w="88" w:type="dxa"/>
            </w:tcMar>
            <w:vAlign w:val="bottom"/>
          </w:tcPr>
          <w:p>
            <w:pPr>
              <w:pStyle w:val="Normal"/>
              <w:pageBreakBefore/>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7"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2"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3. Analysis</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7"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2"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Results &amp; Discussions</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20/25</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xml:space="preserve">Conclusions and Recommendations </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FF0000"/>
              </w:rPr>
            </w:pPr>
            <w:r>
              <w:rPr>
                <w:rFonts w:ascii="Calibri" w:hAnsi="Calibri" w:asciiTheme="minorHAnsi" w:hAnsiTheme="minorHAnsi"/>
                <w:color w:val="000000"/>
                <w:lang w:eastAsia="en-GB"/>
              </w:rPr>
              <w:t>6.5/10</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4170" w:hRule="atLeast"/>
        </w:trPr>
        <w:tc>
          <w:tcPr>
            <w:tcW w:w="9485"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88" w:type="dxa"/>
            </w:tcMar>
          </w:tcPr>
          <w:p>
            <w:pPr>
              <w:pStyle w:val="Normal"/>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color w:val="FF0000"/>
              </w:rPr>
            </w:pPr>
            <w:r>
              <w:rPr>
                <w:rFonts w:ascii="Calibri" w:hAnsi="Calibri" w:asciiTheme="minorHAnsi" w:hAnsiTheme="minorHAnsi"/>
                <w:color w:val="000000"/>
                <w:lang w:eastAsia="en-GB"/>
              </w:rPr>
              <w:t xml:space="preserve">Excellent results and discussion though the structure of the latter is difficult to follow at times.  There are some connections between attributes which are not explored e.g. the decay of neighbourhood and learning rate do not have to be the same.  Also there are a number of variables which have a similar effect, e.g. increase the training.   </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color w:val="FF0000"/>
              </w:rPr>
            </w:pPr>
            <w:r>
              <w:rPr>
                <w:rFonts w:ascii="Calibri" w:hAnsi="Calibri" w:asciiTheme="minorHAnsi" w:hAnsiTheme="minorHAnsi"/>
                <w:color w:val="000000"/>
                <w:lang w:eastAsia="en-GB"/>
              </w:rPr>
              <w:t xml:space="preserve">The conclusions are a little wordy and there is some repartition however the key points of the research are well summarised.   One important element of future work not considered is the need for a extended parametric study. </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7"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4. Practical Application and Deployment</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7"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2"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Development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Experimental Design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000000"/>
              </w:rPr>
            </w:pPr>
            <w:r>
              <w:rPr>
                <w:rFonts w:ascii="Calibri" w:hAnsi="Calibri" w:asciiTheme="minorHAnsi" w:hAnsiTheme="minorHAnsi"/>
                <w:color w:val="000000"/>
                <w:lang w:eastAsia="en-GB"/>
              </w:rPr>
              <w:t>1</w:t>
            </w:r>
            <w:r>
              <w:rPr>
                <w:rFonts w:ascii="Calibri" w:hAnsi="Calibri" w:asciiTheme="minorHAnsi" w:hAnsiTheme="minorHAnsi"/>
                <w:color w:val="000000"/>
                <w:lang w:eastAsia="en-GB"/>
              </w:rPr>
              <w:t>1</w:t>
            </w:r>
            <w:r>
              <w:rPr>
                <w:rFonts w:ascii="Calibri" w:hAnsi="Calibri" w:asciiTheme="minorHAnsi" w:hAnsiTheme="minorHAnsi"/>
                <w:color w:val="000000"/>
                <w:lang w:eastAsia="en-GB"/>
              </w:rPr>
              <w:t>/15</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r>
      <w:tr>
        <w:trPr>
          <w:trHeight w:val="4743" w:hRule="atLeast"/>
        </w:trPr>
        <w:tc>
          <w:tcPr>
            <w:tcW w:w="9485"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FFFFFF" w:themeFill="background1" w:val="clear"/>
            <w:tcMar>
              <w:left w:w="88" w:type="dxa"/>
            </w:tcMa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Comments:</w:t>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left"/>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The experiments are well designed with the only minor oversight being the single decay factor for learning rate and neighbourhood. </w:t>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5. Skills for Professional Practice</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Reflection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FF0000"/>
              </w:rPr>
            </w:pPr>
            <w:r>
              <w:rPr>
                <w:rFonts w:ascii="Calibri" w:hAnsi="Calibri" w:asciiTheme="minorHAnsi" w:hAnsiTheme="minorHAnsi"/>
                <w:color w:val="000000"/>
                <w:lang w:eastAsia="en-GB"/>
              </w:rPr>
              <w:t>7/10</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Quality of Report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right"/>
              <w:rPr>
                <w:color w:val="000000"/>
              </w:rPr>
            </w:pPr>
            <w:r>
              <w:rPr>
                <w:rFonts w:ascii="Calibri" w:hAnsi="Calibri" w:asciiTheme="minorHAnsi" w:hAnsiTheme="minorHAnsi"/>
                <w:color w:val="000000"/>
                <w:lang w:eastAsia="en-GB"/>
              </w:rPr>
              <w:t>7/10</w:t>
            </w:r>
          </w:p>
        </w:tc>
        <w:tc>
          <w:tcPr>
            <w:tcW w:w="1782"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5899" w:hRule="atLeas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88" w:type="dxa"/>
            </w:tcMa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color w:val="000000" w:themeColor="text1"/>
                <w:lang w:eastAsia="en-GB"/>
              </w:rPr>
              <w:t>Comments:</w:t>
            </w:r>
          </w:p>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p>
            <w:pPr>
              <w:pStyle w:val="Normal"/>
              <w:jc w:val="left"/>
              <w:rPr>
                <w:rFonts w:ascii="Calibri" w:hAnsi="Calibri" w:asciiTheme="minorHAnsi" w:hAnsiTheme="minorHAnsi"/>
                <w:b w:val="false"/>
                <w:b w:val="false"/>
                <w:bCs w:val="false"/>
                <w:color w:val="FF0000"/>
                <w:lang w:eastAsia="en-GB"/>
              </w:rPr>
            </w:pPr>
            <w:r>
              <w:rPr>
                <w:rFonts w:ascii="Calibri" w:hAnsi="Calibri" w:asciiTheme="minorHAnsi" w:hAnsiTheme="minorHAnsi"/>
                <w:b w:val="false"/>
                <w:bCs w:val="false"/>
                <w:color w:val="000000"/>
                <w:lang w:eastAsia="en-GB"/>
              </w:rPr>
              <w:t xml:space="preserve">A honest and well measured reflection. </w:t>
            </w:r>
          </w:p>
          <w:p>
            <w:pPr>
              <w:pStyle w:val="Normal"/>
              <w:jc w:val="left"/>
              <w:rPr>
                <w:rFonts w:ascii="Calibri" w:hAnsi="Calibri" w:asciiTheme="minorHAnsi" w:hAnsiTheme="minorHAnsi"/>
                <w:b w:val="false"/>
                <w:b w:val="false"/>
                <w:bCs w:val="false"/>
                <w:color w:val="000000"/>
                <w:lang w:eastAsia="en-GB"/>
              </w:rPr>
            </w:pPr>
            <w:r>
              <w:rPr>
                <w:rFonts w:asciiTheme="minorHAnsi" w:hAnsiTheme="minorHAnsi" w:ascii="Calibri" w:hAnsi="Calibri"/>
                <w:b w:val="false"/>
                <w:bCs w:val="false"/>
                <w:color w:val="000000"/>
                <w:lang w:eastAsia="en-GB"/>
              </w:rPr>
            </w:r>
          </w:p>
          <w:p>
            <w:pPr>
              <w:pStyle w:val="Normal"/>
              <w:jc w:val="left"/>
              <w:rPr>
                <w:rFonts w:ascii="Calibri" w:hAnsi="Calibri" w:asciiTheme="minorHAnsi" w:hAnsiTheme="minorHAnsi"/>
                <w:b w:val="false"/>
                <w:b w:val="false"/>
                <w:bCs w:val="false"/>
                <w:color w:val="FF0000"/>
                <w:lang w:eastAsia="en-GB"/>
              </w:rPr>
            </w:pPr>
            <w:r>
              <w:rPr>
                <w:rFonts w:ascii="Calibri" w:hAnsi="Calibri" w:asciiTheme="minorHAnsi" w:hAnsiTheme="minorHAnsi"/>
                <w:b w:val="false"/>
                <w:bCs w:val="false"/>
                <w:color w:val="000000"/>
                <w:lang w:eastAsia="en-GB"/>
              </w:rPr>
              <w:t xml:space="preserve">An excellent report there are a few issues mostly with graph presentation and the final sections clearly haven’t received as much proof reading as the earlier ones. </w:t>
            </w:r>
          </w:p>
        </w:tc>
      </w:tr>
      <w:tr>
        <w:trPr>
          <w:trHeight w:val="23" w:hRule="exac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88" w:type="dxa"/>
            </w:tcMar>
            <w:vAlign w:val="center"/>
          </w:tcPr>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tc>
      </w:tr>
      <w:tr>
        <w:trPr>
          <w:trHeight w:val="957"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cente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bCs/>
                <w:color w:val="000000" w:themeColor="text1"/>
                <w:lang w:eastAsia="en-GB"/>
              </w:rPr>
              <w:t>TOTAL:</w:t>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327"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643"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103"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79.5</w:t>
            </w:r>
            <w:r>
              <w:rPr>
                <w:rFonts w:ascii="Calibri" w:hAnsi="Calibri" w:asciiTheme="minorHAnsi" w:hAnsiTheme="minorHAnsi"/>
                <w:b/>
                <w:color w:val="000000" w:themeColor="text1"/>
                <w:lang w:eastAsia="en-GB"/>
              </w:rPr>
              <w:t>/100</w:t>
            </w:r>
          </w:p>
        </w:tc>
        <w:tc>
          <w:tcPr>
            <w:tcW w:w="178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r>
    </w:tbl>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pPr>
      <w:r>
        <w:rPr/>
      </w:r>
    </w:p>
    <w:sect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63dd"/>
    <w:pPr>
      <w:widowControl/>
      <w:bidi w:val="0"/>
      <w:jc w:val="left"/>
    </w:pPr>
    <w:rPr>
      <w:rFonts w:ascii="Times New Roman" w:hAnsi="Times New Roman" w:eastAsia="Times New Roman" w:cs="Times New Roman"/>
      <w:color w:val="00000A"/>
      <w:sz w:val="24"/>
      <w:szCs w:val="24"/>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6363dd"/>
    <w:rPr>
      <w:rFonts w:ascii="Tahoma" w:hAnsi="Tahoma" w:eastAsia="Times New Roman" w:cs="Tahoma"/>
      <w:sz w:val="16"/>
      <w:szCs w:val="16"/>
      <w:lang w:val="en-GB"/>
    </w:rPr>
  </w:style>
  <w:style w:type="paragraph" w:styleId="Heading">
    <w:name w:val="Heading"/>
    <w:basedOn w:val="Normal"/>
    <w:next w:val="TextBody"/>
    <w:qFormat/>
    <w:pPr>
      <w:keepNext/>
      <w:spacing w:before="240" w:after="120"/>
    </w:pPr>
    <w:rPr>
      <w:rFonts w:ascii="Liberation Sans" w:hAnsi="Liberation Sans" w:eastAsia="Tahoma"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6363dd"/>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Application>LibreOffice/5.1.6.2.0$Linux_X86_64 LibreOffice_project/10$Build-2</Application>
  <Pages>5</Pages>
  <Words>489</Words>
  <Characters>2702</Characters>
  <CharactersWithSpaces>3246</CharactersWithSpaces>
  <Paragraphs>127</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2013-07-16T15:41:00Z</dcterms:created>
  <dc:creator>sc-gt</dc:creator>
  <dc:description/>
  <dc:language>en-GB</dc:language>
  <cp:lastModifiedBy>sc-gj </cp:lastModifiedBy>
  <cp:lastPrinted>2013-09-25T13:22:00Z</cp:lastPrinted>
  <dcterms:modified xsi:type="dcterms:W3CDTF">2017-05-17T14:59:56Z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