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tbl>
      <w:tblPr>
        <w:tblW w:w="87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48"/>
        <w:gridCol w:w="1620"/>
        <w:gridCol w:w="343"/>
        <w:gridCol w:w="1644"/>
      </w:tblGrid>
      <w:tr>
        <w:tblPrEx>
          <w:shd w:val="clear" w:color="auto" w:fill="ced7e7"/>
        </w:tblPrEx>
        <w:trPr>
          <w:trHeight w:val="113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Calibri" w:cs="Calibri" w:hAnsi="Calibri" w:eastAsia="Calibri"/>
                <w:i w:val="1"/>
                <w:iCs w:val="1"/>
                <w:sz w:val="24"/>
                <w:szCs w:val="24"/>
              </w:rPr>
            </w:pPr>
          </w:p>
          <w:p>
            <w:pPr>
              <w:pStyle w:val="Normal (Web)"/>
              <w:bidi w:val="0"/>
              <w:spacing w:before="0" w:after="0"/>
              <w:ind w:left="0" w:right="34" w:firstLine="0"/>
              <w:jc w:val="center"/>
              <w:rPr>
                <w:rFonts w:ascii="Calibri" w:cs="Calibri" w:hAnsi="Calibri" w:eastAsia="Calibri"/>
                <w:b w:val="1"/>
                <w:bCs w:val="1"/>
                <w:sz w:val="24"/>
                <w:szCs w:val="24"/>
                <w:rtl w:val="0"/>
              </w:rPr>
            </w:pPr>
            <w:r>
              <w:rPr>
                <w:rFonts w:ascii="Calibri" w:cs="Calibri" w:hAnsi="Calibri" w:eastAsia="Calibri"/>
                <w:b w:val="1"/>
                <w:bCs w:val="1"/>
                <w:sz w:val="24"/>
                <w:szCs w:val="24"/>
                <w:rtl w:val="0"/>
                <w:lang w:val="en-US"/>
              </w:rPr>
              <w:t xml:space="preserve">Assignment feedback </w:t>
            </w:r>
          </w:p>
          <w:p>
            <w:pPr>
              <w:pStyle w:val="Normal (Web)"/>
              <w:spacing w:before="0" w:after="0"/>
              <w:ind w:right="34"/>
              <w:jc w:val="center"/>
            </w:pPr>
            <w:r>
              <w:rPr>
                <w:rFonts w:ascii="Calibri" w:cs="Calibri" w:hAnsi="Calibri" w:eastAsia="Calibri"/>
                <w:b w:val="1"/>
                <w:bCs w:val="1"/>
                <w:sz w:val="24"/>
                <w:szCs w:val="24"/>
              </w:rPr>
            </w:r>
          </w:p>
        </w:tc>
      </w:tr>
      <w:tr>
        <w:tblPrEx>
          <w:shd w:val="clear" w:color="auto" w:fill="ced7e7"/>
        </w:tblPrEx>
        <w:trPr>
          <w:trHeight w:val="29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tc>
      </w:tr>
      <w:tr>
        <w:tblPrEx>
          <w:shd w:val="clear" w:color="auto" w:fill="ced7e7"/>
        </w:tblPrEx>
        <w:trPr>
          <w:trHeight w:val="57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Calibri" w:cs="Calibri" w:hAnsi="Calibri" w:eastAsia="Calibri"/>
                <w:i w:val="1"/>
                <w:iCs w:val="1"/>
                <w:sz w:val="24"/>
                <w:szCs w:val="24"/>
              </w:rPr>
            </w:pPr>
            <w:r>
              <w:rPr>
                <w:rFonts w:ascii="Calibri" w:cs="Calibri" w:hAnsi="Calibri" w:eastAsia="Calibri"/>
                <w:i w:val="1"/>
                <w:iCs w:val="1"/>
                <w:sz w:val="24"/>
                <w:szCs w:val="24"/>
                <w:rtl w:val="0"/>
                <w:lang w:val="en-US"/>
              </w:rPr>
              <w:t xml:space="preserve">Student Name: </w:t>
            </w:r>
            <w:r>
              <w:rPr>
                <w:rFonts w:ascii="Calibri" w:cs="Calibri" w:hAnsi="Calibri" w:eastAsia="Calibri"/>
                <w:i w:val="1"/>
                <w:iCs w:val="1"/>
                <w:sz w:val="24"/>
                <w:szCs w:val="24"/>
                <w:rtl w:val="0"/>
                <w:lang w:val="en-US"/>
              </w:rPr>
              <w:t>YUK PING CHAN</w:t>
            </w:r>
          </w:p>
          <w:p>
            <w:pPr>
              <w:pStyle w:val="Normal (Web)"/>
              <w:bidi w:val="0"/>
              <w:spacing w:before="0" w:after="0"/>
              <w:ind w:left="0" w:right="34" w:firstLine="0"/>
              <w:jc w:val="left"/>
              <w:rPr>
                <w:rtl w:val="0"/>
              </w:rPr>
            </w:pPr>
            <w:r>
              <w:rPr>
                <w:rFonts w:ascii="Calibri" w:cs="Calibri" w:hAnsi="Calibri" w:eastAsia="Calibri"/>
                <w:i w:val="1"/>
                <w:iCs w:val="1"/>
                <w:sz w:val="24"/>
                <w:szCs w:val="24"/>
                <w:rtl w:val="0"/>
                <w:lang w:val="en-US"/>
              </w:rPr>
              <w:t>Student University Email:</w:t>
            </w:r>
            <w:r>
              <w:rPr>
                <w:rFonts w:ascii="Calibri" w:cs="Calibri" w:hAnsi="Calibri" w:eastAsia="Calibri"/>
                <w:i w:val="1"/>
                <w:iCs w:val="1"/>
                <w:sz w:val="24"/>
                <w:szCs w:val="24"/>
                <w:rtl w:val="0"/>
                <w:lang w:val="en-US"/>
              </w:rPr>
              <w:t xml:space="preserve"> </w:t>
            </w:r>
            <w:r>
              <w:rPr>
                <w:rStyle w:val="Hyperlink.0"/>
                <w:rFonts w:ascii="Calibri" w:cs="Calibri" w:hAnsi="Calibri" w:eastAsia="Calibri"/>
                <w:i w:val="1"/>
                <w:iCs w:val="1"/>
                <w:sz w:val="24"/>
                <w:szCs w:val="24"/>
              </w:rPr>
              <w:fldChar w:fldCharType="begin" w:fldLock="0"/>
            </w:r>
            <w:r>
              <w:rPr>
                <w:rStyle w:val="Hyperlink.0"/>
                <w:rFonts w:ascii="Calibri" w:cs="Calibri" w:hAnsi="Calibri" w:eastAsia="Calibri"/>
                <w:i w:val="1"/>
                <w:iCs w:val="1"/>
                <w:sz w:val="24"/>
                <w:szCs w:val="24"/>
              </w:rPr>
              <w:instrText xml:space="preserve"> HYPERLINK "mailto:1704491@student.uwtsd.ac.uk"</w:instrText>
            </w:r>
            <w:r>
              <w:rPr>
                <w:rStyle w:val="Hyperlink.0"/>
                <w:rFonts w:ascii="Calibri" w:cs="Calibri" w:hAnsi="Calibri" w:eastAsia="Calibri"/>
                <w:i w:val="1"/>
                <w:iCs w:val="1"/>
                <w:sz w:val="24"/>
                <w:szCs w:val="24"/>
              </w:rPr>
              <w:fldChar w:fldCharType="separate" w:fldLock="0"/>
            </w:r>
            <w:r>
              <w:rPr>
                <w:rStyle w:val="Hyperlink.0"/>
                <w:rFonts w:ascii="Calibri" w:cs="Calibri" w:hAnsi="Calibri" w:eastAsia="Calibri"/>
                <w:i w:val="1"/>
                <w:iCs w:val="1"/>
                <w:sz w:val="24"/>
                <w:szCs w:val="24"/>
                <w:rtl w:val="0"/>
                <w:lang w:val="en-US"/>
              </w:rPr>
              <w:t>1704491@student.uwtsd.ac.uk</w:t>
            </w:r>
            <w:r>
              <w:rPr>
                <w:rFonts w:ascii="Calibri" w:cs="Calibri" w:hAnsi="Calibri" w:eastAsia="Calibri"/>
                <w:i w:val="1"/>
                <w:iCs w:val="1"/>
                <w:sz w:val="24"/>
                <w:szCs w:val="24"/>
              </w:rPr>
              <w:fldChar w:fldCharType="end" w:fldLock="0"/>
            </w:r>
          </w:p>
        </w:tc>
      </w:tr>
      <w:tr>
        <w:tblPrEx>
          <w:shd w:val="clear" w:color="auto" w:fill="ced7e7"/>
        </w:tblPrEx>
        <w:trPr>
          <w:trHeight w:val="1410" w:hRule="atLeast"/>
        </w:trPr>
        <w:tc>
          <w:tcPr>
            <w:tcW w:type="dxa" w:w="51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Calibri" w:cs="Calibri" w:hAnsi="Calibri" w:eastAsia="Calibri"/>
                <w:i w:val="1"/>
                <w:iCs w:val="1"/>
                <w:sz w:val="24"/>
                <w:szCs w:val="24"/>
              </w:rPr>
            </w:pPr>
            <w:r>
              <w:rPr>
                <w:rFonts w:ascii="Calibri" w:cs="Calibri" w:hAnsi="Calibri" w:eastAsia="Calibri"/>
                <w:i w:val="1"/>
                <w:iCs w:val="1"/>
                <w:sz w:val="24"/>
                <w:szCs w:val="24"/>
                <w:rtl w:val="0"/>
                <w:lang w:val="en-US"/>
              </w:rPr>
              <w:t>Module code:</w:t>
            </w:r>
            <w:r>
              <w:rPr>
                <w:rFonts w:ascii="Calibri" w:cs="Calibri" w:hAnsi="Calibri" w:eastAsia="Calibri"/>
                <w:i w:val="1"/>
                <w:iCs w:val="1"/>
                <w:sz w:val="24"/>
                <w:szCs w:val="24"/>
                <w:rtl w:val="0"/>
                <w:lang w:val="en-US"/>
              </w:rPr>
              <w:t xml:space="preserve"> AH</w:t>
            </w:r>
            <w:r>
              <w:rPr>
                <w:rFonts w:ascii="Calibri" w:cs="Calibri" w:hAnsi="Calibri" w:eastAsia="Calibri"/>
                <w:i w:val="1"/>
                <w:iCs w:val="1"/>
                <w:sz w:val="24"/>
                <w:szCs w:val="24"/>
                <w:rtl w:val="0"/>
                <w:lang w:val="zh-TW" w:eastAsia="zh-TW"/>
              </w:rPr>
              <w:t>HE</w:t>
            </w:r>
            <w:r>
              <w:rPr>
                <w:rFonts w:ascii="Calibri" w:cs="Calibri" w:hAnsi="Calibri" w:eastAsia="Calibri"/>
                <w:i w:val="1"/>
                <w:iCs w:val="1"/>
                <w:sz w:val="24"/>
                <w:szCs w:val="24"/>
                <w:rtl w:val="0"/>
                <w:lang w:val="en-US"/>
              </w:rPr>
              <w:t>4001</w:t>
            </w:r>
          </w:p>
          <w:p>
            <w:pPr>
              <w:pStyle w:val="Normal (Web)"/>
              <w:spacing w:before="0" w:after="0"/>
              <w:ind w:right="34"/>
              <w:rPr>
                <w:rFonts w:ascii="Calibri" w:cs="Calibri" w:hAnsi="Calibri" w:eastAsia="Calibri"/>
                <w:i w:val="1"/>
                <w:iCs w:val="1"/>
                <w:sz w:val="24"/>
                <w:szCs w:val="24"/>
                <w:lang w:val="en-US"/>
              </w:rPr>
            </w:pPr>
          </w:p>
          <w:p>
            <w:pPr>
              <w:pStyle w:val="Normal (Web)"/>
              <w:bidi w:val="0"/>
              <w:spacing w:before="0" w:after="0"/>
              <w:ind w:left="0" w:right="34" w:firstLine="0"/>
              <w:jc w:val="left"/>
              <w:rPr>
                <w:rtl w:val="0"/>
              </w:rPr>
            </w:pPr>
            <w:r>
              <w:rPr>
                <w:rFonts w:ascii="Calibri" w:cs="Calibri" w:hAnsi="Calibri" w:eastAsia="Calibri"/>
                <w:i w:val="1"/>
                <w:iCs w:val="1"/>
                <w:sz w:val="24"/>
                <w:szCs w:val="24"/>
                <w:rtl w:val="0"/>
                <w:lang w:val="en-US"/>
              </w:rPr>
              <w:t>Module title:</w:t>
            </w:r>
            <w:r>
              <w:rPr>
                <w:rFonts w:ascii="Calibri" w:cs="Calibri" w:hAnsi="Calibri" w:eastAsia="Calibri"/>
                <w:i w:val="1"/>
                <w:iCs w:val="1"/>
                <w:sz w:val="24"/>
                <w:szCs w:val="24"/>
                <w:rtl w:val="0"/>
                <w:lang w:val="en-US"/>
              </w:rPr>
              <w:t xml:space="preserve"> </w:t>
            </w:r>
            <w:r>
              <w:rPr>
                <w:rFonts w:ascii="Calibri" w:cs="Calibri" w:hAnsi="Calibri" w:eastAsia="Calibri"/>
                <w:i w:val="1"/>
                <w:iCs w:val="1"/>
                <w:sz w:val="24"/>
                <w:szCs w:val="24"/>
                <w:rtl w:val="0"/>
                <w:lang w:val="zh-TW" w:eastAsia="zh-TW"/>
              </w:rPr>
              <w:t>HERITAGE AND THE HERITAGE INDUSTRY</w:t>
            </w:r>
          </w:p>
        </w:tc>
        <w:tc>
          <w:tcPr>
            <w:tcW w:type="dxa" w:w="1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Calibri" w:cs="Calibri" w:hAnsi="Calibri" w:eastAsia="Calibri"/>
                <w:i w:val="1"/>
                <w:iCs w:val="1"/>
                <w:sz w:val="24"/>
                <w:szCs w:val="24"/>
                <w:rtl w:val="0"/>
                <w:lang w:val="en-US"/>
              </w:rPr>
              <w:t>Student ID number:</w:t>
            </w:r>
            <w:r>
              <w:rPr>
                <w:rFonts w:ascii="Calibri" w:cs="Calibri" w:hAnsi="Calibri" w:eastAsia="Calibri"/>
                <w:i w:val="1"/>
                <w:iCs w:val="1"/>
                <w:sz w:val="24"/>
                <w:szCs w:val="24"/>
                <w:rtl w:val="0"/>
                <w:lang w:val="en-US"/>
              </w:rPr>
              <w:t xml:space="preserve"> 1704491</w:t>
            </w:r>
            <w:r>
              <w:rPr>
                <w:rFonts w:ascii="Calibri" w:cs="Calibri" w:hAnsi="Calibri" w:eastAsia="Calibri"/>
                <w:i w:val="1"/>
                <w:iCs w:val="1"/>
                <w:sz w:val="24"/>
                <w:szCs w:val="24"/>
              </w:rPr>
            </w:r>
          </w:p>
        </w:tc>
        <w:tc>
          <w:tcPr>
            <w:tcW w:type="dxa" w:w="16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Calibri" w:cs="Calibri" w:hAnsi="Calibri" w:eastAsia="Calibri"/>
                <w:i w:val="1"/>
                <w:iCs w:val="1"/>
                <w:sz w:val="24"/>
                <w:szCs w:val="24"/>
              </w:rPr>
            </w:pPr>
            <w:r>
              <w:rPr>
                <w:rFonts w:ascii="Calibri" w:cs="Calibri" w:hAnsi="Calibri" w:eastAsia="Calibri"/>
                <w:i w:val="1"/>
                <w:iCs w:val="1"/>
                <w:sz w:val="24"/>
                <w:szCs w:val="24"/>
                <w:rtl w:val="0"/>
                <w:lang w:val="en-US"/>
              </w:rPr>
              <w:t>Educational support needs:</w:t>
            </w:r>
          </w:p>
          <w:p>
            <w:pPr>
              <w:pStyle w:val="Normal (Web)"/>
              <w:spacing w:before="0" w:after="0"/>
              <w:ind w:right="34"/>
              <w:rPr>
                <w:rFonts w:ascii="Calibri" w:cs="Calibri" w:hAnsi="Calibri" w:eastAsia="Calibri"/>
                <w:i w:val="1"/>
                <w:iCs w:val="1"/>
                <w:sz w:val="24"/>
                <w:szCs w:val="24"/>
                <w:lang w:val="en-US"/>
              </w:rPr>
            </w:pPr>
          </w:p>
          <w:p>
            <w:pPr>
              <w:pStyle w:val="Normal (Web)"/>
              <w:bidi w:val="0"/>
              <w:spacing w:before="0" w:after="0"/>
              <w:ind w:left="0" w:right="34" w:firstLine="0"/>
              <w:jc w:val="left"/>
              <w:rPr>
                <w:rtl w:val="0"/>
              </w:rPr>
            </w:pPr>
            <w:r>
              <w:rPr>
                <w:rFonts w:ascii="Calibri" w:cs="Calibri" w:hAnsi="Calibri" w:eastAsia="Calibri"/>
                <w:i w:val="1"/>
                <w:iCs w:val="1"/>
                <w:sz w:val="24"/>
                <w:szCs w:val="24"/>
                <w:rtl w:val="0"/>
                <w:lang w:val="en-US"/>
              </w:rPr>
              <w:t>No</w:t>
            </w:r>
          </w:p>
        </w:tc>
      </w:tr>
      <w:tr>
        <w:tblPrEx>
          <w:shd w:val="clear" w:color="auto" w:fill="ced7e7"/>
        </w:tblPrEx>
        <w:trPr>
          <w:trHeight w:val="85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Calibri" w:cs="Calibri" w:hAnsi="Calibri" w:eastAsia="Calibri"/>
                <w:i w:val="1"/>
                <w:iCs w:val="1"/>
                <w:sz w:val="24"/>
                <w:szCs w:val="24"/>
              </w:rPr>
            </w:pPr>
            <w:r>
              <w:rPr>
                <w:rFonts w:ascii="Calibri" w:cs="Calibri" w:hAnsi="Calibri" w:eastAsia="Calibri"/>
                <w:i w:val="1"/>
                <w:iCs w:val="1"/>
                <w:sz w:val="24"/>
                <w:szCs w:val="24"/>
                <w:rtl w:val="0"/>
                <w:lang w:val="en-US"/>
              </w:rPr>
              <w:t xml:space="preserve">Assignment title: </w:t>
            </w:r>
            <w:r>
              <w:rPr>
                <w:rFonts w:ascii="Calibri" w:cs="Calibri" w:hAnsi="Calibri" w:eastAsia="Calibri"/>
                <w:i w:val="1"/>
                <w:iCs w:val="1"/>
                <w:sz w:val="24"/>
                <w:szCs w:val="24"/>
                <w:rtl w:val="0"/>
                <w:lang w:val="zh-TW" w:eastAsia="zh-TW"/>
              </w:rPr>
              <w:t>CHAN_</w:t>
            </w:r>
            <w:r>
              <w:rPr>
                <w:rFonts w:ascii="Calibri" w:cs="Calibri" w:hAnsi="Calibri" w:eastAsia="Calibri"/>
                <w:i w:val="1"/>
                <w:iCs w:val="1"/>
                <w:sz w:val="24"/>
                <w:szCs w:val="24"/>
                <w:rtl w:val="0"/>
                <w:lang w:val="en-US"/>
              </w:rPr>
              <w:t>1704491_AH</w:t>
            </w:r>
            <w:r>
              <w:rPr>
                <w:rFonts w:ascii="Calibri" w:cs="Calibri" w:hAnsi="Calibri" w:eastAsia="Calibri"/>
                <w:i w:val="1"/>
                <w:iCs w:val="1"/>
                <w:sz w:val="24"/>
                <w:szCs w:val="24"/>
                <w:rtl w:val="0"/>
                <w:lang w:val="zh-TW" w:eastAsia="zh-TW"/>
              </w:rPr>
              <w:t>HE</w:t>
            </w:r>
            <w:r>
              <w:rPr>
                <w:rFonts w:ascii="Calibri" w:cs="Calibri" w:hAnsi="Calibri" w:eastAsia="Calibri"/>
                <w:i w:val="1"/>
                <w:iCs w:val="1"/>
                <w:sz w:val="24"/>
                <w:szCs w:val="24"/>
                <w:rtl w:val="0"/>
                <w:lang w:val="en-US"/>
              </w:rPr>
              <w:t>4001_2</w:t>
            </w:r>
          </w:p>
          <w:p>
            <w:pPr>
              <w:pStyle w:val="Normal (Web)"/>
              <w:spacing w:before="0" w:after="0"/>
              <w:ind w:right="34"/>
              <w:rPr>
                <w:rFonts w:ascii="Calibri" w:cs="Calibri" w:hAnsi="Calibri" w:eastAsia="Calibri"/>
                <w:i w:val="1"/>
                <w:iCs w:val="1"/>
                <w:sz w:val="24"/>
                <w:szCs w:val="24"/>
                <w:lang w:val="en-US"/>
              </w:rPr>
            </w:pPr>
          </w:p>
          <w:p>
            <w:pPr>
              <w:pStyle w:val="Normal (Web)"/>
              <w:bidi w:val="0"/>
              <w:spacing w:before="0" w:after="0"/>
              <w:ind w:left="0" w:right="34" w:firstLine="0"/>
              <w:jc w:val="left"/>
              <w:rPr>
                <w:rtl w:val="0"/>
              </w:rPr>
            </w:pPr>
            <w:r>
              <w:rPr>
                <w:rFonts w:ascii="Calibri" w:cs="Calibri" w:hAnsi="Calibri" w:eastAsia="Calibri"/>
                <w:i w:val="1"/>
                <w:iCs w:val="1"/>
                <w:sz w:val="24"/>
                <w:szCs w:val="24"/>
                <w:rtl w:val="0"/>
                <w:lang w:val="en-US"/>
              </w:rPr>
              <w:t>Assignment due date:</w:t>
            </w:r>
            <w:r>
              <w:rPr>
                <w:rFonts w:ascii="Calibri" w:cs="Calibri" w:hAnsi="Calibri" w:eastAsia="Calibri"/>
                <w:i w:val="1"/>
                <w:iCs w:val="1"/>
                <w:sz w:val="24"/>
                <w:szCs w:val="24"/>
                <w:rtl w:val="0"/>
                <w:lang w:val="en-US"/>
              </w:rPr>
              <w:t xml:space="preserve"> </w:t>
            </w:r>
            <w:r>
              <w:rPr>
                <w:rFonts w:ascii="Calibri" w:cs="Calibri" w:hAnsi="Calibri" w:eastAsia="Calibri"/>
                <w:i w:val="1"/>
                <w:iCs w:val="1"/>
                <w:sz w:val="24"/>
                <w:szCs w:val="24"/>
                <w:rtl w:val="0"/>
                <w:lang w:val="zh-TW" w:eastAsia="zh-TW"/>
              </w:rPr>
              <w:t>23</w:t>
            </w:r>
            <w:r>
              <w:rPr>
                <w:rFonts w:ascii="Calibri" w:cs="Calibri" w:hAnsi="Calibri" w:eastAsia="Calibri"/>
                <w:i w:val="1"/>
                <w:iCs w:val="1"/>
                <w:sz w:val="24"/>
                <w:szCs w:val="24"/>
                <w:rtl w:val="0"/>
                <w:lang w:val="en-US"/>
              </w:rPr>
              <w:t>/01/2018</w:t>
            </w:r>
          </w:p>
        </w:tc>
      </w:tr>
      <w:tr>
        <w:tblPrEx>
          <w:shd w:val="clear" w:color="auto" w:fill="ced7e7"/>
        </w:tblPrEx>
        <w:trPr>
          <w:trHeight w:val="57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Calibri" w:cs="Calibri" w:hAnsi="Calibri" w:eastAsia="Calibri"/>
                <w:i w:val="1"/>
                <w:iCs w:val="1"/>
                <w:sz w:val="24"/>
                <w:szCs w:val="24"/>
              </w:rPr>
            </w:pPr>
            <w:r>
              <w:rPr>
                <w:rFonts w:ascii="Calibri" w:cs="Calibri" w:hAnsi="Calibri" w:eastAsia="Calibri"/>
                <w:i w:val="1"/>
                <w:iCs w:val="1"/>
                <w:sz w:val="24"/>
                <w:szCs w:val="24"/>
                <w:rtl w:val="0"/>
                <w:lang w:val="en-US"/>
              </w:rPr>
              <w:t xml:space="preserve">Assignment Number: </w:t>
            </w:r>
            <w:r>
              <w:rPr>
                <w:rFonts w:ascii="Calibri" w:cs="Calibri" w:hAnsi="Calibri" w:eastAsia="Calibri"/>
                <w:i w:val="1"/>
                <w:iCs w:val="1"/>
                <w:sz w:val="24"/>
                <w:szCs w:val="24"/>
                <w:rtl w:val="0"/>
                <w:lang w:val="zh-TW" w:eastAsia="zh-TW"/>
              </w:rPr>
              <w:t>3</w:t>
            </w:r>
          </w:p>
          <w:p>
            <w:pPr>
              <w:pStyle w:val="Normal (Web)"/>
              <w:bidi w:val="0"/>
              <w:spacing w:before="0" w:after="0"/>
              <w:ind w:left="0" w:right="34" w:firstLine="0"/>
              <w:jc w:val="left"/>
              <w:rPr>
                <w:rtl w:val="0"/>
              </w:rPr>
            </w:pPr>
            <w:r>
              <w:rPr>
                <w:rFonts w:ascii="Calibri" w:cs="Calibri" w:hAnsi="Calibri" w:eastAsia="Calibri"/>
                <w:i w:val="1"/>
                <w:iCs w:val="1"/>
                <w:sz w:val="24"/>
                <w:szCs w:val="24"/>
                <w:rtl w:val="0"/>
                <w:lang w:val="en-US"/>
              </w:rPr>
              <w:t>(i.e. 1,2,3)</w:t>
            </w:r>
          </w:p>
        </w:tc>
      </w:tr>
      <w:tr>
        <w:tblPrEx>
          <w:shd w:val="clear" w:color="auto" w:fill="ced7e7"/>
        </w:tblPrEx>
        <w:trPr>
          <w:trHeight w:val="6005"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rFonts w:ascii="Calibri" w:cs="Calibri" w:hAnsi="Calibri" w:eastAsia="Calibri"/>
                <w:i w:val="1"/>
                <w:iCs w:val="1"/>
                <w:sz w:val="24"/>
                <w:szCs w:val="24"/>
                <w:lang w:val="en-US"/>
              </w:rPr>
            </w:r>
          </w:p>
        </w:tc>
      </w:tr>
      <w:tr>
        <w:tblPrEx>
          <w:shd w:val="clear" w:color="auto" w:fill="ced7e7"/>
        </w:tblPrEx>
        <w:trPr>
          <w:trHeight w:val="670" w:hRule="atLeast"/>
        </w:trPr>
        <w:tc>
          <w:tcPr>
            <w:tcW w:type="dxa" w:w="676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ind w:left="142" w:right="34" w:firstLine="0"/>
            </w:pPr>
            <w:r>
              <w:rPr>
                <w:rFonts w:ascii="Calibri" w:cs="Calibri" w:hAnsi="Calibri" w:eastAsia="Calibri"/>
                <w:i w:val="1"/>
                <w:iCs w:val="1"/>
                <w:sz w:val="24"/>
                <w:szCs w:val="24"/>
                <w:rtl w:val="0"/>
                <w:lang w:val="en-US"/>
              </w:rPr>
              <w:t>Marker</w:t>
            </w:r>
            <w:r>
              <w:rPr>
                <w:rFonts w:ascii="Calibri" w:cs="Calibri" w:hAnsi="Calibri" w:eastAsia="Calibri"/>
                <w:i w:val="1"/>
                <w:iCs w:val="1"/>
                <w:sz w:val="24"/>
                <w:szCs w:val="24"/>
                <w:rtl w:val="0"/>
                <w:lang w:val="en-US"/>
              </w:rPr>
              <w:t>’</w:t>
            </w:r>
            <w:r>
              <w:rPr>
                <w:rFonts w:ascii="Calibri" w:cs="Calibri" w:hAnsi="Calibri" w:eastAsia="Calibri"/>
                <w:i w:val="1"/>
                <w:iCs w:val="1"/>
                <w:sz w:val="24"/>
                <w:szCs w:val="24"/>
                <w:rtl w:val="0"/>
                <w:lang w:val="en-US"/>
              </w:rPr>
              <w:t xml:space="preserve">s  signature: </w:t>
            </w:r>
            <w:r>
              <w:rPr>
                <w:rFonts w:ascii="Calibri" w:cs="Calibri" w:hAnsi="Calibri" w:eastAsia="Calibri"/>
                <w:i w:val="1"/>
                <w:iCs w:val="1"/>
                <w:sz w:val="24"/>
                <w:szCs w:val="24"/>
              </w:rPr>
            </w:r>
          </w:p>
        </w:tc>
        <w:tc>
          <w:tcPr>
            <w:tcW w:type="dxa" w:w="19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spacing w:after="0"/>
              <w:ind w:left="142" w:right="34" w:firstLine="0"/>
            </w:pPr>
            <w:r>
              <w:rPr>
                <w:rFonts w:ascii="Calibri" w:cs="Calibri" w:hAnsi="Calibri" w:eastAsia="Calibri"/>
                <w:i w:val="1"/>
                <w:iCs w:val="1"/>
                <w:sz w:val="24"/>
                <w:szCs w:val="24"/>
                <w:rtl w:val="0"/>
                <w:lang w:val="en-US"/>
              </w:rPr>
              <w:t>Date:</w:t>
            </w:r>
            <w:r>
              <w:rPr>
                <w:rFonts w:ascii="Calibri" w:cs="Calibri" w:hAnsi="Calibri" w:eastAsia="Calibri"/>
                <w:i w:val="1"/>
                <w:iCs w:val="1"/>
                <w:sz w:val="24"/>
                <w:szCs w:val="24"/>
              </w:rPr>
            </w:r>
          </w:p>
        </w:tc>
      </w:tr>
      <w:tr>
        <w:tblPrEx>
          <w:shd w:val="clear" w:color="auto" w:fill="ced7e7"/>
        </w:tblPrEx>
        <w:trPr>
          <w:trHeight w:val="113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spacing w:before="0" w:after="0"/>
              <w:ind w:left="142" w:right="34" w:firstLine="0"/>
              <w:rPr>
                <w:rFonts w:ascii="Calibri" w:cs="Calibri" w:hAnsi="Calibri" w:eastAsia="Calibri"/>
                <w:i w:val="1"/>
                <w:iCs w:val="1"/>
                <w:sz w:val="24"/>
                <w:szCs w:val="24"/>
              </w:rPr>
            </w:pPr>
            <w:r>
              <w:rPr>
                <w:rFonts w:ascii="Calibri" w:cs="Calibri" w:hAnsi="Calibri" w:eastAsia="Calibri"/>
                <w:i w:val="1"/>
                <w:iCs w:val="1"/>
                <w:sz w:val="24"/>
                <w:szCs w:val="24"/>
                <w:rtl w:val="0"/>
                <w:lang w:val="en-US"/>
              </w:rPr>
              <w:t>Provisional.</w:t>
            </w:r>
          </w:p>
          <w:p>
            <w:pPr>
              <w:pStyle w:val="Normal (Web)"/>
              <w:bidi w:val="0"/>
              <w:spacing w:before="0" w:after="0"/>
              <w:ind w:left="142" w:right="34" w:firstLine="0"/>
              <w:jc w:val="left"/>
              <w:rPr>
                <w:rFonts w:ascii="Calibri" w:cs="Calibri" w:hAnsi="Calibri" w:eastAsia="Calibri"/>
                <w:i w:val="1"/>
                <w:iCs w:val="1"/>
                <w:sz w:val="24"/>
                <w:szCs w:val="24"/>
                <w:rtl w:val="0"/>
              </w:rPr>
            </w:pPr>
            <w:r>
              <w:rPr>
                <w:rFonts w:ascii="Calibri" w:cs="Calibri" w:hAnsi="Calibri" w:eastAsia="Calibri"/>
                <w:b w:val="1"/>
                <w:bCs w:val="1"/>
                <w:i w:val="1"/>
                <w:iCs w:val="1"/>
                <w:sz w:val="24"/>
                <w:szCs w:val="24"/>
                <w:rtl w:val="0"/>
                <w:lang w:val="en-US"/>
              </w:rPr>
              <w:t>NB.</w:t>
            </w:r>
            <w:r>
              <w:rPr>
                <w:rFonts w:ascii="Calibri" w:cs="Calibri" w:hAnsi="Calibri" w:eastAsia="Calibri"/>
                <w:i w:val="1"/>
                <w:iCs w:val="1"/>
                <w:sz w:val="24"/>
                <w:szCs w:val="24"/>
                <w:rtl w:val="0"/>
                <w:lang w:val="en-US"/>
              </w:rPr>
              <w:t xml:space="preserve">  All marks are provisional until confirmed by the final examination board. </w:t>
            </w:r>
          </w:p>
          <w:p>
            <w:pPr>
              <w:pStyle w:val="Normal (Web)"/>
              <w:bidi w:val="0"/>
              <w:spacing w:before="0" w:after="0"/>
              <w:ind w:left="142" w:right="34" w:firstLine="0"/>
              <w:jc w:val="left"/>
              <w:rPr>
                <w:rtl w:val="0"/>
              </w:rPr>
            </w:pPr>
            <w:r>
              <w:rPr>
                <w:rFonts w:ascii="Calibri" w:cs="Calibri" w:hAnsi="Calibri" w:eastAsia="Calibri"/>
                <w:i w:val="1"/>
                <w:iCs w:val="1"/>
                <w:sz w:val="24"/>
                <w:szCs w:val="24"/>
                <w:rtl w:val="0"/>
                <w:lang w:val="en-US"/>
              </w:rPr>
              <w:t xml:space="preserve"> </w:t>
            </w:r>
          </w:p>
        </w:tc>
      </w:tr>
    </w:tbl>
    <w:p>
      <w:pPr>
        <w:pStyle w:val="標題"/>
        <w:rPr>
          <w:sz w:val="28"/>
          <w:szCs w:val="28"/>
        </w:rPr>
      </w:pPr>
    </w:p>
    <w:p>
      <w:pPr>
        <w:pStyle w:val="標題"/>
        <w:rPr>
          <w:sz w:val="28"/>
          <w:szCs w:val="28"/>
        </w:rPr>
      </w:pPr>
    </w:p>
    <w:p>
      <w:pPr>
        <w:pStyle w:val="標題"/>
        <w:rPr>
          <w:sz w:val="28"/>
          <w:szCs w:val="28"/>
        </w:rPr>
      </w:pPr>
      <w:r>
        <w:rPr>
          <w:sz w:val="28"/>
          <w:szCs w:val="28"/>
          <w:rtl w:val="0"/>
          <w:lang w:val="zh-TW" w:eastAsia="zh-TW"/>
        </w:rPr>
        <w:t>W</w:t>
      </w:r>
      <w:r>
        <w:rPr>
          <w:sz w:val="28"/>
          <w:szCs w:val="28"/>
          <w:rtl w:val="0"/>
          <w:lang w:val="en-US"/>
        </w:rPr>
        <w:t xml:space="preserve">here next for the </w:t>
      </w:r>
      <w:r>
        <w:rPr>
          <w:sz w:val="28"/>
          <w:szCs w:val="28"/>
          <w:rtl w:val="0"/>
        </w:rPr>
        <w:t>‘</w:t>
      </w:r>
      <w:r>
        <w:rPr>
          <w:sz w:val="28"/>
          <w:szCs w:val="28"/>
          <w:rtl w:val="0"/>
        </w:rPr>
        <w:t>Newport Ship</w:t>
      </w:r>
      <w:r>
        <w:rPr>
          <w:sz w:val="28"/>
          <w:szCs w:val="28"/>
          <w:rtl w:val="0"/>
          <w:lang w:val="fr-FR"/>
        </w:rPr>
        <w:t>’</w:t>
      </w:r>
      <w:r>
        <w:rPr>
          <w:sz w:val="28"/>
          <w:szCs w:val="28"/>
          <w:rtl w:val="0"/>
        </w:rPr>
        <w:t>?</w:t>
      </w:r>
    </w:p>
    <w:p>
      <w:pPr>
        <w:pStyle w:val="內文"/>
        <w:bidi w:val="0"/>
      </w:pPr>
    </w:p>
    <w:p>
      <w:pPr>
        <w:pStyle w:val="內文"/>
        <w:spacing w:line="360" w:lineRule="auto"/>
        <w:jc w:val="both"/>
        <w:rPr>
          <w:sz w:val="24"/>
          <w:szCs w:val="24"/>
        </w:rPr>
      </w:pPr>
      <w:r>
        <w:rPr>
          <w:sz w:val="24"/>
          <w:szCs w:val="24"/>
          <w:rtl w:val="0"/>
          <w:lang w:val="en-US"/>
        </w:rPr>
        <w:t>Newport medieval ship was discovered in June 2002, during the construction of the Riverfront Arts Centre, on the right bank of the River Usk. Newport medieval ship is about 35 meters long and 8 meters wide which allows her to travel inter-continents. According to the artifacts excavated with the ship, it is believed that it was trading with Portugal. The ship was buried around low oxygen level mud which makes the ship been preserved well. Newport ship is therefore regarded as one of the most complete medieval ships nowadays. The excellent condition of ship</w:t>
      </w:r>
      <w:r>
        <w:rPr>
          <w:sz w:val="24"/>
          <w:szCs w:val="24"/>
          <w:rtl w:val="0"/>
          <w:lang w:val="fr-FR"/>
        </w:rPr>
        <w:t>’</w:t>
      </w:r>
      <w:r>
        <w:rPr>
          <w:sz w:val="24"/>
          <w:szCs w:val="24"/>
          <w:rtl w:val="0"/>
          <w:lang w:val="en-US"/>
        </w:rPr>
        <w:t>s timbers generated the idea of ship reconstruction. Assembling Newport ship with the use of its own woods is the ultimate goal of archaeologists participating in this excavation.</w:t>
      </w:r>
    </w:p>
    <w:p>
      <w:pPr>
        <w:pStyle w:val="內文"/>
        <w:spacing w:line="360" w:lineRule="auto"/>
      </w:pPr>
    </w:p>
    <w:p>
      <w:pPr>
        <w:pStyle w:val="內文"/>
        <w:spacing w:line="360" w:lineRule="auto"/>
        <w:jc w:val="both"/>
        <w:rPr>
          <w:sz w:val="24"/>
          <w:szCs w:val="24"/>
        </w:rPr>
      </w:pPr>
      <w:r>
        <w:rPr>
          <w:sz w:val="24"/>
          <w:szCs w:val="24"/>
          <w:rtl w:val="0"/>
          <w:lang w:val="en-US"/>
        </w:rPr>
        <w:t xml:space="preserve">After excavation, the cleaning and preserving processes of timbers began. The 540 years old timbers required complicated and detailed conservation. The uncleaned timbers were covered by lots of mud and concretion. A thick layer of iron was also found owing to the environmental conditions of River Usk. In order to preserve the timber better, a thorough cleaning was required. The cleaning process was complicated and time-consuming. Each timber had firstly clean with tap water to get rid of large debris. Careful cleaning with toothbrushes and dental tools demanded more time and human sources to avoid damages. At last, timbers were kept wet to prevent distortion. </w:t>
      </w:r>
    </w:p>
    <w:p>
      <w:pPr>
        <w:pStyle w:val="內文"/>
        <w:spacing w:line="360" w:lineRule="auto"/>
      </w:pPr>
    </w:p>
    <w:p>
      <w:pPr>
        <w:pStyle w:val="內文"/>
        <w:spacing w:line="360" w:lineRule="auto"/>
        <w:jc w:val="both"/>
        <w:rPr>
          <w:sz w:val="24"/>
          <w:szCs w:val="24"/>
        </w:rPr>
      </w:pPr>
      <w:r>
        <w:rPr>
          <w:sz w:val="24"/>
          <w:szCs w:val="24"/>
          <w:rtl w:val="0"/>
          <w:lang w:val="en-US"/>
        </w:rPr>
        <w:t xml:space="preserve">In the conservation stage, PEG and ammonium citrate treatment were done on the timbers before proceeding to the freeze-drying process. As mentioned above, there was a thick layer of iron on the woods and which reacts with the PEG solution. Ammonium citrate treatment was added to remove iron salt in the woods. PEG can replace the water in the wood cell to keep the woods bulky. Thus, the woods would not collapse even though they are dried out. Lastly, it was the time to dry timbers out. Aged timbers cannot be dried by just exposing them to the sun. The project team adopted the freeze-drying method which dried timber with the water evaporation mechanism and sent the timbers to York Archaeological Trust and Mary Rose Archaeological Trust to carry out this process. The timbers are now stored in a constant environment with temperature and humidity control in Newport, Wales. </w:t>
      </w:r>
    </w:p>
    <w:p>
      <w:pPr>
        <w:pStyle w:val="內文"/>
        <w:spacing w:line="360" w:lineRule="auto"/>
      </w:pPr>
    </w:p>
    <w:p>
      <w:pPr>
        <w:pStyle w:val="內文"/>
        <w:spacing w:line="360" w:lineRule="auto"/>
      </w:pPr>
    </w:p>
    <w:p>
      <w:pPr>
        <w:pStyle w:val="內文"/>
        <w:spacing w:line="360" w:lineRule="auto"/>
        <w:jc w:val="both"/>
        <w:rPr>
          <w:sz w:val="24"/>
          <w:szCs w:val="24"/>
        </w:rPr>
      </w:pPr>
      <w:r>
        <w:rPr>
          <w:sz w:val="24"/>
          <w:szCs w:val="24"/>
          <w:rtl w:val="0"/>
          <w:lang w:val="en-US"/>
        </w:rPr>
        <w:t>The post-excavation recording was carried out in late 2004. Tracing and contact digitizing was adopted to produce three-dimensional rotatable images of every ship timber and artifacts. This recording method is more efficient and allows close study of every timber. Archaeologists also made use the 3D printing technology to construct a fully accurate 1:10 scale Newport ship model. Every recorded timber was 3D printed by Cardiff University. Archaeologists are now constructing the model piece by piece</w:t>
      </w:r>
      <w:r>
        <w:rPr>
          <w:sz w:val="24"/>
          <w:szCs w:val="24"/>
          <w:rtl w:val="0"/>
          <w:lang w:val="zh-TW" w:eastAsia="zh-TW"/>
        </w:rPr>
        <w:t xml:space="preserve"> and the process will be </w:t>
      </w:r>
      <w:r>
        <w:rPr>
          <w:sz w:val="24"/>
          <w:szCs w:val="24"/>
          <w:rtl w:val="0"/>
          <w:lang w:val="en-US"/>
        </w:rPr>
        <w:t xml:space="preserve"> recorded </w:t>
      </w:r>
      <w:r>
        <w:rPr>
          <w:sz w:val="24"/>
          <w:szCs w:val="24"/>
          <w:rtl w:val="0"/>
          <w:lang w:val="zh-TW" w:eastAsia="zh-TW"/>
        </w:rPr>
        <w:t>with the use of</w:t>
      </w:r>
      <w:r>
        <w:rPr>
          <w:sz w:val="24"/>
          <w:szCs w:val="24"/>
          <w:rtl w:val="0"/>
          <w:lang w:val="en-US"/>
        </w:rPr>
        <w:t xml:space="preserve"> time-lapse photography. The experience of 3D ship model construction allows the project team having a clear idea of the construction way and process of the original ship. Therefore, the model acts as a blueprint to enhance the ship re</w:t>
      </w:r>
      <w:r>
        <w:rPr>
          <w:sz w:val="24"/>
          <w:szCs w:val="24"/>
          <w:rtl w:val="0"/>
          <w:lang w:val="zh-TW" w:eastAsia="zh-TW"/>
        </w:rPr>
        <w:t>as</w:t>
      </w:r>
      <w:r>
        <w:rPr>
          <w:sz w:val="24"/>
          <w:szCs w:val="24"/>
          <w:rtl w:val="0"/>
          <w:lang w:val="en-US"/>
        </w:rPr>
        <w:t xml:space="preserve">sembling process in the future. </w:t>
      </w:r>
    </w:p>
    <w:p>
      <w:pPr>
        <w:pStyle w:val="內文"/>
        <w:spacing w:line="360" w:lineRule="auto"/>
      </w:pPr>
    </w:p>
    <w:p>
      <w:pPr>
        <w:pStyle w:val="內文"/>
        <w:spacing w:line="360" w:lineRule="auto"/>
        <w:jc w:val="both"/>
        <w:rPr>
          <w:sz w:val="24"/>
          <w:szCs w:val="24"/>
        </w:rPr>
      </w:pPr>
      <w:r>
        <w:rPr>
          <w:sz w:val="24"/>
          <w:szCs w:val="24"/>
          <w:rtl w:val="0"/>
          <w:lang w:val="en-US"/>
        </w:rPr>
        <w:t xml:space="preserve">Starting from 2002 till now, it is about 15 years. The excavating, cleaning and recording stages are completed. The conservation process is also almost finished. In the recent period, the project team is, on one hand, carrying on freeze-drying and climate-controlled storage, on the other hand, the 1:10 scale 3D model of the ship is constructing and displaying at the ship centre. A great breakthrough has been made that some of the timbers have been put back together. </w:t>
      </w:r>
    </w:p>
    <w:p>
      <w:pPr>
        <w:pStyle w:val="內文"/>
        <w:spacing w:line="360" w:lineRule="auto"/>
      </w:pPr>
    </w:p>
    <w:p>
      <w:pPr>
        <w:pStyle w:val="內文"/>
        <w:spacing w:line="360" w:lineRule="auto"/>
        <w:jc w:val="both"/>
        <w:rPr>
          <w:sz w:val="24"/>
          <w:szCs w:val="24"/>
        </w:rPr>
      </w:pPr>
      <w:r>
        <w:rPr>
          <w:sz w:val="24"/>
          <w:szCs w:val="24"/>
          <w:rtl w:val="0"/>
          <w:lang w:val="zh-TW" w:eastAsia="zh-TW"/>
        </w:rPr>
        <w:t xml:space="preserve">As for the future plan, the project team planned to reconstruct the medieval ship with the excavated timbers. It is expected that the conservation process will be ended in late 2018. The ship reconstruction can thus be officially started. Being one of the most essential pieces in European maritime history, the project team wishes to resemble the ship in front of the public. The reassembling may act as tourist and educational attraction as it is exciting and amazing to rebuild a large historical ship. This exhibition is also a good way for the Friends of Newport Ship to raise fund from the public and the Welsh government for new museum construction and further ship maintenance. </w:t>
      </w:r>
    </w:p>
    <w:p>
      <w:pPr>
        <w:pStyle w:val="內文"/>
        <w:spacing w:line="360" w:lineRule="auto"/>
      </w:pPr>
    </w:p>
    <w:p>
      <w:pPr>
        <w:pStyle w:val="內文"/>
        <w:spacing w:line="360" w:lineRule="auto"/>
        <w:jc w:val="both"/>
        <w:rPr>
          <w:sz w:val="24"/>
          <w:szCs w:val="24"/>
        </w:rPr>
      </w:pPr>
      <w:r>
        <w:rPr>
          <w:sz w:val="24"/>
          <w:szCs w:val="24"/>
          <w:rtl w:val="0"/>
          <w:lang w:val="en-US"/>
        </w:rPr>
        <w:t xml:space="preserve">Apart from ship reassembling, there is a more urgent problem to solve and which is the location of ship placement when the reconstruction is completed. It is likely that the project team would like to build a new museum for the medieval ship, alongside with the displays of related excavated artifacts and other small vessels. There are many considerations such as the popularity, cost, and size of the museum before decisions can be made. The politics between the government, community and the project team may also hinder the progress of decision-making. </w:t>
      </w:r>
    </w:p>
    <w:p>
      <w:pPr>
        <w:pStyle w:val="內文"/>
        <w:spacing w:line="360" w:lineRule="auto"/>
      </w:pPr>
    </w:p>
    <w:p>
      <w:pPr>
        <w:pStyle w:val="內文"/>
        <w:spacing w:line="360" w:lineRule="auto"/>
        <w:jc w:val="both"/>
        <w:rPr>
          <w:sz w:val="24"/>
          <w:szCs w:val="24"/>
        </w:rPr>
      </w:pPr>
      <w:r>
        <w:rPr>
          <w:sz w:val="24"/>
          <w:szCs w:val="24"/>
          <w:rtl w:val="0"/>
          <w:lang w:val="en-US"/>
        </w:rPr>
        <w:t xml:space="preserve">Ship reassembling campaign in Newport is not something new. It was done in both Norway and China. Viking Ship Museum in Oslo, Norway, has a wide variety collection of Viking ship. The largest one is Gokstad ship which was discovered in 1879. Gokstad ship is around 24 meters long and 5 meters wide. Similar to the Newport ship, Gokstad ship was buried but was surprisingly well preserved. In its restoration process, although the technology was not as advanced as nowadays, the timbers of the ship were dismantled, stead and bent to their shape. The archaeologists reassembled the ship with original pieces of timber unless those were in poor condition. Oseberg ship, which is displaying in the same museum, is another example of ship reconstruction. Oseberg ship cost 21 years to complete the whole restoration as the timbers dried out very slowly. Fortunately, Newport ship takes the advantage of advanced technology which makes the time shorter. The reconstructed Oseberg ship consisted of more than 90% of original timbers. </w:t>
      </w:r>
    </w:p>
    <w:p>
      <w:pPr>
        <w:pStyle w:val="內文"/>
        <w:spacing w:line="360" w:lineRule="auto"/>
        <w:jc w:val="both"/>
        <w:rPr>
          <w:sz w:val="24"/>
          <w:szCs w:val="24"/>
        </w:rPr>
      </w:pPr>
    </w:p>
    <w:p>
      <w:pPr>
        <w:pStyle w:val="內文"/>
        <w:spacing w:line="360" w:lineRule="auto"/>
        <w:jc w:val="both"/>
        <w:rPr>
          <w:sz w:val="24"/>
          <w:szCs w:val="24"/>
        </w:rPr>
      </w:pPr>
      <w:r>
        <w:rPr>
          <w:sz w:val="24"/>
          <w:szCs w:val="24"/>
          <w:rtl w:val="0"/>
          <w:lang w:val="en-US"/>
        </w:rPr>
        <w:t>Both of these two ships have their replicas. Gokstad ship and Oseberg ship have several replicas displaying around the globe to reveal the greatness of Viking ships. In 2010, an exact replica of Oseberg was built and put into the river to testify its sail-ability. Similarly, Newport ship can do the same in the future, after the reassembling. On one hand, more people can get the knowledge of shipbuilding in Viking times. On the other hand, the replicas can testify the capability of the excavated ship.</w:t>
      </w:r>
    </w:p>
    <w:p>
      <w:pPr>
        <w:pStyle w:val="內文"/>
        <w:spacing w:line="360" w:lineRule="auto"/>
      </w:pPr>
    </w:p>
    <w:p>
      <w:pPr>
        <w:pStyle w:val="內文"/>
        <w:spacing w:line="360" w:lineRule="auto"/>
        <w:jc w:val="both"/>
        <w:rPr>
          <w:sz w:val="24"/>
          <w:szCs w:val="24"/>
        </w:rPr>
      </w:pPr>
      <w:r>
        <w:rPr>
          <w:sz w:val="24"/>
          <w:szCs w:val="24"/>
          <w:rtl w:val="0"/>
          <w:lang w:val="en-US"/>
        </w:rPr>
        <w:t xml:space="preserve">In Shandong province of China, a Yuan Dynasty ship was excavated under water. The length of the ship remain is 21 meters and the width is about 5 meters. This ship is the most well-preserved ship within the province. Therefore, its reconstruction program gained the great support from the provincial government. Not only was the financial support which allowed better types of equipment and technologies provided, experts were hired by the government to participate in the reconstruction program. Therefore, it took less than four years to complete the whole reconstruction project. The reassembled ship is now situating in a museum, which was built specifically for this ship and the related artifacts, in where it was discovered. </w:t>
      </w:r>
    </w:p>
    <w:p>
      <w:pPr>
        <w:pStyle w:val="內文"/>
        <w:spacing w:line="360" w:lineRule="auto"/>
        <w:jc w:val="both"/>
        <w:rPr>
          <w:sz w:val="24"/>
          <w:szCs w:val="24"/>
        </w:rPr>
      </w:pPr>
    </w:p>
    <w:p>
      <w:pPr>
        <w:pStyle w:val="內文"/>
        <w:spacing w:line="360" w:lineRule="auto"/>
        <w:jc w:val="both"/>
        <w:rPr>
          <w:sz w:val="24"/>
          <w:szCs w:val="24"/>
        </w:rPr>
      </w:pPr>
      <w:r>
        <w:rPr>
          <w:sz w:val="24"/>
          <w:szCs w:val="24"/>
          <w:rtl w:val="0"/>
          <w:lang w:val="en-US"/>
        </w:rPr>
        <w:t xml:space="preserve">From the example of the Chinese ship, it is obvious that a project with the support of the government can be carried out more efficient and fruitful. Nonetheless, the Newport ship project faced tons of difficulties since the first day of excavation. Owing to the unsupportive attitude of Welsh government, the project progressed hardly and slowly with the limited financial aid. The running of the Newport ship program mainly depends on the funding of Newport Uskmouth Rotary and several corporates. The volunteer is also the major human resource of the program. In the placement of Newport ship, a new museum can hardly be built with the help of government and CADW. Financial problem is the prime problem the project team has to solve before that the reconstruction can be carried on. </w:t>
      </w:r>
    </w:p>
    <w:p>
      <w:pPr>
        <w:pStyle w:val="內文"/>
        <w:spacing w:line="360" w:lineRule="auto"/>
        <w:jc w:val="both"/>
        <w:rPr>
          <w:sz w:val="24"/>
          <w:szCs w:val="24"/>
        </w:rPr>
      </w:pPr>
    </w:p>
    <w:p>
      <w:pPr>
        <w:pStyle w:val="內文"/>
        <w:spacing w:line="360" w:lineRule="auto"/>
        <w:jc w:val="both"/>
        <w:rPr>
          <w:sz w:val="24"/>
          <w:szCs w:val="24"/>
        </w:rPr>
      </w:pPr>
      <w:r>
        <w:rPr>
          <w:sz w:val="24"/>
          <w:szCs w:val="24"/>
          <w:rtl w:val="0"/>
          <w:lang w:val="en-US"/>
        </w:rPr>
        <w:t xml:space="preserve">Newport ship is a valuable access to British maritime history. The well-preserved timbers make the ship reassembling possible. The project team has already worked fifteen years to achieve the goal and two-thirds of the reconstruction were completed. In the near future, the 3D model of the ship will be displayed and the ship will start being reassembling. In the long-term perspective, Newport ship museum will be established to exhibit the reconstructed medieval ship and artifacts. The examples of ship reconstructions in Noway and China proved the planning for Newport ship is practical. </w:t>
      </w:r>
    </w:p>
    <w:p>
      <w:pPr>
        <w:pStyle w:val="內文"/>
        <w:bidi w:val="0"/>
      </w:pPr>
    </w:p>
    <w:p>
      <w:pPr>
        <w:pStyle w:val="內文"/>
        <w:bidi w:val="0"/>
      </w:pPr>
    </w:p>
    <w:p>
      <w:pPr>
        <w:pStyle w:val="內文"/>
        <w:bidi w:val="0"/>
      </w:pPr>
    </w:p>
    <w:p>
      <w:pPr>
        <w:pStyle w:val="內文"/>
        <w:bidi w:val="0"/>
      </w:pPr>
    </w:p>
    <w:p>
      <w:pPr>
        <w:pStyle w:val="內文"/>
        <w:bidi w:val="0"/>
      </w:pPr>
    </w:p>
    <w:p>
      <w:pPr>
        <w:pStyle w:val="內文"/>
        <w:bidi w:val="0"/>
      </w:pPr>
    </w:p>
    <w:p>
      <w:pPr>
        <w:pStyle w:val="內文"/>
        <w:bidi w:val="0"/>
      </w:pPr>
    </w:p>
    <w:p>
      <w:pPr>
        <w:pStyle w:val="內文"/>
        <w:bidi w:val="0"/>
      </w:pPr>
    </w:p>
    <w:p>
      <w:pPr>
        <w:pStyle w:val="內文"/>
        <w:bidi w:val="0"/>
      </w:pPr>
    </w:p>
    <w:p>
      <w:pPr>
        <w:pStyle w:val="內文"/>
        <w:bidi w:val="0"/>
      </w:pPr>
    </w:p>
    <w:p>
      <w:pPr>
        <w:pStyle w:val="內文"/>
        <w:bidi w:val="0"/>
      </w:pPr>
    </w:p>
    <w:p>
      <w:pPr>
        <w:pStyle w:val="標題"/>
        <w:bidi w:val="0"/>
      </w:pPr>
      <w:r>
        <w:rPr>
          <w:rtl w:val="0"/>
          <w:lang w:val="zh-TW" w:eastAsia="zh-TW"/>
        </w:rPr>
        <w:t>Reference</w:t>
      </w:r>
    </w:p>
    <w:p>
      <w:pPr>
        <w:pStyle w:val="內文"/>
        <w:bidi w:val="0"/>
      </w:pPr>
    </w:p>
    <w:p>
      <w:pPr>
        <w:pStyle w:val="內文"/>
        <w:rPr>
          <w:sz w:val="24"/>
          <w:szCs w:val="24"/>
        </w:rPr>
      </w:pPr>
      <w:r>
        <w:rPr>
          <w:sz w:val="24"/>
          <w:szCs w:val="24"/>
          <w:rtl w:val="0"/>
          <w:lang w:val="en-US"/>
        </w:rPr>
        <w:t xml:space="preserve">Jones, T. and Nayling, N. 2013. </w:t>
      </w:r>
      <w:r>
        <w:rPr>
          <w:sz w:val="24"/>
          <w:szCs w:val="24"/>
          <w:rtl w:val="0"/>
        </w:rPr>
        <w:t>‘</w:t>
      </w:r>
      <w:r>
        <w:rPr>
          <w:sz w:val="24"/>
          <w:szCs w:val="24"/>
          <w:rtl w:val="0"/>
          <w:lang w:val="en-US"/>
        </w:rPr>
        <w:t>The Newport Medieval Ship, Wales, United Kingdom</w:t>
      </w:r>
      <w:r>
        <w:rPr>
          <w:sz w:val="24"/>
          <w:szCs w:val="24"/>
          <w:rtl w:val="0"/>
          <w:lang w:val="fr-FR"/>
        </w:rPr>
        <w:t>’</w:t>
      </w:r>
      <w:r>
        <w:rPr>
          <w:sz w:val="24"/>
          <w:szCs w:val="24"/>
          <w:rtl w:val="0"/>
          <w:lang w:val="en-US"/>
        </w:rPr>
        <w:t>, The International Journal of Nautical Archaeology, 43(2) [online]. Available at: http://onlinelibrary.wiley.com.ezproxy.uwtsd.ac.uk/doi/10.1111/1095-9270.12053/full (Accessed: 23 January  2018)</w:t>
      </w:r>
    </w:p>
    <w:p>
      <w:pPr>
        <w:pStyle w:val="內文"/>
        <w:rPr>
          <w:sz w:val="24"/>
          <w:szCs w:val="24"/>
        </w:rPr>
      </w:pPr>
    </w:p>
    <w:p>
      <w:pPr>
        <w:pStyle w:val="內文"/>
        <w:rPr>
          <w:sz w:val="24"/>
          <w:szCs w:val="24"/>
        </w:rPr>
      </w:pPr>
      <w:r>
        <w:rPr>
          <w:sz w:val="24"/>
          <w:szCs w:val="24"/>
          <w:rtl w:val="0"/>
          <w:lang w:val="zh-TW" w:eastAsia="zh-TW"/>
        </w:rPr>
        <w:t xml:space="preserve">Jones, T. 2015, </w:t>
      </w:r>
      <w:r>
        <w:rPr>
          <w:sz w:val="24"/>
          <w:szCs w:val="24"/>
          <w:rtl w:val="0"/>
          <w:lang w:val="zh-TW" w:eastAsia="zh-TW"/>
        </w:rPr>
        <w:t>‘</w:t>
      </w:r>
      <w:r>
        <w:rPr>
          <w:sz w:val="24"/>
          <w:szCs w:val="24"/>
          <w:rtl w:val="0"/>
          <w:lang w:val="en-US"/>
        </w:rPr>
        <w:t>Three-Dimensional Digital Recording and Modelling Methodologies for</w:t>
      </w:r>
    </w:p>
    <w:p>
      <w:pPr>
        <w:pStyle w:val="內文"/>
        <w:rPr>
          <w:sz w:val="24"/>
          <w:szCs w:val="24"/>
        </w:rPr>
      </w:pPr>
      <w:r>
        <w:rPr>
          <w:sz w:val="24"/>
          <w:szCs w:val="24"/>
          <w:rtl w:val="0"/>
          <w:lang w:val="en-US"/>
        </w:rPr>
        <w:t>Documentation and Reconstruction of the Newport Medieval Ship</w:t>
      </w:r>
      <w:r>
        <w:rPr>
          <w:sz w:val="24"/>
          <w:szCs w:val="24"/>
          <w:rtl w:val="0"/>
          <w:lang w:val="zh-TW" w:eastAsia="zh-TW"/>
        </w:rPr>
        <w:t>’</w:t>
      </w:r>
      <w:r>
        <w:rPr>
          <w:sz w:val="24"/>
          <w:szCs w:val="24"/>
          <w:rtl w:val="0"/>
          <w:lang w:val="zh-TW" w:eastAsia="zh-TW"/>
        </w:rPr>
        <w:t>, PhD thesis, University of Wales Trinity Saint David, Lampeter SA48 7ED.</w:t>
      </w:r>
    </w:p>
    <w:p>
      <w:pPr>
        <w:pStyle w:val="內文"/>
        <w:rPr>
          <w:sz w:val="24"/>
          <w:szCs w:val="24"/>
        </w:rPr>
      </w:pPr>
    </w:p>
    <w:p>
      <w:pPr>
        <w:pStyle w:val="內文"/>
        <w:rPr>
          <w:sz w:val="24"/>
          <w:szCs w:val="24"/>
        </w:rPr>
      </w:pPr>
      <w:r>
        <w:rPr>
          <w:sz w:val="24"/>
          <w:szCs w:val="24"/>
          <w:rtl w:val="0"/>
        </w:rPr>
        <w:t>Rosenqvist</w:t>
      </w:r>
      <w:r>
        <w:rPr>
          <w:sz w:val="24"/>
          <w:szCs w:val="24"/>
          <w:rtl w:val="0"/>
          <w:lang w:val="zh-TW" w:eastAsia="zh-TW"/>
        </w:rPr>
        <w:t xml:space="preserve">, A. 1959. </w:t>
      </w:r>
      <w:r>
        <w:rPr>
          <w:sz w:val="24"/>
          <w:szCs w:val="24"/>
          <w:rtl w:val="0"/>
          <w:lang w:val="zh-TW" w:eastAsia="zh-TW"/>
        </w:rPr>
        <w:t>‘</w:t>
      </w:r>
      <w:r>
        <w:rPr>
          <w:sz w:val="24"/>
          <w:szCs w:val="24"/>
          <w:rtl w:val="0"/>
          <w:lang w:val="en-US"/>
        </w:rPr>
        <w:t>The Stabilizing of Wood Found in the Viking Ship of Oseberg: Part I</w:t>
      </w:r>
      <w:r>
        <w:rPr>
          <w:sz w:val="24"/>
          <w:szCs w:val="24"/>
          <w:rtl w:val="0"/>
          <w:lang w:val="zh-TW" w:eastAsia="zh-TW"/>
        </w:rPr>
        <w:t>’</w:t>
      </w:r>
      <w:r>
        <w:rPr>
          <w:sz w:val="24"/>
          <w:szCs w:val="24"/>
          <w:rtl w:val="0"/>
          <w:lang w:val="zh-TW" w:eastAsia="zh-TW"/>
        </w:rPr>
        <w:t xml:space="preserve">, </w:t>
      </w:r>
      <w:r>
        <w:rPr>
          <w:sz w:val="24"/>
          <w:szCs w:val="24"/>
          <w:rtl w:val="0"/>
          <w:lang w:val="de-DE"/>
        </w:rPr>
        <w:t xml:space="preserve"> Studies in Conservation</w:t>
      </w:r>
      <w:r>
        <w:rPr>
          <w:sz w:val="24"/>
          <w:szCs w:val="24"/>
          <w:rtl w:val="0"/>
          <w:lang w:val="zh-TW" w:eastAsia="zh-TW"/>
        </w:rPr>
        <w:t xml:space="preserve">, 4(1) [online]. Available at: </w:t>
      </w:r>
      <w:r>
        <w:rPr>
          <w:sz w:val="24"/>
          <w:szCs w:val="24"/>
          <w:rtl w:val="0"/>
          <w:lang w:val="en-US"/>
        </w:rPr>
        <w:t>http://www.jstor.org.ezproxy.uwtsd.ac.uk/stable/pdf/1504989.pdf?refreqid=excelsior%3Abf1cf7505c130b5b190d9ae3ab493f30</w:t>
      </w:r>
      <w:r>
        <w:rPr>
          <w:sz w:val="24"/>
          <w:szCs w:val="24"/>
          <w:rtl w:val="0"/>
          <w:lang w:val="zh-TW" w:eastAsia="zh-TW"/>
        </w:rPr>
        <w:t xml:space="preserve"> </w:t>
      </w:r>
      <w:r>
        <w:rPr>
          <w:sz w:val="24"/>
          <w:szCs w:val="24"/>
          <w:rtl w:val="0"/>
          <w:lang w:val="en-US"/>
        </w:rPr>
        <w:t>(Accessed: 23 January  2018)</w:t>
      </w:r>
    </w:p>
    <w:p>
      <w:pPr>
        <w:pStyle w:val="內文"/>
        <w:rPr>
          <w:sz w:val="24"/>
          <w:szCs w:val="24"/>
        </w:rPr>
      </w:pPr>
    </w:p>
    <w:p>
      <w:pPr>
        <w:pStyle w:val="內文"/>
        <w:rPr>
          <w:sz w:val="24"/>
          <w:szCs w:val="24"/>
        </w:rPr>
      </w:pPr>
      <w:r>
        <w:rPr>
          <w:sz w:val="24"/>
          <w:szCs w:val="24"/>
          <w:rtl w:val="0"/>
        </w:rPr>
        <w:t>http://www.newportship.org/</w:t>
      </w:r>
    </w:p>
    <w:p>
      <w:pPr>
        <w:pStyle w:val="內文"/>
        <w:rPr>
          <w:sz w:val="24"/>
          <w:szCs w:val="24"/>
        </w:rPr>
      </w:pPr>
      <w:r>
        <w:rPr>
          <w:sz w:val="24"/>
          <w:szCs w:val="24"/>
          <w:rtl w:val="0"/>
          <w:lang w:val="zh-TW" w:eastAsia="zh-TW"/>
        </w:rPr>
        <w:t xml:space="preserve">The website for Friends of Newport Ship </w:t>
      </w:r>
    </w:p>
    <w:p>
      <w:pPr>
        <w:pStyle w:val="內文"/>
        <w:rPr>
          <w:sz w:val="24"/>
          <w:szCs w:val="24"/>
        </w:rPr>
      </w:pPr>
    </w:p>
    <w:p>
      <w:pPr>
        <w:pStyle w:val="內文"/>
        <w:rPr>
          <w:sz w:val="24"/>
          <w:szCs w:val="24"/>
        </w:rPr>
      </w:pPr>
      <w:r>
        <w:rPr>
          <w:sz w:val="24"/>
          <w:szCs w:val="24"/>
          <w:rtl w:val="0"/>
          <w:lang w:val="en-US"/>
        </w:rPr>
        <w:t>http://www.khm.uio.no/english/</w:t>
      </w:r>
    </w:p>
    <w:p>
      <w:pPr>
        <w:pStyle w:val="內文"/>
      </w:pPr>
      <w:r>
        <w:rPr>
          <w:sz w:val="24"/>
          <w:szCs w:val="24"/>
          <w:rtl w:val="0"/>
          <w:lang w:val="zh-TW" w:eastAsia="zh-TW"/>
        </w:rPr>
        <w:t xml:space="preserve">The website for Museum of Cultural History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eorg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標題">
    <w:name w:val="標題"/>
    <w:next w:val="內文"/>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Arial Unicode MS" w:hAnsi="Helvetica" w:eastAsia="Arial Unicode MS"/>
      <w:b w:val="1"/>
      <w:bCs w:val="1"/>
      <w:i w:val="0"/>
      <w:iCs w:val="0"/>
      <w:caps w:val="0"/>
      <w:smallCaps w:val="0"/>
      <w:strike w:val="0"/>
      <w:dstrike w:val="0"/>
      <w:outline w:val="0"/>
      <w:color w:val="000000"/>
      <w:spacing w:val="0"/>
      <w:kern w:val="0"/>
      <w:position w:val="0"/>
      <w:sz w:val="36"/>
      <w:szCs w:val="36"/>
      <w:u w:val="none"/>
      <w:vertAlign w:val="baseline"/>
    </w:rPr>
  </w:style>
  <w:style w:type="paragraph" w:styleId="內文">
    <w:name w:val="內文"/>
    <w:next w:val="內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lang w:val="en-US"/>
    </w:rPr>
  </w:style>
  <w:style w:type="character" w:styleId="連結">
    <w:name w:val="連結"/>
    <w:rPr>
      <w:u w:val="single"/>
    </w:rPr>
  </w:style>
  <w:style w:type="character" w:styleId="Hyperlink.0">
    <w:name w:val="Hyperlink.0"/>
    <w:basedOn w:val="連結"/>
    <w:next w:val="Hyperlink.0"/>
    <w:rPr>
      <w:color w:val="0000ff"/>
      <w:u w:color="0000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