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1D45615F" w:rsidR="00763CB3" w:rsidRPr="00876921" w:rsidRDefault="0028431D"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Oakleigh Simcock-Jones</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226E2954" w:rsidR="00763CB3" w:rsidRPr="00876921" w:rsidRDefault="00436B9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2319844</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in order to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r w:rsidR="00C83F7C">
              <w:rPr>
                <w:rFonts w:ascii="Arial" w:eastAsia="Times New Roman" w:hAnsi="Arial" w:cs="Arial"/>
                <w:b/>
                <w:lang w:eastAsia="en-GB"/>
              </w:rPr>
              <w:t xml:space="preserve"> </w:t>
            </w:r>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FE4224">
        <w:rPr>
          <w:rFonts w:ascii="Arial" w:eastAsia="Times New Roman" w:hAnsi="Arial" w:cs="Arial"/>
          <w:b/>
          <w:bCs/>
          <w:lang w:eastAsia="en-GB"/>
        </w:rPr>
        <w:t>4000 word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6FA14AB3" w14:textId="77777777" w:rsidR="0028431D" w:rsidRPr="001E376F" w:rsidRDefault="0028431D" w:rsidP="0028431D">
      <w:pPr>
        <w:spacing w:after="0" w:line="240" w:lineRule="auto"/>
        <w:ind w:left="567" w:right="531"/>
        <w:jc w:val="center"/>
        <w:rPr>
          <w:rFonts w:ascii="Arial" w:eastAsia="Times New Roman" w:hAnsi="Arial" w:cs="Arial"/>
          <w:lang w:eastAsia="en-GB"/>
        </w:rPr>
      </w:pPr>
      <w:r w:rsidRPr="001E376F">
        <w:rPr>
          <w:rFonts w:ascii="Arial" w:eastAsia="Times New Roman" w:hAnsi="Arial" w:cs="Arial"/>
          <w:b/>
          <w:bCs/>
          <w:lang w:eastAsia="en-GB"/>
        </w:rPr>
        <w:t>All of your</w:t>
      </w:r>
      <w:r>
        <w:rPr>
          <w:rFonts w:ascii="Arial" w:eastAsia="Times New Roman" w:hAnsi="Arial" w:cs="Arial"/>
          <w:b/>
          <w:bCs/>
          <w:lang w:eastAsia="en-GB"/>
        </w:rPr>
        <w:t xml:space="preserve"> answers must be based academic research, not personal experience.</w:t>
      </w:r>
    </w:p>
    <w:p w14:paraId="19BBBA67" w14:textId="77777777" w:rsidR="0028431D" w:rsidRDefault="0028431D" w:rsidP="0028431D">
      <w:pPr>
        <w:spacing w:after="0" w:line="276" w:lineRule="auto"/>
        <w:ind w:left="567" w:right="531"/>
        <w:rPr>
          <w:rFonts w:ascii="Arial" w:eastAsia="Times New Roman" w:hAnsi="Arial" w:cs="Arial"/>
          <w:lang w:eastAsia="en-GB"/>
        </w:rPr>
      </w:pPr>
    </w:p>
    <w:p w14:paraId="51EAC12E"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one</w:t>
      </w:r>
      <w:r w:rsidRPr="0014198A">
        <w:rPr>
          <w:rFonts w:ascii="Arial" w:eastAsia="Times New Roman" w:hAnsi="Arial" w:cs="Arial"/>
          <w:b/>
          <w:bCs/>
          <w:lang w:eastAsia="en-GB"/>
        </w:rPr>
        <w:t xml:space="preserve"> </w:t>
      </w:r>
      <w:r w:rsidRPr="00FE4224">
        <w:rPr>
          <w:rFonts w:ascii="Arial" w:eastAsia="Times New Roman" w:hAnsi="Arial" w:cs="Arial"/>
          <w:b/>
          <w:bCs/>
          <w:lang w:eastAsia="en-GB"/>
        </w:rPr>
        <w:t>1000 word</w:t>
      </w:r>
      <w:r w:rsidRPr="0014198A">
        <w:rPr>
          <w:rFonts w:ascii="Arial" w:eastAsia="Times New Roman" w:hAnsi="Arial" w:cs="Arial"/>
          <w:b/>
          <w:bCs/>
          <w:lang w:eastAsia="en-GB"/>
        </w:rPr>
        <w:t xml:space="preserve"> </w:t>
      </w:r>
      <w:r w:rsidRPr="0014198A">
        <w:rPr>
          <w:rFonts w:ascii="Arial" w:eastAsia="Times New Roman" w:hAnsi="Arial" w:cs="Arial"/>
          <w:lang w:eastAsia="en-GB"/>
        </w:rPr>
        <w:t>essay</w:t>
      </w:r>
      <w:r w:rsidRPr="0B4505FB">
        <w:rPr>
          <w:rFonts w:ascii="Arial" w:eastAsia="Times New Roman" w:hAnsi="Arial" w:cs="Arial"/>
          <w:lang w:eastAsia="en-GB"/>
        </w:rPr>
        <w:t xml:space="preserve"> under </w:t>
      </w:r>
      <w:r w:rsidRPr="00FE4224">
        <w:rPr>
          <w:rFonts w:ascii="Arial" w:eastAsia="Times New Roman" w:hAnsi="Arial" w:cs="Arial"/>
          <w:b/>
          <w:bCs/>
          <w:lang w:eastAsia="en-GB"/>
        </w:rPr>
        <w:t>each</w:t>
      </w:r>
      <w:r w:rsidRPr="00FE4224">
        <w:rPr>
          <w:rFonts w:ascii="Arial" w:eastAsia="Times New Roman" w:hAnsi="Arial" w:cs="Arial"/>
          <w:lang w:eastAsia="en-GB"/>
        </w:rPr>
        <w:t xml:space="preserve"> </w:t>
      </w:r>
      <w:r w:rsidRPr="0B4505FB">
        <w:rPr>
          <w:rFonts w:ascii="Arial" w:eastAsia="Times New Roman" w:hAnsi="Arial" w:cs="Arial"/>
          <w:lang w:eastAsia="en-GB"/>
        </w:rPr>
        <w:t>of the following titles:</w:t>
      </w:r>
      <w:r w:rsidRPr="0B4505FB">
        <w:rPr>
          <w:rFonts w:ascii="Arial" w:eastAsia="Times New Roman" w:hAnsi="Arial" w:cs="Arial"/>
          <w:i/>
          <w:iCs/>
          <w:lang w:eastAsia="en-GB"/>
        </w:rPr>
        <w:t xml:space="preserve"> </w:t>
      </w:r>
    </w:p>
    <w:p w14:paraId="3601F1A8" w14:textId="77777777" w:rsidR="0028431D" w:rsidRDefault="0028431D" w:rsidP="0028431D">
      <w:pPr>
        <w:spacing w:after="0" w:line="276" w:lineRule="auto"/>
        <w:ind w:left="567" w:right="531"/>
        <w:rPr>
          <w:rFonts w:ascii="Arial" w:eastAsia="Times New Roman" w:hAnsi="Arial" w:cs="Arial"/>
          <w:lang w:eastAsia="en-GB"/>
        </w:rPr>
      </w:pPr>
    </w:p>
    <w:p w14:paraId="03A07BBF" w14:textId="77777777" w:rsidR="0028431D" w:rsidRPr="00FE4224" w:rsidRDefault="0028431D" w:rsidP="0028431D">
      <w:pPr>
        <w:spacing w:after="0" w:line="276" w:lineRule="auto"/>
        <w:ind w:left="567" w:right="531"/>
        <w:rPr>
          <w:rFonts w:ascii="Arial" w:eastAsia="Times New Roman" w:hAnsi="Arial" w:cs="Arial"/>
          <w:lang w:eastAsia="en-GB"/>
        </w:rPr>
      </w:pPr>
    </w:p>
    <w:p w14:paraId="3EB80D54"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35E4192C" w14:textId="77777777" w:rsidR="0028431D" w:rsidRPr="00F03007"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0AA675AB"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2EFCDBF1" w14:textId="77777777" w:rsidR="0028431D" w:rsidRPr="004C73EC"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358E7695" w14:textId="77777777" w:rsidR="0028431D"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567F74A" w14:textId="77777777" w:rsidR="0028431D" w:rsidRDefault="0028431D" w:rsidP="0028431D">
      <w:pPr>
        <w:spacing w:after="0" w:line="276" w:lineRule="auto"/>
        <w:ind w:right="531"/>
        <w:rPr>
          <w:rFonts w:ascii="Arial" w:eastAsia="Times New Roman" w:hAnsi="Arial" w:cs="Arial"/>
          <w:lang w:eastAsia="en-GB"/>
        </w:rPr>
      </w:pPr>
    </w:p>
    <w:p w14:paraId="376ADFCC"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Maintaining professional standards in policing is vital for fostering public trust and ensuring the ethical, lawful, and fair exercise of police powers. Professional standards safeguard against abuses of authority, protecting the rights of individuals and the legitimacy of the criminal justice system. Public concerns about police misconduct and malpractice, such as incidents of excessive force, racial bias, and unethical behaviour, have raised questions about the effectiveness of current policing frameworks (Drew &amp; Prenzler, 2015). High-profile case, such as those involving stop-and-search disparities or misuse of force, erode public confidence and highlight the urgent need for robust mechanisms to prevent misconduct (Lammy, 2017; Bowling and Phillips, 2007).</w:t>
      </w:r>
    </w:p>
    <w:p w14:paraId="414ABA3B" w14:textId="77777777" w:rsidR="00FC1580" w:rsidRPr="00FC1580" w:rsidRDefault="00FC1580" w:rsidP="00FC1580">
      <w:pPr>
        <w:spacing w:after="0" w:line="276" w:lineRule="auto"/>
        <w:ind w:left="567" w:right="531"/>
        <w:rPr>
          <w:rFonts w:ascii="Arial" w:eastAsia="Times New Roman" w:hAnsi="Arial" w:cs="Arial"/>
          <w:lang w:eastAsia="en-GB"/>
        </w:rPr>
      </w:pPr>
    </w:p>
    <w:p w14:paraId="1A18613D" w14:textId="77777777" w:rsidR="00FC1580" w:rsidRP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Police and Criminal Evidence Act, 1984 (PACE) is a cornerstone of professional standards in policing, designed to regulate police powers and protect individual rights. One of its key strengths lies in its emphasis on accountability through structured procedures for searches, arrests, and detention. For example, under Section 1 of PACE, officers must have a reasonable grounds for stop and search, ensuring actions are evidence-based rather than arbitrary (Home Office, 2022). Moreover, safeguards such as the necessity test for arrest and provisions for vulnerable individuals, including the requirement for an appropriate adult during interviews, underscore PACE’s commitment to protecting public rights (Youth Justice Board, 2018).</w:t>
      </w:r>
    </w:p>
    <w:p w14:paraId="3457299E"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 xml:space="preserve">However, significant weaknesses have been identified. Stop-and-search powers under PACE have faced sustained criticism for disproportionately targeting Black and minority ethnic groups. The Lammy Review (2017) revealed that Black individuals are nearly nine times more likely to be stopped and searched than White individuals, raising concerns about institutional bias. Furthermore, the potential for misuse of these powers persists, as procedural guidelines are not always strictly followed. </w:t>
      </w:r>
    </w:p>
    <w:p w14:paraId="5E3431FF" w14:textId="77777777" w:rsidR="00FC1580" w:rsidRPr="00FC1580" w:rsidRDefault="00FC1580" w:rsidP="00FC1580">
      <w:pPr>
        <w:spacing w:after="0" w:line="276" w:lineRule="auto"/>
        <w:ind w:left="567" w:right="531"/>
        <w:rPr>
          <w:rFonts w:ascii="Arial" w:eastAsia="Times New Roman" w:hAnsi="Arial" w:cs="Arial"/>
          <w:lang w:eastAsia="en-GB"/>
        </w:rPr>
      </w:pPr>
    </w:p>
    <w:p w14:paraId="0EE45EAE"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 xml:space="preserve">The impact of PACE on public confidence is twofold. While its transparent framework can foster trust, particularly when officers adhere to its principles, racial disparities in the application of </w:t>
      </w:r>
      <w:r w:rsidRPr="00FC1580">
        <w:rPr>
          <w:rFonts w:ascii="Arial" w:eastAsia="Times New Roman" w:hAnsi="Arial" w:cs="Arial"/>
          <w:lang w:eastAsia="en-GB"/>
        </w:rPr>
        <w:lastRenderedPageBreak/>
        <w:t>stop-and-search powers undermine its credibility, damaging community relations (Bowling and Phillips, 2007).</w:t>
      </w:r>
    </w:p>
    <w:p w14:paraId="243B290E" w14:textId="77777777" w:rsidR="00FC1580" w:rsidRPr="00FC1580" w:rsidRDefault="00FC1580" w:rsidP="00FC1580">
      <w:pPr>
        <w:spacing w:after="0" w:line="276" w:lineRule="auto"/>
        <w:ind w:left="567" w:right="531"/>
        <w:rPr>
          <w:rFonts w:ascii="Arial" w:eastAsia="Times New Roman" w:hAnsi="Arial" w:cs="Arial"/>
          <w:lang w:eastAsia="en-GB"/>
        </w:rPr>
      </w:pPr>
    </w:p>
    <w:p w14:paraId="6A10E93D"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 xml:space="preserve">The Code of Ethics, introduced by the College of Policing in 2014, serves as a national framework for ethical policing, outlining principles such as integrity, fairness, and respect. One of its strengths is its provision of a clear and consistent set of ethical standards, guiding officers in their decision-making and behaviour (College of Policing, 2014). Its emphasis on fairness ensures that officers are expected to act impartially, treating all individuals with dignity regardless of background. Furthermore, the Code seeks to embed a culture of professionalism, enhancing the moral accountability of officers and promoting transparency. </w:t>
      </w:r>
    </w:p>
    <w:p w14:paraId="5D7939D2" w14:textId="77777777" w:rsidR="00FC1580" w:rsidRPr="00FC1580" w:rsidRDefault="00FC1580" w:rsidP="00FC1580">
      <w:pPr>
        <w:spacing w:after="0" w:line="276" w:lineRule="auto"/>
        <w:ind w:left="567" w:right="531"/>
        <w:rPr>
          <w:rFonts w:ascii="Arial" w:eastAsia="Times New Roman" w:hAnsi="Arial" w:cs="Arial"/>
          <w:lang w:eastAsia="en-GB"/>
        </w:rPr>
      </w:pPr>
    </w:p>
    <w:p w14:paraId="25D0B38F" w14:textId="77777777" w:rsidR="00FC1580" w:rsidRP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However, the Code has been criticised for its lack of enforcement mechanisms. While it provides ethical guidance, it lacks the statutory authority to impose sanctions for non-compliance, reducing its practical impact (Home Office, 2021). Moreover, offices often face ethical dilemmas in high-pressure situations, such as balancing public safety against individual rights, where strict adherence to the Code may not always be feasible (Smith et al., 2020).</w:t>
      </w:r>
    </w:p>
    <w:p w14:paraId="52854C17"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impact of the Code of Ethics on public confidence is significant. When officers embody its principles, trust is strengthened, as the public perceives fairness and professionalism. However, high-profile breaches, such as misconduct or corruption scandals, undermine its credibility and exacerbate public scepticism of law enforcement (Bowling &amp; Phillips, 2007).</w:t>
      </w:r>
    </w:p>
    <w:p w14:paraId="7B85AD08" w14:textId="77777777" w:rsidR="00FC1580" w:rsidRPr="00FC1580" w:rsidRDefault="00FC1580" w:rsidP="00FC1580">
      <w:pPr>
        <w:spacing w:after="0" w:line="276" w:lineRule="auto"/>
        <w:ind w:left="567" w:right="531"/>
        <w:rPr>
          <w:rFonts w:ascii="Arial" w:eastAsia="Times New Roman" w:hAnsi="Arial" w:cs="Arial"/>
          <w:lang w:eastAsia="en-GB"/>
        </w:rPr>
      </w:pPr>
    </w:p>
    <w:p w14:paraId="5EC4F1B5"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National Decision Model (NDM) is a key framework for professional policing, introduced to provide officers with a structured and ethical approach to decision-making. Centred around the Code of Ethics, the NDM encourage transparency, fairness, and adherence to the law while considering the unique circumstances of each situation (College of Policing, 2014). Its adaptability allows it to be applied across diverse operational scenarios, from public order incidents to routine policing tasks, promoting consistency in decision-making processes (Duncan, 2019).</w:t>
      </w:r>
    </w:p>
    <w:p w14:paraId="4ACF9C0A" w14:textId="77777777" w:rsidR="00FC1580" w:rsidRPr="00FC1580" w:rsidRDefault="00FC1580" w:rsidP="00FC1580">
      <w:pPr>
        <w:spacing w:after="0" w:line="276" w:lineRule="auto"/>
        <w:ind w:left="567" w:right="531"/>
        <w:rPr>
          <w:rFonts w:ascii="Arial" w:eastAsia="Times New Roman" w:hAnsi="Arial" w:cs="Arial"/>
          <w:lang w:eastAsia="en-GB"/>
        </w:rPr>
      </w:pPr>
    </w:p>
    <w:p w14:paraId="4479A769"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However, the model is not without limitations. Its reliance on individual judgment can lead to inconsistencies, as officers may interpret ethical principles differently depending on their personal biases or experience. Furthermore, deficiencies in training and understanding of the NDM can result in improper application, particularly under high-pressure conditions where decisions must be made rapidly (Shepherd &amp; McCann, 2020).</w:t>
      </w:r>
    </w:p>
    <w:p w14:paraId="776B281E" w14:textId="77777777" w:rsidR="00FC1580" w:rsidRPr="00FC1580" w:rsidRDefault="00FC1580" w:rsidP="00FC1580">
      <w:pPr>
        <w:spacing w:after="0" w:line="276" w:lineRule="auto"/>
        <w:ind w:left="567" w:right="531"/>
        <w:rPr>
          <w:rFonts w:ascii="Arial" w:eastAsia="Times New Roman" w:hAnsi="Arial" w:cs="Arial"/>
          <w:lang w:eastAsia="en-GB"/>
        </w:rPr>
      </w:pPr>
    </w:p>
    <w:p w14:paraId="0A184E40" w14:textId="77777777" w:rsidR="00FC1580" w:rsidRP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NDM’s impact on public confidence is closely tied to its application. When used effectively, it fosters perceptions of transparency and fairness, reassuring the public that police actions are both ethical and lawful. However, inconsistent or improper use can undermine trust, particularly in situations where poor decision-making results in harm or public scrutiny (Home Office, 2021).</w:t>
      </w:r>
    </w:p>
    <w:p w14:paraId="617E9E54"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Body-Worn Video (BWV) has become a pivotal tool for promoting transparency and accountability in policing. By providing recorded evidence of interactions between officers and the public, the BWV offers an objective account of events, which can be invaluable for resolving disputes and enhancing procedural justice. Studies, such as Ariel et al. (2016), have shown that the implementation of BWV can lead to a significant reduction in complaints against officers, suggesting its potential to deter misconduct and build public trust.</w:t>
      </w:r>
    </w:p>
    <w:p w14:paraId="404C69A4" w14:textId="77777777" w:rsidR="00FC1580" w:rsidRPr="00FC1580" w:rsidRDefault="00FC1580" w:rsidP="00FC1580">
      <w:pPr>
        <w:spacing w:after="0" w:line="276" w:lineRule="auto"/>
        <w:ind w:left="567" w:right="531"/>
        <w:rPr>
          <w:rFonts w:ascii="Arial" w:eastAsia="Times New Roman" w:hAnsi="Arial" w:cs="Arial"/>
          <w:lang w:eastAsia="en-GB"/>
        </w:rPr>
      </w:pPr>
    </w:p>
    <w:p w14:paraId="518CD561"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However, BWV is not without its challenges. Concerns have been raised over selective recording, where officers may fail to activate devices during contentious encounters, potentially undermining transparency (Taylor, 2020). Additionally, the use of BWV raises privacy concerns for both citizens and officers, particularly regarding the storage and sharing of sensitive footage (Huff et al., 2021).</w:t>
      </w:r>
    </w:p>
    <w:p w14:paraId="3F61A755" w14:textId="77777777" w:rsidR="00FC1580" w:rsidRPr="00FC1580" w:rsidRDefault="00FC1580" w:rsidP="00FC1580">
      <w:pPr>
        <w:spacing w:after="0" w:line="276" w:lineRule="auto"/>
        <w:ind w:left="567" w:right="531"/>
        <w:rPr>
          <w:rFonts w:ascii="Arial" w:eastAsia="Times New Roman" w:hAnsi="Arial" w:cs="Arial"/>
          <w:lang w:eastAsia="en-GB"/>
        </w:rPr>
      </w:pPr>
    </w:p>
    <w:p w14:paraId="22E2D46A"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impact of BWV on public confidence depends on its consistent and ethical use. When implemented correctly, BWV fosters perceptions of fairness and accountability, strengthening public trust. However, misuse or selective application can lead to scepticism and diminish its perceived value as a tool for reform, highlighting the importance of robust guidelines and oversight mechanisms (Home Office, 2021).</w:t>
      </w:r>
    </w:p>
    <w:p w14:paraId="34056926" w14:textId="77777777" w:rsidR="00FC1580" w:rsidRPr="00FC1580" w:rsidRDefault="00FC1580" w:rsidP="00FC1580">
      <w:pPr>
        <w:spacing w:after="0" w:line="276" w:lineRule="auto"/>
        <w:ind w:left="567" w:right="531"/>
        <w:rPr>
          <w:rFonts w:ascii="Arial" w:eastAsia="Times New Roman" w:hAnsi="Arial" w:cs="Arial"/>
          <w:lang w:eastAsia="en-GB"/>
        </w:rPr>
      </w:pPr>
    </w:p>
    <w:p w14:paraId="72FBA8BE" w14:textId="77777777" w:rsid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lang w:eastAsia="en-GB"/>
        </w:rPr>
        <w:t>The effectiveness of these policies depends heavily on consistent implementation, adequate training, and robust accountability mechanisms. Without these elements, their potential to reduce misconduct and enhance public trust is significantly diminished. Ultimately, public confidence necessitates embedding a culture of transparency, fairness, and ethical behaviour within police forces. Future improvements could focus on enhanced community engagement, greater independent oversight, and tackling systemic issues such as unconscious bias, ensuring that professional standards align with societal expectations of justice and equity.</w:t>
      </w:r>
    </w:p>
    <w:p w14:paraId="5B68C83B" w14:textId="77777777" w:rsidR="00FC1580" w:rsidRPr="00FC1580" w:rsidRDefault="00FC1580" w:rsidP="00FC1580">
      <w:pPr>
        <w:spacing w:after="0" w:line="276" w:lineRule="auto"/>
        <w:ind w:left="567" w:right="531"/>
        <w:rPr>
          <w:rFonts w:ascii="Arial" w:eastAsia="Times New Roman" w:hAnsi="Arial" w:cs="Arial"/>
          <w:lang w:eastAsia="en-GB"/>
        </w:rPr>
      </w:pPr>
    </w:p>
    <w:p w14:paraId="3B8570BE" w14:textId="77777777" w:rsidR="00FC1580" w:rsidRPr="00FC1580" w:rsidRDefault="00FC1580" w:rsidP="00FC1580">
      <w:pPr>
        <w:spacing w:after="0" w:line="276" w:lineRule="auto"/>
        <w:ind w:left="567" w:right="531"/>
        <w:rPr>
          <w:rFonts w:ascii="Arial" w:eastAsia="Times New Roman" w:hAnsi="Arial" w:cs="Arial"/>
          <w:lang w:eastAsia="en-GB"/>
        </w:rPr>
      </w:pPr>
      <w:r w:rsidRPr="00FC1580">
        <w:rPr>
          <w:rFonts w:ascii="Arial" w:eastAsia="Times New Roman" w:hAnsi="Arial" w:cs="Arial"/>
          <w:b/>
          <w:bCs/>
          <w:lang w:eastAsia="en-GB"/>
        </w:rPr>
        <w:t>Word Count: 990</w:t>
      </w:r>
    </w:p>
    <w:p w14:paraId="6E2282A2" w14:textId="77777777" w:rsidR="0028431D" w:rsidRDefault="0028431D" w:rsidP="0028431D">
      <w:pPr>
        <w:spacing w:after="0" w:line="276" w:lineRule="auto"/>
        <w:ind w:left="567" w:right="531"/>
        <w:rPr>
          <w:rFonts w:ascii="Arial" w:eastAsia="Times New Roman" w:hAnsi="Arial" w:cs="Arial"/>
          <w:b/>
          <w:bCs/>
          <w:lang w:eastAsia="en-GB"/>
        </w:rPr>
      </w:pPr>
    </w:p>
    <w:p w14:paraId="3CFA6D93" w14:textId="77777777" w:rsidR="0028431D" w:rsidRDefault="0028431D" w:rsidP="0028431D">
      <w:pPr>
        <w:spacing w:after="0" w:line="276" w:lineRule="auto"/>
        <w:ind w:left="567" w:right="531"/>
        <w:rPr>
          <w:rFonts w:ascii="Arial" w:eastAsia="Times New Roman" w:hAnsi="Arial" w:cs="Arial"/>
          <w:b/>
          <w:bCs/>
          <w:lang w:eastAsia="en-GB"/>
        </w:rPr>
      </w:pPr>
    </w:p>
    <w:p w14:paraId="6E4A6974" w14:textId="77777777" w:rsidR="0028431D" w:rsidRPr="00DC047C" w:rsidRDefault="0028431D" w:rsidP="0028431D">
      <w:pPr>
        <w:spacing w:after="0" w:line="276" w:lineRule="auto"/>
        <w:ind w:left="567" w:right="531"/>
        <w:rPr>
          <w:rFonts w:ascii="Arial" w:eastAsia="Times New Roman" w:hAnsi="Arial" w:cs="Arial"/>
          <w:b/>
          <w:bCs/>
          <w:lang w:eastAsia="en-GB"/>
        </w:rPr>
      </w:pPr>
    </w:p>
    <w:p w14:paraId="37BC8B2A" w14:textId="77777777" w:rsidR="0028431D" w:rsidRPr="006C3C20" w:rsidRDefault="0028431D" w:rsidP="0028431D">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5733A632" w14:textId="77777777" w:rsidR="0028431D" w:rsidRPr="0008457B"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737BA121"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68E16E70" w14:textId="77777777" w:rsidR="0028431D" w:rsidRPr="006C3C20"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B56BDD8" w14:textId="77777777" w:rsidR="0028431D" w:rsidRDefault="0028431D" w:rsidP="0028431D">
      <w:pPr>
        <w:spacing w:after="0" w:line="276" w:lineRule="auto"/>
        <w:ind w:left="567" w:right="531"/>
        <w:rPr>
          <w:rFonts w:ascii="Arial" w:eastAsia="Times New Roman" w:hAnsi="Arial" w:cs="Arial"/>
          <w:lang w:eastAsia="en-GB"/>
        </w:rPr>
      </w:pPr>
    </w:p>
    <w:p w14:paraId="69655D1A"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Criminal exploitation, a pressing issue within public protection, refers to the process by which individuals or groups are coerced, manipulated, or deceived into engaging in criminal activities for the benefit of others. This form of exploitation is particularly prevalent in the context of criminal gangs, which often target vulnerable individuals to recruit or use for illicit purposes, such as drug trafficking, money laundering, or violent offences (Hesketh &amp; Robinson, 2019). Understanding the factors that make individuals susceptible to such exploitation is crucial for developing effective prevention and intervention strategies.</w:t>
      </w:r>
    </w:p>
    <w:p w14:paraId="1F5F1664" w14:textId="77777777" w:rsidR="003840DF" w:rsidRPr="003840DF" w:rsidRDefault="003840DF" w:rsidP="003840DF">
      <w:pPr>
        <w:spacing w:after="0" w:line="276" w:lineRule="auto"/>
        <w:ind w:left="567" w:right="531"/>
        <w:rPr>
          <w:rFonts w:ascii="Arial" w:eastAsia="Times New Roman" w:hAnsi="Arial" w:cs="Arial"/>
          <w:lang w:eastAsia="en-GB"/>
        </w:rPr>
      </w:pPr>
    </w:p>
    <w:p w14:paraId="70B1A474"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Socio-economic factors play a significant role in shaping an individual's vulnerability to exploitation by criminal gangs. Financial hardship is a key driver, as individuals facing poverty are more likely to be enticed by the financial incentives offered by gangs. Many young people, particularly in deprived communities, view gang involvement as a means of escaping economic precarity or supporting their families (McLean, 2019). Studies suggest that individuals living in socio-economically disadvantaged circumstances are at greater risk of being targeted, as gangs exploit their need for income and perceived lack of alternatives (Andell &amp; Pitts, 2018).</w:t>
      </w:r>
    </w:p>
    <w:p w14:paraId="52FA3CE4" w14:textId="77777777" w:rsidR="003840DF" w:rsidRPr="003840DF" w:rsidRDefault="003840DF" w:rsidP="003840DF">
      <w:pPr>
        <w:spacing w:after="0" w:line="276" w:lineRule="auto"/>
        <w:ind w:left="567" w:right="531"/>
        <w:rPr>
          <w:rFonts w:ascii="Arial" w:eastAsia="Times New Roman" w:hAnsi="Arial" w:cs="Arial"/>
          <w:lang w:eastAsia="en-GB"/>
        </w:rPr>
      </w:pPr>
    </w:p>
    <w:p w14:paraId="69FEF990"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Limited education and a lack of career opportunities further compound vulnerability. Research indicates a strong correlation between school exclusion and gang involvement, with excluded pupils often left unsupported and vulnerable to recruitment (Hesketh &amp; Robinson, 2019). Criminal gangs frequently exploit this disengagement, presenting themselves as an alternative source of identity and purpose for marginalised youth. Moreover, inadequate education can lead to limited employment prospects, leaving individuals with fewer legitimate pathways to financial stability (Densley, 2013).</w:t>
      </w:r>
    </w:p>
    <w:p w14:paraId="1E2DA695" w14:textId="77777777" w:rsidR="003840DF" w:rsidRPr="003840DF" w:rsidRDefault="003840DF" w:rsidP="003840DF">
      <w:pPr>
        <w:spacing w:after="0" w:line="276" w:lineRule="auto"/>
        <w:ind w:left="567" w:right="531"/>
        <w:rPr>
          <w:rFonts w:ascii="Arial" w:eastAsia="Times New Roman" w:hAnsi="Arial" w:cs="Arial"/>
          <w:lang w:eastAsia="en-GB"/>
        </w:rPr>
      </w:pPr>
    </w:p>
    <w:p w14:paraId="75B8FA3A"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 xml:space="preserve">Neighbourhood and environmental factors also significantly contribute to the risk of exploitation. Living in areas with high crime rates, socio-economic deprivation, and a visible gang presence </w:t>
      </w:r>
      <w:r w:rsidRPr="003840DF">
        <w:rPr>
          <w:rFonts w:ascii="Arial" w:eastAsia="Times New Roman" w:hAnsi="Arial" w:cs="Arial"/>
          <w:lang w:eastAsia="en-GB"/>
        </w:rPr>
        <w:lastRenderedPageBreak/>
        <w:t>can normalise gang culture and violence, making it easier for gangs to recruit and exploit individuals. Studies on “postcode wars” illustrate how territorial disputes between gangs can create a climate of fear, trapping young people within a cycle of violence and exploitation based on geographical boundaries (Irwin-Rogers &amp; Pinkney, 2017).</w:t>
      </w:r>
    </w:p>
    <w:p w14:paraId="69164F6F" w14:textId="77777777" w:rsidR="003840DF" w:rsidRPr="003840DF" w:rsidRDefault="003840DF" w:rsidP="003840DF">
      <w:pPr>
        <w:spacing w:after="0" w:line="276" w:lineRule="auto"/>
        <w:ind w:left="567" w:right="531"/>
        <w:rPr>
          <w:rFonts w:ascii="Arial" w:eastAsia="Times New Roman" w:hAnsi="Arial" w:cs="Arial"/>
          <w:lang w:eastAsia="en-GB"/>
        </w:rPr>
      </w:pPr>
    </w:p>
    <w:p w14:paraId="54647902"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Psychological and emotional vulnerabilities significantly increase susceptibility to exploitation by criminal gangs. Adverse Childhood Experience (ACEs), such as abuse, neglect, and exposure to violence, are widely recognise as key contributors. ACEs can lead to emotional dysregulation, difficulties in trusting others, and a heightened risk of engaging in risky behaviours (Bellis et al., 2014). Studies have found that individuals with high ACE scores are more likely to experience criminal exploitation, as gangs exploit their emotional trauma and lack of stable support systems (McLean, 2019). For instance, young people with histories of family conflict or domestic abuse may seek protection or belonging in gangs, making them easy targets for manipulation.</w:t>
      </w:r>
    </w:p>
    <w:p w14:paraId="46F30BC6" w14:textId="77777777" w:rsidR="003840DF" w:rsidRPr="003840DF" w:rsidRDefault="003840DF" w:rsidP="003840DF">
      <w:pPr>
        <w:spacing w:after="0" w:line="276" w:lineRule="auto"/>
        <w:ind w:left="567" w:right="531"/>
        <w:rPr>
          <w:rFonts w:ascii="Arial" w:eastAsia="Times New Roman" w:hAnsi="Arial" w:cs="Arial"/>
          <w:lang w:eastAsia="en-GB"/>
        </w:rPr>
      </w:pPr>
    </w:p>
    <w:p w14:paraId="2D8317F8"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Low self-esteem and identity issues also play a critical role. Many individuals targeted by gangs struggle with feelings of rejection, inadequacy, or invisibility. Gang involvement often serves to fulfil unmet psychological needs by providing a sense of purpose, belonging, or status (Densley, 2013). Maslow’s hierarchy of needs helps contextualise this, as individuals with unfulfilled needs for safety and belonging may turn to gangs as a substitute for healthy relationships or community support (Maslow, 1943). The promise of respect, power, or a sense of family can be particularly appealing to those with fractured self-identities.</w:t>
      </w:r>
    </w:p>
    <w:p w14:paraId="24781248" w14:textId="77777777" w:rsidR="003840DF" w:rsidRPr="003840DF" w:rsidRDefault="003840DF" w:rsidP="003840DF">
      <w:pPr>
        <w:spacing w:after="0" w:line="276" w:lineRule="auto"/>
        <w:ind w:left="567" w:right="531"/>
        <w:rPr>
          <w:rFonts w:ascii="Arial" w:eastAsia="Times New Roman" w:hAnsi="Arial" w:cs="Arial"/>
          <w:lang w:eastAsia="en-GB"/>
        </w:rPr>
      </w:pPr>
    </w:p>
    <w:p w14:paraId="193B618F"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Mental health challenges, such as anxiety, depression, or post-traumatic stress disorder, further heighten vulnerability. Individuals with poor mental health may lack the resilience to resist coercion or manipulation. Research has shown that mental health issues can impair decision-making and increase dependence on external validation, making individuals more susceptible to gang recruitment (Firmin, 2020). Criminal gangs often exploit these vulnerabilities by offering emotional support or promising an escape from distress, only to trap individuals in cycles of exploitation and harm.</w:t>
      </w:r>
    </w:p>
    <w:p w14:paraId="26471274" w14:textId="77777777" w:rsidR="003840DF" w:rsidRPr="003840DF" w:rsidRDefault="003840DF" w:rsidP="003840DF">
      <w:pPr>
        <w:spacing w:after="0" w:line="276" w:lineRule="auto"/>
        <w:ind w:left="567" w:right="531"/>
        <w:rPr>
          <w:rFonts w:ascii="Arial" w:eastAsia="Times New Roman" w:hAnsi="Arial" w:cs="Arial"/>
          <w:lang w:eastAsia="en-GB"/>
        </w:rPr>
      </w:pPr>
    </w:p>
    <w:p w14:paraId="161A63F9"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Social and cultural factors play a significant role in an individual’s vulnerability to gang and exploitation, with peer pressure and social networks being particularly influential. Adolescents, in particular, are highly susceptible to the influence of their peers, and gang membership can often stem from friendships or familial ties to criminal groups. Research has consistently shown that social networks, such as associations with gang members, serve as a key recruitment tool for gangs, with individuals being drawn in through peer pressure or the desire for acceptance (Thornberry et al., 2003). These peer networks often provide a sense of belonging and protection, but they can also coerce individuals into criminal activities, trapping them in cycles of exploitation.</w:t>
      </w:r>
    </w:p>
    <w:p w14:paraId="64ED4C87" w14:textId="77777777" w:rsidR="003840DF" w:rsidRPr="003840DF" w:rsidRDefault="003840DF" w:rsidP="003840DF">
      <w:pPr>
        <w:spacing w:after="0" w:line="276" w:lineRule="auto"/>
        <w:ind w:left="567" w:right="531"/>
        <w:rPr>
          <w:rFonts w:ascii="Arial" w:eastAsia="Times New Roman" w:hAnsi="Arial" w:cs="Arial"/>
          <w:lang w:eastAsia="en-GB"/>
        </w:rPr>
      </w:pPr>
    </w:p>
    <w:p w14:paraId="0D7A03B4"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Cultural and media influences also contribute to vulnerability. The glamorisation of gang culture in popular media, including films, music, and social media platforms, often presents gang life as exciting or empowering, normalising violence and criminality as desirable (Nash, 2020). Studies suggest that this portrayal can influence young people’s attitudes towards gangs, leading them to perceive gang affiliation as a route to social status or protection (Decker &amp; Van Winkle, 1996). The normalisation of violence and criminal behaviour within certain subcultures, reinforced through media depictions, has been shown to increase susceptibility to exploitation, as young people may view gangs as a means of asserting power or achieving social mobility in environments where other opportunities are scarce (Hall et al., 2019).</w:t>
      </w:r>
    </w:p>
    <w:p w14:paraId="058E7DA3" w14:textId="77777777" w:rsidR="003840DF" w:rsidRPr="003840DF" w:rsidRDefault="003840DF" w:rsidP="003840DF">
      <w:pPr>
        <w:spacing w:after="0" w:line="276" w:lineRule="auto"/>
        <w:ind w:left="567" w:right="531"/>
        <w:rPr>
          <w:rFonts w:ascii="Arial" w:eastAsia="Times New Roman" w:hAnsi="Arial" w:cs="Arial"/>
          <w:lang w:eastAsia="en-GB"/>
        </w:rPr>
      </w:pPr>
    </w:p>
    <w:p w14:paraId="1CECC55E" w14:textId="77777777" w:rsid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lastRenderedPageBreak/>
        <w:t>The concept of intersectionality underscores how various vulnerabilities do not exist in isolation but intersect to compound the risk of exploitation. For example, a young person experiencing socio-economic disadvantage, mental health issues, and adverse childhood experiences is at a significantly higher risk of being exploited by gangs compared to someone facing just one of these challenges (Crenshaw, 1989). Therefore, it is crucial for policy-making and intervention strategies to recognise the interconnected nature of these risks to provide comprehensive and effective protection for at-risk individuals (Duncan &amp; Lee, 2018).</w:t>
      </w:r>
    </w:p>
    <w:p w14:paraId="4A70B549" w14:textId="77777777" w:rsidR="003840DF" w:rsidRPr="003840DF" w:rsidRDefault="003840DF" w:rsidP="003840DF">
      <w:pPr>
        <w:spacing w:after="0" w:line="276" w:lineRule="auto"/>
        <w:ind w:left="567" w:right="531"/>
        <w:rPr>
          <w:rFonts w:ascii="Arial" w:eastAsia="Times New Roman" w:hAnsi="Arial" w:cs="Arial"/>
          <w:lang w:eastAsia="en-GB"/>
        </w:rPr>
      </w:pPr>
    </w:p>
    <w:p w14:paraId="425C6ABC" w14:textId="77777777" w:rsidR="003840DF" w:rsidRPr="003840DF" w:rsidRDefault="003840DF" w:rsidP="003840DF">
      <w:pPr>
        <w:spacing w:after="0" w:line="276" w:lineRule="auto"/>
        <w:ind w:left="567" w:right="531"/>
        <w:rPr>
          <w:rFonts w:ascii="Arial" w:eastAsia="Times New Roman" w:hAnsi="Arial" w:cs="Arial"/>
          <w:lang w:eastAsia="en-GB"/>
        </w:rPr>
      </w:pPr>
      <w:r w:rsidRPr="003840DF">
        <w:rPr>
          <w:rFonts w:ascii="Arial" w:eastAsia="Times New Roman" w:hAnsi="Arial" w:cs="Arial"/>
          <w:lang w:eastAsia="en-GB"/>
        </w:rPr>
        <w:tab/>
        <w:t xml:space="preserve">This essay has explored the socio-economic, psychological, and cultural factors that contribute to an individual's vulnerability to exploitation by criminal gangs. These vulnerabilities intersect, compounding the risk of exploitation, and demonstrate the need for comprehensive public protection strategies. </w:t>
      </w:r>
    </w:p>
    <w:p w14:paraId="6E7781FD" w14:textId="77777777" w:rsidR="003840DF" w:rsidRPr="003840DF" w:rsidRDefault="003840DF" w:rsidP="003840DF">
      <w:pPr>
        <w:spacing w:after="0" w:line="276" w:lineRule="auto"/>
        <w:ind w:left="567" w:right="531"/>
        <w:rPr>
          <w:rFonts w:ascii="Arial" w:eastAsia="Times New Roman" w:hAnsi="Arial" w:cs="Arial"/>
          <w:b/>
          <w:bCs/>
          <w:lang w:eastAsia="en-GB"/>
        </w:rPr>
      </w:pPr>
      <w:r w:rsidRPr="003840DF">
        <w:rPr>
          <w:rFonts w:ascii="Arial" w:eastAsia="Times New Roman" w:hAnsi="Arial" w:cs="Arial"/>
          <w:b/>
          <w:bCs/>
          <w:lang w:eastAsia="en-GB"/>
        </w:rPr>
        <w:t>Word Count: 974</w:t>
      </w:r>
    </w:p>
    <w:p w14:paraId="1EF18012" w14:textId="77777777" w:rsidR="0028431D" w:rsidRDefault="0028431D" w:rsidP="0028431D">
      <w:pPr>
        <w:spacing w:after="0" w:line="276" w:lineRule="auto"/>
        <w:ind w:left="567" w:right="531"/>
        <w:rPr>
          <w:rFonts w:ascii="Arial" w:eastAsia="Times New Roman" w:hAnsi="Arial" w:cs="Arial"/>
          <w:lang w:eastAsia="en-GB"/>
        </w:rPr>
      </w:pPr>
    </w:p>
    <w:p w14:paraId="31CB015D" w14:textId="77777777" w:rsidR="0028431D" w:rsidRPr="006C3C20" w:rsidRDefault="0028431D" w:rsidP="0028431D">
      <w:pPr>
        <w:spacing w:after="0" w:line="276" w:lineRule="auto"/>
        <w:ind w:left="567" w:right="531"/>
        <w:rPr>
          <w:rFonts w:ascii="Arial" w:eastAsia="Times New Roman" w:hAnsi="Arial" w:cs="Arial"/>
          <w:lang w:eastAsia="en-GB"/>
        </w:rPr>
      </w:pPr>
    </w:p>
    <w:p w14:paraId="540029EC" w14:textId="77777777" w:rsidR="0028431D" w:rsidRPr="006C3C20" w:rsidRDefault="0028431D" w:rsidP="0028431D">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2555141C" w14:textId="77777777" w:rsidR="0028431D" w:rsidRPr="00503777"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4BF133B0" w14:textId="77777777" w:rsidR="0028431D" w:rsidRPr="00503777"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7F58C5A5" w14:textId="77777777" w:rsidR="0028431D" w:rsidRDefault="0028431D" w:rsidP="0028431D">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BA33B90" w14:textId="77777777" w:rsidR="0028431D" w:rsidRDefault="0028431D" w:rsidP="0028431D">
      <w:pPr>
        <w:spacing w:after="0" w:line="276" w:lineRule="auto"/>
        <w:ind w:left="567" w:right="531"/>
        <w:rPr>
          <w:rFonts w:ascii="Arial" w:eastAsia="Times New Roman" w:hAnsi="Arial" w:cs="Arial"/>
          <w:lang w:eastAsia="en-GB"/>
        </w:rPr>
      </w:pPr>
    </w:p>
    <w:p w14:paraId="620858E1"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Youth offending is a complex and multifaceted issue, often influenced by a range of social, psychological, and environmental factors. The concepts of “vulnerability” and “risk” are central to understanding youth crime. Vulnerability refers to the heightened likelihood that certain young people will experience negative outcomes, such as offending, due to factors like poverty, family dysfunction, or mental health issues (Farrington, 2003). Conversely, “risk” refers to the external or situational factors that increase the likelihood of a young person engaging in criminal behaviour, such as peer influence or exposure to violence (Rutter, 1999).</w:t>
      </w:r>
    </w:p>
    <w:p w14:paraId="3B31E0D7"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5469410"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In response to these risks, “early intervention” refers to programmes or strategies designed to address the root causes of offending behaviour before they escalate (Lipsey, 2009). Such interventions may involve support in education, family dynamics, or mental health, with the goal of steering young people away from criminality. “Youth offending” refers to the engagement in criminal acts by individuals under the age of 18, and can range from minor infractions to more serious offences (Muncie, 2015).</w:t>
      </w:r>
    </w:p>
    <w:p w14:paraId="14B6A416"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2FAB3255"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 xml:space="preserve">Two key theoretical frameworks offer insight into how early interventions can be effective. Social Learning Theory (Bandura, 1977), posits that individuals learn behaviours through observation and imitation of others in their social environment. Early intervention programmes, such as mentoring or community-based support, can alter the social environment of at-risk youth by providing positive role models and alternative pathways. By engaging vulnerable youth in pro-social activities, these programmes change the associations that young people form, potentially reducing their exposure to delinquent peers and fostering more constructive behaviours. </w:t>
      </w:r>
    </w:p>
    <w:p w14:paraId="452C60CF"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5B6BEEB"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Strain Theory (Merton, 1938) further supports the rationale for early intervention by suggesting that individuals who experience significant social or economic strain may turn to criminal activity as a coping mechanism. Early intervention aims to relieve this strain by addressing underlying issues such as poverty, family instability, or lack of educational support. By reducing these stressors, interventions help to prevent the adoption of criminal solutions to societal pressures (Agnew, 2006).</w:t>
      </w:r>
    </w:p>
    <w:p w14:paraId="32287947"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5EC7279E"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lastRenderedPageBreak/>
        <w:t xml:space="preserve">There is a growing body of research supporting the effectiveness of early intervention programmes in reducing youth offending. Statistical evidence highlights the significant impact these interventions can have in curbing criminal behaviour. For instance, the </w:t>
      </w:r>
      <w:r w:rsidRPr="002257ED">
        <w:rPr>
          <w:rFonts w:ascii="Arial" w:eastAsia="Times New Roman" w:hAnsi="Arial" w:cs="Arial"/>
          <w:i/>
          <w:iCs/>
          <w:lang w:eastAsia="en-GB"/>
        </w:rPr>
        <w:t xml:space="preserve">Positive Parenting Programme </w:t>
      </w:r>
      <w:r w:rsidRPr="002257ED">
        <w:rPr>
          <w:rFonts w:ascii="Arial" w:eastAsia="Times New Roman" w:hAnsi="Arial" w:cs="Arial"/>
          <w:lang w:eastAsia="en-GB"/>
        </w:rPr>
        <w:t xml:space="preserve">(Triple P) has been shown to reduce antisocial behaviour among children and adolescents. A study by Sanders et al. (2003) found that parents who participated in the programme were more likely to report fewer behavioural problems in their children, including aggression and rule-breaking. Similarly, </w:t>
      </w:r>
      <w:r w:rsidRPr="002257ED">
        <w:rPr>
          <w:rFonts w:ascii="Arial" w:eastAsia="Times New Roman" w:hAnsi="Arial" w:cs="Arial"/>
          <w:i/>
          <w:iCs/>
          <w:lang w:eastAsia="en-GB"/>
        </w:rPr>
        <w:t xml:space="preserve">Youth Diversion Schemes </w:t>
      </w:r>
      <w:r w:rsidRPr="002257ED">
        <w:rPr>
          <w:rFonts w:ascii="Arial" w:eastAsia="Times New Roman" w:hAnsi="Arial" w:cs="Arial"/>
          <w:lang w:eastAsia="en-GB"/>
        </w:rPr>
        <w:t xml:space="preserve">– which aim to divert young offenders away from formal justice proceedings by providing support and guidance – have been linked to a reduction in reoffending rates. In a study of the </w:t>
      </w:r>
      <w:r w:rsidRPr="002257ED">
        <w:rPr>
          <w:rFonts w:ascii="Arial" w:eastAsia="Times New Roman" w:hAnsi="Arial" w:cs="Arial"/>
          <w:i/>
          <w:iCs/>
          <w:lang w:eastAsia="en-GB"/>
        </w:rPr>
        <w:t>Youth Justice Conferencing</w:t>
      </w:r>
      <w:r w:rsidRPr="002257ED">
        <w:rPr>
          <w:rFonts w:ascii="Arial" w:eastAsia="Times New Roman" w:hAnsi="Arial" w:cs="Arial"/>
          <w:lang w:eastAsia="en-GB"/>
        </w:rPr>
        <w:t xml:space="preserve"> programme in Australia, results indicated that participants were less likely to reoffend compared to those who went through traditional judicial processes (Sherman et al., 2005).</w:t>
      </w:r>
    </w:p>
    <w:p w14:paraId="76AE412C"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1947C7F8"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 xml:space="preserve">Case studies and longitudinal research further support the efficacy of early interventions. The </w:t>
      </w:r>
      <w:r w:rsidRPr="002257ED">
        <w:rPr>
          <w:rFonts w:ascii="Arial" w:eastAsia="Times New Roman" w:hAnsi="Arial" w:cs="Arial"/>
          <w:i/>
          <w:iCs/>
          <w:lang w:eastAsia="en-GB"/>
        </w:rPr>
        <w:t>Perry Preschool Project</w:t>
      </w:r>
      <w:r w:rsidRPr="002257ED">
        <w:rPr>
          <w:rFonts w:ascii="Arial" w:eastAsia="Times New Roman" w:hAnsi="Arial" w:cs="Arial"/>
          <w:lang w:eastAsia="en-GB"/>
        </w:rPr>
        <w:t xml:space="preserve">, a longitudinal study in the United States, followed children from disadvantaged backgrounds who participated in early education programmes. Findings showed that those who received early intervention had significantly lower rates of criminal behaviour in adulthood, with a marked reduction in arrests and convictions (Schweinhart et al., 2005). This project, along with others such as the </w:t>
      </w:r>
      <w:r w:rsidRPr="002257ED">
        <w:rPr>
          <w:rFonts w:ascii="Arial" w:eastAsia="Times New Roman" w:hAnsi="Arial" w:cs="Arial"/>
          <w:i/>
          <w:iCs/>
          <w:lang w:eastAsia="en-GB"/>
        </w:rPr>
        <w:t>Chicago Child-Parent Centres</w:t>
      </w:r>
      <w:r w:rsidRPr="002257ED">
        <w:rPr>
          <w:rFonts w:ascii="Arial" w:eastAsia="Times New Roman" w:hAnsi="Arial" w:cs="Arial"/>
          <w:lang w:eastAsia="en-GB"/>
        </w:rPr>
        <w:t xml:space="preserve"> (Reynolds et al., 2011), demonstrates that early intervention can produce long-term reductions in criminal involvement by addressing factors such as educational underachievement and social isolation.</w:t>
      </w:r>
    </w:p>
    <w:p w14:paraId="2A62C8B6"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71CF3A53"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The effectiveness of early intervention is significantly influenced by several factors, including the quality and intensity of the programmes themselves. High-quality interventions, which are evidence-based and led by well-trained professionals, are more likely to achieve positive outcomes. Additionally, the intensity of the intervention – measured by its frequency, duration, and the level of personalisation – plays a critical role in its success. Interventions that are more intensive and sustained over a longer period have a greater chance of fostering lasting behavioural changes (Lipsey, 2009).</w:t>
      </w:r>
    </w:p>
    <w:p w14:paraId="57121C27"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35FD7C10"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Cultural and contextual factors also affect the success of early interventions. The needs of youth in urban environments, where issues such as gang involvement and drug abuse may be prevalent, differ significantly from those of youth in rural areas, where isolation and limited access to services may be more prominent (Crawford &amp; Newburn, 2013). Programmes must be tailored to the specific socio-economic and cultural conditions of the community they serve.</w:t>
      </w:r>
    </w:p>
    <w:p w14:paraId="588D39AB"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Family involvement is another key determinant of intervention success. Programmes that engage families in the process – through therapy, parenting support, or collaborative goal setting – tend to have better outcomes than those that focus exclusively on the youth. Research has shown that involving families in decision making and support mechanisms can strengthen the emotional resilience of young people and reduce reoffending rates (Sexton &amp; Turner, 2010).</w:t>
      </w:r>
    </w:p>
    <w:p w14:paraId="3CEA3661"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 xml:space="preserve">However, stigma remains a significant barrier to the effectiveness of early intervention. Young people and their families may perceive participation in such programmes as a sign of failure or as a mark of being “problematic” (Crawford &amp; Newburn, 2013). This stigma can deter individuals from seeking or fully engaging in available support services, which may undermine the success of interventions. Addressing these negative perceptions through public education and a focus on the positive benefits of early support is crucial for maximising the impact of these programmes. </w:t>
      </w:r>
    </w:p>
    <w:p w14:paraId="5AAB7BEB"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0034F83D"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 xml:space="preserve">Despite the promising outcomes of early intervention programmes, there are significant challenges in measuring and sustaining long-term success. One of the primary difficulties is barriers to access. Many programmes suffer from limited funding and resources, which can restrict their availability and effectiveness. For example, in low-income areas, there may be </w:t>
      </w:r>
      <w:r w:rsidRPr="002257ED">
        <w:rPr>
          <w:rFonts w:ascii="Arial" w:eastAsia="Times New Roman" w:hAnsi="Arial" w:cs="Arial"/>
          <w:lang w:eastAsia="en-GB"/>
        </w:rPr>
        <w:lastRenderedPageBreak/>
        <w:t>insufficient financial support to implement comprehensive interventions, or a lack of trained personnel to deliver them (Crawford &amp; Newburn, 2013). Furthermore, young people in remote or underserved areas may face barriers to accessing services, such as geographical distance, lack of transport, or insufficient local service providers (Reynolds et al., 2011). These issues can undermine the potential for early intervention to reach all those who could benefit from it.</w:t>
      </w:r>
    </w:p>
    <w:p w14:paraId="0B23FD34"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2257ED">
        <w:rPr>
          <w:rFonts w:ascii="Arial" w:eastAsia="Times New Roman" w:hAnsi="Arial" w:cs="Arial"/>
          <w:lang w:eastAsia="en-GB"/>
        </w:rPr>
        <w:t>Another limitation lies in the potential for labelling. Young people who are identified as "at risk" and are referred to intervention programmes may experience stigma and alienation. This labelling can reinforce negative self-conceptions and contribute to the very behaviours the interventions seek to prevent (Scheff, 1966). If youths are labelled as problematic or delinquent, they may internalise these labels, which could lead to further social exclusion or association with deviant peer groups, inadvertently increasing the risk of reoffending (Becker, 1963).</w:t>
      </w:r>
    </w:p>
    <w:p w14:paraId="7EB55A7A" w14:textId="77777777" w:rsid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r w:rsidRPr="002257ED">
        <w:rPr>
          <w:rFonts w:ascii="Arial" w:eastAsia="Times New Roman" w:hAnsi="Arial" w:cs="Arial"/>
          <w:b/>
          <w:bCs/>
          <w:lang w:eastAsia="en-GB"/>
        </w:rPr>
        <w:t>Word Count: 1067</w:t>
      </w:r>
    </w:p>
    <w:p w14:paraId="1228EBB7" w14:textId="77777777" w:rsidR="002257ED" w:rsidRPr="002257ED" w:rsidRDefault="002257ED" w:rsidP="002257ED">
      <w:pPr>
        <w:overflowPunct w:val="0"/>
        <w:autoSpaceDE w:val="0"/>
        <w:autoSpaceDN w:val="0"/>
        <w:adjustRightInd w:val="0"/>
        <w:spacing w:after="0" w:line="276" w:lineRule="auto"/>
        <w:ind w:left="567" w:right="531"/>
        <w:textAlignment w:val="baseline"/>
        <w:rPr>
          <w:rFonts w:ascii="Arial" w:eastAsia="Times New Roman" w:hAnsi="Arial" w:cs="Arial"/>
          <w:b/>
          <w:bCs/>
          <w:lang w:eastAsia="en-GB"/>
        </w:rPr>
      </w:pPr>
    </w:p>
    <w:p w14:paraId="5DBB8CA4" w14:textId="77777777" w:rsidR="0028431D" w:rsidRPr="006C3C20"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7F0F6609"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0CCA6E25" w14:textId="77777777" w:rsidR="0028431D"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4CF0331E" w14:textId="77777777" w:rsidR="0028431D" w:rsidRPr="00E25D8A" w:rsidRDefault="0028431D" w:rsidP="002843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35E5F026" w14:textId="77777777" w:rsidR="0028431D" w:rsidRDefault="0028431D" w:rsidP="0028431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13AAB02" w14:textId="77777777" w:rsidR="0028431D" w:rsidRDefault="0028431D" w:rsidP="0028431D">
      <w:pPr>
        <w:spacing w:after="0" w:line="276" w:lineRule="auto"/>
        <w:ind w:left="567" w:right="531"/>
        <w:rPr>
          <w:rFonts w:ascii="Arial" w:eastAsia="Times New Roman" w:hAnsi="Arial" w:cs="Arial"/>
          <w:lang w:eastAsia="en-GB"/>
        </w:rPr>
      </w:pPr>
    </w:p>
    <w:p w14:paraId="03B90603"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The United Kingdom has become increasingly diverse in recent decades, with significant growth in ethnic, cultural, and religious diversity. According to the 2021 Census, ethnic minorities now make up around 14% of the population, and this demographic shift has important implications for public services, particularly the police. The police play a crucial role in ensuring the safety and security of all citizens, regardless of their background. However, their ability to effectively serve diverse communities has been subject to considerable scrutiny. While there have been significant strides in adapting to this growing diversity, such as in recruitment and community outreach, challenges persist in ensuring that policing practices are equitable and inclusive for all groups. </w:t>
      </w:r>
    </w:p>
    <w:p w14:paraId="6C285503"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Historically, the relationship between minority communities and the police in the UK has been fraught with tension, primarily due to issues such as racial profiling, discrimination, and exclusion. One of the most significant flashpoints in this history was the 1981 Brixton riots, which were sparked by grievances over police harassment and discriminatory treatment of the Black community. This event highlighted the failure of the police to build trust and legitimacy within minority communities, particularly in urban areas with high concentrations of ethnic minorities (Reiner, 2010). Similarly, the murder of Stephen Lawrence in 1993 and the subsequent investigation exposed deep-seated institutional racism within the police force. The Macpherson Report (1999) famously characterised the police as "institutionally racist," a damning critique that brought the issue of police racism to the forefront of national debate. These early criticisms set the stage for reforms, as the police force faced increasing pressure to better represent and serve the diverse populations of the UK.</w:t>
      </w:r>
    </w:p>
    <w:p w14:paraId="62524F92"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In response to criticism regarding representation and institutional biases, the UK police force has implemented several internal adaptations to improve diversity and inclusion. One key area of change has been the recruitment of officers from diverse backgrounds, reflecting the increasingly multicultural nature of the population. Government initiatives, such as the introduction of positive action programmes and diversity targets, aim to address the historical underrepresentation of ethnic minorities in policing. The establishment of the National Black Police Association (NBPA) in 1994, for example, has played a pivotal role in advocating for greater inclusion and diversity within the police force. These initiatives are designed not only to ensure that the police reflect the communities they serve but also to foster greater trust between minority groups and law enforcement (Harrison, 2006). Positive action measures, such as targeted recruitment campaigns, have been particularly focused on encouraging people from Black, Asian, and Minority Ethnic (BAME) backgrounds to consider a career in policing (Nash, 2011).</w:t>
      </w:r>
    </w:p>
    <w:p w14:paraId="0AC37B12"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Training and cultural awareness programmes have also been central to internal reforms within the police. The College of Policing has developed various training resources aimed at improving cultural competence, </w:t>
      </w:r>
      <w:r w:rsidRPr="00DE6C07">
        <w:rPr>
          <w:rFonts w:ascii="Arial" w:eastAsia="Times New Roman" w:hAnsi="Arial" w:cs="Arial"/>
          <w:lang w:eastAsia="en-GB"/>
        </w:rPr>
        <w:lastRenderedPageBreak/>
        <w:t>including modules on anti-racism, unconscious bias, and effective communication with diverse communities. These programmes are designed to help officers better understand the needs and perspectives of minority groups, ultimately improving their ability to serve all communities equitably (College of Policing, 2018). Research indicates that such training can be effective in reducing biased decision-making and improving interactions with diverse populations, though its success relies on consistent implementation and a commitment to cultural change within the force (Tuffin et al., 2006).</w:t>
      </w:r>
    </w:p>
    <w:p w14:paraId="08550BA7"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In terms of promotion and career progression, the police have made efforts to ensure that diversity is reflected not just in entry-level recruitment but also in leadership positions. However, progress in this area has been slower. Although the proportion of ethnic minority officers has increased at lower ranks, senior leadership within the police force remains disproportionately white (Bradford &amp; Quinton, 2014). The persistence of this leadership gap highlights the challenges of ensuring true equality at all levels, especially given the impact of systemic barriers and biases that may influence promotion processes. Efforts to address these disparities have included mentoring schemes, leadership development programmes, and greater transparency in promotion procedures, yet meaningful progress continues to be a work in progress.</w:t>
      </w:r>
    </w:p>
    <w:p w14:paraId="41ACBC4A"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Community policing and engagement have become fundamental strategies for building stronger relationships between the police and diverse communities in the UK. One of the key initiatives in this area is neighbourhood policing, where officers are assigned to specific communities to foster trust and increase the police’s visibility. Police Community Support Officers (PCSOs) have played a crucial role in this model by providing a visible, approachable presence in local areas, often engaging in informal discussions with residents and addressing concerns. For example, the success of community policing in areas like Nottingham has been attributed to close partnerships between the police and local community groups, leading to improved public safety and reduced crime (Levi, 2007). Similarly, community safety partnerships, where the police collaborate with local authorities and organisations, have shown positive outcomes in addressing local issues while building trust among diverse groups (Brunsdon &amp; Lee, 2011).</w:t>
      </w:r>
    </w:p>
    <w:p w14:paraId="1AC04CA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The police's response to specific minority groups, including ethnic minorities, LGBTQ+ individuals, and religious communities, has evolved over time, although issues persist. For example, the policing of Muslim communities post-9/11 has raised concerns about racial profiling and Islamophobia within law enforcement. The implementation of counter-terrorism measures like the Prevent strategy has often been viewed with suspicion in Muslim communities, exacerbating feelings of alienation (O’Toole, 2016). Similarly, the police's handling of LGBTQ+ issues has improved in recent years, but discrimination and underreporting of hate crimes continue to affect this group (Herek et al., 2015). The treatment of disabled individuals by the police also remains a sensitive issue, with research indicating that disabled people often experience higher levels of mistreatment during police encounters (Shakespeare, 2006).</w:t>
      </w:r>
    </w:p>
    <w:p w14:paraId="5E4A9B55"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Public perception and trust in the police, particularly among minority communities, remain key challenges. Studies consistently show that ethnic minorities, especially Black communities, have lower levels of trust in the police. This mistrust is often rooted in past experiences of discriminatory policing practices, such as disproportionate stop-and-search tactics, which have disproportionately impacted Black and Asian communities (Shiner et al., 2018). In response, various initiatives have been launched to improve relationships, including the establishment of Independent Advisory Groups and efforts to increase transparency and accountability through body-worn cameras. While these efforts have shown some success in improving perceptions of police legitimacy, ongoing dialogue and sustained reform are necessary to rebuild trust, particularly in communities with a history of marginalisation.</w:t>
      </w:r>
    </w:p>
    <w:p w14:paraId="6F35E9D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Resistance to change remains a significant barrier to effectively embracing diversity within the police force. Many police officers, particularly in senior ranks, have shown reluctance to engage with reforms aimed at increasing diversity and addressing racial biases. Academic critiques suggest that institutional inertia, coupled with a culture that resists external scrutiny, often impedes efforts to challenge and change entrenched practices (Reiner, 2010). Moreover, some former officers have spoken about the difficulties of implementing cultural change, particularly in organisations that value hierarchy and tradition (Rowe, 2014).</w:t>
      </w:r>
    </w:p>
    <w:p w14:paraId="0258AE6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In summary, while policing in the UK has made considerable progress in adapting to diversity, significant challenges remain. </w:t>
      </w:r>
    </w:p>
    <w:p w14:paraId="1F278268" w14:textId="77777777" w:rsidR="00DE6C07" w:rsidRPr="00DE6C07" w:rsidRDefault="00DE6C07" w:rsidP="00DE6C07">
      <w:pPr>
        <w:rPr>
          <w:rFonts w:ascii="Arial" w:eastAsia="Times New Roman" w:hAnsi="Arial" w:cs="Arial"/>
          <w:b/>
          <w:bCs/>
          <w:lang w:eastAsia="en-GB"/>
        </w:rPr>
      </w:pPr>
      <w:r w:rsidRPr="00DE6C07">
        <w:rPr>
          <w:rFonts w:ascii="Arial" w:eastAsia="Times New Roman" w:hAnsi="Arial" w:cs="Arial"/>
          <w:b/>
          <w:bCs/>
          <w:lang w:eastAsia="en-GB"/>
        </w:rPr>
        <w:lastRenderedPageBreak/>
        <w:t>Word count: 1105</w:t>
      </w:r>
    </w:p>
    <w:p w14:paraId="49C29338" w14:textId="77777777" w:rsidR="00DE6C07" w:rsidRPr="00DE6C07" w:rsidRDefault="00DE6C07" w:rsidP="00DE6C07">
      <w:pPr>
        <w:rPr>
          <w:rFonts w:ascii="Arial" w:eastAsia="Times New Roman" w:hAnsi="Arial" w:cs="Arial"/>
          <w:b/>
          <w:bCs/>
          <w:lang w:eastAsia="en-GB"/>
        </w:rPr>
      </w:pPr>
    </w:p>
    <w:p w14:paraId="4896A81B" w14:textId="77777777" w:rsidR="00DE6C07" w:rsidRPr="00DE6C07" w:rsidRDefault="00DE6C07" w:rsidP="00DE6C07">
      <w:pPr>
        <w:rPr>
          <w:rFonts w:ascii="Arial" w:eastAsia="Times New Roman" w:hAnsi="Arial" w:cs="Arial"/>
          <w:b/>
          <w:bCs/>
          <w:lang w:eastAsia="en-GB"/>
        </w:rPr>
      </w:pPr>
    </w:p>
    <w:p w14:paraId="56BBE8B4" w14:textId="77777777" w:rsidR="00DE6C07" w:rsidRPr="00DE6C07" w:rsidRDefault="00DE6C07" w:rsidP="00DE6C07">
      <w:pPr>
        <w:rPr>
          <w:rFonts w:ascii="Arial" w:eastAsia="Times New Roman" w:hAnsi="Arial" w:cs="Arial"/>
          <w:b/>
          <w:bCs/>
          <w:lang w:eastAsia="en-GB"/>
        </w:rPr>
      </w:pPr>
    </w:p>
    <w:p w14:paraId="01DB1384" w14:textId="77777777" w:rsidR="00DE6C07" w:rsidRPr="00DE6C07" w:rsidRDefault="00DE6C07" w:rsidP="00DE6C07">
      <w:pPr>
        <w:rPr>
          <w:rFonts w:ascii="Arial" w:eastAsia="Times New Roman" w:hAnsi="Arial" w:cs="Arial"/>
          <w:b/>
          <w:bCs/>
          <w:lang w:eastAsia="en-GB"/>
        </w:rPr>
      </w:pPr>
    </w:p>
    <w:p w14:paraId="4C88656D" w14:textId="77777777" w:rsidR="00DE6C07" w:rsidRPr="00DE6C07" w:rsidRDefault="00DE6C07" w:rsidP="00DE6C07">
      <w:pPr>
        <w:rPr>
          <w:rFonts w:ascii="Arial" w:eastAsia="Times New Roman" w:hAnsi="Arial" w:cs="Arial"/>
          <w:lang w:eastAsia="en-GB"/>
        </w:rPr>
      </w:pPr>
    </w:p>
    <w:p w14:paraId="27A7E277" w14:textId="77777777" w:rsidR="00DE6C07" w:rsidRPr="00DE6C07" w:rsidRDefault="00DE6C07" w:rsidP="00DE6C07">
      <w:pPr>
        <w:rPr>
          <w:rFonts w:ascii="Arial" w:eastAsia="Times New Roman" w:hAnsi="Arial" w:cs="Arial"/>
          <w:lang w:eastAsia="en-GB"/>
        </w:rPr>
      </w:pPr>
    </w:p>
    <w:p w14:paraId="6EA7ADDE" w14:textId="77777777" w:rsidR="00DE6C07" w:rsidRPr="00DE6C07" w:rsidRDefault="00DE6C07" w:rsidP="00DE6C07">
      <w:pPr>
        <w:rPr>
          <w:rFonts w:ascii="Arial" w:eastAsia="Times New Roman" w:hAnsi="Arial" w:cs="Arial"/>
          <w:b/>
          <w:bCs/>
          <w:lang w:eastAsia="en-GB"/>
        </w:rPr>
      </w:pPr>
    </w:p>
    <w:p w14:paraId="31C61828" w14:textId="77777777" w:rsidR="00DE6C07" w:rsidRPr="00DE6C07" w:rsidRDefault="00DE6C07" w:rsidP="00DE6C07">
      <w:pPr>
        <w:rPr>
          <w:rFonts w:ascii="Arial" w:eastAsia="Times New Roman" w:hAnsi="Arial" w:cs="Arial"/>
          <w:b/>
          <w:bCs/>
          <w:lang w:eastAsia="en-GB"/>
        </w:rPr>
      </w:pPr>
    </w:p>
    <w:p w14:paraId="17998FC6" w14:textId="77777777" w:rsidR="00DE6C07" w:rsidRPr="00DE6C07" w:rsidRDefault="00DE6C07" w:rsidP="00DE6C07">
      <w:pPr>
        <w:rPr>
          <w:rFonts w:ascii="Arial" w:eastAsia="Times New Roman" w:hAnsi="Arial" w:cs="Arial"/>
          <w:b/>
          <w:bCs/>
          <w:lang w:eastAsia="en-GB"/>
        </w:rPr>
      </w:pPr>
    </w:p>
    <w:p w14:paraId="792D5F37" w14:textId="77777777" w:rsidR="00DE6C07" w:rsidRPr="00DE6C07" w:rsidRDefault="00DE6C07" w:rsidP="00DE6C07">
      <w:pPr>
        <w:rPr>
          <w:rFonts w:ascii="Arial" w:eastAsia="Times New Roman" w:hAnsi="Arial" w:cs="Arial"/>
          <w:b/>
          <w:bCs/>
          <w:lang w:eastAsia="en-GB"/>
        </w:rPr>
      </w:pPr>
    </w:p>
    <w:p w14:paraId="5CAABB56" w14:textId="77777777" w:rsidR="00DE6C07" w:rsidRPr="00DE6C07" w:rsidRDefault="00DE6C07" w:rsidP="00DE6C07">
      <w:pPr>
        <w:rPr>
          <w:rFonts w:ascii="Arial" w:eastAsia="Times New Roman" w:hAnsi="Arial" w:cs="Arial"/>
          <w:b/>
          <w:bCs/>
          <w:lang w:eastAsia="en-GB"/>
        </w:rPr>
      </w:pPr>
    </w:p>
    <w:p w14:paraId="1CE1C3E9" w14:textId="77777777" w:rsidR="00DE6C07" w:rsidRPr="00DE6C07" w:rsidRDefault="00DE6C07" w:rsidP="00DE6C07">
      <w:pPr>
        <w:rPr>
          <w:rFonts w:ascii="Arial" w:eastAsia="Times New Roman" w:hAnsi="Arial" w:cs="Arial"/>
          <w:b/>
          <w:bCs/>
          <w:lang w:eastAsia="en-GB"/>
        </w:rPr>
      </w:pPr>
    </w:p>
    <w:p w14:paraId="1C258A2D" w14:textId="77777777" w:rsidR="00DE6C07" w:rsidRPr="00DE6C07" w:rsidRDefault="00DE6C07" w:rsidP="00DE6C07">
      <w:pPr>
        <w:rPr>
          <w:rFonts w:ascii="Arial" w:eastAsia="Times New Roman" w:hAnsi="Arial" w:cs="Arial"/>
          <w:b/>
          <w:bCs/>
          <w:lang w:eastAsia="en-GB"/>
        </w:rPr>
      </w:pPr>
    </w:p>
    <w:p w14:paraId="6732B397"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References:</w:t>
      </w:r>
    </w:p>
    <w:p w14:paraId="1F20A07E"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Agnew, R., 2006. Pressured into crime: An overview of general strain theory.</w:t>
      </w:r>
    </w:p>
    <w:p w14:paraId="41B9C62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Andell, P. and Pitts, J., 2018. The end of the line? The impact of county lines drug distribution on youth crime in a target destination. </w:t>
      </w:r>
      <w:r w:rsidRPr="00DE6C07">
        <w:rPr>
          <w:rFonts w:ascii="Arial" w:eastAsia="Times New Roman" w:hAnsi="Arial" w:cs="Arial"/>
          <w:i/>
          <w:iCs/>
          <w:lang w:eastAsia="en-GB"/>
        </w:rPr>
        <w:t>Youth &amp; Policy</w:t>
      </w:r>
      <w:r w:rsidRPr="00DE6C07">
        <w:rPr>
          <w:rFonts w:ascii="Arial" w:eastAsia="Times New Roman" w:hAnsi="Arial" w:cs="Arial"/>
          <w:lang w:eastAsia="en-GB"/>
        </w:rPr>
        <w:t>.</w:t>
      </w:r>
    </w:p>
    <w:p w14:paraId="0EF4CCB3"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val="sv-SE" w:eastAsia="en-GB"/>
        </w:rPr>
        <w:t xml:space="preserve">Ariel, B., Farrar, W. A., &amp; Sutherland, A. (2016). </w:t>
      </w:r>
      <w:r w:rsidRPr="00DE6C07">
        <w:rPr>
          <w:rFonts w:ascii="Arial" w:eastAsia="Times New Roman" w:hAnsi="Arial" w:cs="Arial"/>
          <w:lang w:eastAsia="en-GB"/>
        </w:rPr>
        <w:t>The effect of police body-worn cameras on use of force and citizens’ complaints against the police: A randomized controlled trial. </w:t>
      </w:r>
      <w:r w:rsidRPr="00DE6C07">
        <w:rPr>
          <w:rFonts w:ascii="Arial" w:eastAsia="Times New Roman" w:hAnsi="Arial" w:cs="Arial"/>
          <w:i/>
          <w:iCs/>
          <w:lang w:eastAsia="en-GB"/>
        </w:rPr>
        <w:t>Journal of quantitative criminology</w:t>
      </w:r>
      <w:r w:rsidRPr="00DE6C07">
        <w:rPr>
          <w:rFonts w:ascii="Arial" w:eastAsia="Times New Roman" w:hAnsi="Arial" w:cs="Arial"/>
          <w:lang w:eastAsia="en-GB"/>
        </w:rPr>
        <w:t>, </w:t>
      </w:r>
      <w:r w:rsidRPr="00DE6C07">
        <w:rPr>
          <w:rFonts w:ascii="Arial" w:eastAsia="Times New Roman" w:hAnsi="Arial" w:cs="Arial"/>
          <w:i/>
          <w:iCs/>
          <w:lang w:eastAsia="en-GB"/>
        </w:rPr>
        <w:t>31</w:t>
      </w:r>
      <w:r w:rsidRPr="00DE6C07">
        <w:rPr>
          <w:rFonts w:ascii="Arial" w:eastAsia="Times New Roman" w:hAnsi="Arial" w:cs="Arial"/>
          <w:lang w:eastAsia="en-GB"/>
        </w:rPr>
        <w:t>, 509-535.</w:t>
      </w:r>
    </w:p>
    <w:p w14:paraId="605D9769"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Bandura, A., 1977. Social learning theory. </w:t>
      </w:r>
      <w:r w:rsidRPr="00DE6C07">
        <w:rPr>
          <w:rFonts w:ascii="Arial" w:eastAsia="Times New Roman" w:hAnsi="Arial" w:cs="Arial"/>
          <w:i/>
          <w:iCs/>
          <w:lang w:eastAsia="en-GB"/>
        </w:rPr>
        <w:t>Englewood Cliffs</w:t>
      </w:r>
      <w:r w:rsidRPr="00DE6C07">
        <w:rPr>
          <w:rFonts w:ascii="Arial" w:eastAsia="Times New Roman" w:hAnsi="Arial" w:cs="Arial"/>
          <w:lang w:eastAsia="en-GB"/>
        </w:rPr>
        <w:t>.</w:t>
      </w:r>
    </w:p>
    <w:p w14:paraId="018693AE"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Becker, H.S., 1963. Outsiders. </w:t>
      </w:r>
      <w:r w:rsidRPr="00DE6C07">
        <w:rPr>
          <w:rFonts w:ascii="Arial" w:eastAsia="Times New Roman" w:hAnsi="Arial" w:cs="Arial"/>
          <w:i/>
          <w:iCs/>
          <w:lang w:eastAsia="en-GB"/>
        </w:rPr>
        <w:t>Studies in the Sociology of Deviance</w:t>
      </w:r>
      <w:r w:rsidRPr="00DE6C07">
        <w:rPr>
          <w:rFonts w:ascii="Arial" w:eastAsia="Times New Roman" w:hAnsi="Arial" w:cs="Arial"/>
          <w:lang w:eastAsia="en-GB"/>
        </w:rPr>
        <w:t>, </w:t>
      </w:r>
      <w:r w:rsidRPr="00DE6C07">
        <w:rPr>
          <w:rFonts w:ascii="Arial" w:eastAsia="Times New Roman" w:hAnsi="Arial" w:cs="Arial"/>
          <w:i/>
          <w:iCs/>
          <w:lang w:eastAsia="en-GB"/>
        </w:rPr>
        <w:t>1</w:t>
      </w:r>
      <w:r w:rsidRPr="00DE6C07">
        <w:rPr>
          <w:rFonts w:ascii="Arial" w:eastAsia="Times New Roman" w:hAnsi="Arial" w:cs="Arial"/>
          <w:lang w:eastAsia="en-GB"/>
        </w:rPr>
        <w:t>.</w:t>
      </w:r>
    </w:p>
    <w:p w14:paraId="22DC295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Beckett, H., Brodie, I. and Hall, S. (2018) Exploring the link between vulnerability and gang involvement. London: University of Bristol.</w:t>
      </w:r>
    </w:p>
    <w:p w14:paraId="732AD21C"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val="nb-NO" w:eastAsia="en-GB"/>
        </w:rPr>
        <w:t xml:space="preserve">Bellis, M. A., Hardcastle, K., Ford, K. et al. </w:t>
      </w:r>
      <w:r w:rsidRPr="00DE6C07">
        <w:rPr>
          <w:rFonts w:ascii="Arial" w:eastAsia="Times New Roman" w:hAnsi="Arial" w:cs="Arial"/>
          <w:lang w:eastAsia="en-GB"/>
        </w:rPr>
        <w:t>(2014) ‘Does adverse childhood experience predict alcohol consumption? A population-based study’, BMC Medicine, 12, p. 72. Available at: https://doi.org/10.1186/1741-7015-12-72.</w:t>
      </w:r>
    </w:p>
    <w:p w14:paraId="4CCB69E7"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Bowling, B. and Phillips, C., 2007. Disproportionate and discriminatory: Reviewing the evidence on police stop and search. </w:t>
      </w:r>
      <w:r w:rsidRPr="00DE6C07">
        <w:rPr>
          <w:rFonts w:ascii="Arial" w:eastAsia="Times New Roman" w:hAnsi="Arial" w:cs="Arial"/>
          <w:i/>
          <w:iCs/>
          <w:lang w:eastAsia="en-GB"/>
        </w:rPr>
        <w:t>The modern law review</w:t>
      </w:r>
      <w:r w:rsidRPr="00DE6C07">
        <w:rPr>
          <w:rFonts w:ascii="Arial" w:eastAsia="Times New Roman" w:hAnsi="Arial" w:cs="Arial"/>
          <w:lang w:eastAsia="en-GB"/>
        </w:rPr>
        <w:t>, </w:t>
      </w:r>
      <w:r w:rsidRPr="00DE6C07">
        <w:rPr>
          <w:rFonts w:ascii="Arial" w:eastAsia="Times New Roman" w:hAnsi="Arial" w:cs="Arial"/>
          <w:i/>
          <w:iCs/>
          <w:lang w:eastAsia="en-GB"/>
        </w:rPr>
        <w:t>70</w:t>
      </w:r>
      <w:r w:rsidRPr="00DE6C07">
        <w:rPr>
          <w:rFonts w:ascii="Arial" w:eastAsia="Times New Roman" w:hAnsi="Arial" w:cs="Arial"/>
          <w:lang w:eastAsia="en-GB"/>
        </w:rPr>
        <w:t>(6), pp.936-961.</w:t>
      </w:r>
    </w:p>
    <w:p w14:paraId="32AAB08A"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Bradford, B. and Quinton, P. (2014) ‘Police performance and community engagement’, Policing and Society, 24(3), pp. 314–331.</w:t>
      </w:r>
    </w:p>
    <w:p w14:paraId="59436E01"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Brunsdon, V. and Lee, P. (2011) ‘Police, public and community safety: Enhancing relations’, British Journal of Criminology, 51(1), pp. 1–20.</w:t>
      </w:r>
    </w:p>
    <w:p w14:paraId="0AE00E55"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Chakraborti, N., Garland, J. and Hillyard, P. (2014) Hate crime: Impact, causes and responses. London: Sage.</w:t>
      </w:r>
    </w:p>
    <w:p w14:paraId="509290EB"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College of Policing (2014) </w:t>
      </w:r>
      <w:r w:rsidRPr="00DE6C07">
        <w:rPr>
          <w:rFonts w:ascii="Arial" w:eastAsia="Times New Roman" w:hAnsi="Arial" w:cs="Arial"/>
          <w:i/>
          <w:iCs/>
          <w:lang w:eastAsia="en-GB"/>
        </w:rPr>
        <w:t>National Decision Model: Guidance for decision-making</w:t>
      </w:r>
      <w:r w:rsidRPr="00DE6C07">
        <w:rPr>
          <w:rFonts w:ascii="Arial" w:eastAsia="Times New Roman" w:hAnsi="Arial" w:cs="Arial"/>
          <w:lang w:eastAsia="en-GB"/>
        </w:rPr>
        <w:t xml:space="preserve">. </w:t>
      </w:r>
      <w:hyperlink r:id="rId13" w:history="1">
        <w:r w:rsidRPr="00DE6C07">
          <w:rPr>
            <w:rStyle w:val="Hyperlink"/>
            <w:rFonts w:ascii="Arial" w:eastAsia="Times New Roman" w:hAnsi="Arial" w:cs="Arial"/>
            <w:lang w:eastAsia="en-GB"/>
          </w:rPr>
          <w:t>https://www.college.police.uk/guidance/national-decision-model</w:t>
        </w:r>
      </w:hyperlink>
      <w:r w:rsidRPr="00DE6C07">
        <w:rPr>
          <w:rFonts w:ascii="Arial" w:eastAsia="Times New Roman" w:hAnsi="Arial" w:cs="Arial"/>
          <w:lang w:eastAsia="en-GB"/>
        </w:rPr>
        <w:t xml:space="preserve">. </w:t>
      </w:r>
    </w:p>
    <w:p w14:paraId="21CE707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lastRenderedPageBreak/>
        <w:t>College of Policing (2018) Diversity and inclusion training programme.</w:t>
      </w:r>
    </w:p>
    <w:p w14:paraId="07BE8BE9"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College of Policing (Great Britain), 2014. </w:t>
      </w:r>
      <w:r w:rsidRPr="00DE6C07">
        <w:rPr>
          <w:rFonts w:ascii="Arial" w:eastAsia="Times New Roman" w:hAnsi="Arial" w:cs="Arial"/>
          <w:i/>
          <w:iCs/>
          <w:lang w:eastAsia="en-GB"/>
        </w:rPr>
        <w:t>Code of ethics: A code of practice for the principles and standards of professional behaviour for the policing profession of England and Wales</w:t>
      </w:r>
      <w:r w:rsidRPr="00DE6C07">
        <w:rPr>
          <w:rFonts w:ascii="Arial" w:eastAsia="Times New Roman" w:hAnsi="Arial" w:cs="Arial"/>
          <w:lang w:eastAsia="en-GB"/>
        </w:rPr>
        <w:t>. HM Government.</w:t>
      </w:r>
    </w:p>
    <w:p w14:paraId="340A1FF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Crawford, A. and Newburn, T., 2013. </w:t>
      </w:r>
      <w:r w:rsidRPr="00DE6C07">
        <w:rPr>
          <w:rFonts w:ascii="Arial" w:eastAsia="Times New Roman" w:hAnsi="Arial" w:cs="Arial"/>
          <w:i/>
          <w:iCs/>
          <w:lang w:eastAsia="en-GB"/>
        </w:rPr>
        <w:t>Youth offending and restorative justice</w:t>
      </w:r>
      <w:r w:rsidRPr="00DE6C07">
        <w:rPr>
          <w:rFonts w:ascii="Arial" w:eastAsia="Times New Roman" w:hAnsi="Arial" w:cs="Arial"/>
          <w:lang w:eastAsia="en-GB"/>
        </w:rPr>
        <w:t>. Willan.</w:t>
      </w:r>
    </w:p>
    <w:p w14:paraId="03793B0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Decker, S.H. and Van Winkle, B., 1996. </w:t>
      </w:r>
      <w:r w:rsidRPr="00DE6C07">
        <w:rPr>
          <w:rFonts w:ascii="Arial" w:eastAsia="Times New Roman" w:hAnsi="Arial" w:cs="Arial"/>
          <w:i/>
          <w:iCs/>
          <w:lang w:eastAsia="en-GB"/>
        </w:rPr>
        <w:t>Life in the gang: Family, friends, and violence</w:t>
      </w:r>
      <w:r w:rsidRPr="00DE6C07">
        <w:rPr>
          <w:rFonts w:ascii="Arial" w:eastAsia="Times New Roman" w:hAnsi="Arial" w:cs="Arial"/>
          <w:lang w:eastAsia="en-GB"/>
        </w:rPr>
        <w:t>. Cambridge University Press.</w:t>
      </w:r>
    </w:p>
    <w:p w14:paraId="5CDA050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Densley, J.A., 2013. </w:t>
      </w:r>
      <w:r w:rsidRPr="00DE6C07">
        <w:rPr>
          <w:rFonts w:ascii="Arial" w:eastAsia="Times New Roman" w:hAnsi="Arial" w:cs="Arial"/>
          <w:i/>
          <w:iCs/>
          <w:lang w:eastAsia="en-GB"/>
        </w:rPr>
        <w:t>How gangs work: An ethnography of youth violence</w:t>
      </w:r>
      <w:r w:rsidRPr="00DE6C07">
        <w:rPr>
          <w:rFonts w:ascii="Arial" w:eastAsia="Times New Roman" w:hAnsi="Arial" w:cs="Arial"/>
          <w:lang w:eastAsia="en-GB"/>
        </w:rPr>
        <w:t>. New York: Palgrave Macmillan.</w:t>
      </w:r>
    </w:p>
    <w:p w14:paraId="3300ECE9"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Duncan, B. (2019) ‘Evaluating the effectiveness of the National Decision Model in dynamic police operations’, Policing: A Journal of Policy and Practice, 13(3), pp. 317–329. Available at: https://doi.org/10.1093/police/pay012.</w:t>
      </w:r>
    </w:p>
    <w:p w14:paraId="458D8607"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Duncan, S. and Lee, J. (2018) ‘Addressing intersectionality in crime and justice: A new approach’, Criminal Justice Policy Review, 29(1), pp. 52–68.</w:t>
      </w:r>
    </w:p>
    <w:p w14:paraId="615B9D2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Farrington, D.P., 2003. Developmental and life</w:t>
      </w:r>
      <w:r w:rsidRPr="00DE6C07">
        <w:rPr>
          <w:rFonts w:ascii="Cambria Math" w:eastAsia="Times New Roman" w:hAnsi="Cambria Math" w:cs="Cambria Math"/>
          <w:lang w:eastAsia="en-GB"/>
        </w:rPr>
        <w:t>‐</w:t>
      </w:r>
      <w:r w:rsidRPr="00DE6C07">
        <w:rPr>
          <w:rFonts w:ascii="Arial" w:eastAsia="Times New Roman" w:hAnsi="Arial" w:cs="Arial"/>
          <w:lang w:eastAsia="en-GB"/>
        </w:rPr>
        <w:t>course criminology: Key theoretical and empirical issues</w:t>
      </w:r>
      <w:r w:rsidRPr="00DE6C07">
        <w:rPr>
          <w:rFonts w:ascii="Cambria Math" w:eastAsia="Times New Roman" w:hAnsi="Cambria Math" w:cs="Cambria Math"/>
          <w:lang w:eastAsia="en-GB"/>
        </w:rPr>
        <w:t>‐</w:t>
      </w:r>
      <w:r w:rsidRPr="00DE6C07">
        <w:rPr>
          <w:rFonts w:ascii="Arial" w:eastAsia="Times New Roman" w:hAnsi="Arial" w:cs="Arial"/>
          <w:lang w:eastAsia="en-GB"/>
        </w:rPr>
        <w:t>the 2002 Sutherland Award address. </w:t>
      </w:r>
      <w:r w:rsidRPr="00DE6C07">
        <w:rPr>
          <w:rFonts w:ascii="Arial" w:eastAsia="Times New Roman" w:hAnsi="Arial" w:cs="Arial"/>
          <w:i/>
          <w:iCs/>
          <w:lang w:eastAsia="en-GB"/>
        </w:rPr>
        <w:t>Criminology</w:t>
      </w:r>
      <w:r w:rsidRPr="00DE6C07">
        <w:rPr>
          <w:rFonts w:ascii="Arial" w:eastAsia="Times New Roman" w:hAnsi="Arial" w:cs="Arial"/>
          <w:lang w:eastAsia="en-GB"/>
        </w:rPr>
        <w:t>, </w:t>
      </w:r>
      <w:r w:rsidRPr="00DE6C07">
        <w:rPr>
          <w:rFonts w:ascii="Arial" w:eastAsia="Times New Roman" w:hAnsi="Arial" w:cs="Arial"/>
          <w:i/>
          <w:iCs/>
          <w:lang w:eastAsia="en-GB"/>
        </w:rPr>
        <w:t>41</w:t>
      </w:r>
      <w:r w:rsidRPr="00DE6C07">
        <w:rPr>
          <w:rFonts w:ascii="Arial" w:eastAsia="Times New Roman" w:hAnsi="Arial" w:cs="Arial"/>
          <w:lang w:eastAsia="en-GB"/>
        </w:rPr>
        <w:t>(2), pp.221-225.</w:t>
      </w:r>
    </w:p>
    <w:p w14:paraId="12A89625"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Firmin, C., 2020. </w:t>
      </w:r>
      <w:r w:rsidRPr="00DE6C07">
        <w:rPr>
          <w:rFonts w:ascii="Arial" w:eastAsia="Times New Roman" w:hAnsi="Arial" w:cs="Arial"/>
          <w:i/>
          <w:iCs/>
          <w:lang w:eastAsia="en-GB"/>
        </w:rPr>
        <w:t>Contextual safeguarding and child protection: Rewriting the rules</w:t>
      </w:r>
      <w:r w:rsidRPr="00DE6C07">
        <w:rPr>
          <w:rFonts w:ascii="Arial" w:eastAsia="Times New Roman" w:hAnsi="Arial" w:cs="Arial"/>
          <w:lang w:eastAsia="en-GB"/>
        </w:rPr>
        <w:t>. Routledge.</w:t>
      </w:r>
    </w:p>
    <w:p w14:paraId="6894CD0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Hales, J. et al. (2019) ‘County lines and exploitation: A national strategy’, British Journal of Criminology, 59(4), pp. 912–935. Available at: https://doi.org/10.1093/bjc/azz025.</w:t>
      </w:r>
    </w:p>
    <w:p w14:paraId="2F8A593D"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Hall, S., Jefferson, T. and Clark, J. (2019) ‘The social construction of “gang” culture’, Cultural Studies, 33(2), pp. 205–220.</w:t>
      </w:r>
    </w:p>
    <w:p w14:paraId="698E4EE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Harrison, P. (2006) Policing and the police: An introduction. Oxford: Oxford University Press.</w:t>
      </w:r>
    </w:p>
    <w:p w14:paraId="1374DFCA"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Herek, G. M., Cogan, J. C. and Gillis, J. R. (2015) ‘The role of law enforcement in addressing hate crimes’, Journal of Social Issues, 71(2), pp. 350–373.</w:t>
      </w:r>
    </w:p>
    <w:p w14:paraId="05B9F7E4"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Hesketh, R. and Robinson, G. (2019) ‘Gangs, county lines and child criminal exploitation: A case study of policy failure and ignorance’, Safer Communities, 18(2), pp. 78–86.</w:t>
      </w:r>
    </w:p>
    <w:p w14:paraId="4A679F73"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Hickman, M. J., Thomas, H. and Nickson, L. (2008) The police and minority ethnic communities. Bristol: The Policy Press.</w:t>
      </w:r>
    </w:p>
    <w:p w14:paraId="045CCC6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Home Office (2018) The Windrush generation: Accountability and lessons learned.</w:t>
      </w:r>
    </w:p>
    <w:p w14:paraId="771A6C2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Home Office (2021) </w:t>
      </w:r>
      <w:r w:rsidRPr="00DE6C07">
        <w:rPr>
          <w:rFonts w:ascii="Arial" w:eastAsia="Times New Roman" w:hAnsi="Arial" w:cs="Arial"/>
          <w:i/>
          <w:iCs/>
          <w:lang w:eastAsia="en-GB"/>
        </w:rPr>
        <w:t>Police integrity and corruption report</w:t>
      </w:r>
      <w:r w:rsidRPr="00DE6C07">
        <w:rPr>
          <w:rFonts w:ascii="Arial" w:eastAsia="Times New Roman" w:hAnsi="Arial" w:cs="Arial"/>
          <w:lang w:eastAsia="en-GB"/>
        </w:rPr>
        <w:t xml:space="preserve">. </w:t>
      </w:r>
      <w:hyperlink r:id="rId14" w:history="1">
        <w:r w:rsidRPr="00DE6C07">
          <w:rPr>
            <w:rStyle w:val="Hyperlink"/>
            <w:rFonts w:ascii="Arial" w:eastAsia="Times New Roman" w:hAnsi="Arial" w:cs="Arial"/>
            <w:lang w:eastAsia="en-GB"/>
          </w:rPr>
          <w:t>https://www.gov.uk/government/publications/police-integrity-and-corruption-report</w:t>
        </w:r>
      </w:hyperlink>
      <w:r w:rsidRPr="00DE6C07">
        <w:rPr>
          <w:rFonts w:ascii="Arial" w:eastAsia="Times New Roman" w:hAnsi="Arial" w:cs="Arial"/>
          <w:lang w:eastAsia="en-GB"/>
        </w:rPr>
        <w:t>.</w:t>
      </w:r>
    </w:p>
    <w:p w14:paraId="4BB3DAC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Home Office (2022) </w:t>
      </w:r>
      <w:r w:rsidRPr="00DE6C07">
        <w:rPr>
          <w:rFonts w:ascii="Arial" w:eastAsia="Times New Roman" w:hAnsi="Arial" w:cs="Arial"/>
          <w:i/>
          <w:iCs/>
          <w:lang w:eastAsia="en-GB"/>
        </w:rPr>
        <w:t>PACE Code A: 2022 update</w:t>
      </w:r>
      <w:r w:rsidRPr="00DE6C07">
        <w:rPr>
          <w:rFonts w:ascii="Arial" w:eastAsia="Times New Roman" w:hAnsi="Arial" w:cs="Arial"/>
          <w:lang w:eastAsia="en-GB"/>
        </w:rPr>
        <w:t xml:space="preserve">. </w:t>
      </w:r>
      <w:hyperlink r:id="rId15" w:history="1">
        <w:r w:rsidRPr="00DE6C07">
          <w:rPr>
            <w:rStyle w:val="Hyperlink"/>
            <w:rFonts w:ascii="Arial" w:eastAsia="Times New Roman" w:hAnsi="Arial" w:cs="Arial"/>
            <w:lang w:eastAsia="en-GB"/>
          </w:rPr>
          <w:t>https://www.gov.uk/guidance/pace-code-a-2022-update</w:t>
        </w:r>
      </w:hyperlink>
      <w:r w:rsidRPr="00DE6C07">
        <w:rPr>
          <w:rFonts w:ascii="Arial" w:eastAsia="Times New Roman" w:hAnsi="Arial" w:cs="Arial"/>
          <w:lang w:eastAsia="en-GB"/>
        </w:rPr>
        <w:t xml:space="preserve">. </w:t>
      </w:r>
    </w:p>
    <w:p w14:paraId="4DDBD5C9"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Huff, J., Katz, C. M. and Webb, V. J. (2021) ‘Privacy concerns and perceptions of body-worn cameras in policing’, Criminal Justice Review, 46(2), pp. 180–200. Available at: https://doi.org/10.1177/0734016820973302.</w:t>
      </w:r>
    </w:p>
    <w:p w14:paraId="05A5584A"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Irwin-Rogers, K. and Pinkney, C., 2017. Social media as a catalyst and trigger for youth violence. </w:t>
      </w:r>
      <w:r w:rsidRPr="00DE6C07">
        <w:rPr>
          <w:rFonts w:ascii="Arial" w:eastAsia="Times New Roman" w:hAnsi="Arial" w:cs="Arial"/>
          <w:i/>
          <w:iCs/>
          <w:lang w:eastAsia="en-GB"/>
        </w:rPr>
        <w:t>Catch22</w:t>
      </w:r>
      <w:r w:rsidRPr="00DE6C07">
        <w:rPr>
          <w:rFonts w:ascii="Arial" w:eastAsia="Times New Roman" w:hAnsi="Arial" w:cs="Arial"/>
          <w:lang w:eastAsia="en-GB"/>
        </w:rPr>
        <w:t>.</w:t>
      </w:r>
    </w:p>
    <w:p w14:paraId="3338C15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Lammy, D., 2017. An independent review into the treatment of, and outcomes for. </w:t>
      </w:r>
      <w:r w:rsidRPr="00DE6C07">
        <w:rPr>
          <w:rFonts w:ascii="Arial" w:eastAsia="Times New Roman" w:hAnsi="Arial" w:cs="Arial"/>
          <w:i/>
          <w:iCs/>
          <w:lang w:eastAsia="en-GB"/>
        </w:rPr>
        <w:t>Black, Asian and Minority</w:t>
      </w:r>
      <w:r w:rsidRPr="00DE6C07">
        <w:rPr>
          <w:rFonts w:ascii="Arial" w:eastAsia="Times New Roman" w:hAnsi="Arial" w:cs="Arial"/>
          <w:lang w:eastAsia="en-GB"/>
        </w:rPr>
        <w:t xml:space="preserve">. </w:t>
      </w:r>
    </w:p>
    <w:p w14:paraId="235CD6E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Levi, M., 2007. Policing financial crimes. In </w:t>
      </w:r>
      <w:r w:rsidRPr="00DE6C07">
        <w:rPr>
          <w:rFonts w:ascii="Arial" w:eastAsia="Times New Roman" w:hAnsi="Arial" w:cs="Arial"/>
          <w:i/>
          <w:iCs/>
          <w:lang w:eastAsia="en-GB"/>
        </w:rPr>
        <w:t>International handbook of white-collar and corporate crime</w:t>
      </w:r>
      <w:r w:rsidRPr="00DE6C07">
        <w:rPr>
          <w:rFonts w:ascii="Arial" w:eastAsia="Times New Roman" w:hAnsi="Arial" w:cs="Arial"/>
          <w:lang w:eastAsia="en-GB"/>
        </w:rPr>
        <w:t> (pp. 588-606). Boston, MA: Springer US.</w:t>
      </w:r>
    </w:p>
    <w:p w14:paraId="3BAD48A4"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Lipsey, M.W., 2009. The primary factors that characterize effective interventions with juvenile offenders: A meta-analytic overview. </w:t>
      </w:r>
      <w:r w:rsidRPr="00DE6C07">
        <w:rPr>
          <w:rFonts w:ascii="Arial" w:eastAsia="Times New Roman" w:hAnsi="Arial" w:cs="Arial"/>
          <w:i/>
          <w:iCs/>
          <w:lang w:eastAsia="en-GB"/>
        </w:rPr>
        <w:t>Victims and offenders</w:t>
      </w:r>
      <w:r w:rsidRPr="00DE6C07">
        <w:rPr>
          <w:rFonts w:ascii="Arial" w:eastAsia="Times New Roman" w:hAnsi="Arial" w:cs="Arial"/>
          <w:lang w:eastAsia="en-GB"/>
        </w:rPr>
        <w:t>, </w:t>
      </w:r>
      <w:r w:rsidRPr="00DE6C07">
        <w:rPr>
          <w:rFonts w:ascii="Arial" w:eastAsia="Times New Roman" w:hAnsi="Arial" w:cs="Arial"/>
          <w:i/>
          <w:iCs/>
          <w:lang w:eastAsia="en-GB"/>
        </w:rPr>
        <w:t>4</w:t>
      </w:r>
      <w:r w:rsidRPr="00DE6C07">
        <w:rPr>
          <w:rFonts w:ascii="Arial" w:eastAsia="Times New Roman" w:hAnsi="Arial" w:cs="Arial"/>
          <w:lang w:eastAsia="en-GB"/>
        </w:rPr>
        <w:t>(2), pp.124-147.</w:t>
      </w:r>
    </w:p>
    <w:p w14:paraId="01C8849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lastRenderedPageBreak/>
        <w:t>Macpherson, W., Cook, T., Sentamu, J. and Stone, R., 1999. </w:t>
      </w:r>
      <w:r w:rsidRPr="00DE6C07">
        <w:rPr>
          <w:rFonts w:ascii="Arial" w:eastAsia="Times New Roman" w:hAnsi="Arial" w:cs="Arial"/>
          <w:i/>
          <w:iCs/>
          <w:lang w:eastAsia="en-GB"/>
        </w:rPr>
        <w:t>The Stephen Lawrence Inquiry: Report of an Inquiry by Sir William Macpherson of Cluny, CM 4262-I</w:t>
      </w:r>
      <w:r w:rsidRPr="00DE6C07">
        <w:rPr>
          <w:rFonts w:ascii="Arial" w:eastAsia="Times New Roman" w:hAnsi="Arial" w:cs="Arial"/>
          <w:lang w:eastAsia="en-GB"/>
        </w:rPr>
        <w:t>. Stationery Office.</w:t>
      </w:r>
    </w:p>
    <w:p w14:paraId="049238A5"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Maslow, A.H., 1943. A theory of human motivation. </w:t>
      </w:r>
      <w:r w:rsidRPr="00DE6C07">
        <w:rPr>
          <w:rFonts w:ascii="Arial" w:eastAsia="Times New Roman" w:hAnsi="Arial" w:cs="Arial"/>
          <w:i/>
          <w:iCs/>
          <w:lang w:eastAsia="en-GB"/>
        </w:rPr>
        <w:t>Psychological Review google schola</w:t>
      </w:r>
      <w:r w:rsidRPr="00DE6C07">
        <w:rPr>
          <w:rFonts w:ascii="Arial" w:eastAsia="Times New Roman" w:hAnsi="Arial" w:cs="Arial"/>
          <w:lang w:eastAsia="en-GB"/>
        </w:rPr>
        <w:t>, </w:t>
      </w:r>
      <w:r w:rsidRPr="00DE6C07">
        <w:rPr>
          <w:rFonts w:ascii="Arial" w:eastAsia="Times New Roman" w:hAnsi="Arial" w:cs="Arial"/>
          <w:i/>
          <w:iCs/>
          <w:lang w:eastAsia="en-GB"/>
        </w:rPr>
        <w:t>2</w:t>
      </w:r>
      <w:r w:rsidRPr="00DE6C07">
        <w:rPr>
          <w:rFonts w:ascii="Arial" w:eastAsia="Times New Roman" w:hAnsi="Arial" w:cs="Arial"/>
          <w:lang w:eastAsia="en-GB"/>
        </w:rPr>
        <w:t>, pp.21-28.</w:t>
      </w:r>
    </w:p>
    <w:p w14:paraId="7893CB7C"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McLean, R. (2019) ‘Child criminal exploitation and county lines: A developmental perspective’, Youth Justice, 19(3), pp. 207–220.</w:t>
      </w:r>
    </w:p>
    <w:p w14:paraId="58F2580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Merton, R. K. (1938) ‘Social structure and anomie’, American Sociological Review, 3(5), pp. 672–682.</w:t>
      </w:r>
    </w:p>
    <w:p w14:paraId="64292A7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Muncie, J. (2015) Youth and crime. London: Sage Publications.</w:t>
      </w:r>
    </w:p>
    <w:p w14:paraId="1A4EEA1B"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Nash, M. (2011) ‘Positive action and diversity in the police service: A strategic review’, Journal of Community and Applied Social Psychology, 21(2), pp. 91–104.</w:t>
      </w:r>
    </w:p>
    <w:p w14:paraId="6077BD3D"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Nash, M. (2020) ‘Gangs in the media: A case study of popular culture’, Journal of Youth Studies, 23(4), pp. 489–502.</w:t>
      </w:r>
    </w:p>
    <w:p w14:paraId="6CA3A62C"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O’Toole, T. (2016) The politics of Prevent: Radicalisation and the UK police response. Manchester: Manchester University Press.</w:t>
      </w:r>
    </w:p>
    <w:p w14:paraId="5D2ADE1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Office for National Statistics (2022) 2021 census: Ethnicity and national identity in England and Wales.</w:t>
      </w:r>
    </w:p>
    <w:p w14:paraId="50971F27"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Police and Criminal Evidence Act 1984 (PACE). </w:t>
      </w:r>
      <w:hyperlink r:id="rId16" w:history="1">
        <w:r w:rsidRPr="00DE6C07">
          <w:rPr>
            <w:rStyle w:val="Hyperlink"/>
            <w:rFonts w:ascii="Arial" w:eastAsia="Times New Roman" w:hAnsi="Arial" w:cs="Arial"/>
            <w:lang w:eastAsia="en-GB"/>
          </w:rPr>
          <w:t>https://www.legislation.gov.uk/ukpga/1984/60/contents</w:t>
        </w:r>
      </w:hyperlink>
      <w:r w:rsidRPr="00DE6C07">
        <w:rPr>
          <w:rFonts w:ascii="Arial" w:eastAsia="Times New Roman" w:hAnsi="Arial" w:cs="Arial"/>
          <w:lang w:eastAsia="en-GB"/>
        </w:rPr>
        <w:t>.</w:t>
      </w:r>
    </w:p>
    <w:p w14:paraId="5092EC3D"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Prenzler, T., 2009. </w:t>
      </w:r>
      <w:r w:rsidRPr="00DE6C07">
        <w:rPr>
          <w:rFonts w:ascii="Arial" w:eastAsia="Times New Roman" w:hAnsi="Arial" w:cs="Arial"/>
          <w:i/>
          <w:iCs/>
          <w:lang w:eastAsia="en-GB"/>
        </w:rPr>
        <w:t>Police corruption: Preventing misconduct and maintaining integrity</w:t>
      </w:r>
      <w:r w:rsidRPr="00DE6C07">
        <w:rPr>
          <w:rFonts w:ascii="Arial" w:eastAsia="Times New Roman" w:hAnsi="Arial" w:cs="Arial"/>
          <w:lang w:eastAsia="en-GB"/>
        </w:rPr>
        <w:t>. Routledge.</w:t>
      </w:r>
    </w:p>
    <w:p w14:paraId="2F7DCE8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Reiner, R., 2010. </w:t>
      </w:r>
      <w:r w:rsidRPr="00DE6C07">
        <w:rPr>
          <w:rFonts w:ascii="Arial" w:eastAsia="Times New Roman" w:hAnsi="Arial" w:cs="Arial"/>
          <w:i/>
          <w:iCs/>
          <w:lang w:eastAsia="en-GB"/>
        </w:rPr>
        <w:t>The politics of the police</w:t>
      </w:r>
      <w:r w:rsidRPr="00DE6C07">
        <w:rPr>
          <w:rFonts w:ascii="Arial" w:eastAsia="Times New Roman" w:hAnsi="Arial" w:cs="Arial"/>
          <w:lang w:eastAsia="en-GB"/>
        </w:rPr>
        <w:t>. Oxford University Press, USA.</w:t>
      </w:r>
    </w:p>
    <w:p w14:paraId="0869003E"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Reynolds, A.J., Temple, J.A., Robertson, D.L. and Mann, E.A., 2001. Long-term effects of an early childhood intervention on educational achievement and juvenile arrest: A 15-year follow-up of low-income children in public schools. </w:t>
      </w:r>
      <w:r w:rsidRPr="00DE6C07">
        <w:rPr>
          <w:rFonts w:ascii="Arial" w:eastAsia="Times New Roman" w:hAnsi="Arial" w:cs="Arial"/>
          <w:i/>
          <w:iCs/>
          <w:lang w:eastAsia="en-GB"/>
        </w:rPr>
        <w:t>Jama</w:t>
      </w:r>
      <w:r w:rsidRPr="00DE6C07">
        <w:rPr>
          <w:rFonts w:ascii="Arial" w:eastAsia="Times New Roman" w:hAnsi="Arial" w:cs="Arial"/>
          <w:lang w:eastAsia="en-GB"/>
        </w:rPr>
        <w:t>, </w:t>
      </w:r>
      <w:r w:rsidRPr="00DE6C07">
        <w:rPr>
          <w:rFonts w:ascii="Arial" w:eastAsia="Times New Roman" w:hAnsi="Arial" w:cs="Arial"/>
          <w:i/>
          <w:iCs/>
          <w:lang w:eastAsia="en-GB"/>
        </w:rPr>
        <w:t>285</w:t>
      </w:r>
      <w:r w:rsidRPr="00DE6C07">
        <w:rPr>
          <w:rFonts w:ascii="Arial" w:eastAsia="Times New Roman" w:hAnsi="Arial" w:cs="Arial"/>
          <w:lang w:eastAsia="en-GB"/>
        </w:rPr>
        <w:t>(18), pp.2339-2346.</w:t>
      </w:r>
    </w:p>
    <w:p w14:paraId="3F3AECEA"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Rigby, P. (2021) ‘Vulnerability and risk: Revisiting concepts in child protection’, Child Abuse Review, 30(1), pp. 15–28.</w:t>
      </w:r>
    </w:p>
    <w:p w14:paraId="529FB52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Rowe, M. (2014) ‘Resistance to diversity and change in the police force’, Policing and Society, 24(2), pp. 118–137.</w:t>
      </w:r>
    </w:p>
    <w:p w14:paraId="53F5ABCD"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Rutter, M.L., 1999. Psychosocial adversity and child psychopathology. </w:t>
      </w:r>
      <w:r w:rsidRPr="00DE6C07">
        <w:rPr>
          <w:rFonts w:ascii="Arial" w:eastAsia="Times New Roman" w:hAnsi="Arial" w:cs="Arial"/>
          <w:i/>
          <w:iCs/>
          <w:lang w:eastAsia="en-GB"/>
        </w:rPr>
        <w:t>The British Journal of Psychiatry</w:t>
      </w:r>
      <w:r w:rsidRPr="00DE6C07">
        <w:rPr>
          <w:rFonts w:ascii="Arial" w:eastAsia="Times New Roman" w:hAnsi="Arial" w:cs="Arial"/>
          <w:lang w:eastAsia="en-GB"/>
        </w:rPr>
        <w:t>, </w:t>
      </w:r>
      <w:r w:rsidRPr="00DE6C07">
        <w:rPr>
          <w:rFonts w:ascii="Arial" w:eastAsia="Times New Roman" w:hAnsi="Arial" w:cs="Arial"/>
          <w:i/>
          <w:iCs/>
          <w:lang w:eastAsia="en-GB"/>
        </w:rPr>
        <w:t>174</w:t>
      </w:r>
      <w:r w:rsidRPr="00DE6C07">
        <w:rPr>
          <w:rFonts w:ascii="Arial" w:eastAsia="Times New Roman" w:hAnsi="Arial" w:cs="Arial"/>
          <w:lang w:eastAsia="en-GB"/>
        </w:rPr>
        <w:t>(6), pp.480-493.</w:t>
      </w:r>
    </w:p>
    <w:p w14:paraId="12CCC35F"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Sanders, M.R., Cann, W. and Markie</w:t>
      </w:r>
      <w:r w:rsidRPr="00DE6C07">
        <w:rPr>
          <w:rFonts w:ascii="Cambria Math" w:eastAsia="Times New Roman" w:hAnsi="Cambria Math" w:cs="Cambria Math"/>
          <w:lang w:eastAsia="en-GB"/>
        </w:rPr>
        <w:t>‐</w:t>
      </w:r>
      <w:r w:rsidRPr="00DE6C07">
        <w:rPr>
          <w:rFonts w:ascii="Arial" w:eastAsia="Times New Roman" w:hAnsi="Arial" w:cs="Arial"/>
          <w:lang w:eastAsia="en-GB"/>
        </w:rPr>
        <w:t>Dadds, C., 2003. The Triple P</w:t>
      </w:r>
      <w:r w:rsidRPr="00DE6C07">
        <w:rPr>
          <w:rFonts w:ascii="Cambria Math" w:eastAsia="Times New Roman" w:hAnsi="Cambria Math" w:cs="Cambria Math"/>
          <w:lang w:eastAsia="en-GB"/>
        </w:rPr>
        <w:t>‐</w:t>
      </w:r>
      <w:r w:rsidRPr="00DE6C07">
        <w:rPr>
          <w:rFonts w:ascii="Arial" w:eastAsia="Times New Roman" w:hAnsi="Arial" w:cs="Arial"/>
          <w:lang w:eastAsia="en-GB"/>
        </w:rPr>
        <w:t>Positive Parenting Programme: a universal population</w:t>
      </w:r>
      <w:r w:rsidRPr="00DE6C07">
        <w:rPr>
          <w:rFonts w:ascii="Cambria Math" w:eastAsia="Times New Roman" w:hAnsi="Cambria Math" w:cs="Cambria Math"/>
          <w:lang w:eastAsia="en-GB"/>
        </w:rPr>
        <w:t>‐</w:t>
      </w:r>
      <w:r w:rsidRPr="00DE6C07">
        <w:rPr>
          <w:rFonts w:ascii="Arial" w:eastAsia="Times New Roman" w:hAnsi="Arial" w:cs="Arial"/>
          <w:lang w:eastAsia="en-GB"/>
        </w:rPr>
        <w:t>level approach to the prevention of child abuse. </w:t>
      </w:r>
      <w:r w:rsidRPr="00DE6C07">
        <w:rPr>
          <w:rFonts w:ascii="Arial" w:eastAsia="Times New Roman" w:hAnsi="Arial" w:cs="Arial"/>
          <w:i/>
          <w:iCs/>
          <w:lang w:eastAsia="en-GB"/>
        </w:rPr>
        <w:t>Child Abuse Review: Journal of the British Association for the Study and Prevention of Child Abuse and Neglect</w:t>
      </w:r>
      <w:r w:rsidRPr="00DE6C07">
        <w:rPr>
          <w:rFonts w:ascii="Arial" w:eastAsia="Times New Roman" w:hAnsi="Arial" w:cs="Arial"/>
          <w:lang w:eastAsia="en-GB"/>
        </w:rPr>
        <w:t>, </w:t>
      </w:r>
      <w:r w:rsidRPr="00DE6C07">
        <w:rPr>
          <w:rFonts w:ascii="Arial" w:eastAsia="Times New Roman" w:hAnsi="Arial" w:cs="Arial"/>
          <w:i/>
          <w:iCs/>
          <w:lang w:eastAsia="en-GB"/>
        </w:rPr>
        <w:t>12</w:t>
      </w:r>
      <w:r w:rsidRPr="00DE6C07">
        <w:rPr>
          <w:rFonts w:ascii="Arial" w:eastAsia="Times New Roman" w:hAnsi="Arial" w:cs="Arial"/>
          <w:lang w:eastAsia="en-GB"/>
        </w:rPr>
        <w:t>(3), pp.155-171.</w:t>
      </w:r>
    </w:p>
    <w:p w14:paraId="546FDC91"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Schweinhart, L.J., 2005. Lifetime effects: the High/Scope Perry Preschool study through age 40. </w:t>
      </w:r>
      <w:r w:rsidRPr="00DE6C07">
        <w:rPr>
          <w:rFonts w:ascii="Arial" w:eastAsia="Times New Roman" w:hAnsi="Arial" w:cs="Arial"/>
          <w:i/>
          <w:iCs/>
          <w:lang w:eastAsia="en-GB"/>
        </w:rPr>
        <w:t>(No Title)</w:t>
      </w:r>
      <w:r w:rsidRPr="00DE6C07">
        <w:rPr>
          <w:rFonts w:ascii="Arial" w:eastAsia="Times New Roman" w:hAnsi="Arial" w:cs="Arial"/>
          <w:lang w:eastAsia="en-GB"/>
        </w:rPr>
        <w:t>.</w:t>
      </w:r>
    </w:p>
    <w:p w14:paraId="626D845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Sexton, T. L. and Turner, C. W. (2010) ‘The effectiveness of functional family therapy for youth with conduct problems and delinquency: A meta-analysis’, Family Process, 49(1), pp. 1–19.</w:t>
      </w:r>
    </w:p>
    <w:p w14:paraId="1E7AB308"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Shakespeare, T., 2008. Disability rights and wrongs. </w:t>
      </w:r>
      <w:r w:rsidRPr="00DE6C07">
        <w:rPr>
          <w:rFonts w:ascii="Arial" w:eastAsia="Times New Roman" w:hAnsi="Arial" w:cs="Arial"/>
          <w:i/>
          <w:iCs/>
          <w:lang w:eastAsia="en-GB"/>
        </w:rPr>
        <w:t>Beyond Discip</w:t>
      </w:r>
      <w:r w:rsidRPr="00DE6C07">
        <w:rPr>
          <w:rFonts w:ascii="Arial" w:eastAsia="Times New Roman" w:hAnsi="Arial" w:cs="Arial"/>
          <w:lang w:eastAsia="en-GB"/>
        </w:rPr>
        <w:t>, </w:t>
      </w:r>
      <w:r w:rsidRPr="00DE6C07">
        <w:rPr>
          <w:rFonts w:ascii="Arial" w:eastAsia="Times New Roman" w:hAnsi="Arial" w:cs="Arial"/>
          <w:i/>
          <w:iCs/>
          <w:lang w:eastAsia="en-GB"/>
        </w:rPr>
        <w:t>4</w:t>
      </w:r>
      <w:r w:rsidRPr="00DE6C07">
        <w:rPr>
          <w:rFonts w:ascii="Arial" w:eastAsia="Times New Roman" w:hAnsi="Arial" w:cs="Arial"/>
          <w:lang w:eastAsia="en-GB"/>
        </w:rPr>
        <w:t>(2), p.45.</w:t>
      </w:r>
    </w:p>
    <w:p w14:paraId="643300F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Shepherd, A. and McCann, C. (2020) ‘Training gaps and decision-making errors: Examining the implementation of the NDM’, Police Practice and Research, 21(2), pp. 143–159. Available at: https://doi.org/10.1080/15614263.2020.1756357.</w:t>
      </w:r>
    </w:p>
    <w:p w14:paraId="13B7D886"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Sherman, L. W., Strang, H. and Norton, D. (2005) ‘The impact of restorative justice on juvenile offenders: A longitudinal study’, Journal of Crime and Justice, 28(3), pp. 149–173.</w:t>
      </w:r>
    </w:p>
    <w:p w14:paraId="0EFA3E49"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Shiner, M., Carre, Z., Delsol, R. and O’Neill, M. (2018) Stop and search: The experience of black and minority ethnic people in the UK. Equality and Human Rights Commission.</w:t>
      </w:r>
    </w:p>
    <w:p w14:paraId="3134337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lastRenderedPageBreak/>
        <w:t xml:space="preserve">Smith, R., Resnick, H., and Bond, E. (2020) ‘Ethical dilemmas in policing: Balancing competing priorities in high-pressure environments’, </w:t>
      </w:r>
      <w:r w:rsidRPr="00DE6C07">
        <w:rPr>
          <w:rFonts w:ascii="Arial" w:eastAsia="Times New Roman" w:hAnsi="Arial" w:cs="Arial"/>
          <w:i/>
          <w:iCs/>
          <w:lang w:eastAsia="en-GB"/>
        </w:rPr>
        <w:t>Policing and Society</w:t>
      </w:r>
      <w:r w:rsidRPr="00DE6C07">
        <w:rPr>
          <w:rFonts w:ascii="Arial" w:eastAsia="Times New Roman" w:hAnsi="Arial" w:cs="Arial"/>
          <w:lang w:eastAsia="en-GB"/>
        </w:rPr>
        <w:t xml:space="preserve">, 30(5), pp. 547–563. </w:t>
      </w:r>
      <w:hyperlink r:id="rId17" w:history="1">
        <w:r w:rsidRPr="00DE6C07">
          <w:rPr>
            <w:rStyle w:val="Hyperlink"/>
            <w:rFonts w:ascii="Arial" w:eastAsia="Times New Roman" w:hAnsi="Arial" w:cs="Arial"/>
            <w:lang w:eastAsia="en-GB"/>
          </w:rPr>
          <w:t>https://doi.org/10.1080/10439463.2020.1756329</w:t>
        </w:r>
      </w:hyperlink>
      <w:r w:rsidRPr="00DE6C07">
        <w:rPr>
          <w:rFonts w:ascii="Arial" w:eastAsia="Times New Roman" w:hAnsi="Arial" w:cs="Arial"/>
          <w:lang w:eastAsia="en-GB"/>
        </w:rPr>
        <w:t xml:space="preserve">. </w:t>
      </w:r>
    </w:p>
    <w:p w14:paraId="3AA61D04"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Taylor, E. (2020) ‘Lights, camera, redaction? Evaluating the use of body-worn cameras in law enforcement’, Policing and Society, 30(5), pp. 601–617. Available at: https://doi.org/10.1080/10439463.2019.1684567.</w:t>
      </w:r>
    </w:p>
    <w:p w14:paraId="11B3E751"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Thornberry, T. P., Freeman-Gallant, A. and Lovegrove, P. J. (2003) ‘The role of delinquent peers in adolescent gang involvement’, Criminology, 41(2), pp. 313–342.</w:t>
      </w:r>
    </w:p>
    <w:p w14:paraId="3DBDBF21"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Tuffin, R., Morris, J. and Poole, E. (2006) Ethnic minorities and policing: A review of research. Home Office Research, Development and Statistics Directorate.</w:t>
      </w:r>
    </w:p>
    <w:p w14:paraId="335A3160" w14:textId="77777777" w:rsidR="00DE6C07" w:rsidRPr="00DE6C07" w:rsidRDefault="00DE6C07" w:rsidP="00DE6C07">
      <w:pPr>
        <w:rPr>
          <w:rFonts w:ascii="Arial" w:eastAsia="Times New Roman" w:hAnsi="Arial" w:cs="Arial"/>
          <w:lang w:eastAsia="en-GB"/>
        </w:rPr>
      </w:pPr>
      <w:r w:rsidRPr="00DE6C07">
        <w:rPr>
          <w:rFonts w:ascii="Arial" w:eastAsia="Times New Roman" w:hAnsi="Arial" w:cs="Arial"/>
          <w:lang w:eastAsia="en-GB"/>
        </w:rPr>
        <w:t xml:space="preserve">Youth Justice Board (2018) </w:t>
      </w:r>
      <w:r w:rsidRPr="00DE6C07">
        <w:rPr>
          <w:rFonts w:ascii="Arial" w:eastAsia="Times New Roman" w:hAnsi="Arial" w:cs="Arial"/>
          <w:i/>
          <w:iCs/>
          <w:lang w:eastAsia="en-GB"/>
        </w:rPr>
        <w:t>Appropriate adults: Guidance for youth justice professionals</w:t>
      </w:r>
      <w:r w:rsidRPr="00DE6C07">
        <w:rPr>
          <w:rFonts w:ascii="Arial" w:eastAsia="Times New Roman" w:hAnsi="Arial" w:cs="Arial"/>
          <w:lang w:eastAsia="en-GB"/>
        </w:rPr>
        <w:t xml:space="preserve">. </w:t>
      </w:r>
      <w:hyperlink r:id="rId18" w:tgtFrame="_new" w:history="1">
        <w:r w:rsidRPr="00DE6C07">
          <w:rPr>
            <w:rStyle w:val="Hyperlink"/>
            <w:rFonts w:ascii="Arial" w:eastAsia="Times New Roman" w:hAnsi="Arial" w:cs="Arial"/>
            <w:lang w:eastAsia="en-GB"/>
          </w:rPr>
          <w:t>https://yjresourcehub.uk</w:t>
        </w:r>
      </w:hyperlink>
      <w:r w:rsidRPr="00DE6C07">
        <w:rPr>
          <w:rFonts w:ascii="Arial" w:eastAsia="Times New Roman" w:hAnsi="Arial" w:cs="Arial"/>
          <w:lang w:eastAsia="en-GB"/>
        </w:rPr>
        <w:t>.</w:t>
      </w:r>
    </w:p>
    <w:p w14:paraId="49BA95DE" w14:textId="77777777" w:rsidR="0028431D" w:rsidRPr="002E00FB" w:rsidRDefault="0028431D" w:rsidP="0028431D">
      <w:pPr>
        <w:rPr>
          <w:b/>
          <w:bCs/>
        </w:rPr>
      </w:pPr>
      <w:r>
        <w:rPr>
          <w:b/>
          <w:bCs/>
        </w:rPr>
        <w:t>(Total word count 4050)</w:t>
      </w: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19"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lastRenderedPageBreak/>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developed;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compare and contrast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r w:rsidR="005E67BB">
        <w:rPr>
          <w:rFonts w:ascii="Arial" w:eastAsia="Times New Roman" w:hAnsi="Arial" w:cs="Arial"/>
          <w:sz w:val="24"/>
          <w:szCs w:val="24"/>
          <w:lang w:eastAsia="en-GB"/>
        </w:rPr>
        <w:t>In order to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20"/>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5446CA4E" w:rsidR="00763CB3" w:rsidRPr="00876921" w:rsidRDefault="001C7277" w:rsidP="006739BE">
            <w:pPr>
              <w:spacing w:before="34" w:line="239" w:lineRule="auto"/>
              <w:ind w:left="108" w:right="-54"/>
              <w:rPr>
                <w:rFonts w:ascii="Arial" w:eastAsia="Arial" w:hAnsi="Arial" w:cs="Arial"/>
                <w:b/>
                <w:bCs/>
                <w:lang w:eastAsia="en-GB"/>
              </w:rPr>
            </w:pPr>
            <w:r>
              <w:rPr>
                <w:rFonts w:ascii="Arial" w:eastAsia="Arial" w:hAnsi="Arial" w:cs="Arial"/>
                <w:b/>
                <w:bCs/>
                <w:lang w:eastAsia="en-GB"/>
              </w:rPr>
              <w:t xml:space="preserve">    </w:t>
            </w:r>
            <w:r w:rsidR="00763CB3"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F7B19" w14:textId="77777777" w:rsidR="0081633A" w:rsidRDefault="0081633A">
      <w:pPr>
        <w:spacing w:after="0" w:line="240" w:lineRule="auto"/>
      </w:pPr>
      <w:r>
        <w:separator/>
      </w:r>
    </w:p>
  </w:endnote>
  <w:endnote w:type="continuationSeparator" w:id="0">
    <w:p w14:paraId="2D08B0E5" w14:textId="77777777" w:rsidR="0081633A" w:rsidRDefault="008163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EE2AE4" w14:textId="77777777" w:rsidR="0081633A" w:rsidRDefault="0081633A">
      <w:pPr>
        <w:spacing w:after="0" w:line="240" w:lineRule="auto"/>
      </w:pPr>
      <w:r>
        <w:separator/>
      </w:r>
    </w:p>
  </w:footnote>
  <w:footnote w:type="continuationSeparator" w:id="0">
    <w:p w14:paraId="080C2CCA" w14:textId="77777777" w:rsidR="0081633A" w:rsidRDefault="008163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03DC36A8"/>
    <w:multiLevelType w:val="hybridMultilevel"/>
    <w:tmpl w:val="A02E7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66CDD"/>
    <w:multiLevelType w:val="hybridMultilevel"/>
    <w:tmpl w:val="2DBCD286"/>
    <w:lvl w:ilvl="0" w:tplc="00CCEC8A">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4D841A0"/>
    <w:multiLevelType w:val="hybridMultilevel"/>
    <w:tmpl w:val="E646C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2"/>
  </w:num>
  <w:num w:numId="2" w16cid:durableId="1826436149">
    <w:abstractNumId w:val="14"/>
  </w:num>
  <w:num w:numId="3" w16cid:durableId="2061782475">
    <w:abstractNumId w:val="7"/>
  </w:num>
  <w:num w:numId="4" w16cid:durableId="1911693618">
    <w:abstractNumId w:val="9"/>
  </w:num>
  <w:num w:numId="5" w16cid:durableId="2108379368">
    <w:abstractNumId w:val="0"/>
  </w:num>
  <w:num w:numId="6" w16cid:durableId="1941058820">
    <w:abstractNumId w:val="5"/>
  </w:num>
  <w:num w:numId="7" w16cid:durableId="101652018">
    <w:abstractNumId w:val="3"/>
  </w:num>
  <w:num w:numId="8" w16cid:durableId="449279519">
    <w:abstractNumId w:val="8"/>
  </w:num>
  <w:num w:numId="9" w16cid:durableId="1267611853">
    <w:abstractNumId w:val="6"/>
  </w:num>
  <w:num w:numId="10" w16cid:durableId="1718120179">
    <w:abstractNumId w:val="10"/>
  </w:num>
  <w:num w:numId="11" w16cid:durableId="1001004009">
    <w:abstractNumId w:val="2"/>
  </w:num>
  <w:num w:numId="12" w16cid:durableId="39675455">
    <w:abstractNumId w:val="11"/>
  </w:num>
  <w:num w:numId="13" w16cid:durableId="299581822">
    <w:abstractNumId w:val="1"/>
  </w:num>
  <w:num w:numId="14" w16cid:durableId="180751330">
    <w:abstractNumId w:val="4"/>
  </w:num>
  <w:num w:numId="15" w16cid:durableId="122868898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210B9"/>
    <w:rsid w:val="000347BC"/>
    <w:rsid w:val="0003686B"/>
    <w:rsid w:val="00037454"/>
    <w:rsid w:val="00043F77"/>
    <w:rsid w:val="00044F18"/>
    <w:rsid w:val="000450EA"/>
    <w:rsid w:val="00052FB3"/>
    <w:rsid w:val="0005474D"/>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C3325"/>
    <w:rsid w:val="000D2A75"/>
    <w:rsid w:val="000D4C22"/>
    <w:rsid w:val="000D4EB1"/>
    <w:rsid w:val="000D683C"/>
    <w:rsid w:val="000E4329"/>
    <w:rsid w:val="000F2637"/>
    <w:rsid w:val="001050FC"/>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C7277"/>
    <w:rsid w:val="001D3A22"/>
    <w:rsid w:val="001D4030"/>
    <w:rsid w:val="001D4C4D"/>
    <w:rsid w:val="001E376F"/>
    <w:rsid w:val="001E5985"/>
    <w:rsid w:val="001E6BC2"/>
    <w:rsid w:val="001E7486"/>
    <w:rsid w:val="001F2D48"/>
    <w:rsid w:val="002025D1"/>
    <w:rsid w:val="00205403"/>
    <w:rsid w:val="00212FCF"/>
    <w:rsid w:val="00215E82"/>
    <w:rsid w:val="002161A0"/>
    <w:rsid w:val="00217DF6"/>
    <w:rsid w:val="002201B8"/>
    <w:rsid w:val="002257ED"/>
    <w:rsid w:val="00230427"/>
    <w:rsid w:val="00230DC1"/>
    <w:rsid w:val="00233AAC"/>
    <w:rsid w:val="0024320E"/>
    <w:rsid w:val="0025079F"/>
    <w:rsid w:val="00260D63"/>
    <w:rsid w:val="0026750E"/>
    <w:rsid w:val="00271D48"/>
    <w:rsid w:val="00277A15"/>
    <w:rsid w:val="00277EBF"/>
    <w:rsid w:val="0028431D"/>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618CF"/>
    <w:rsid w:val="0037241F"/>
    <w:rsid w:val="003840DF"/>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B95"/>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1633A"/>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57592"/>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2218E"/>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B558E"/>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A3D57"/>
    <w:rsid w:val="00BB18E4"/>
    <w:rsid w:val="00BB1EE9"/>
    <w:rsid w:val="00BB69CE"/>
    <w:rsid w:val="00BC461A"/>
    <w:rsid w:val="00BD2C83"/>
    <w:rsid w:val="00BD794E"/>
    <w:rsid w:val="00BE160C"/>
    <w:rsid w:val="00BE2F4B"/>
    <w:rsid w:val="00BE5412"/>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1216"/>
    <w:rsid w:val="00D83D8D"/>
    <w:rsid w:val="00D868DD"/>
    <w:rsid w:val="00D91490"/>
    <w:rsid w:val="00D94CD3"/>
    <w:rsid w:val="00DA6172"/>
    <w:rsid w:val="00DB5D41"/>
    <w:rsid w:val="00DB65E1"/>
    <w:rsid w:val="00DC40E5"/>
    <w:rsid w:val="00DC4DDA"/>
    <w:rsid w:val="00DD267D"/>
    <w:rsid w:val="00DD7289"/>
    <w:rsid w:val="00DE1C1B"/>
    <w:rsid w:val="00DE2D5D"/>
    <w:rsid w:val="00DE6C07"/>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0C1C"/>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348C"/>
    <w:rsid w:val="00F57A6F"/>
    <w:rsid w:val="00F64405"/>
    <w:rsid w:val="00F841F0"/>
    <w:rsid w:val="00F84916"/>
    <w:rsid w:val="00F86F94"/>
    <w:rsid w:val="00F9135E"/>
    <w:rsid w:val="00F941A0"/>
    <w:rsid w:val="00FB0891"/>
    <w:rsid w:val="00FB32CF"/>
    <w:rsid w:val="00FB49CE"/>
    <w:rsid w:val="00FB6C83"/>
    <w:rsid w:val="00FC1580"/>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E5663907-F821-45D6-968F-0B4FF73A1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124481">
      <w:bodyDiv w:val="1"/>
      <w:marLeft w:val="0"/>
      <w:marRight w:val="0"/>
      <w:marTop w:val="0"/>
      <w:marBottom w:val="0"/>
      <w:divBdr>
        <w:top w:val="none" w:sz="0" w:space="0" w:color="auto"/>
        <w:left w:val="none" w:sz="0" w:space="0" w:color="auto"/>
        <w:bottom w:val="none" w:sz="0" w:space="0" w:color="auto"/>
        <w:right w:val="none" w:sz="0" w:space="0" w:color="auto"/>
      </w:divBdr>
    </w:div>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453183051">
      <w:bodyDiv w:val="1"/>
      <w:marLeft w:val="0"/>
      <w:marRight w:val="0"/>
      <w:marTop w:val="0"/>
      <w:marBottom w:val="0"/>
      <w:divBdr>
        <w:top w:val="none" w:sz="0" w:space="0" w:color="auto"/>
        <w:left w:val="none" w:sz="0" w:space="0" w:color="auto"/>
        <w:bottom w:val="none" w:sz="0" w:space="0" w:color="auto"/>
        <w:right w:val="none" w:sz="0" w:space="0" w:color="auto"/>
      </w:divBdr>
    </w:div>
    <w:div w:id="1072392511">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 w:id="1242567751">
      <w:bodyDiv w:val="1"/>
      <w:marLeft w:val="0"/>
      <w:marRight w:val="0"/>
      <w:marTop w:val="0"/>
      <w:marBottom w:val="0"/>
      <w:divBdr>
        <w:top w:val="none" w:sz="0" w:space="0" w:color="auto"/>
        <w:left w:val="none" w:sz="0" w:space="0" w:color="auto"/>
        <w:bottom w:val="none" w:sz="0" w:space="0" w:color="auto"/>
        <w:right w:val="none" w:sz="0" w:space="0" w:color="auto"/>
      </w:divBdr>
    </w:div>
    <w:div w:id="1500540592">
      <w:bodyDiv w:val="1"/>
      <w:marLeft w:val="0"/>
      <w:marRight w:val="0"/>
      <w:marTop w:val="0"/>
      <w:marBottom w:val="0"/>
      <w:divBdr>
        <w:top w:val="none" w:sz="0" w:space="0" w:color="auto"/>
        <w:left w:val="none" w:sz="0" w:space="0" w:color="auto"/>
        <w:bottom w:val="none" w:sz="0" w:space="0" w:color="auto"/>
        <w:right w:val="none" w:sz="0" w:space="0" w:color="auto"/>
      </w:divBdr>
    </w:div>
    <w:div w:id="1602642905">
      <w:bodyDiv w:val="1"/>
      <w:marLeft w:val="0"/>
      <w:marRight w:val="0"/>
      <w:marTop w:val="0"/>
      <w:marBottom w:val="0"/>
      <w:divBdr>
        <w:top w:val="none" w:sz="0" w:space="0" w:color="auto"/>
        <w:left w:val="none" w:sz="0" w:space="0" w:color="auto"/>
        <w:bottom w:val="none" w:sz="0" w:space="0" w:color="auto"/>
        <w:right w:val="none" w:sz="0" w:space="0" w:color="auto"/>
      </w:divBdr>
    </w:div>
    <w:div w:id="1657496038">
      <w:bodyDiv w:val="1"/>
      <w:marLeft w:val="0"/>
      <w:marRight w:val="0"/>
      <w:marTop w:val="0"/>
      <w:marBottom w:val="0"/>
      <w:divBdr>
        <w:top w:val="none" w:sz="0" w:space="0" w:color="auto"/>
        <w:left w:val="none" w:sz="0" w:space="0" w:color="auto"/>
        <w:bottom w:val="none" w:sz="0" w:space="0" w:color="auto"/>
        <w:right w:val="none" w:sz="0" w:space="0" w:color="auto"/>
      </w:divBdr>
    </w:div>
    <w:div w:id="1931429671">
      <w:bodyDiv w:val="1"/>
      <w:marLeft w:val="0"/>
      <w:marRight w:val="0"/>
      <w:marTop w:val="0"/>
      <w:marBottom w:val="0"/>
      <w:divBdr>
        <w:top w:val="none" w:sz="0" w:space="0" w:color="auto"/>
        <w:left w:val="none" w:sz="0" w:space="0" w:color="auto"/>
        <w:bottom w:val="none" w:sz="0" w:space="0" w:color="auto"/>
        <w:right w:val="none" w:sz="0" w:space="0" w:color="auto"/>
      </w:divBdr>
    </w:div>
    <w:div w:id="2036229992">
      <w:bodyDiv w:val="1"/>
      <w:marLeft w:val="0"/>
      <w:marRight w:val="0"/>
      <w:marTop w:val="0"/>
      <w:marBottom w:val="0"/>
      <w:divBdr>
        <w:top w:val="none" w:sz="0" w:space="0" w:color="auto"/>
        <w:left w:val="none" w:sz="0" w:space="0" w:color="auto"/>
        <w:bottom w:val="none" w:sz="0" w:space="0" w:color="auto"/>
        <w:right w:val="none" w:sz="0" w:space="0" w:color="auto"/>
      </w:divBdr>
    </w:div>
    <w:div w:id="209813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guidance/national-decision-model" TargetMode="External"/><Relationship Id="rId18" Type="http://schemas.openxmlformats.org/officeDocument/2006/relationships/hyperlink" Target="https://yjresourcehub.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1080/10439463.2020.1756329" TargetMode="External"/><Relationship Id="rId2" Type="http://schemas.openxmlformats.org/officeDocument/2006/relationships/customXml" Target="../customXml/item2.xml"/><Relationship Id="rId16" Type="http://schemas.openxmlformats.org/officeDocument/2006/relationships/hyperlink" Target="https://www.legislation.gov.uk/ukpga/1984/60/conten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uidance/pace-code-a-2022-update" TargetMode="External"/><Relationship Id="rId10" Type="http://schemas.openxmlformats.org/officeDocument/2006/relationships/endnotes" Target="endnotes.xml"/><Relationship Id="rId19" Type="http://schemas.openxmlformats.org/officeDocument/2006/relationships/hyperlink" Target="https://whelf-uwtsd.alma.exlibrisgroup.com/leganto/public/44WHELF_UWTSD/lists/7628572900002421?auth=SA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police-integrity-and-corruption-repo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9901</Words>
  <Characters>56439</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Simcock-Jones,Oakleigh swp8756</cp:lastModifiedBy>
  <cp:revision>8</cp:revision>
  <cp:lastPrinted>2020-03-18T12:27:00Z</cp:lastPrinted>
  <dcterms:created xsi:type="dcterms:W3CDTF">2024-09-19T12:55:00Z</dcterms:created>
  <dcterms:modified xsi:type="dcterms:W3CDTF">2025-01-27T17:35:00Z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2024-09-19T12:55:02Z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5401b112-3ce5-4958-8afb-8e6ade259c86</vt:lpwstr>
  </property>
  <property fmtid="{D5CDD505-2E9C-101B-9397-08002B2CF9AE}" pid="9" name="MSIP_Label_66cf8fe5-b7b7-4df7-b38d-1c61ac2f6639_ContentBits">
    <vt:lpwstr>0</vt:lpwstr>
  </property>
</Properties>
</file>