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9F7D68" w14:textId="77777777" w:rsidR="008C175A" w:rsidRPr="008C175A" w:rsidRDefault="008C175A" w:rsidP="008C175A">
      <w:pPr>
        <w:rPr>
          <w:b/>
          <w:lang w:val="en-GB"/>
        </w:rPr>
      </w:pPr>
    </w:p>
    <w:p w14:paraId="419ADED7" w14:textId="77777777" w:rsidR="008C175A" w:rsidRPr="008C175A" w:rsidRDefault="008C175A" w:rsidP="008C175A">
      <w:pPr>
        <w:rPr>
          <w:b/>
          <w:lang w:val="en-GB"/>
        </w:rPr>
      </w:pPr>
    </w:p>
    <w:p w14:paraId="6D63B2B2" w14:textId="77777777" w:rsidR="008C175A" w:rsidRPr="008C175A" w:rsidRDefault="008C175A" w:rsidP="00214C45">
      <w:pPr>
        <w:jc w:val="center"/>
        <w:rPr>
          <w:b/>
          <w:lang w:val="en-GB"/>
        </w:rPr>
      </w:pPr>
      <w:r w:rsidRPr="008C175A">
        <w:rPr>
          <w:b/>
          <w:lang w:val="en-GB"/>
        </w:rPr>
        <w:t>Module: Sustainable Hospitality &amp; Tourism Management</w:t>
      </w:r>
    </w:p>
    <w:p w14:paraId="24CB59A4" w14:textId="77777777" w:rsidR="008C175A" w:rsidRPr="008C175A" w:rsidRDefault="008C175A" w:rsidP="00214C45">
      <w:pPr>
        <w:jc w:val="center"/>
        <w:rPr>
          <w:b/>
          <w:lang w:val="en-GB"/>
        </w:rPr>
      </w:pPr>
      <w:r w:rsidRPr="008C175A">
        <w:rPr>
          <w:b/>
          <w:lang w:val="en-GB"/>
        </w:rPr>
        <w:t>Module Code: BMIH5006</w:t>
      </w:r>
    </w:p>
    <w:p w14:paraId="283AAF89" w14:textId="77777777" w:rsidR="008C175A" w:rsidRPr="008C175A" w:rsidRDefault="008C175A" w:rsidP="00214C45">
      <w:pPr>
        <w:jc w:val="center"/>
        <w:rPr>
          <w:b/>
          <w:lang w:val="en-GB"/>
        </w:rPr>
      </w:pPr>
    </w:p>
    <w:p w14:paraId="6E6CF521" w14:textId="77777777" w:rsidR="008C175A" w:rsidRPr="008C175A" w:rsidRDefault="008C175A" w:rsidP="00214C45">
      <w:pPr>
        <w:jc w:val="center"/>
        <w:rPr>
          <w:b/>
          <w:lang w:val="en-GB"/>
        </w:rPr>
      </w:pPr>
    </w:p>
    <w:p w14:paraId="6504F570" w14:textId="77777777" w:rsidR="008C175A" w:rsidRPr="008C175A" w:rsidRDefault="008C175A" w:rsidP="00214C45">
      <w:pPr>
        <w:jc w:val="center"/>
        <w:rPr>
          <w:b/>
          <w:lang w:val="en-GB"/>
        </w:rPr>
      </w:pPr>
    </w:p>
    <w:p w14:paraId="0A48ACAC" w14:textId="77777777" w:rsidR="008C175A" w:rsidRPr="008C175A" w:rsidRDefault="008C175A" w:rsidP="00214C45">
      <w:pPr>
        <w:jc w:val="center"/>
        <w:rPr>
          <w:b/>
          <w:lang w:val="en-GB"/>
        </w:rPr>
      </w:pPr>
    </w:p>
    <w:p w14:paraId="2114F3F0" w14:textId="77777777" w:rsidR="008C175A" w:rsidRPr="008C175A" w:rsidRDefault="008C175A" w:rsidP="00214C45">
      <w:pPr>
        <w:jc w:val="center"/>
        <w:rPr>
          <w:b/>
          <w:lang w:val="en-GB"/>
        </w:rPr>
      </w:pPr>
    </w:p>
    <w:p w14:paraId="3BDF1388" w14:textId="5E694575" w:rsidR="008C175A" w:rsidRPr="008C175A" w:rsidRDefault="008C175A" w:rsidP="00214C45">
      <w:pPr>
        <w:jc w:val="center"/>
        <w:rPr>
          <w:b/>
          <w:lang w:val="en-GB"/>
        </w:rPr>
      </w:pPr>
      <w:r w:rsidRPr="008C175A">
        <w:rPr>
          <w:b/>
          <w:lang w:val="en-GB"/>
        </w:rPr>
        <w:t>Lecturer: Lisa-Marie Bassler</w:t>
      </w:r>
    </w:p>
    <w:p w14:paraId="77FD1DF9" w14:textId="794B571C" w:rsidR="008C175A" w:rsidRPr="008C175A" w:rsidRDefault="008C175A" w:rsidP="00214C45">
      <w:pPr>
        <w:jc w:val="center"/>
        <w:rPr>
          <w:b/>
          <w:lang w:val="en-GB"/>
        </w:rPr>
      </w:pPr>
      <w:r w:rsidRPr="008C175A">
        <w:rPr>
          <w:b/>
          <w:lang w:val="en-GB"/>
        </w:rPr>
        <w:t xml:space="preserve">Student Name: </w:t>
      </w:r>
      <w:r w:rsidRPr="008C175A">
        <w:rPr>
          <w:b/>
        </w:rPr>
        <w:t>Faruque Ahmed</w:t>
      </w:r>
    </w:p>
    <w:p w14:paraId="4473C3EE" w14:textId="35943A06" w:rsidR="008C175A" w:rsidRPr="008C175A" w:rsidRDefault="008C175A" w:rsidP="00214C45">
      <w:pPr>
        <w:jc w:val="center"/>
        <w:rPr>
          <w:b/>
          <w:lang w:val="en-GB"/>
        </w:rPr>
      </w:pPr>
      <w:r w:rsidRPr="008C175A">
        <w:rPr>
          <w:b/>
          <w:lang w:val="en-GB"/>
        </w:rPr>
        <w:t xml:space="preserve">Student Number: </w:t>
      </w:r>
      <w:r>
        <w:rPr>
          <w:b/>
          <w:lang w:val="en-GB"/>
        </w:rPr>
        <w:t>2235171</w:t>
      </w:r>
    </w:p>
    <w:p w14:paraId="28305FA6" w14:textId="77777777" w:rsidR="008C175A" w:rsidRPr="008C175A" w:rsidRDefault="008C175A" w:rsidP="008C175A">
      <w:pPr>
        <w:rPr>
          <w:b/>
        </w:rPr>
      </w:pPr>
    </w:p>
    <w:p w14:paraId="62D22324" w14:textId="77777777" w:rsidR="008C175A" w:rsidRPr="008C175A" w:rsidRDefault="008C175A" w:rsidP="008C175A">
      <w:pPr>
        <w:rPr>
          <w:b/>
        </w:rPr>
      </w:pPr>
    </w:p>
    <w:p w14:paraId="329B12FE" w14:textId="77777777" w:rsidR="008C175A" w:rsidRPr="008C175A" w:rsidRDefault="008C175A" w:rsidP="008C175A">
      <w:pPr>
        <w:rPr>
          <w:b/>
        </w:rPr>
      </w:pPr>
    </w:p>
    <w:p w14:paraId="023457DE" w14:textId="77777777" w:rsidR="008C175A" w:rsidRDefault="008C175A" w:rsidP="008C175A">
      <w:pPr>
        <w:rPr>
          <w:b/>
          <w:bCs/>
        </w:rPr>
      </w:pPr>
    </w:p>
    <w:p w14:paraId="07AFB3FC" w14:textId="77777777" w:rsidR="00100B50" w:rsidRPr="008C175A" w:rsidRDefault="00100B50" w:rsidP="008C175A">
      <w:pPr>
        <w:rPr>
          <w:b/>
          <w:bCs/>
        </w:rPr>
      </w:pPr>
    </w:p>
    <w:p w14:paraId="2D1B9EF7" w14:textId="77777777" w:rsidR="008C175A" w:rsidRPr="008C175A" w:rsidRDefault="008C175A" w:rsidP="008C175A">
      <w:pPr>
        <w:rPr>
          <w:b/>
          <w:bCs/>
        </w:rPr>
      </w:pPr>
    </w:p>
    <w:p w14:paraId="17AE2FDE" w14:textId="77777777" w:rsidR="008C175A" w:rsidRPr="008C175A" w:rsidRDefault="008C175A" w:rsidP="008C175A">
      <w:pPr>
        <w:rPr>
          <w:b/>
          <w:bCs/>
        </w:rPr>
      </w:pPr>
      <w:r w:rsidRPr="008C175A">
        <w:rPr>
          <w:b/>
          <w:bCs/>
        </w:rPr>
        <w:t>Acknowledgement</w:t>
      </w:r>
    </w:p>
    <w:p w14:paraId="106F22BB" w14:textId="77777777" w:rsidR="008C175A" w:rsidRPr="008C175A" w:rsidRDefault="008C175A" w:rsidP="008C175A">
      <w:pPr>
        <w:rPr>
          <w:b/>
          <w:i/>
        </w:rPr>
      </w:pPr>
      <w:r w:rsidRPr="008C175A">
        <w:rPr>
          <w: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r w:rsidRPr="008C175A">
        <w:rPr>
          <w:b/>
        </w:rPr>
        <w:br w:type="page"/>
      </w:r>
    </w:p>
    <w:p w14:paraId="12941390" w14:textId="77777777" w:rsidR="008C175A" w:rsidRPr="008C175A" w:rsidRDefault="008C175A" w:rsidP="008C175A">
      <w:pPr>
        <w:rPr>
          <w:b/>
        </w:rPr>
      </w:pPr>
      <w:r w:rsidRPr="008C175A">
        <w:rPr>
          <w:b/>
        </w:rPr>
        <w:lastRenderedPageBreak/>
        <w:t xml:space="preserve">Today, CSR is an essential concept in contemporary business management, especially in organizations of the service sector, those that can be seen as socially sensitive, like hospitality organizations. CSR can be understood as the obligations of organizations to act, not only for the benefit of shareholders’ financial returns but also for the benefit of the surrounding society and environment. Over the past few years, there has been increasing concern on the part of the state as well as the customers demanding an environmentally friendly approach from the hospitality industry (Tambur </w:t>
      </w:r>
      <w:r w:rsidRPr="008C175A">
        <w:rPr>
          <w:b/>
          <w:i/>
        </w:rPr>
        <w:t>et al</w:t>
      </w:r>
      <w:r w:rsidRPr="008C175A">
        <w:rPr>
          <w:b/>
        </w:rPr>
        <w:t>., 2013). Alvin Toga, majoring in the specificity of CSR in Hospitality sector with the strong substantiation of the primary case study: Premier Inn Melton Mowbray. This essay will also discuss how this branch supports CSR programs, reviews the advantages and disadvantages of CSR policies, and the overall performance for the local community and environment (Babak, 2017).</w:t>
      </w:r>
    </w:p>
    <w:p w14:paraId="55BF348F" w14:textId="77777777" w:rsidR="008C175A" w:rsidRPr="008C175A" w:rsidRDefault="008C175A" w:rsidP="008C175A">
      <w:pPr>
        <w:rPr>
          <w:b/>
        </w:rPr>
      </w:pPr>
      <w:r w:rsidRPr="008C175A">
        <w:rPr>
          <w:b/>
        </w:rPr>
        <w:t>It is prominent that many organizations have attempted to initiate CSR policies to reduce their negative impact on the environment; on the example of a UK-based hotel chain, Premier Inn. The Melton Mowbray branch also has a similar CSR plan in line with the company’s CSR plans that exist under the parent company of Whitbread PLC that owns Premier Inn. Mentioned above CSR initiatives are towards the overall goal of Whitbread aiming to become a net-zero emission company by 2040 (Sanjeevan, 2022). At the Melton Mowbray Premier Inn, there are key programs that include minimizing the hotel’s environmental impact, conserving water and minimizing waste and all commodities and services are goods purchased sustainably.</w:t>
      </w:r>
    </w:p>
    <w:p w14:paraId="23502319" w14:textId="77777777" w:rsidR="008C175A" w:rsidRPr="008C175A" w:rsidRDefault="008C175A" w:rsidP="008C175A">
      <w:pPr>
        <w:rPr>
          <w:b/>
        </w:rPr>
      </w:pPr>
      <w:r w:rsidRPr="008C175A">
        <w:rPr>
          <w:b/>
        </w:rPr>
        <w:t>There are a variety of measures being taken to decrease the amount of energy they use and that includes the utilization of energy efficient lighting and systems, there are advanced heating cooling systems, and smart meters that measure the energy use. Also, they plan to lessen water use through such measures as using low flow amenities inclusive of faucets and shower heads, and linen resource reuse policy where guests are encouraged to use the same towels and bed linen, for the entire time of their stay (Suh and Selwyn, 2022). Environmental responsibly also includes waste disposal with liberal recycling and composting amenities to reduce landfill inputs. These measures are relevant to local authority goals as well as global environmental frameworks like UK’s Climate Change Act 2008 that requires a serious cut in emission of greenhouse gases.</w:t>
      </w:r>
    </w:p>
    <w:p w14:paraId="545F450E" w14:textId="77777777" w:rsidR="008C175A" w:rsidRPr="008C175A" w:rsidRDefault="008C175A" w:rsidP="008C175A">
      <w:pPr>
        <w:rPr>
          <w:b/>
          <w:bCs/>
        </w:rPr>
      </w:pPr>
    </w:p>
    <w:p w14:paraId="65E91528" w14:textId="77777777" w:rsidR="008C175A" w:rsidRPr="008C175A" w:rsidRDefault="008C175A" w:rsidP="008C175A">
      <w:pPr>
        <w:rPr>
          <w:b/>
        </w:rPr>
      </w:pPr>
      <w:r w:rsidRPr="008C175A">
        <w:rPr>
          <w:b/>
        </w:rPr>
        <w:t>The following are environmentally sustainable activities found in Premier Inn Melton Mowbray: The environmental sustainability in the design of the facility includes the consideration of its surrounding environment to conserve natural resources. Guests are provided with a comfortable stay. With the application of efficient energy devices like efficient lighting devices, then the hotel can save energy and hence the carbon footprint reduction. It also assists in reducing operational costs in the long run and assists in supporting the sustained future of the nation. Continued use of insulations for energy efficiency, and effective heating and air conditioning also help to underpin the hotel’s commitment towards environmentally sustainable architecture (Davidsson and Honig, 2023).</w:t>
      </w:r>
    </w:p>
    <w:p w14:paraId="39DD8F06" w14:textId="77777777" w:rsidR="008C175A" w:rsidRPr="008C175A" w:rsidRDefault="008C175A" w:rsidP="008C175A">
      <w:pPr>
        <w:rPr>
          <w:b/>
        </w:rPr>
      </w:pPr>
      <w:r w:rsidRPr="008C175A">
        <w:rPr>
          <w:b/>
        </w:rPr>
        <w:t>About water efficiency, the following were put in place; relative to their functional utility, cheap faucets and shower heads that enable the reduction of water use by the hotel’s clients without any compromise on their comfort. This initiative extends its support to the Water Industry Act of 1991 of the United Kingdom and at the same time encourages the efficient usage of water in areas of water stressed areas (</w:t>
      </w:r>
      <w:proofErr w:type="spellStart"/>
      <w:r w:rsidRPr="008C175A">
        <w:rPr>
          <w:b/>
        </w:rPr>
        <w:t>Slorach</w:t>
      </w:r>
      <w:proofErr w:type="spellEnd"/>
      <w:r w:rsidRPr="008C175A">
        <w:rPr>
          <w:b/>
        </w:rPr>
        <w:t xml:space="preserve"> </w:t>
      </w:r>
      <w:r w:rsidRPr="008C175A">
        <w:rPr>
          <w:b/>
          <w:i/>
        </w:rPr>
        <w:t>et al</w:t>
      </w:r>
      <w:r w:rsidRPr="008C175A">
        <w:rPr>
          <w:b/>
        </w:rPr>
        <w:t xml:space="preserve">., 2019). Similarly, the hotel has invested in new recycling/composting technologies to Recycling and composting waste This is to help the UK government achieve the goal of no more than 10% of waste to be taken to a landfill site by the year 2020. From the above findings, it can be deduced that Premier Inn Melton Mowbray has taken measurable steps towards being sustainable thus fulfilling the managerial place to the convention of sustainable environmental practices. In addition to environmentally sustainable development, Premier Inn Melton Mowbray has paid equal importance to social sustainability. The hotel is socially involved; therefore, it gets involved in charity and provides employment services to the residents (Frenk </w:t>
      </w:r>
      <w:r w:rsidRPr="008C175A">
        <w:rPr>
          <w:b/>
          <w:i/>
        </w:rPr>
        <w:t>et al</w:t>
      </w:r>
      <w:r w:rsidRPr="008C175A">
        <w:rPr>
          <w:b/>
        </w:rPr>
        <w:t>., 2020). This ties with Whitbread’s “Force for Good” CSR program where the company has a commitment to the local community.</w:t>
      </w:r>
    </w:p>
    <w:p w14:paraId="03C4BDD0" w14:textId="77777777" w:rsidR="008C175A" w:rsidRPr="008C175A" w:rsidRDefault="008C175A" w:rsidP="008C175A">
      <w:pPr>
        <w:rPr>
          <w:b/>
        </w:rPr>
      </w:pPr>
      <w:r w:rsidRPr="008C175A">
        <w:rPr>
          <w:b/>
        </w:rPr>
        <w:t xml:space="preserve">Among the social responsibilities at Premier Inn Melton Mowbray is the general well-being of its employees. The hotel pays workers reasonable wages and offers their chances to growth, also, it values diversity (Ostrom </w:t>
      </w:r>
      <w:r w:rsidRPr="008C175A">
        <w:rPr>
          <w:b/>
          <w:i/>
        </w:rPr>
        <w:t>et al</w:t>
      </w:r>
      <w:r w:rsidRPr="008C175A">
        <w:rPr>
          <w:b/>
        </w:rPr>
        <w:t xml:space="preserve">., 2015). This is in support of social responsibility towards employee welfare since the United Kingdom’s Equality Act of 2010 bans </w:t>
      </w:r>
      <w:r w:rsidRPr="008C175A">
        <w:rPr>
          <w:b/>
        </w:rPr>
        <w:lastRenderedPageBreak/>
        <w:t>discrimination and supports equality at the workplace. Moreover, there are policies applied by Papers relay that all suppliers of Premier Inn follow high ethical standards in employees’ treatment and emissions resulting from production.</w:t>
      </w:r>
    </w:p>
    <w:p w14:paraId="2DB285DE" w14:textId="77777777" w:rsidR="008C175A" w:rsidRPr="008C175A" w:rsidRDefault="008C175A" w:rsidP="008C175A">
      <w:pPr>
        <w:rPr>
          <w:b/>
        </w:rPr>
      </w:pPr>
      <w:r w:rsidRPr="008C175A">
        <w:rPr>
          <w:b/>
        </w:rPr>
        <w:t xml:space="preserve">By participating in such a social responsibility, the hotel is also amplifying its esteem as a good corporate entity bearing positive economic multiplier effects in the same locale. In addition to satisfying specific social responsibilities, Premier Inn Melton Mowbray can guarantee long-term success through developing close cooperation with the community, starting with local hiring and extending to contributions to community well-being (Levitt and March, 2019). Despite the numerous advantages of CSR, there are still some challenges for the company like Premier Inn Melton Mowbray to overcome to demonstrate the efficiency of such policies. Another of the major challenges is the fact that purchasing sustainable technologies, and/or implementing sustainable practices, is costly (Umar et al., 2021). For instance, energy efficient equipment’s Put in drainage systems and solid waste disposal systems call for large, fixed costs. While these measures appear to have long-term cost-saving effects, the short-term costs are often too expensive for small branches such as Melton Mowbray. Further, there can be main issues when fulfilling the policy and implementing CSR-related engagements while striving to achieve the hotel’s profitability. The margins in the hospitality industry are quite small, and any change to the operational expenses is largely liable to have an impact on customer costs, whether through enhanced CSR activities or responding to new regulations (Xie, Huo and Zou, 2019). Moreover, consumers’ growing awareness and expectation of sustainable services make the hotel’s CSR policies flexible to manage and highly constrained in operation. It should also be noted that the hotel experiences legal-veto pressures, because the goals and directions of CSR policies are defined by changes in legislation. The implementation of environmental and social regulations may call for massive alteration of procedures in operations and training of employees, hence may cause interferences to daily business operations (Armbrust </w:t>
      </w:r>
      <w:r w:rsidRPr="008C175A">
        <w:rPr>
          <w:b/>
          <w:i/>
        </w:rPr>
        <w:t>et al</w:t>
      </w:r>
      <w:r w:rsidRPr="008C175A">
        <w:rPr>
          <w:b/>
        </w:rPr>
        <w:t>., 2020). Nevertheless, by addressing these issues, expanded awareness of sustainability by Premier Inn Melton Mowbray means that it may better serve a responsible corporate image.</w:t>
      </w:r>
    </w:p>
    <w:p w14:paraId="34C65D0E" w14:textId="77777777" w:rsidR="008C175A" w:rsidRPr="008C175A" w:rsidRDefault="008C175A" w:rsidP="008C175A">
      <w:pPr>
        <w:rPr>
          <w:b/>
        </w:rPr>
      </w:pPr>
      <w:r w:rsidRPr="008C175A">
        <w:rPr>
          <w:b/>
        </w:rPr>
        <w:t xml:space="preserve">However, there are opportunities that CSR brings to Premier Inn Melton Mowbray to improve the sustainability of the business. The first of them is the increase in the awareness </w:t>
      </w:r>
      <w:r w:rsidRPr="008C175A">
        <w:rPr>
          <w:b/>
        </w:rPr>
        <w:lastRenderedPageBreak/>
        <w:t xml:space="preserve">of customers who are willing to pay for environmentally friendly and socially oriented enterprises (Nonaka, 2023). Since more people go for accommodation that they feel has a good corporate social responsibility policy when booking their hotel or inn then this is very important for the ‘Premier Inn Melton Mowbray’ because they will have been able to tap a very important business niche (Carlos Montes Serrano, 2018). This trend is even more expressive in the UK, as customers are becoming more conscious about the ecological influence they have. The last is a horizon for cost optimization with reference to sustainably oriented activities and initiatives. Many efficient systems as well as water-saving initiatives are associated with prospective yearly savings in organizational overheads (Lolli, Lien and </w:t>
      </w:r>
      <w:proofErr w:type="spellStart"/>
      <w:r w:rsidRPr="008C175A">
        <w:rPr>
          <w:b/>
        </w:rPr>
        <w:t>Rønneseth</w:t>
      </w:r>
      <w:proofErr w:type="spellEnd"/>
      <w:r w:rsidRPr="008C175A">
        <w:rPr>
          <w:b/>
        </w:rPr>
        <w:t>, 2020). Furthermore, Premier Inn Melton Mowbray needs to involve the local community showing the customers that it cares about the community throughout the country and thus create a loyal customer base.</w:t>
      </w:r>
    </w:p>
    <w:p w14:paraId="38ECBFE6" w14:textId="77777777" w:rsidR="008C175A" w:rsidRPr="008C175A" w:rsidRDefault="008C175A" w:rsidP="008C175A">
      <w:pPr>
        <w:rPr>
          <w:b/>
        </w:rPr>
      </w:pPr>
      <w:r w:rsidRPr="008C175A">
        <w:rPr>
          <w:b/>
        </w:rPr>
        <w:t>If a hotel like Premier Inn Melton Mowbray establishes broad CSR programs that are beyond the typical for most hotels, this company will be competitive in the market considerably. This is an advantage that is growing in significance given the cutthroat nature that the hospitality industry is being subject to, and the growing sophisticated customer base that clients are presenting to the business world. Today’s consumers clearly care not only about the quality of services but also about the ethic and sustainable business the companies have. As environment awareness increases, and social issues become crucial, Premier Inn’s commitment to CSR gives it a competitive advantage of attracting customers with concern for sustainability and firms’ ethical behavior.</w:t>
      </w:r>
    </w:p>
    <w:p w14:paraId="6D8A9DEA" w14:textId="77777777" w:rsidR="008C175A" w:rsidRPr="008C175A" w:rsidRDefault="008C175A" w:rsidP="008C175A">
      <w:pPr>
        <w:rPr>
          <w:b/>
        </w:rPr>
      </w:pPr>
      <w:r w:rsidRPr="008C175A">
        <w:rPr>
          <w:b/>
        </w:rPr>
        <w:t xml:space="preserve">Another of the leading viewpoints of Premier Inn’s ecological CSR approach is waste disposal. All guests are encouraged to recycle since the hotel has embraced an extensive recycling policy to cut down on landfill waste. Preventing, reusing, and minimizing waste sent to landfill while providing a good service to our consumers contributes to Premier Inn Melton Mowbray ’s environmental management success. Even accountability for sourcing sustainable products also stands as one of the vital strategies that Premier Inn Melton Mowbray to achieve CSR. The selected local suppliers prevailed with ethical and environmental standards of production of products that are being used by the hotel including foods, beverages, and cleaning products. As much as this alleviates the environmental </w:t>
      </w:r>
      <w:r w:rsidRPr="008C175A">
        <w:rPr>
          <w:b/>
        </w:rPr>
        <w:lastRenderedPageBreak/>
        <w:t>responsibility of the supply chain of the hotel, it also enhances social responsibility by promoting decent work for workers around the world thus advancing the sustainable development agenda.</w:t>
      </w:r>
    </w:p>
    <w:p w14:paraId="79D8FF28" w14:textId="77777777" w:rsidR="008C175A" w:rsidRPr="008C175A" w:rsidRDefault="008C175A" w:rsidP="008C175A">
      <w:pPr>
        <w:rPr>
          <w:b/>
        </w:rPr>
      </w:pPr>
      <w:r w:rsidRPr="008C175A">
        <w:rPr>
          <w:b/>
        </w:rPr>
        <w:t>In the social aspect, there are improvements to general well-being of community through the employment of its citizens and support of social programs (</w:t>
      </w:r>
      <w:proofErr w:type="spellStart"/>
      <w:r w:rsidRPr="008C175A">
        <w:rPr>
          <w:b/>
        </w:rPr>
        <w:t>Kreienkamp</w:t>
      </w:r>
      <w:proofErr w:type="spellEnd"/>
      <w:r w:rsidRPr="008C175A">
        <w:rPr>
          <w:b/>
        </w:rPr>
        <w:t xml:space="preserve">, Wheatley and André </w:t>
      </w:r>
      <w:proofErr w:type="spellStart"/>
      <w:r w:rsidRPr="008C175A">
        <w:rPr>
          <w:b/>
        </w:rPr>
        <w:t>Ndobo</w:t>
      </w:r>
      <w:proofErr w:type="spellEnd"/>
      <w:r w:rsidRPr="008C175A">
        <w:rPr>
          <w:b/>
        </w:rPr>
        <w:t>, 2024). Since the company sponsors local charities and uses people who live around Melton Mowbray, this Premier Inn Melton Mowbray has a positive impact in the economic wellbeing of Melton Mowbray, and it thereby has good relationship with the people of Melton Mowbray (</w:t>
      </w:r>
      <w:proofErr w:type="spellStart"/>
      <w:r w:rsidRPr="008C175A">
        <w:rPr>
          <w:b/>
        </w:rPr>
        <w:t>Aldehayyat</w:t>
      </w:r>
      <w:proofErr w:type="spellEnd"/>
      <w:r w:rsidRPr="008C175A">
        <w:rPr>
          <w:b/>
        </w:rPr>
        <w:t>, 2021). Such steps do not only enhance the corporate image of the hotel but also make a more efficient business that will take into consideration the welfare of the customers, employees, and the community practically.</w:t>
      </w:r>
    </w:p>
    <w:p w14:paraId="14C1AA21" w14:textId="77777777" w:rsidR="008C175A" w:rsidRPr="008C175A" w:rsidRDefault="008C175A" w:rsidP="008C175A">
      <w:pPr>
        <w:rPr>
          <w:b/>
        </w:rPr>
      </w:pPr>
      <w:r w:rsidRPr="008C175A">
        <w:rPr>
          <w:b/>
        </w:rPr>
        <w:t>Therefore, this paper has shown how the concept of CSR has an important function in establishing sustainability in the hospitality industry using the case of Premier Inn Melton Mowbray. By following environmental management standards and actively participating in and supporting charitable organizations as well as fully adhering to the legal requirements of the country, the hotel has accepted the responsibility of being a sustainable and socially responsible hospitality organization (Kirk, 2013). Even though there are some limitations of CSR policies, which include the following: cost implications, and legal requirements, the benefits of improving customers relations, reducing costs of operation, and getting an edge over competitors are likely to be big.</w:t>
      </w:r>
    </w:p>
    <w:p w14:paraId="64A86C8F" w14:textId="77777777" w:rsidR="008C175A" w:rsidRPr="008C175A" w:rsidRDefault="008C175A" w:rsidP="008C175A">
      <w:pPr>
        <w:rPr>
          <w:b/>
        </w:rPr>
      </w:pPr>
      <w:r w:rsidRPr="008C175A">
        <w:rPr>
          <w:b/>
        </w:rPr>
        <w:br w:type="page"/>
      </w:r>
    </w:p>
    <w:p w14:paraId="2C59891C" w14:textId="77777777" w:rsidR="008C175A" w:rsidRPr="008C175A" w:rsidRDefault="008C175A" w:rsidP="008C175A">
      <w:pPr>
        <w:rPr>
          <w:b/>
        </w:rPr>
      </w:pPr>
      <w:r w:rsidRPr="008C175A">
        <w:rPr>
          <w:b/>
        </w:rPr>
        <w:lastRenderedPageBreak/>
        <w:t>Reference list</w:t>
      </w:r>
    </w:p>
    <w:p w14:paraId="01EDC4E0" w14:textId="77777777" w:rsidR="008C175A" w:rsidRPr="008C175A" w:rsidRDefault="008C175A" w:rsidP="008C175A">
      <w:pPr>
        <w:numPr>
          <w:ilvl w:val="0"/>
          <w:numId w:val="3"/>
        </w:numPr>
        <w:rPr>
          <w:b/>
          <w:lang w:val="en-GB"/>
        </w:rPr>
      </w:pPr>
      <w:proofErr w:type="spellStart"/>
      <w:r w:rsidRPr="008C175A">
        <w:rPr>
          <w:b/>
          <w:lang w:val="en-GB"/>
        </w:rPr>
        <w:t>Aldehayyat</w:t>
      </w:r>
      <w:proofErr w:type="spellEnd"/>
      <w:r w:rsidRPr="008C175A">
        <w:rPr>
          <w:b/>
          <w:lang w:val="en-GB"/>
        </w:rPr>
        <w:t xml:space="preserve">, J. (2021). The role of corporate social responsibility initiatives, error management culture and corporate image in enhancing hotel performance. </w:t>
      </w:r>
      <w:r w:rsidRPr="008C175A">
        <w:rPr>
          <w:b/>
          <w:i/>
          <w:iCs/>
          <w:lang w:val="en-GB"/>
        </w:rPr>
        <w:t>Management Science Letters</w:t>
      </w:r>
      <w:r w:rsidRPr="008C175A">
        <w:rPr>
          <w:b/>
          <w:lang w:val="en-GB"/>
        </w:rPr>
        <w:t xml:space="preserve">, pp.481–492. </w:t>
      </w:r>
      <w:proofErr w:type="spellStart"/>
      <w:proofErr w:type="gramStart"/>
      <w:r w:rsidRPr="008C175A">
        <w:rPr>
          <w:b/>
          <w:lang w:val="en-GB"/>
        </w:rPr>
        <w:t>doi:https</w:t>
      </w:r>
      <w:proofErr w:type="spellEnd"/>
      <w:r w:rsidRPr="008C175A">
        <w:rPr>
          <w:b/>
          <w:lang w:val="en-GB"/>
        </w:rPr>
        <w:t>://doi.org/10.5267/j.msl.2020.9.019</w:t>
      </w:r>
      <w:proofErr w:type="gramEnd"/>
      <w:r w:rsidRPr="008C175A">
        <w:rPr>
          <w:b/>
          <w:lang w:val="en-GB"/>
        </w:rPr>
        <w:t>.</w:t>
      </w:r>
    </w:p>
    <w:p w14:paraId="19A686B7" w14:textId="77777777" w:rsidR="008C175A" w:rsidRPr="008C175A" w:rsidRDefault="008C175A" w:rsidP="008C175A">
      <w:pPr>
        <w:numPr>
          <w:ilvl w:val="0"/>
          <w:numId w:val="3"/>
        </w:numPr>
        <w:rPr>
          <w:b/>
          <w:lang w:val="en-GB"/>
        </w:rPr>
      </w:pPr>
      <w:r w:rsidRPr="008C175A">
        <w:rPr>
          <w:b/>
          <w:lang w:val="en-GB"/>
        </w:rPr>
        <w:t xml:space="preserve">Anuar </w:t>
      </w:r>
      <w:proofErr w:type="spellStart"/>
      <w:r w:rsidRPr="008C175A">
        <w:rPr>
          <w:b/>
          <w:lang w:val="en-GB"/>
        </w:rPr>
        <w:t>Sharuddin</w:t>
      </w:r>
      <w:proofErr w:type="spellEnd"/>
      <w:r w:rsidRPr="008C175A">
        <w:rPr>
          <w:b/>
          <w:lang w:val="en-GB"/>
        </w:rPr>
        <w:t xml:space="preserve">, S.D., </w:t>
      </w:r>
      <w:proofErr w:type="spellStart"/>
      <w:r w:rsidRPr="008C175A">
        <w:rPr>
          <w:b/>
          <w:lang w:val="en-GB"/>
        </w:rPr>
        <w:t>Abnisa</w:t>
      </w:r>
      <w:proofErr w:type="spellEnd"/>
      <w:r w:rsidRPr="008C175A">
        <w:rPr>
          <w:b/>
          <w:lang w:val="en-GB"/>
        </w:rPr>
        <w:t xml:space="preserve">, F., Wan Daud, W.M.A. and </w:t>
      </w:r>
      <w:proofErr w:type="spellStart"/>
      <w:r w:rsidRPr="008C175A">
        <w:rPr>
          <w:b/>
          <w:lang w:val="en-GB"/>
        </w:rPr>
        <w:t>Aroua</w:t>
      </w:r>
      <w:proofErr w:type="spellEnd"/>
      <w:r w:rsidRPr="008C175A">
        <w:rPr>
          <w:b/>
          <w:lang w:val="en-GB"/>
        </w:rPr>
        <w:t xml:space="preserve">, M.K. (2016). A review on pyrolysis of plastic wastes. </w:t>
      </w:r>
      <w:r w:rsidRPr="008C175A">
        <w:rPr>
          <w:b/>
          <w:i/>
          <w:iCs/>
          <w:lang w:val="en-GB"/>
        </w:rPr>
        <w:t>Energy Conversion and Management</w:t>
      </w:r>
      <w:r w:rsidRPr="008C175A">
        <w:rPr>
          <w:b/>
          <w:lang w:val="en-GB"/>
        </w:rPr>
        <w:t xml:space="preserve">, 115(115), pp.308–326. </w:t>
      </w:r>
      <w:proofErr w:type="spellStart"/>
      <w:proofErr w:type="gramStart"/>
      <w:r w:rsidRPr="008C175A">
        <w:rPr>
          <w:b/>
          <w:lang w:val="en-GB"/>
        </w:rPr>
        <w:t>doi:https</w:t>
      </w:r>
      <w:proofErr w:type="spellEnd"/>
      <w:r w:rsidRPr="008C175A">
        <w:rPr>
          <w:b/>
          <w:lang w:val="en-GB"/>
        </w:rPr>
        <w:t>://doi.org/10.1016/j.enconman.2016.02.037</w:t>
      </w:r>
      <w:proofErr w:type="gramEnd"/>
      <w:r w:rsidRPr="008C175A">
        <w:rPr>
          <w:b/>
          <w:lang w:val="en-GB"/>
        </w:rPr>
        <w:t>.</w:t>
      </w:r>
    </w:p>
    <w:p w14:paraId="248ADCF2" w14:textId="77777777" w:rsidR="008C175A" w:rsidRPr="008C175A" w:rsidRDefault="008C175A" w:rsidP="008C175A">
      <w:pPr>
        <w:numPr>
          <w:ilvl w:val="0"/>
          <w:numId w:val="3"/>
        </w:numPr>
        <w:rPr>
          <w:b/>
          <w:lang w:val="en-GB"/>
        </w:rPr>
      </w:pPr>
      <w:r w:rsidRPr="008C175A">
        <w:rPr>
          <w:b/>
          <w:lang w:val="en-GB"/>
        </w:rPr>
        <w:t xml:space="preserve">Armbrust, M., Stoica, I., Zaharia, M., Fox, A., Griffith, R., Joseph, A.D., Katz, R., Konwinski, A., Lee, G., Patterson, D. and Rabkin, A. (2020). A View of Cloud Computing. </w:t>
      </w:r>
      <w:r w:rsidRPr="008C175A">
        <w:rPr>
          <w:b/>
          <w:i/>
          <w:iCs/>
          <w:lang w:val="en-GB"/>
        </w:rPr>
        <w:t>Communications of the ACM</w:t>
      </w:r>
      <w:r w:rsidRPr="008C175A">
        <w:rPr>
          <w:b/>
          <w:lang w:val="en-GB"/>
        </w:rPr>
        <w:t xml:space="preserve">, [online] 53(4), pp.50–58. </w:t>
      </w:r>
      <w:proofErr w:type="spellStart"/>
      <w:proofErr w:type="gramStart"/>
      <w:r w:rsidRPr="008C175A">
        <w:rPr>
          <w:b/>
          <w:lang w:val="en-GB"/>
        </w:rPr>
        <w:t>doi:https</w:t>
      </w:r>
      <w:proofErr w:type="spellEnd"/>
      <w:r w:rsidRPr="008C175A">
        <w:rPr>
          <w:b/>
          <w:lang w:val="en-GB"/>
        </w:rPr>
        <w:t>://doi.org/10.1145/1721654.1721672</w:t>
      </w:r>
      <w:proofErr w:type="gramEnd"/>
      <w:r w:rsidRPr="008C175A">
        <w:rPr>
          <w:b/>
          <w:lang w:val="en-GB"/>
        </w:rPr>
        <w:t>.</w:t>
      </w:r>
    </w:p>
    <w:p w14:paraId="7E4AFECF" w14:textId="77777777" w:rsidR="008C175A" w:rsidRPr="008C175A" w:rsidRDefault="008C175A" w:rsidP="008C175A">
      <w:pPr>
        <w:numPr>
          <w:ilvl w:val="0"/>
          <w:numId w:val="3"/>
        </w:numPr>
        <w:rPr>
          <w:b/>
          <w:lang w:val="en-GB"/>
        </w:rPr>
      </w:pPr>
      <w:r w:rsidRPr="008C175A">
        <w:rPr>
          <w:b/>
          <w:lang w:val="en-GB"/>
        </w:rPr>
        <w:t xml:space="preserve">Babak, N.A. (2017). Transport Construction Negative Impact on the Environment. </w:t>
      </w:r>
      <w:r w:rsidRPr="008C175A">
        <w:rPr>
          <w:b/>
          <w:i/>
          <w:iCs/>
          <w:lang w:val="en-GB"/>
        </w:rPr>
        <w:t>Procedia Engineering</w:t>
      </w:r>
      <w:r w:rsidRPr="008C175A">
        <w:rPr>
          <w:b/>
          <w:lang w:val="en-GB"/>
        </w:rPr>
        <w:t xml:space="preserve">, 189, pp.867–873. </w:t>
      </w:r>
      <w:proofErr w:type="spellStart"/>
      <w:proofErr w:type="gramStart"/>
      <w:r w:rsidRPr="008C175A">
        <w:rPr>
          <w:b/>
          <w:lang w:val="en-GB"/>
        </w:rPr>
        <w:t>doi:https</w:t>
      </w:r>
      <w:proofErr w:type="spellEnd"/>
      <w:r w:rsidRPr="008C175A">
        <w:rPr>
          <w:b/>
          <w:lang w:val="en-GB"/>
        </w:rPr>
        <w:t>://doi.org/10.1016/j.proeng.2017.05.135</w:t>
      </w:r>
      <w:proofErr w:type="gramEnd"/>
      <w:r w:rsidRPr="008C175A">
        <w:rPr>
          <w:b/>
          <w:lang w:val="en-GB"/>
        </w:rPr>
        <w:t>.</w:t>
      </w:r>
    </w:p>
    <w:p w14:paraId="1E1E55AB" w14:textId="77777777" w:rsidR="008C175A" w:rsidRPr="008C175A" w:rsidRDefault="008C175A" w:rsidP="008C175A">
      <w:pPr>
        <w:numPr>
          <w:ilvl w:val="0"/>
          <w:numId w:val="3"/>
        </w:numPr>
        <w:rPr>
          <w:b/>
          <w:lang w:val="en-GB"/>
        </w:rPr>
      </w:pPr>
      <w:r w:rsidRPr="008C175A">
        <w:rPr>
          <w:b/>
          <w:lang w:val="en-GB"/>
        </w:rPr>
        <w:t xml:space="preserve">BALKAN, E., İŞLEK, A., YAŞAR, E. and DOĞAN, H. (2019). Prevalence of HLA-DQ*02 and HLA-DQ*08 in Patients with Celiac Disease in Eastern Anatolia and the Diagnostic Role of HLA-DQ*02 and HLA-DQ*08 Genotyping. </w:t>
      </w:r>
      <w:r w:rsidRPr="008C175A">
        <w:rPr>
          <w:b/>
          <w:i/>
          <w:iCs/>
          <w:lang w:val="en-GB"/>
        </w:rPr>
        <w:t>Turkish Journal of Immunology</w:t>
      </w:r>
      <w:r w:rsidRPr="008C175A">
        <w:rPr>
          <w:b/>
          <w:lang w:val="en-GB"/>
        </w:rPr>
        <w:t xml:space="preserve">. </w:t>
      </w:r>
      <w:proofErr w:type="spellStart"/>
      <w:proofErr w:type="gramStart"/>
      <w:r w:rsidRPr="008C175A">
        <w:rPr>
          <w:b/>
          <w:lang w:val="en-GB"/>
        </w:rPr>
        <w:t>doi:https</w:t>
      </w:r>
      <w:proofErr w:type="spellEnd"/>
      <w:r w:rsidRPr="008C175A">
        <w:rPr>
          <w:b/>
          <w:lang w:val="en-GB"/>
        </w:rPr>
        <w:t>://doi.org/10.25002/tji.2019.862</w:t>
      </w:r>
      <w:proofErr w:type="gramEnd"/>
      <w:r w:rsidRPr="008C175A">
        <w:rPr>
          <w:b/>
          <w:lang w:val="en-GB"/>
        </w:rPr>
        <w:t>.</w:t>
      </w:r>
    </w:p>
    <w:p w14:paraId="0CC94E60" w14:textId="77777777" w:rsidR="008C175A" w:rsidRPr="008C175A" w:rsidRDefault="008C175A" w:rsidP="008C175A">
      <w:pPr>
        <w:numPr>
          <w:ilvl w:val="0"/>
          <w:numId w:val="3"/>
        </w:numPr>
        <w:rPr>
          <w:b/>
          <w:lang w:val="en-GB"/>
        </w:rPr>
      </w:pPr>
      <w:r w:rsidRPr="008C175A">
        <w:rPr>
          <w:b/>
          <w:lang w:val="en-GB"/>
        </w:rPr>
        <w:t xml:space="preserve">Carlos Montes Serrano (2018). </w:t>
      </w:r>
      <w:r w:rsidRPr="008C175A">
        <w:rPr>
          <w:b/>
          <w:lang w:val="de-DE"/>
        </w:rPr>
        <w:t xml:space="preserve">Modelos ingleses del siglo XVII. </w:t>
      </w:r>
      <w:r w:rsidRPr="008C175A">
        <w:rPr>
          <w:b/>
          <w:lang w:val="en-GB"/>
        </w:rPr>
        <w:t xml:space="preserve">De Balthazar Gerbier a Christopher Wren. </w:t>
      </w:r>
      <w:r w:rsidRPr="008C175A">
        <w:rPr>
          <w:b/>
          <w:i/>
          <w:iCs/>
          <w:lang w:val="en-GB"/>
        </w:rPr>
        <w:t>RA</w:t>
      </w:r>
      <w:r w:rsidRPr="008C175A">
        <w:rPr>
          <w:b/>
          <w:lang w:val="en-GB"/>
        </w:rPr>
        <w:t xml:space="preserve">, 4, pp.37–48. </w:t>
      </w:r>
      <w:proofErr w:type="spellStart"/>
      <w:proofErr w:type="gramStart"/>
      <w:r w:rsidRPr="008C175A">
        <w:rPr>
          <w:b/>
          <w:lang w:val="en-GB"/>
        </w:rPr>
        <w:t>doi:https</w:t>
      </w:r>
      <w:proofErr w:type="spellEnd"/>
      <w:r w:rsidRPr="008C175A">
        <w:rPr>
          <w:b/>
          <w:lang w:val="en-GB"/>
        </w:rPr>
        <w:t>://doi.org/10.15581/014.4.25964</w:t>
      </w:r>
      <w:proofErr w:type="gramEnd"/>
      <w:r w:rsidRPr="008C175A">
        <w:rPr>
          <w:b/>
          <w:lang w:val="en-GB"/>
        </w:rPr>
        <w:t>.</w:t>
      </w:r>
    </w:p>
    <w:p w14:paraId="21D076C5" w14:textId="77777777" w:rsidR="008C175A" w:rsidRPr="008C175A" w:rsidRDefault="008C175A" w:rsidP="008C175A">
      <w:pPr>
        <w:numPr>
          <w:ilvl w:val="0"/>
          <w:numId w:val="3"/>
        </w:numPr>
        <w:rPr>
          <w:b/>
          <w:lang w:val="en-GB"/>
        </w:rPr>
      </w:pPr>
      <w:r w:rsidRPr="008C175A">
        <w:rPr>
          <w:b/>
          <w:lang w:val="en-GB"/>
        </w:rPr>
        <w:t xml:space="preserve">Davidsson, P. and Honig, B. (2023). The role of social and human capital among nascent entrepreneurs. </w:t>
      </w:r>
      <w:r w:rsidRPr="008C175A">
        <w:rPr>
          <w:b/>
          <w:i/>
          <w:iCs/>
          <w:lang w:val="en-GB"/>
        </w:rPr>
        <w:t>Journal of Business Venturing</w:t>
      </w:r>
      <w:r w:rsidRPr="008C175A">
        <w:rPr>
          <w:b/>
          <w:lang w:val="en-GB"/>
        </w:rPr>
        <w:t>, 18(3), pp.301–331.</w:t>
      </w:r>
    </w:p>
    <w:p w14:paraId="55691864" w14:textId="77777777" w:rsidR="008C175A" w:rsidRPr="008C175A" w:rsidRDefault="008C175A" w:rsidP="008C175A">
      <w:pPr>
        <w:numPr>
          <w:ilvl w:val="0"/>
          <w:numId w:val="3"/>
        </w:numPr>
        <w:rPr>
          <w:b/>
          <w:lang w:val="en-GB"/>
        </w:rPr>
      </w:pPr>
      <w:r w:rsidRPr="008C175A">
        <w:rPr>
          <w:b/>
          <w:lang w:val="en-GB"/>
        </w:rPr>
        <w:t xml:space="preserve">Frenk, J., Chen, L., Bhutta, Z.A., Cohen, J., Crisp, N., Evans, T., Fineberg, H., Garcia, P., Ke, Y., Kelley, P., </w:t>
      </w:r>
      <w:proofErr w:type="spellStart"/>
      <w:r w:rsidRPr="008C175A">
        <w:rPr>
          <w:b/>
          <w:lang w:val="en-GB"/>
        </w:rPr>
        <w:t>Kistnasamy</w:t>
      </w:r>
      <w:proofErr w:type="spellEnd"/>
      <w:r w:rsidRPr="008C175A">
        <w:rPr>
          <w:b/>
          <w:lang w:val="en-GB"/>
        </w:rPr>
        <w:t xml:space="preserve">, B., </w:t>
      </w:r>
      <w:proofErr w:type="spellStart"/>
      <w:r w:rsidRPr="008C175A">
        <w:rPr>
          <w:b/>
          <w:lang w:val="en-GB"/>
        </w:rPr>
        <w:t>Meleis</w:t>
      </w:r>
      <w:proofErr w:type="spellEnd"/>
      <w:r w:rsidRPr="008C175A">
        <w:rPr>
          <w:b/>
          <w:lang w:val="en-GB"/>
        </w:rPr>
        <w:t xml:space="preserve">, A., Naylor, D., Pablos-Mendez, A., Reddy, S., Scrimshaw, S., Sepulveda, J., </w:t>
      </w:r>
      <w:proofErr w:type="spellStart"/>
      <w:r w:rsidRPr="008C175A">
        <w:rPr>
          <w:b/>
          <w:lang w:val="en-GB"/>
        </w:rPr>
        <w:t>Serwadda</w:t>
      </w:r>
      <w:proofErr w:type="spellEnd"/>
      <w:r w:rsidRPr="008C175A">
        <w:rPr>
          <w:b/>
          <w:lang w:val="en-GB"/>
        </w:rPr>
        <w:t xml:space="preserve">, D. and </w:t>
      </w:r>
      <w:proofErr w:type="spellStart"/>
      <w:r w:rsidRPr="008C175A">
        <w:rPr>
          <w:b/>
          <w:lang w:val="en-GB"/>
        </w:rPr>
        <w:t>Zurayk</w:t>
      </w:r>
      <w:proofErr w:type="spellEnd"/>
      <w:r w:rsidRPr="008C175A">
        <w:rPr>
          <w:b/>
          <w:lang w:val="en-GB"/>
        </w:rPr>
        <w:t xml:space="preserve">, H. (2020). Health Professionals for a New century: Transforming Education to Strengthen Health Systems in an Interdependent World. </w:t>
      </w:r>
      <w:r w:rsidRPr="008C175A">
        <w:rPr>
          <w:b/>
          <w:i/>
          <w:iCs/>
          <w:lang w:val="en-GB"/>
        </w:rPr>
        <w:t>The Lancet</w:t>
      </w:r>
      <w:r w:rsidRPr="008C175A">
        <w:rPr>
          <w:b/>
          <w:lang w:val="en-GB"/>
        </w:rPr>
        <w:t>, 376(9756), pp.1923–1958.</w:t>
      </w:r>
    </w:p>
    <w:p w14:paraId="3BD99057" w14:textId="77777777" w:rsidR="008C175A" w:rsidRPr="008C175A" w:rsidRDefault="008C175A" w:rsidP="008C175A">
      <w:pPr>
        <w:numPr>
          <w:ilvl w:val="0"/>
          <w:numId w:val="3"/>
        </w:numPr>
        <w:rPr>
          <w:b/>
          <w:lang w:val="en-GB"/>
        </w:rPr>
      </w:pPr>
      <w:r w:rsidRPr="008C175A">
        <w:rPr>
          <w:b/>
          <w:lang w:val="en-GB"/>
        </w:rPr>
        <w:lastRenderedPageBreak/>
        <w:t xml:space="preserve">Guttentag, D. (2015). Airbnb: disruptive innovation and the rise of an informal tourism accommodation sector. </w:t>
      </w:r>
      <w:r w:rsidRPr="008C175A">
        <w:rPr>
          <w:b/>
          <w:i/>
          <w:iCs/>
          <w:lang w:val="en-GB"/>
        </w:rPr>
        <w:t>Current Issues in Tourism</w:t>
      </w:r>
      <w:r w:rsidRPr="008C175A">
        <w:rPr>
          <w:b/>
          <w:lang w:val="en-GB"/>
        </w:rPr>
        <w:t xml:space="preserve">, [online] 18(12), pp.1192–1217. </w:t>
      </w:r>
      <w:proofErr w:type="spellStart"/>
      <w:proofErr w:type="gramStart"/>
      <w:r w:rsidRPr="008C175A">
        <w:rPr>
          <w:b/>
          <w:lang w:val="en-GB"/>
        </w:rPr>
        <w:t>doi:https</w:t>
      </w:r>
      <w:proofErr w:type="spellEnd"/>
      <w:r w:rsidRPr="008C175A">
        <w:rPr>
          <w:b/>
          <w:lang w:val="en-GB"/>
        </w:rPr>
        <w:t>://doi.org/10.1080/13683500.2013.827159</w:t>
      </w:r>
      <w:proofErr w:type="gramEnd"/>
      <w:r w:rsidRPr="008C175A">
        <w:rPr>
          <w:b/>
          <w:lang w:val="en-GB"/>
        </w:rPr>
        <w:t>.</w:t>
      </w:r>
    </w:p>
    <w:p w14:paraId="2483358B" w14:textId="77777777" w:rsidR="008C175A" w:rsidRPr="008C175A" w:rsidRDefault="008C175A" w:rsidP="008C175A">
      <w:pPr>
        <w:numPr>
          <w:ilvl w:val="0"/>
          <w:numId w:val="3"/>
        </w:numPr>
        <w:rPr>
          <w:b/>
          <w:lang w:val="en-GB"/>
        </w:rPr>
      </w:pPr>
      <w:r w:rsidRPr="008C175A">
        <w:rPr>
          <w:b/>
          <w:lang w:val="en-GB"/>
        </w:rPr>
        <w:t xml:space="preserve">Kirk, R.G.W. (2013). In Dogs We Trust? Intersubjectivity, Response-Able Relations, and the Making of Mine Detector Dogs. </w:t>
      </w:r>
      <w:r w:rsidRPr="008C175A">
        <w:rPr>
          <w:b/>
          <w:i/>
          <w:iCs/>
          <w:lang w:val="en-GB"/>
        </w:rPr>
        <w:t xml:space="preserve">Journal of the History of the </w:t>
      </w:r>
      <w:proofErr w:type="spellStart"/>
      <w:r w:rsidRPr="008C175A">
        <w:rPr>
          <w:b/>
          <w:i/>
          <w:iCs/>
          <w:lang w:val="en-GB"/>
        </w:rPr>
        <w:t>Behavioral</w:t>
      </w:r>
      <w:proofErr w:type="spellEnd"/>
      <w:r w:rsidRPr="008C175A">
        <w:rPr>
          <w:b/>
          <w:i/>
          <w:iCs/>
          <w:lang w:val="en-GB"/>
        </w:rPr>
        <w:t xml:space="preserve"> Sciences</w:t>
      </w:r>
      <w:r w:rsidRPr="008C175A">
        <w:rPr>
          <w:b/>
          <w:lang w:val="en-GB"/>
        </w:rPr>
        <w:t xml:space="preserve">, 50(1), pp.1–36. </w:t>
      </w:r>
      <w:proofErr w:type="spellStart"/>
      <w:proofErr w:type="gramStart"/>
      <w:r w:rsidRPr="008C175A">
        <w:rPr>
          <w:b/>
          <w:lang w:val="en-GB"/>
        </w:rPr>
        <w:t>doi:https</w:t>
      </w:r>
      <w:proofErr w:type="spellEnd"/>
      <w:r w:rsidRPr="008C175A">
        <w:rPr>
          <w:b/>
          <w:lang w:val="en-GB"/>
        </w:rPr>
        <w:t>://doi.org/10.1002/jhbs.21642</w:t>
      </w:r>
      <w:proofErr w:type="gramEnd"/>
      <w:r w:rsidRPr="008C175A">
        <w:rPr>
          <w:b/>
          <w:lang w:val="en-GB"/>
        </w:rPr>
        <w:t>.</w:t>
      </w:r>
    </w:p>
    <w:p w14:paraId="58A9EA77" w14:textId="77777777" w:rsidR="008C175A" w:rsidRPr="008C175A" w:rsidRDefault="008C175A" w:rsidP="008C175A">
      <w:pPr>
        <w:numPr>
          <w:ilvl w:val="0"/>
          <w:numId w:val="3"/>
        </w:numPr>
        <w:rPr>
          <w:b/>
          <w:lang w:val="en-GB"/>
        </w:rPr>
      </w:pPr>
      <w:proofErr w:type="spellStart"/>
      <w:r w:rsidRPr="008C175A">
        <w:rPr>
          <w:b/>
          <w:lang w:val="en-GB"/>
        </w:rPr>
        <w:t>Kreienkamp</w:t>
      </w:r>
      <w:proofErr w:type="spellEnd"/>
      <w:r w:rsidRPr="008C175A">
        <w:rPr>
          <w:b/>
          <w:lang w:val="en-GB"/>
        </w:rPr>
        <w:t xml:space="preserve">, M., Wheatley, D. and André </w:t>
      </w:r>
      <w:proofErr w:type="spellStart"/>
      <w:r w:rsidRPr="008C175A">
        <w:rPr>
          <w:b/>
          <w:lang w:val="en-GB"/>
        </w:rPr>
        <w:t>Ndobo</w:t>
      </w:r>
      <w:proofErr w:type="spellEnd"/>
      <w:r w:rsidRPr="008C175A">
        <w:rPr>
          <w:b/>
          <w:lang w:val="en-GB"/>
        </w:rPr>
        <w:t xml:space="preserve"> (2024). Assessing the efficacy of a resilience training intervention for long‐term improvements in well‐being and resilience. </w:t>
      </w:r>
      <w:r w:rsidRPr="008C175A">
        <w:rPr>
          <w:b/>
          <w:i/>
          <w:iCs/>
          <w:lang w:val="en-GB"/>
        </w:rPr>
        <w:t>Applied psychology. Health and well-being (Online)</w:t>
      </w:r>
      <w:r w:rsidRPr="008C175A">
        <w:rPr>
          <w:b/>
          <w:lang w:val="en-GB"/>
        </w:rPr>
        <w:t xml:space="preserve">. </w:t>
      </w:r>
      <w:proofErr w:type="spellStart"/>
      <w:proofErr w:type="gramStart"/>
      <w:r w:rsidRPr="008C175A">
        <w:rPr>
          <w:b/>
          <w:lang w:val="en-GB"/>
        </w:rPr>
        <w:t>doi:https</w:t>
      </w:r>
      <w:proofErr w:type="spellEnd"/>
      <w:r w:rsidRPr="008C175A">
        <w:rPr>
          <w:b/>
          <w:lang w:val="en-GB"/>
        </w:rPr>
        <w:t>://doi.org/10.1111/aphw.12525</w:t>
      </w:r>
      <w:proofErr w:type="gramEnd"/>
      <w:r w:rsidRPr="008C175A">
        <w:rPr>
          <w:b/>
          <w:lang w:val="en-GB"/>
        </w:rPr>
        <w:t>.</w:t>
      </w:r>
    </w:p>
    <w:p w14:paraId="0994B053" w14:textId="77777777" w:rsidR="008C175A" w:rsidRPr="008C175A" w:rsidRDefault="008C175A" w:rsidP="008C175A">
      <w:pPr>
        <w:numPr>
          <w:ilvl w:val="0"/>
          <w:numId w:val="3"/>
        </w:numPr>
        <w:rPr>
          <w:b/>
          <w:lang w:val="en-GB"/>
        </w:rPr>
      </w:pPr>
      <w:r w:rsidRPr="008C175A">
        <w:rPr>
          <w:b/>
          <w:lang w:val="en-GB"/>
        </w:rPr>
        <w:t xml:space="preserve">Levitt, B. and March, J.G. (2019). Organizational Learning. </w:t>
      </w:r>
      <w:r w:rsidRPr="008C175A">
        <w:rPr>
          <w:b/>
          <w:i/>
          <w:iCs/>
          <w:lang w:val="en-GB"/>
        </w:rPr>
        <w:t>Annual Review of Sociology</w:t>
      </w:r>
      <w:r w:rsidRPr="008C175A">
        <w:rPr>
          <w:b/>
          <w:lang w:val="en-GB"/>
        </w:rPr>
        <w:t xml:space="preserve">, [online] 14(1), pp.319–338. </w:t>
      </w:r>
      <w:proofErr w:type="spellStart"/>
      <w:proofErr w:type="gramStart"/>
      <w:r w:rsidRPr="008C175A">
        <w:rPr>
          <w:b/>
          <w:lang w:val="en-GB"/>
        </w:rPr>
        <w:t>doi:https</w:t>
      </w:r>
      <w:proofErr w:type="spellEnd"/>
      <w:r w:rsidRPr="008C175A">
        <w:rPr>
          <w:b/>
          <w:lang w:val="en-GB"/>
        </w:rPr>
        <w:t>://doi.org/10.1146/annurev.so.14.080188.001535</w:t>
      </w:r>
      <w:proofErr w:type="gramEnd"/>
      <w:r w:rsidRPr="008C175A">
        <w:rPr>
          <w:b/>
          <w:lang w:val="en-GB"/>
        </w:rPr>
        <w:t>.</w:t>
      </w:r>
    </w:p>
    <w:p w14:paraId="283D1282" w14:textId="77777777" w:rsidR="008C175A" w:rsidRPr="008C175A" w:rsidRDefault="008C175A" w:rsidP="008C175A">
      <w:pPr>
        <w:numPr>
          <w:ilvl w:val="0"/>
          <w:numId w:val="3"/>
        </w:numPr>
        <w:rPr>
          <w:b/>
          <w:lang w:val="en-GB"/>
        </w:rPr>
      </w:pPr>
      <w:r w:rsidRPr="008C175A">
        <w:rPr>
          <w:b/>
          <w:lang w:val="en-GB"/>
        </w:rPr>
        <w:t xml:space="preserve">Lolli, N., Lien, A.G. and </w:t>
      </w:r>
      <w:proofErr w:type="spellStart"/>
      <w:r w:rsidRPr="008C175A">
        <w:rPr>
          <w:b/>
          <w:lang w:val="en-GB"/>
        </w:rPr>
        <w:t>Rønneseth</w:t>
      </w:r>
      <w:proofErr w:type="spellEnd"/>
      <w:r w:rsidRPr="008C175A">
        <w:rPr>
          <w:b/>
          <w:lang w:val="en-GB"/>
        </w:rPr>
        <w:t xml:space="preserve">, Ø. (2020). Cost Optimization of a Zero-Emission Office Building. </w:t>
      </w:r>
      <w:r w:rsidRPr="008C175A">
        <w:rPr>
          <w:b/>
          <w:i/>
          <w:iCs/>
          <w:lang w:val="en-GB"/>
        </w:rPr>
        <w:t>Buildings</w:t>
      </w:r>
      <w:r w:rsidRPr="008C175A">
        <w:rPr>
          <w:b/>
          <w:lang w:val="en-GB"/>
        </w:rPr>
        <w:t xml:space="preserve">, 10(12), p.222. </w:t>
      </w:r>
      <w:proofErr w:type="spellStart"/>
      <w:proofErr w:type="gramStart"/>
      <w:r w:rsidRPr="008C175A">
        <w:rPr>
          <w:b/>
          <w:lang w:val="en-GB"/>
        </w:rPr>
        <w:t>doi:https</w:t>
      </w:r>
      <w:proofErr w:type="spellEnd"/>
      <w:r w:rsidRPr="008C175A">
        <w:rPr>
          <w:b/>
          <w:lang w:val="en-GB"/>
        </w:rPr>
        <w:t>://doi.org/10.3390/buildings10120222</w:t>
      </w:r>
      <w:proofErr w:type="gramEnd"/>
      <w:r w:rsidRPr="008C175A">
        <w:rPr>
          <w:b/>
          <w:lang w:val="en-GB"/>
        </w:rPr>
        <w:t>.</w:t>
      </w:r>
    </w:p>
    <w:p w14:paraId="49FBBB1A" w14:textId="77777777" w:rsidR="008C175A" w:rsidRPr="008C175A" w:rsidRDefault="008C175A" w:rsidP="008C175A">
      <w:pPr>
        <w:numPr>
          <w:ilvl w:val="0"/>
          <w:numId w:val="3"/>
        </w:numPr>
        <w:rPr>
          <w:b/>
          <w:lang w:val="en-GB"/>
        </w:rPr>
      </w:pPr>
      <w:r w:rsidRPr="008C175A">
        <w:rPr>
          <w:b/>
          <w:lang w:val="en-GB"/>
        </w:rPr>
        <w:t xml:space="preserve">Nonaka, I. (2023). A Dynamic Theory of Organizational Knowledge Creation. </w:t>
      </w:r>
      <w:r w:rsidRPr="008C175A">
        <w:rPr>
          <w:b/>
          <w:i/>
          <w:iCs/>
          <w:lang w:val="en-GB"/>
        </w:rPr>
        <w:t>Organization Science</w:t>
      </w:r>
      <w:r w:rsidRPr="008C175A">
        <w:rPr>
          <w:b/>
          <w:lang w:val="en-GB"/>
        </w:rPr>
        <w:t>, 5(1), pp.14–37.</w:t>
      </w:r>
    </w:p>
    <w:p w14:paraId="59459EEC" w14:textId="77777777" w:rsidR="008C175A" w:rsidRPr="008C175A" w:rsidRDefault="008C175A" w:rsidP="008C175A">
      <w:pPr>
        <w:numPr>
          <w:ilvl w:val="0"/>
          <w:numId w:val="3"/>
        </w:numPr>
        <w:rPr>
          <w:b/>
          <w:lang w:val="en-GB"/>
        </w:rPr>
      </w:pPr>
      <w:r w:rsidRPr="008C175A">
        <w:rPr>
          <w:b/>
          <w:lang w:val="en-GB"/>
        </w:rPr>
        <w:t xml:space="preserve">Ostrom, A.L., Parasuraman, A., Bowen, D.E., Patrício, L. and Voss, C.A. (2015). Service Research Priorities in a Rapidly Changing Context. </w:t>
      </w:r>
      <w:r w:rsidRPr="008C175A">
        <w:rPr>
          <w:b/>
          <w:i/>
          <w:iCs/>
          <w:lang w:val="en-GB"/>
        </w:rPr>
        <w:t>Journal of Service Research</w:t>
      </w:r>
      <w:r w:rsidRPr="008C175A">
        <w:rPr>
          <w:b/>
          <w:lang w:val="en-GB"/>
        </w:rPr>
        <w:t>, 18(2), pp.127–159.</w:t>
      </w:r>
    </w:p>
    <w:p w14:paraId="5EEEB2B4" w14:textId="77777777" w:rsidR="008C175A" w:rsidRPr="008C175A" w:rsidRDefault="008C175A" w:rsidP="008C175A">
      <w:pPr>
        <w:numPr>
          <w:ilvl w:val="0"/>
          <w:numId w:val="3"/>
        </w:numPr>
        <w:rPr>
          <w:b/>
          <w:lang w:val="en-GB"/>
        </w:rPr>
      </w:pPr>
      <w:r w:rsidRPr="008C175A">
        <w:rPr>
          <w:b/>
          <w:lang w:val="en-GB"/>
        </w:rPr>
        <w:t xml:space="preserve">Sanjeevan, </w:t>
      </w:r>
      <w:proofErr w:type="spellStart"/>
      <w:r w:rsidRPr="008C175A">
        <w:rPr>
          <w:b/>
          <w:lang w:val="en-GB"/>
        </w:rPr>
        <w:t>Mr.N</w:t>
      </w:r>
      <w:proofErr w:type="spellEnd"/>
      <w:r w:rsidRPr="008C175A">
        <w:rPr>
          <w:b/>
          <w:lang w:val="en-GB"/>
        </w:rPr>
        <w:t xml:space="preserve">. (2022). CSR Initiatives Made by Listed Companies towards India. </w:t>
      </w:r>
      <w:r w:rsidRPr="008C175A">
        <w:rPr>
          <w:b/>
          <w:i/>
          <w:iCs/>
          <w:lang w:val="en-GB"/>
        </w:rPr>
        <w:t>International Journal of Latest Engineering and Management Research (IJLEMR)</w:t>
      </w:r>
      <w:r w:rsidRPr="008C175A">
        <w:rPr>
          <w:b/>
          <w:lang w:val="en-GB"/>
        </w:rPr>
        <w:t xml:space="preserve">, 7(8), pp.34–42. </w:t>
      </w:r>
      <w:proofErr w:type="spellStart"/>
      <w:proofErr w:type="gramStart"/>
      <w:r w:rsidRPr="008C175A">
        <w:rPr>
          <w:b/>
          <w:lang w:val="en-GB"/>
        </w:rPr>
        <w:t>doi:https</w:t>
      </w:r>
      <w:proofErr w:type="spellEnd"/>
      <w:r w:rsidRPr="008C175A">
        <w:rPr>
          <w:b/>
          <w:lang w:val="en-GB"/>
        </w:rPr>
        <w:t>://doi.org/10.56581/ijlemr.7.8.34-42</w:t>
      </w:r>
      <w:proofErr w:type="gramEnd"/>
      <w:r w:rsidRPr="008C175A">
        <w:rPr>
          <w:b/>
          <w:lang w:val="en-GB"/>
        </w:rPr>
        <w:t>.</w:t>
      </w:r>
    </w:p>
    <w:p w14:paraId="064A7D9C" w14:textId="77777777" w:rsidR="008C175A" w:rsidRPr="008C175A" w:rsidRDefault="008C175A" w:rsidP="008C175A">
      <w:pPr>
        <w:numPr>
          <w:ilvl w:val="0"/>
          <w:numId w:val="3"/>
        </w:numPr>
        <w:rPr>
          <w:b/>
          <w:lang w:val="en-GB"/>
        </w:rPr>
      </w:pPr>
      <w:proofErr w:type="spellStart"/>
      <w:r w:rsidRPr="008C175A">
        <w:rPr>
          <w:b/>
          <w:lang w:val="en-GB"/>
        </w:rPr>
        <w:t>Slorach</w:t>
      </w:r>
      <w:proofErr w:type="spellEnd"/>
      <w:r w:rsidRPr="008C175A">
        <w:rPr>
          <w:b/>
          <w:lang w:val="en-GB"/>
        </w:rPr>
        <w:t xml:space="preserve">, P.C., Jeswani, H.K., Cuéllar-Franca, R. and </w:t>
      </w:r>
      <w:proofErr w:type="spellStart"/>
      <w:r w:rsidRPr="008C175A">
        <w:rPr>
          <w:b/>
          <w:lang w:val="en-GB"/>
        </w:rPr>
        <w:t>Azapagic</w:t>
      </w:r>
      <w:proofErr w:type="spellEnd"/>
      <w:r w:rsidRPr="008C175A">
        <w:rPr>
          <w:b/>
          <w:lang w:val="en-GB"/>
        </w:rPr>
        <w:t xml:space="preserve">, A. (2019). Environmental sustainability of anaerobic digestion of household food waste. </w:t>
      </w:r>
      <w:r w:rsidRPr="008C175A">
        <w:rPr>
          <w:b/>
          <w:i/>
          <w:iCs/>
          <w:lang w:val="en-GB"/>
        </w:rPr>
        <w:t>Journal of Environmental Management</w:t>
      </w:r>
      <w:r w:rsidRPr="008C175A">
        <w:rPr>
          <w:b/>
          <w:lang w:val="en-GB"/>
        </w:rPr>
        <w:t xml:space="preserve">, 236(1), pp.798–814. </w:t>
      </w:r>
      <w:proofErr w:type="spellStart"/>
      <w:proofErr w:type="gramStart"/>
      <w:r w:rsidRPr="008C175A">
        <w:rPr>
          <w:b/>
          <w:lang w:val="en-GB"/>
        </w:rPr>
        <w:t>doi:https</w:t>
      </w:r>
      <w:proofErr w:type="spellEnd"/>
      <w:r w:rsidRPr="008C175A">
        <w:rPr>
          <w:b/>
          <w:lang w:val="en-GB"/>
        </w:rPr>
        <w:t>://doi.org/10.1016/j.jenvman.2019.02.001</w:t>
      </w:r>
      <w:proofErr w:type="gramEnd"/>
      <w:r w:rsidRPr="008C175A">
        <w:rPr>
          <w:b/>
          <w:lang w:val="en-GB"/>
        </w:rPr>
        <w:t>.</w:t>
      </w:r>
    </w:p>
    <w:p w14:paraId="72C17175" w14:textId="77777777" w:rsidR="008C175A" w:rsidRPr="008C175A" w:rsidRDefault="008C175A" w:rsidP="008C175A">
      <w:pPr>
        <w:numPr>
          <w:ilvl w:val="0"/>
          <w:numId w:val="3"/>
        </w:numPr>
        <w:rPr>
          <w:b/>
          <w:lang w:val="en-GB"/>
        </w:rPr>
      </w:pPr>
      <w:r w:rsidRPr="008C175A">
        <w:rPr>
          <w:b/>
          <w:lang w:val="en-GB"/>
        </w:rPr>
        <w:lastRenderedPageBreak/>
        <w:t xml:space="preserve">Suh, E. and Selwyn, J. (2022). Exploring Local Authority Variation in Looked After Young People’s Subjective Well-being. </w:t>
      </w:r>
      <w:r w:rsidRPr="008C175A">
        <w:rPr>
          <w:b/>
          <w:i/>
          <w:iCs/>
          <w:lang w:val="en-GB"/>
        </w:rPr>
        <w:t>The British Journal of Social Work</w:t>
      </w:r>
      <w:r w:rsidRPr="008C175A">
        <w:rPr>
          <w:b/>
          <w:lang w:val="en-GB"/>
        </w:rPr>
        <w:t xml:space="preserve">. </w:t>
      </w:r>
      <w:proofErr w:type="spellStart"/>
      <w:proofErr w:type="gramStart"/>
      <w:r w:rsidRPr="008C175A">
        <w:rPr>
          <w:b/>
          <w:lang w:val="en-GB"/>
        </w:rPr>
        <w:t>doi:https</w:t>
      </w:r>
      <w:proofErr w:type="spellEnd"/>
      <w:r w:rsidRPr="008C175A">
        <w:rPr>
          <w:b/>
          <w:lang w:val="en-GB"/>
        </w:rPr>
        <w:t>://doi.org/10.1093/</w:t>
      </w:r>
      <w:proofErr w:type="spellStart"/>
      <w:r w:rsidRPr="008C175A">
        <w:rPr>
          <w:b/>
          <w:lang w:val="en-GB"/>
        </w:rPr>
        <w:t>bjsw</w:t>
      </w:r>
      <w:proofErr w:type="spellEnd"/>
      <w:r w:rsidRPr="008C175A">
        <w:rPr>
          <w:b/>
          <w:lang w:val="en-GB"/>
        </w:rPr>
        <w:t>/bcac117</w:t>
      </w:r>
      <w:proofErr w:type="gramEnd"/>
      <w:r w:rsidRPr="008C175A">
        <w:rPr>
          <w:b/>
          <w:lang w:val="en-GB"/>
        </w:rPr>
        <w:t>.</w:t>
      </w:r>
    </w:p>
    <w:p w14:paraId="022A80A8" w14:textId="77777777" w:rsidR="008C175A" w:rsidRPr="008C175A" w:rsidRDefault="008C175A" w:rsidP="008C175A">
      <w:pPr>
        <w:numPr>
          <w:ilvl w:val="0"/>
          <w:numId w:val="3"/>
        </w:numPr>
        <w:rPr>
          <w:b/>
          <w:lang w:val="en-GB"/>
        </w:rPr>
      </w:pPr>
      <w:r w:rsidRPr="008C175A">
        <w:rPr>
          <w:b/>
          <w:lang w:val="en-GB"/>
        </w:rPr>
        <w:t xml:space="preserve">Tambur, A.R., Leventhal, J.R., Zitzner, J.R., Walsh, R.C. and </w:t>
      </w:r>
      <w:proofErr w:type="spellStart"/>
      <w:r w:rsidRPr="008C175A">
        <w:rPr>
          <w:b/>
          <w:lang w:val="en-GB"/>
        </w:rPr>
        <w:t>Friedewald</w:t>
      </w:r>
      <w:proofErr w:type="spellEnd"/>
      <w:r w:rsidRPr="008C175A">
        <w:rPr>
          <w:b/>
          <w:lang w:val="en-GB"/>
        </w:rPr>
        <w:t xml:space="preserve">, J.J. (2013). The DQ Barrier. </w:t>
      </w:r>
      <w:r w:rsidRPr="008C175A">
        <w:rPr>
          <w:b/>
          <w:i/>
          <w:iCs/>
          <w:lang w:val="en-GB"/>
        </w:rPr>
        <w:t>Transplantation</w:t>
      </w:r>
      <w:r w:rsidRPr="008C175A">
        <w:rPr>
          <w:b/>
          <w:lang w:val="en-GB"/>
        </w:rPr>
        <w:t xml:space="preserve">, 95(4), pp.635–640. </w:t>
      </w:r>
      <w:proofErr w:type="spellStart"/>
      <w:proofErr w:type="gramStart"/>
      <w:r w:rsidRPr="008C175A">
        <w:rPr>
          <w:b/>
          <w:lang w:val="en-GB"/>
        </w:rPr>
        <w:t>doi:https</w:t>
      </w:r>
      <w:proofErr w:type="spellEnd"/>
      <w:r w:rsidRPr="008C175A">
        <w:rPr>
          <w:b/>
          <w:lang w:val="en-GB"/>
        </w:rPr>
        <w:t>://doi.org/10.1097/tp.0b013e318277b30b</w:t>
      </w:r>
      <w:proofErr w:type="gramEnd"/>
      <w:r w:rsidRPr="008C175A">
        <w:rPr>
          <w:b/>
          <w:lang w:val="en-GB"/>
        </w:rPr>
        <w:t>.</w:t>
      </w:r>
    </w:p>
    <w:p w14:paraId="339656EB" w14:textId="77777777" w:rsidR="008C175A" w:rsidRPr="008C175A" w:rsidRDefault="008C175A" w:rsidP="008C175A">
      <w:pPr>
        <w:numPr>
          <w:ilvl w:val="0"/>
          <w:numId w:val="3"/>
        </w:numPr>
        <w:rPr>
          <w:b/>
          <w:lang w:val="en-GB"/>
        </w:rPr>
      </w:pPr>
      <w:r w:rsidRPr="008C175A">
        <w:rPr>
          <w:b/>
          <w:lang w:val="en-GB"/>
        </w:rPr>
        <w:t xml:space="preserve">Umar, M., Khan, S.A.R., </w:t>
      </w:r>
      <w:proofErr w:type="spellStart"/>
      <w:r w:rsidRPr="008C175A">
        <w:rPr>
          <w:b/>
          <w:lang w:val="en-GB"/>
        </w:rPr>
        <w:t>Zia-ul-haq</w:t>
      </w:r>
      <w:proofErr w:type="spellEnd"/>
      <w:r w:rsidRPr="008C175A">
        <w:rPr>
          <w:b/>
          <w:lang w:val="en-GB"/>
        </w:rPr>
        <w:t xml:space="preserve">, H.M., </w:t>
      </w:r>
      <w:proofErr w:type="spellStart"/>
      <w:r w:rsidRPr="008C175A">
        <w:rPr>
          <w:b/>
          <w:lang w:val="en-GB"/>
        </w:rPr>
        <w:t>Yusliza</w:t>
      </w:r>
      <w:proofErr w:type="spellEnd"/>
      <w:r w:rsidRPr="008C175A">
        <w:rPr>
          <w:b/>
          <w:lang w:val="en-GB"/>
        </w:rPr>
        <w:t xml:space="preserve">, M.Y. and Farooq, K. (2021). The role of emerging technologies in implementing green practices to achieve sustainable operations. </w:t>
      </w:r>
      <w:r w:rsidRPr="008C175A">
        <w:rPr>
          <w:b/>
          <w:i/>
          <w:iCs/>
          <w:lang w:val="en-GB"/>
        </w:rPr>
        <w:t>The TQM Journal</w:t>
      </w:r>
      <w:r w:rsidRPr="008C175A">
        <w:rPr>
          <w:b/>
          <w:lang w:val="en-GB"/>
        </w:rPr>
        <w:t xml:space="preserve">, ahead-of-print(ahead-of-print). </w:t>
      </w:r>
      <w:proofErr w:type="spellStart"/>
      <w:proofErr w:type="gramStart"/>
      <w:r w:rsidRPr="008C175A">
        <w:rPr>
          <w:b/>
          <w:lang w:val="en-GB"/>
        </w:rPr>
        <w:t>doi:https</w:t>
      </w:r>
      <w:proofErr w:type="spellEnd"/>
      <w:r w:rsidRPr="008C175A">
        <w:rPr>
          <w:b/>
          <w:lang w:val="en-GB"/>
        </w:rPr>
        <w:t>://doi.org/10.1108/tqm-06-2021-0172</w:t>
      </w:r>
      <w:proofErr w:type="gramEnd"/>
      <w:r w:rsidRPr="008C175A">
        <w:rPr>
          <w:b/>
          <w:lang w:val="en-GB"/>
        </w:rPr>
        <w:t>.</w:t>
      </w:r>
    </w:p>
    <w:p w14:paraId="29913D75" w14:textId="77777777" w:rsidR="008C175A" w:rsidRPr="008C175A" w:rsidRDefault="008C175A" w:rsidP="008C175A">
      <w:pPr>
        <w:numPr>
          <w:ilvl w:val="0"/>
          <w:numId w:val="3"/>
        </w:numPr>
        <w:rPr>
          <w:b/>
          <w:lang w:val="en-GB"/>
        </w:rPr>
      </w:pPr>
      <w:r w:rsidRPr="008C175A">
        <w:rPr>
          <w:b/>
          <w:lang w:val="en-GB"/>
        </w:rPr>
        <w:t xml:space="preserve">Xie, X., Huo, J. and Zou, H. (2019). Green process innovation, green product innovation, and corporate financial performance: A content analysis method. </w:t>
      </w:r>
      <w:r w:rsidRPr="008C175A">
        <w:rPr>
          <w:b/>
          <w:i/>
          <w:iCs/>
          <w:lang w:val="en-GB"/>
        </w:rPr>
        <w:t>Journal of Business Research</w:t>
      </w:r>
      <w:r w:rsidRPr="008C175A">
        <w:rPr>
          <w:b/>
          <w:lang w:val="en-GB"/>
        </w:rPr>
        <w:t xml:space="preserve">, 101(1), pp.697–706. </w:t>
      </w:r>
      <w:proofErr w:type="spellStart"/>
      <w:proofErr w:type="gramStart"/>
      <w:r w:rsidRPr="008C175A">
        <w:rPr>
          <w:b/>
          <w:lang w:val="en-GB"/>
        </w:rPr>
        <w:t>doi:https</w:t>
      </w:r>
      <w:proofErr w:type="spellEnd"/>
      <w:r w:rsidRPr="008C175A">
        <w:rPr>
          <w:b/>
          <w:lang w:val="en-GB"/>
        </w:rPr>
        <w:t>://doi.org/10.1016/j.jbusres.2019.01.010</w:t>
      </w:r>
      <w:proofErr w:type="gramEnd"/>
      <w:r w:rsidRPr="008C175A">
        <w:rPr>
          <w:b/>
          <w:lang w:val="en-GB"/>
        </w:rPr>
        <w:t>.</w:t>
      </w:r>
    </w:p>
    <w:p w14:paraId="43EF71F1" w14:textId="77777777" w:rsidR="008C175A" w:rsidRPr="008C175A" w:rsidRDefault="008C175A" w:rsidP="008C175A">
      <w:pPr>
        <w:rPr>
          <w:b/>
          <w:lang w:val="en-GB"/>
        </w:rPr>
      </w:pPr>
    </w:p>
    <w:p w14:paraId="53F30C7B" w14:textId="77777777" w:rsidR="008C175A" w:rsidRPr="008C175A" w:rsidRDefault="008C175A" w:rsidP="008C175A">
      <w:pPr>
        <w:rPr>
          <w:b/>
        </w:rPr>
      </w:pPr>
    </w:p>
    <w:p w14:paraId="2E32B409" w14:textId="77777777" w:rsidR="008C175A" w:rsidRPr="008C175A" w:rsidRDefault="008C175A" w:rsidP="008C175A">
      <w:pPr>
        <w:rPr>
          <w:b/>
        </w:rPr>
      </w:pPr>
    </w:p>
    <w:p w14:paraId="6A317F94" w14:textId="77777777" w:rsidR="008C175A" w:rsidRPr="008C175A" w:rsidRDefault="008C175A" w:rsidP="008C175A">
      <w:pPr>
        <w:rPr>
          <w:b/>
        </w:rPr>
      </w:pPr>
    </w:p>
    <w:p w14:paraId="07F84775" w14:textId="77777777" w:rsidR="008C175A" w:rsidRPr="008C175A" w:rsidRDefault="008C175A" w:rsidP="008C175A">
      <w:pPr>
        <w:rPr>
          <w:b/>
        </w:rPr>
      </w:pPr>
    </w:p>
    <w:p w14:paraId="3F04E599" w14:textId="67A7B12B" w:rsidR="007B7B21" w:rsidRPr="008C175A" w:rsidRDefault="007B7B21" w:rsidP="008C175A"/>
    <w:sectPr w:rsidR="007B7B21" w:rsidRPr="008C175A">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ADD4FE" w14:textId="77777777" w:rsidR="003C5E9F" w:rsidRDefault="003C5E9F">
      <w:pPr>
        <w:spacing w:after="0" w:line="240" w:lineRule="auto"/>
      </w:pPr>
      <w:r>
        <w:separator/>
      </w:r>
    </w:p>
  </w:endnote>
  <w:endnote w:type="continuationSeparator" w:id="0">
    <w:p w14:paraId="07513471" w14:textId="77777777" w:rsidR="003C5E9F" w:rsidRDefault="003C5E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E14168" w14:textId="77777777" w:rsidR="00235B49" w:rsidRDefault="00235B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6157681"/>
      <w:docPartObj>
        <w:docPartGallery w:val="Page Numbers (Bottom of Page)"/>
        <w:docPartUnique/>
      </w:docPartObj>
    </w:sdtPr>
    <w:sdtEndPr>
      <w:rPr>
        <w:noProof/>
      </w:rPr>
    </w:sdtEndPr>
    <w:sdtContent>
      <w:p w14:paraId="2D221232" w14:textId="77777777" w:rsidR="00235B49" w:rsidRDefault="00DC751D">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0F20D172" w14:textId="77777777" w:rsidR="00235B49" w:rsidRDefault="00235B4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E14C0A" w14:textId="77777777" w:rsidR="00235B49" w:rsidRDefault="00235B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0D391F" w14:textId="77777777" w:rsidR="003C5E9F" w:rsidRDefault="003C5E9F">
      <w:pPr>
        <w:spacing w:after="0" w:line="240" w:lineRule="auto"/>
      </w:pPr>
      <w:r>
        <w:separator/>
      </w:r>
    </w:p>
  </w:footnote>
  <w:footnote w:type="continuationSeparator" w:id="0">
    <w:p w14:paraId="44E4ADCC" w14:textId="77777777" w:rsidR="003C5E9F" w:rsidRDefault="003C5E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C9760C" w14:textId="77777777" w:rsidR="00235B49" w:rsidRDefault="00235B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A22BE5" w14:textId="77777777" w:rsidR="00235B49" w:rsidRDefault="00235B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7652D2" w14:textId="77777777" w:rsidR="00235B49" w:rsidRDefault="00235B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7D19B3"/>
    <w:multiLevelType w:val="hybridMultilevel"/>
    <w:tmpl w:val="401260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AF20B6C"/>
    <w:multiLevelType w:val="hybridMultilevel"/>
    <w:tmpl w:val="8CE6F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2443D7D"/>
    <w:multiLevelType w:val="hybridMultilevel"/>
    <w:tmpl w:val="43A8E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47556661">
    <w:abstractNumId w:val="2"/>
  </w:num>
  <w:num w:numId="2" w16cid:durableId="128863025">
    <w:abstractNumId w:val="1"/>
  </w:num>
  <w:num w:numId="3" w16cid:durableId="167707813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3FF5"/>
    <w:rsid w:val="000E3FF5"/>
    <w:rsid w:val="00100B50"/>
    <w:rsid w:val="001B1426"/>
    <w:rsid w:val="001F1C8B"/>
    <w:rsid w:val="00214C45"/>
    <w:rsid w:val="00235B49"/>
    <w:rsid w:val="00290F12"/>
    <w:rsid w:val="0037343B"/>
    <w:rsid w:val="003C5E9F"/>
    <w:rsid w:val="003C604A"/>
    <w:rsid w:val="004B71FF"/>
    <w:rsid w:val="005D7027"/>
    <w:rsid w:val="006757BE"/>
    <w:rsid w:val="006E1D05"/>
    <w:rsid w:val="007B7B21"/>
    <w:rsid w:val="00870F99"/>
    <w:rsid w:val="008C175A"/>
    <w:rsid w:val="00962CD7"/>
    <w:rsid w:val="00A901B7"/>
    <w:rsid w:val="00AC0B5E"/>
    <w:rsid w:val="00B127B9"/>
    <w:rsid w:val="00B4799D"/>
    <w:rsid w:val="00CB3C50"/>
    <w:rsid w:val="00CB5B5D"/>
    <w:rsid w:val="00CE52FF"/>
    <w:rsid w:val="00DA4562"/>
    <w:rsid w:val="00DC751D"/>
    <w:rsid w:val="00FD1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573B6"/>
  <w15:chartTrackingRefBased/>
  <w15:docId w15:val="{DF6B05CC-85B4-4FE3-8A2D-2CE6341E0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0B5E"/>
    <w:pPr>
      <w:spacing w:line="36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AC0B5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AC0B5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0B5E"/>
    <w:rPr>
      <w:rFonts w:ascii="Times New Roman" w:eastAsiaTheme="majorEastAsia" w:hAnsi="Times New Roman" w:cstheme="majorBidi"/>
      <w:b/>
      <w:color w:val="000000" w:themeColor="text1"/>
      <w:sz w:val="32"/>
      <w:szCs w:val="32"/>
      <w:lang w:val="en-US"/>
    </w:rPr>
  </w:style>
  <w:style w:type="character" w:customStyle="1" w:styleId="Heading2Char">
    <w:name w:val="Heading 2 Char"/>
    <w:basedOn w:val="DefaultParagraphFont"/>
    <w:link w:val="Heading2"/>
    <w:uiPriority w:val="9"/>
    <w:rsid w:val="00AC0B5E"/>
    <w:rPr>
      <w:rFonts w:ascii="Times New Roman" w:eastAsiaTheme="majorEastAsia" w:hAnsi="Times New Roman" w:cstheme="majorBidi"/>
      <w:b/>
      <w:sz w:val="28"/>
      <w:szCs w:val="26"/>
      <w:lang w:val="en-US"/>
    </w:rPr>
  </w:style>
  <w:style w:type="paragraph" w:styleId="ListParagraph">
    <w:name w:val="List Paragraph"/>
    <w:basedOn w:val="Normal"/>
    <w:uiPriority w:val="34"/>
    <w:qFormat/>
    <w:rsid w:val="00AC0B5E"/>
    <w:pPr>
      <w:ind w:left="720"/>
      <w:contextualSpacing/>
    </w:pPr>
  </w:style>
  <w:style w:type="table" w:styleId="TableGrid">
    <w:name w:val="Table Grid"/>
    <w:basedOn w:val="TableNormal"/>
    <w:uiPriority w:val="39"/>
    <w:rsid w:val="00AC0B5E"/>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C0B5E"/>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AC0B5E"/>
    <w:rPr>
      <w:color w:val="0563C1" w:themeColor="hyperlink"/>
      <w:u w:val="single"/>
    </w:rPr>
  </w:style>
  <w:style w:type="paragraph" w:styleId="Header">
    <w:name w:val="header"/>
    <w:basedOn w:val="Normal"/>
    <w:link w:val="HeaderChar"/>
    <w:uiPriority w:val="99"/>
    <w:unhideWhenUsed/>
    <w:rsid w:val="00AC0B5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0B5E"/>
    <w:rPr>
      <w:rFonts w:ascii="Times New Roman" w:hAnsi="Times New Roman"/>
      <w:sz w:val="24"/>
      <w:lang w:val="en-US"/>
    </w:rPr>
  </w:style>
  <w:style w:type="paragraph" w:styleId="Footer">
    <w:name w:val="footer"/>
    <w:basedOn w:val="Normal"/>
    <w:link w:val="FooterChar"/>
    <w:uiPriority w:val="99"/>
    <w:unhideWhenUsed/>
    <w:rsid w:val="00AC0B5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0B5E"/>
    <w:rPr>
      <w:rFonts w:ascii="Times New Roman" w:hAnsi="Times New Roman"/>
      <w:sz w:val="24"/>
      <w:lang w:val="en-US"/>
    </w:rPr>
  </w:style>
  <w:style w:type="paragraph" w:styleId="TOCHeading">
    <w:name w:val="TOC Heading"/>
    <w:basedOn w:val="Heading1"/>
    <w:next w:val="Normal"/>
    <w:uiPriority w:val="39"/>
    <w:unhideWhenUsed/>
    <w:qFormat/>
    <w:rsid w:val="00AC0B5E"/>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AC0B5E"/>
    <w:pPr>
      <w:spacing w:after="100"/>
    </w:pPr>
  </w:style>
  <w:style w:type="paragraph" w:styleId="TOC2">
    <w:name w:val="toc 2"/>
    <w:basedOn w:val="Normal"/>
    <w:next w:val="Normal"/>
    <w:autoRedefine/>
    <w:uiPriority w:val="39"/>
    <w:unhideWhenUsed/>
    <w:rsid w:val="00AC0B5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328895">
      <w:bodyDiv w:val="1"/>
      <w:marLeft w:val="0"/>
      <w:marRight w:val="0"/>
      <w:marTop w:val="0"/>
      <w:marBottom w:val="0"/>
      <w:divBdr>
        <w:top w:val="none" w:sz="0" w:space="0" w:color="auto"/>
        <w:left w:val="none" w:sz="0" w:space="0" w:color="auto"/>
        <w:bottom w:val="none" w:sz="0" w:space="0" w:color="auto"/>
        <w:right w:val="none" w:sz="0" w:space="0" w:color="auto"/>
      </w:divBdr>
    </w:div>
    <w:div w:id="178742593">
      <w:bodyDiv w:val="1"/>
      <w:marLeft w:val="0"/>
      <w:marRight w:val="0"/>
      <w:marTop w:val="0"/>
      <w:marBottom w:val="0"/>
      <w:divBdr>
        <w:top w:val="none" w:sz="0" w:space="0" w:color="auto"/>
        <w:left w:val="none" w:sz="0" w:space="0" w:color="auto"/>
        <w:bottom w:val="none" w:sz="0" w:space="0" w:color="auto"/>
        <w:right w:val="none" w:sz="0" w:space="0" w:color="auto"/>
      </w:divBdr>
    </w:div>
    <w:div w:id="533809497">
      <w:bodyDiv w:val="1"/>
      <w:marLeft w:val="0"/>
      <w:marRight w:val="0"/>
      <w:marTop w:val="0"/>
      <w:marBottom w:val="0"/>
      <w:divBdr>
        <w:top w:val="none" w:sz="0" w:space="0" w:color="auto"/>
        <w:left w:val="none" w:sz="0" w:space="0" w:color="auto"/>
        <w:bottom w:val="none" w:sz="0" w:space="0" w:color="auto"/>
        <w:right w:val="none" w:sz="0" w:space="0" w:color="auto"/>
      </w:divBdr>
    </w:div>
    <w:div w:id="753012135">
      <w:bodyDiv w:val="1"/>
      <w:marLeft w:val="0"/>
      <w:marRight w:val="0"/>
      <w:marTop w:val="0"/>
      <w:marBottom w:val="0"/>
      <w:divBdr>
        <w:top w:val="none" w:sz="0" w:space="0" w:color="auto"/>
        <w:left w:val="none" w:sz="0" w:space="0" w:color="auto"/>
        <w:bottom w:val="none" w:sz="0" w:space="0" w:color="auto"/>
        <w:right w:val="none" w:sz="0" w:space="0" w:color="auto"/>
      </w:divBdr>
    </w:div>
    <w:div w:id="1115633185">
      <w:bodyDiv w:val="1"/>
      <w:marLeft w:val="0"/>
      <w:marRight w:val="0"/>
      <w:marTop w:val="0"/>
      <w:marBottom w:val="0"/>
      <w:divBdr>
        <w:top w:val="none" w:sz="0" w:space="0" w:color="auto"/>
        <w:left w:val="none" w:sz="0" w:space="0" w:color="auto"/>
        <w:bottom w:val="none" w:sz="0" w:space="0" w:color="auto"/>
        <w:right w:val="none" w:sz="0" w:space="0" w:color="auto"/>
      </w:divBdr>
    </w:div>
    <w:div w:id="1294019900">
      <w:bodyDiv w:val="1"/>
      <w:marLeft w:val="0"/>
      <w:marRight w:val="0"/>
      <w:marTop w:val="0"/>
      <w:marBottom w:val="0"/>
      <w:divBdr>
        <w:top w:val="none" w:sz="0" w:space="0" w:color="auto"/>
        <w:left w:val="none" w:sz="0" w:space="0" w:color="auto"/>
        <w:bottom w:val="none" w:sz="0" w:space="0" w:color="auto"/>
        <w:right w:val="none" w:sz="0" w:space="0" w:color="auto"/>
      </w:divBdr>
    </w:div>
    <w:div w:id="1694839855">
      <w:bodyDiv w:val="1"/>
      <w:marLeft w:val="0"/>
      <w:marRight w:val="0"/>
      <w:marTop w:val="0"/>
      <w:marBottom w:val="0"/>
      <w:divBdr>
        <w:top w:val="none" w:sz="0" w:space="0" w:color="auto"/>
        <w:left w:val="none" w:sz="0" w:space="0" w:color="auto"/>
        <w:bottom w:val="none" w:sz="0" w:space="0" w:color="auto"/>
        <w:right w:val="none" w:sz="0" w:space="0" w:color="auto"/>
      </w:divBdr>
    </w:div>
    <w:div w:id="1723407632">
      <w:bodyDiv w:val="1"/>
      <w:marLeft w:val="0"/>
      <w:marRight w:val="0"/>
      <w:marTop w:val="0"/>
      <w:marBottom w:val="0"/>
      <w:divBdr>
        <w:top w:val="none" w:sz="0" w:space="0" w:color="auto"/>
        <w:left w:val="none" w:sz="0" w:space="0" w:color="auto"/>
        <w:bottom w:val="none" w:sz="0" w:space="0" w:color="auto"/>
        <w:right w:val="none" w:sz="0" w:space="0" w:color="auto"/>
      </w:divBdr>
    </w:div>
    <w:div w:id="1969819504">
      <w:bodyDiv w:val="1"/>
      <w:marLeft w:val="0"/>
      <w:marRight w:val="0"/>
      <w:marTop w:val="0"/>
      <w:marBottom w:val="0"/>
      <w:divBdr>
        <w:top w:val="none" w:sz="0" w:space="0" w:color="auto"/>
        <w:left w:val="none" w:sz="0" w:space="0" w:color="auto"/>
        <w:bottom w:val="none" w:sz="0" w:space="0" w:color="auto"/>
        <w:right w:val="none" w:sz="0" w:space="0" w:color="auto"/>
      </w:divBdr>
    </w:div>
    <w:div w:id="2040230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2538</Words>
  <Characters>14467</Characters>
  <Application>Microsoft Office Word</Application>
  <DocSecurity>0</DocSecurity>
  <Lines>120</Lines>
  <Paragraphs>33</Paragraphs>
  <ScaleCrop>false</ScaleCrop>
  <Company/>
  <LinksUpToDate>false</LinksUpToDate>
  <CharactersWithSpaces>16972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Nowshin Ahmed</dc:creator>
  <cp:keywords/>
  <dc:description/>
  <cp:lastModifiedBy>Nowshin Ahmed // Rawlins // Student</cp:lastModifiedBy>
  <cp:revision>12</cp:revision>
  <dcterms:created xsi:type="dcterms:W3CDTF">2024-10-09T12:06:00Z</dcterms:created>
  <dcterms:modified xsi:type="dcterms:W3CDTF">2024-10-19T16:46:00Z</dcterms:modified>
</cp:coreProperties>
</file>