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5C8247" w14:textId="77777777" w:rsidR="00EB0A50" w:rsidRDefault="00EB0A50">
      <w:pPr>
        <w:spacing w:before="2400"/>
      </w:pPr>
    </w:p>
    <w:p w14:paraId="49FED108" w14:textId="77777777" w:rsidR="00EB0A50" w:rsidRDefault="00000000">
      <w:pPr>
        <w:spacing w:after="300"/>
        <w:jc w:val="center"/>
      </w:pPr>
      <w:r>
        <w:rPr>
          <w:b/>
          <w:bCs/>
          <w:color w:val="1B2A4A"/>
          <w:sz w:val="40"/>
          <w:szCs w:val="40"/>
        </w:rPr>
        <w:t>AN INFORMATION SYSTEMS PROPOSAL FOR MALDIVA LTD.</w:t>
      </w:r>
    </w:p>
    <w:p w14:paraId="4FA607AE" w14:textId="77777777" w:rsidR="00EB0A50" w:rsidRDefault="00000000">
      <w:pPr>
        <w:spacing w:after="900"/>
        <w:jc w:val="center"/>
      </w:pPr>
      <w:r>
        <w:rPr>
          <w:i/>
          <w:iCs/>
          <w:color w:val="2E5FA3"/>
          <w:sz w:val="26"/>
          <w:szCs w:val="26"/>
        </w:rPr>
        <w:t>Streamlining Business Operations Through an Integrated Cloud ERP System</w:t>
      </w:r>
    </w:p>
    <w:p w14:paraId="2F818E01" w14:textId="77777777" w:rsidR="00EB0A50" w:rsidRDefault="00000000">
      <w:pPr>
        <w:spacing w:after="200"/>
        <w:jc w:val="center"/>
      </w:pPr>
      <w:r>
        <w:rPr>
          <w:b/>
          <w:bCs/>
        </w:rPr>
        <w:t xml:space="preserve">Name: </w:t>
      </w:r>
      <w:r>
        <w:t>Latoya Brown</w:t>
      </w:r>
    </w:p>
    <w:p w14:paraId="18319681" w14:textId="77777777" w:rsidR="00EB0A50" w:rsidRDefault="00000000">
      <w:pPr>
        <w:spacing w:after="200"/>
        <w:jc w:val="center"/>
      </w:pPr>
      <w:r>
        <w:rPr>
          <w:b/>
          <w:bCs/>
        </w:rPr>
        <w:t xml:space="preserve">Student Number: </w:t>
      </w:r>
      <w:r>
        <w:t>2428456</w:t>
      </w:r>
    </w:p>
    <w:p w14:paraId="41679A0C" w14:textId="77777777" w:rsidR="00EB0A50" w:rsidRDefault="00000000">
      <w:pPr>
        <w:spacing w:after="200"/>
        <w:jc w:val="center"/>
      </w:pPr>
      <w:r>
        <w:rPr>
          <w:b/>
          <w:bCs/>
        </w:rPr>
        <w:t xml:space="preserve">Programme: </w:t>
      </w:r>
      <w:r>
        <w:t>BA (Hons) Leadership and Management Skills for the Workplace</w:t>
      </w:r>
    </w:p>
    <w:p w14:paraId="3E8D8744" w14:textId="77777777" w:rsidR="00EB0A50" w:rsidRDefault="00000000">
      <w:pPr>
        <w:spacing w:after="200"/>
        <w:jc w:val="center"/>
      </w:pPr>
      <w:r>
        <w:rPr>
          <w:b/>
          <w:bCs/>
        </w:rPr>
        <w:t xml:space="preserve">Module Code and Title: </w:t>
      </w:r>
      <w:r>
        <w:t>LCLM 5004 – Managing Business Information</w:t>
      </w:r>
    </w:p>
    <w:p w14:paraId="568B0B6D" w14:textId="77777777" w:rsidR="00EB0A50" w:rsidRDefault="00000000">
      <w:pPr>
        <w:spacing w:after="200"/>
        <w:jc w:val="center"/>
      </w:pPr>
      <w:r>
        <w:rPr>
          <w:b/>
          <w:bCs/>
        </w:rPr>
        <w:t xml:space="preserve">Lecturer: </w:t>
      </w:r>
      <w:r>
        <w:t>Dr Chinomso Nwagboso</w:t>
      </w:r>
    </w:p>
    <w:p w14:paraId="2F4238A1" w14:textId="77777777" w:rsidR="00EB0A50" w:rsidRDefault="00000000">
      <w:pPr>
        <w:spacing w:after="200"/>
        <w:jc w:val="center"/>
      </w:pPr>
      <w:r>
        <w:rPr>
          <w:b/>
          <w:bCs/>
        </w:rPr>
        <w:t xml:space="preserve">Assignment Title: </w:t>
      </w:r>
      <w:r>
        <w:t>Component 2 – Individual Report – Information Systems Improvements</w:t>
      </w:r>
    </w:p>
    <w:p w14:paraId="1A833EC6" w14:textId="77777777" w:rsidR="00EB0A50" w:rsidRDefault="00000000">
      <w:pPr>
        <w:spacing w:after="200"/>
        <w:jc w:val="center"/>
      </w:pPr>
      <w:r>
        <w:rPr>
          <w:b/>
          <w:bCs/>
        </w:rPr>
        <w:t xml:space="preserve">Prepared for: </w:t>
      </w:r>
      <w:r>
        <w:t xml:space="preserve">The Chief Executive Officer, </w:t>
      </w:r>
      <w:proofErr w:type="spellStart"/>
      <w:r>
        <w:t>Maldiva</w:t>
      </w:r>
      <w:proofErr w:type="spellEnd"/>
      <w:r>
        <w:t xml:space="preserve"> Ltd. (in the role of external IT consultant)</w:t>
      </w:r>
    </w:p>
    <w:p w14:paraId="3D9A3F5D" w14:textId="77777777" w:rsidR="00EB0A50" w:rsidRDefault="00000000">
      <w:r>
        <w:br w:type="page"/>
      </w:r>
    </w:p>
    <w:p w14:paraId="617DB251" w14:textId="77777777" w:rsidR="00EB0A50" w:rsidRDefault="00000000">
      <w:pPr>
        <w:pStyle w:val="Heading1"/>
        <w:spacing w:before="280" w:after="180"/>
      </w:pPr>
      <w:r>
        <w:rPr>
          <w:b/>
          <w:bCs/>
          <w:color w:val="1B2A4A"/>
          <w:sz w:val="28"/>
          <w:szCs w:val="28"/>
        </w:rPr>
        <w:lastRenderedPageBreak/>
        <w:t>1. Introduction</w:t>
      </w:r>
    </w:p>
    <w:p w14:paraId="2E2EBDF8" w14:textId="77777777" w:rsidR="00EB0A50" w:rsidRDefault="00000000">
      <w:pPr>
        <w:pStyle w:val="Heading2"/>
        <w:spacing w:before="220" w:after="140"/>
      </w:pPr>
      <w:r>
        <w:rPr>
          <w:b/>
          <w:bCs/>
          <w:color w:val="2E5FA3"/>
          <w:sz w:val="24"/>
          <w:szCs w:val="24"/>
        </w:rPr>
        <w:t>1.1 Background</w:t>
      </w:r>
    </w:p>
    <w:p w14:paraId="523AA630" w14:textId="77777777" w:rsidR="00EB0A50" w:rsidRDefault="00000000">
      <w:pPr>
        <w:spacing w:after="160"/>
        <w:jc w:val="both"/>
      </w:pPr>
      <w:r>
        <w:t>Information systems have become a strategic resource enabling organisations to improve efficiency, support decision-making and gain competitive advantage; businesses that depend on fragmented or outdated systems often experience operational inefficiency, poor customer service and increased risk (Laudon and Laudon, 2022).</w:t>
      </w:r>
    </w:p>
    <w:p w14:paraId="2F066A23" w14:textId="77777777" w:rsidR="00EB0A50" w:rsidRDefault="00000000">
      <w:pPr>
        <w:spacing w:after="160"/>
        <w:jc w:val="both"/>
      </w:pPr>
      <w:r>
        <w:t xml:space="preserve">This proposal has been prepared in the capacity of an external IT consultant engaged by the Chief Executive Officer of </w:t>
      </w:r>
      <w:proofErr w:type="spellStart"/>
      <w:r>
        <w:t>Maldiva</w:t>
      </w:r>
      <w:proofErr w:type="spellEnd"/>
      <w:r>
        <w:t xml:space="preserve"> Ltd. to analyse the company's operational challenges and recommend a modern information system. </w:t>
      </w:r>
      <w:proofErr w:type="spellStart"/>
      <w:r>
        <w:t>Maldiva</w:t>
      </w:r>
      <w:proofErr w:type="spellEnd"/>
      <w:r>
        <w:t xml:space="preserve"> Ltd. is a rapidly expanding UK consumer electronics retailer operating thirty physical stores alongside an e-commerce platform. Its information systems have not evolved at the same pace as its commercial growth: the business relies on disconnected applications supported by manual data entry and spreadsheets, which prevent departments from sharing information and reduce management's ability to make timely, evidence-based decisions.</w:t>
      </w:r>
    </w:p>
    <w:p w14:paraId="24228D5E" w14:textId="77777777" w:rsidR="00EB0A50" w:rsidRDefault="00000000">
      <w:pPr>
        <w:pStyle w:val="Heading2"/>
        <w:spacing w:before="220" w:after="140"/>
      </w:pPr>
      <w:r>
        <w:rPr>
          <w:b/>
          <w:bCs/>
          <w:color w:val="2E5FA3"/>
          <w:sz w:val="24"/>
          <w:szCs w:val="24"/>
        </w:rPr>
        <w:t>1.2 Key Challenges</w:t>
      </w:r>
    </w:p>
    <w:p w14:paraId="5C962205" w14:textId="77777777" w:rsidR="00EB0A50" w:rsidRDefault="00000000">
      <w:pPr>
        <w:spacing w:after="160"/>
        <w:jc w:val="both"/>
      </w:pPr>
      <w:r>
        <w:t>The business case identifies several interconnected challenges. Inventory records are maintained separately across stores and the online platform, producing inaccurate stock levels, cancelled orders and lost revenue. Customer information is dispersed across multiple databases, preventing a complete view of purchasing behaviour or personalised service. Management reports are compiled manually in spreadsheets, delaying decisions and increasing error, while weak security controls expose the organisation to cyber threats and potential breaches of the UK General Data Protection Regulation (UK GDPR).</w:t>
      </w:r>
    </w:p>
    <w:p w14:paraId="06A3EF9D" w14:textId="77777777" w:rsidR="00EB0A50" w:rsidRDefault="00000000">
      <w:pPr>
        <w:spacing w:after="160"/>
        <w:jc w:val="both"/>
      </w:pPr>
      <w:r>
        <w:t xml:space="preserve">These are not isolated technical faults but evidence that </w:t>
      </w:r>
      <w:proofErr w:type="spellStart"/>
      <w:r>
        <w:t>Maldiva's</w:t>
      </w:r>
      <w:proofErr w:type="spellEnd"/>
      <w:r>
        <w:t xml:space="preserve"> systems are no longer aligned with its strategic objectives. This report therefore recommends a cloud-based Enterprise Resource Planning (ERP) solution integrating Customer Relationship Management (CRM), Business Intelligence (BI) and financial management into one platform. It evaluates the existing systems, assesses alternative solutions, justifies the recommended platform and proposes a phased implementation strategy.</w:t>
      </w:r>
    </w:p>
    <w:p w14:paraId="5A2C0CAF" w14:textId="77777777" w:rsidR="00EB0A50" w:rsidRDefault="00000000">
      <w:pPr>
        <w:pStyle w:val="Heading1"/>
        <w:spacing w:before="280" w:after="180"/>
      </w:pPr>
      <w:r>
        <w:rPr>
          <w:b/>
          <w:bCs/>
          <w:color w:val="1B2A4A"/>
          <w:sz w:val="28"/>
          <w:szCs w:val="28"/>
        </w:rPr>
        <w:t>2. Evaluation of Existing Information Systems</w:t>
      </w:r>
    </w:p>
    <w:p w14:paraId="66EF8DAF" w14:textId="77777777" w:rsidR="00EB0A50" w:rsidRDefault="00000000">
      <w:pPr>
        <w:spacing w:after="160"/>
        <w:jc w:val="both"/>
      </w:pPr>
      <w:proofErr w:type="spellStart"/>
      <w:r>
        <w:t>Maldiva</w:t>
      </w:r>
      <w:proofErr w:type="spellEnd"/>
      <w:r>
        <w:t xml:space="preserve"> Ltd.'s existing systems reflect a functional approach in which each department operates independent applications with little communication between them, creating information silos that restrict performance. Applying Laudon and Laudon's (2022) </w:t>
      </w:r>
      <w:r>
        <w:lastRenderedPageBreak/>
        <w:t xml:space="preserve">classification, </w:t>
      </w:r>
      <w:proofErr w:type="spellStart"/>
      <w:r>
        <w:t>Maldiva</w:t>
      </w:r>
      <w:proofErr w:type="spellEnd"/>
      <w:r>
        <w:t xml:space="preserve"> operates basic transaction processing systems (tills, the online storefront and a standalone finance package) but lacks the management information and decision-support layers that should sit above them; because none shares a common database, the same business fact exists in several inconsistent versions. The current architecture, illustrated in Figure 1, therefore fails the fundamental test of enabling seamless information flow across business functions.</w:t>
      </w:r>
    </w:p>
    <w:p w14:paraId="0F1B52EF" w14:textId="77777777" w:rsidR="00EB0A50" w:rsidRDefault="00000000">
      <w:pPr>
        <w:spacing w:before="160" w:after="40"/>
        <w:jc w:val="center"/>
      </w:pPr>
      <w:r>
        <w:rPr>
          <w:noProof/>
        </w:rPr>
        <w:drawing>
          <wp:inline distT="0" distB="0" distL="0" distR="0" wp14:anchorId="67719662" wp14:editId="0BA32198">
            <wp:extent cx="5760720" cy="30906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760720" cy="3090672"/>
                    </a:xfrm>
                    <a:prstGeom prst="rect">
                      <a:avLst/>
                    </a:prstGeom>
                  </pic:spPr>
                </pic:pic>
              </a:graphicData>
            </a:graphic>
          </wp:inline>
        </w:drawing>
      </w:r>
    </w:p>
    <w:p w14:paraId="264964EE" w14:textId="77777777" w:rsidR="00EB0A50" w:rsidRDefault="00000000">
      <w:pPr>
        <w:spacing w:before="80" w:after="240" w:line="300" w:lineRule="auto"/>
        <w:jc w:val="center"/>
      </w:pPr>
      <w:r>
        <w:rPr>
          <w:i/>
          <w:iCs/>
          <w:color w:val="555555"/>
          <w:sz w:val="19"/>
          <w:szCs w:val="19"/>
        </w:rPr>
        <w:t xml:space="preserve">Figure 1: </w:t>
      </w:r>
      <w:proofErr w:type="spellStart"/>
      <w:r>
        <w:rPr>
          <w:i/>
          <w:iCs/>
          <w:color w:val="555555"/>
          <w:sz w:val="19"/>
          <w:szCs w:val="19"/>
        </w:rPr>
        <w:t>Maldiva</w:t>
      </w:r>
      <w:proofErr w:type="spellEnd"/>
      <w:r>
        <w:rPr>
          <w:i/>
          <w:iCs/>
          <w:color w:val="555555"/>
          <w:sz w:val="19"/>
          <w:szCs w:val="19"/>
        </w:rPr>
        <w:t xml:space="preserve"> Ltd.'s current information systems (“as-is” architecture) (author's own illustration).</w:t>
      </w:r>
    </w:p>
    <w:p w14:paraId="68B1CA96" w14:textId="77777777" w:rsidR="00EB0A50" w:rsidRDefault="00000000">
      <w:pPr>
        <w:spacing w:after="160"/>
        <w:jc w:val="both"/>
      </w:pPr>
      <w:r>
        <w:t>The most significant weakness concerns inventory management. Stock information is updated manually across stores and the online platform, so products appear available online after they have sold in-store, resulting in cancelled orders, refunds and customer dissatisfaction; repeated fulfilment failures also erode long-term trust. Chaffey, Hemphill and Edmundson-Bird (2019) argue that inventory visibility is fundamental to omnichannel retailing because customers expect real-time availability across all channels.</w:t>
      </w:r>
    </w:p>
    <w:p w14:paraId="07B5CB51" w14:textId="77777777" w:rsidR="00EB0A50" w:rsidRDefault="00000000">
      <w:pPr>
        <w:spacing w:after="160"/>
        <w:jc w:val="both"/>
      </w:pPr>
      <w:r>
        <w:t>Customer relationship management is similarly fragmented: records sit in multiple independent systems, so marketing cannot target campaigns, service staff cannot resolve enquiries efficiently and retention opportunities are missed. Payne and Frow (2005) suggest that integrated CRM creates competitive advantage by enabling stronger customer relationships through personalised communication and improved service.</w:t>
      </w:r>
    </w:p>
    <w:p w14:paraId="64458856" w14:textId="77777777" w:rsidR="00EB0A50" w:rsidRDefault="00000000">
      <w:pPr>
        <w:spacing w:after="160"/>
        <w:jc w:val="both"/>
      </w:pPr>
      <w:r>
        <w:t>Management reporting is a further weakness. Performance information is consolidated manually in spreadsheets, consuming staff time and increasing calculation errors and inconsistency, so senior managers make strategic decisions using historical rather than real-time intelligence, limiting proactive responses to market conditions.</w:t>
      </w:r>
    </w:p>
    <w:p w14:paraId="5A8C47FF" w14:textId="77777777" w:rsidR="00EB0A50" w:rsidRDefault="00000000">
      <w:pPr>
        <w:spacing w:after="160"/>
        <w:jc w:val="both"/>
      </w:pPr>
      <w:r>
        <w:lastRenderedPageBreak/>
        <w:t xml:space="preserve">Security and compliance are also concerning. Without role-based access controls, centralised authentication or audit trails, </w:t>
      </w:r>
      <w:proofErr w:type="spellStart"/>
      <w:r>
        <w:t>Maldiva</w:t>
      </w:r>
      <w:proofErr w:type="spellEnd"/>
      <w:r>
        <w:t xml:space="preserve"> is exposed to unauthorised access and cyber incidents. Under the UK GDPR, organisations must implement appropriate technical and organisational measures to safeguard personal information, and non-compliance risks substantial financial penalties and reputational damage (Information Commissioner's Office, 2023).</w:t>
      </w:r>
    </w:p>
    <w:p w14:paraId="52B2EC09" w14:textId="77777777" w:rsidR="00EB0A50" w:rsidRDefault="00000000">
      <w:pPr>
        <w:spacing w:after="160"/>
        <w:jc w:val="both"/>
      </w:pPr>
      <w:r>
        <w:t xml:space="preserve">The most fundamental weakness is the lack of integration. Sales, finance, inventory and customer service maintain separate databases, so employees manually transfer information between systems; every transfer adds error and workload, and as the organisation expands these inefficiencies grow with it. Overall, the current systems create complexity, hinder collaboration and prevent </w:t>
      </w:r>
      <w:proofErr w:type="spellStart"/>
      <w:r>
        <w:t>Maldiva</w:t>
      </w:r>
      <w:proofErr w:type="spellEnd"/>
      <w:r>
        <w:t xml:space="preserve"> from exploiting the value of its data. Table 1 summarises this evaluation.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50"/>
        <w:gridCol w:w="2300"/>
        <w:gridCol w:w="2500"/>
        <w:gridCol w:w="2510"/>
      </w:tblGrid>
      <w:tr w:rsidR="00EB0A50" w14:paraId="6D527F45" w14:textId="77777777">
        <w:tblPrEx>
          <w:tblCellMar>
            <w:top w:w="0" w:type="dxa"/>
            <w:bottom w:w="0" w:type="dxa"/>
          </w:tblCellMar>
        </w:tblPrEx>
        <w:tc>
          <w:tcPr>
            <w:tcW w:w="2050" w:type="dxa"/>
            <w:shd w:val="clear" w:color="auto" w:fill="1B2A4A"/>
            <w:tcMar>
              <w:top w:w="80" w:type="dxa"/>
              <w:left w:w="110" w:type="dxa"/>
              <w:bottom w:w="80" w:type="dxa"/>
              <w:right w:w="110" w:type="dxa"/>
            </w:tcMar>
          </w:tcPr>
          <w:p w14:paraId="3515EC6A" w14:textId="77777777" w:rsidR="00EB0A50" w:rsidRDefault="00000000">
            <w:pPr>
              <w:spacing w:line="300" w:lineRule="auto"/>
            </w:pPr>
            <w:r>
              <w:rPr>
                <w:b/>
                <w:bCs/>
                <w:color w:val="FFFFFF"/>
                <w:sz w:val="21"/>
                <w:szCs w:val="21"/>
              </w:rPr>
              <w:t>Business Area</w:t>
            </w:r>
          </w:p>
        </w:tc>
        <w:tc>
          <w:tcPr>
            <w:tcW w:w="2300" w:type="dxa"/>
            <w:shd w:val="clear" w:color="auto" w:fill="1B2A4A"/>
            <w:tcMar>
              <w:top w:w="80" w:type="dxa"/>
              <w:left w:w="110" w:type="dxa"/>
              <w:bottom w:w="80" w:type="dxa"/>
              <w:right w:w="110" w:type="dxa"/>
            </w:tcMar>
          </w:tcPr>
          <w:p w14:paraId="251B5B80" w14:textId="77777777" w:rsidR="00EB0A50" w:rsidRDefault="00000000">
            <w:pPr>
              <w:spacing w:line="300" w:lineRule="auto"/>
            </w:pPr>
            <w:r>
              <w:rPr>
                <w:b/>
                <w:bCs/>
                <w:color w:val="FFFFFF"/>
                <w:sz w:val="21"/>
                <w:szCs w:val="21"/>
              </w:rPr>
              <w:t>Current Situation</w:t>
            </w:r>
          </w:p>
        </w:tc>
        <w:tc>
          <w:tcPr>
            <w:tcW w:w="2500" w:type="dxa"/>
            <w:shd w:val="clear" w:color="auto" w:fill="1B2A4A"/>
            <w:tcMar>
              <w:top w:w="80" w:type="dxa"/>
              <w:left w:w="110" w:type="dxa"/>
              <w:bottom w:w="80" w:type="dxa"/>
              <w:right w:w="110" w:type="dxa"/>
            </w:tcMar>
          </w:tcPr>
          <w:p w14:paraId="259211CC" w14:textId="77777777" w:rsidR="00EB0A50" w:rsidRDefault="00000000">
            <w:pPr>
              <w:spacing w:line="300" w:lineRule="auto"/>
            </w:pPr>
            <w:r>
              <w:rPr>
                <w:b/>
                <w:bCs/>
                <w:color w:val="FFFFFF"/>
                <w:sz w:val="21"/>
                <w:szCs w:val="21"/>
              </w:rPr>
              <w:t>Business Impact</w:t>
            </w:r>
          </w:p>
        </w:tc>
        <w:tc>
          <w:tcPr>
            <w:tcW w:w="2510" w:type="dxa"/>
            <w:shd w:val="clear" w:color="auto" w:fill="1B2A4A"/>
            <w:tcMar>
              <w:top w:w="80" w:type="dxa"/>
              <w:left w:w="110" w:type="dxa"/>
              <w:bottom w:w="80" w:type="dxa"/>
              <w:right w:w="110" w:type="dxa"/>
            </w:tcMar>
          </w:tcPr>
          <w:p w14:paraId="6FC17FD8" w14:textId="77777777" w:rsidR="00EB0A50" w:rsidRDefault="00000000">
            <w:pPr>
              <w:spacing w:line="300" w:lineRule="auto"/>
            </w:pPr>
            <w:r>
              <w:rPr>
                <w:b/>
                <w:bCs/>
                <w:color w:val="FFFFFF"/>
                <w:sz w:val="21"/>
                <w:szCs w:val="21"/>
              </w:rPr>
              <w:t>Strategic Consequence</w:t>
            </w:r>
          </w:p>
        </w:tc>
      </w:tr>
      <w:tr w:rsidR="00EB0A50" w14:paraId="76051BCD" w14:textId="77777777">
        <w:tblPrEx>
          <w:tblCellMar>
            <w:top w:w="0" w:type="dxa"/>
            <w:bottom w:w="0" w:type="dxa"/>
          </w:tblCellMar>
        </w:tblPrEx>
        <w:tc>
          <w:tcPr>
            <w:tcW w:w="2050" w:type="dxa"/>
            <w:tcMar>
              <w:top w:w="80" w:type="dxa"/>
              <w:left w:w="110" w:type="dxa"/>
              <w:bottom w:w="80" w:type="dxa"/>
              <w:right w:w="110" w:type="dxa"/>
            </w:tcMar>
          </w:tcPr>
          <w:p w14:paraId="10E9795F" w14:textId="77777777" w:rsidR="00EB0A50" w:rsidRDefault="00000000">
            <w:pPr>
              <w:spacing w:line="300" w:lineRule="auto"/>
            </w:pPr>
            <w:r>
              <w:rPr>
                <w:color w:val="000000"/>
                <w:sz w:val="20"/>
                <w:szCs w:val="20"/>
              </w:rPr>
              <w:t>Inventory management</w:t>
            </w:r>
          </w:p>
        </w:tc>
        <w:tc>
          <w:tcPr>
            <w:tcW w:w="2300" w:type="dxa"/>
            <w:tcMar>
              <w:top w:w="80" w:type="dxa"/>
              <w:left w:w="110" w:type="dxa"/>
              <w:bottom w:w="80" w:type="dxa"/>
              <w:right w:w="110" w:type="dxa"/>
            </w:tcMar>
          </w:tcPr>
          <w:p w14:paraId="67E1FC5D" w14:textId="77777777" w:rsidR="00EB0A50" w:rsidRDefault="00000000">
            <w:pPr>
              <w:spacing w:line="300" w:lineRule="auto"/>
            </w:pPr>
            <w:r>
              <w:rPr>
                <w:color w:val="000000"/>
                <w:sz w:val="20"/>
                <w:szCs w:val="20"/>
              </w:rPr>
              <w:t>Manual stock updates</w:t>
            </w:r>
          </w:p>
        </w:tc>
        <w:tc>
          <w:tcPr>
            <w:tcW w:w="2500" w:type="dxa"/>
            <w:tcMar>
              <w:top w:w="80" w:type="dxa"/>
              <w:left w:w="110" w:type="dxa"/>
              <w:bottom w:w="80" w:type="dxa"/>
              <w:right w:w="110" w:type="dxa"/>
            </w:tcMar>
          </w:tcPr>
          <w:p w14:paraId="639B673B" w14:textId="77777777" w:rsidR="00EB0A50" w:rsidRDefault="00000000">
            <w:pPr>
              <w:spacing w:line="300" w:lineRule="auto"/>
            </w:pPr>
            <w:r>
              <w:rPr>
                <w:color w:val="000000"/>
                <w:sz w:val="20"/>
                <w:szCs w:val="20"/>
              </w:rPr>
              <w:t>Stock inaccuracies and cancelled orders</w:t>
            </w:r>
          </w:p>
        </w:tc>
        <w:tc>
          <w:tcPr>
            <w:tcW w:w="2510" w:type="dxa"/>
            <w:tcMar>
              <w:top w:w="80" w:type="dxa"/>
              <w:left w:w="110" w:type="dxa"/>
              <w:bottom w:w="80" w:type="dxa"/>
              <w:right w:w="110" w:type="dxa"/>
            </w:tcMar>
          </w:tcPr>
          <w:p w14:paraId="5BD42E67" w14:textId="77777777" w:rsidR="00EB0A50" w:rsidRDefault="00000000">
            <w:pPr>
              <w:spacing w:line="300" w:lineRule="auto"/>
            </w:pPr>
            <w:r>
              <w:rPr>
                <w:color w:val="000000"/>
                <w:sz w:val="20"/>
                <w:szCs w:val="20"/>
              </w:rPr>
              <w:t>Reduced customer satisfaction</w:t>
            </w:r>
          </w:p>
        </w:tc>
      </w:tr>
      <w:tr w:rsidR="00EB0A50" w14:paraId="4FCAA0BD" w14:textId="77777777">
        <w:tblPrEx>
          <w:tblCellMar>
            <w:top w:w="0" w:type="dxa"/>
            <w:bottom w:w="0" w:type="dxa"/>
          </w:tblCellMar>
        </w:tblPrEx>
        <w:tc>
          <w:tcPr>
            <w:tcW w:w="2050" w:type="dxa"/>
            <w:shd w:val="clear" w:color="auto" w:fill="F2F4F8"/>
            <w:tcMar>
              <w:top w:w="80" w:type="dxa"/>
              <w:left w:w="110" w:type="dxa"/>
              <w:bottom w:w="80" w:type="dxa"/>
              <w:right w:w="110" w:type="dxa"/>
            </w:tcMar>
          </w:tcPr>
          <w:p w14:paraId="3D088760" w14:textId="77777777" w:rsidR="00EB0A50" w:rsidRDefault="00000000">
            <w:pPr>
              <w:spacing w:line="300" w:lineRule="auto"/>
            </w:pPr>
            <w:r>
              <w:rPr>
                <w:color w:val="000000"/>
                <w:sz w:val="20"/>
                <w:szCs w:val="20"/>
              </w:rPr>
              <w:t>Customer management</w:t>
            </w:r>
          </w:p>
        </w:tc>
        <w:tc>
          <w:tcPr>
            <w:tcW w:w="2300" w:type="dxa"/>
            <w:shd w:val="clear" w:color="auto" w:fill="F2F4F8"/>
            <w:tcMar>
              <w:top w:w="80" w:type="dxa"/>
              <w:left w:w="110" w:type="dxa"/>
              <w:bottom w:w="80" w:type="dxa"/>
              <w:right w:w="110" w:type="dxa"/>
            </w:tcMar>
          </w:tcPr>
          <w:p w14:paraId="0B3E4A1E" w14:textId="77777777" w:rsidR="00EB0A50" w:rsidRDefault="00000000">
            <w:pPr>
              <w:spacing w:line="300" w:lineRule="auto"/>
            </w:pPr>
            <w:r>
              <w:rPr>
                <w:color w:val="000000"/>
                <w:sz w:val="20"/>
                <w:szCs w:val="20"/>
              </w:rPr>
              <w:t>Separate customer databases</w:t>
            </w:r>
          </w:p>
        </w:tc>
        <w:tc>
          <w:tcPr>
            <w:tcW w:w="2500" w:type="dxa"/>
            <w:shd w:val="clear" w:color="auto" w:fill="F2F4F8"/>
            <w:tcMar>
              <w:top w:w="80" w:type="dxa"/>
              <w:left w:w="110" w:type="dxa"/>
              <w:bottom w:w="80" w:type="dxa"/>
              <w:right w:w="110" w:type="dxa"/>
            </w:tcMar>
          </w:tcPr>
          <w:p w14:paraId="6FAE0503" w14:textId="77777777" w:rsidR="00EB0A50" w:rsidRDefault="00000000">
            <w:pPr>
              <w:spacing w:line="300" w:lineRule="auto"/>
            </w:pPr>
            <w:r>
              <w:rPr>
                <w:color w:val="000000"/>
                <w:sz w:val="20"/>
                <w:szCs w:val="20"/>
              </w:rPr>
              <w:t>No complete customer profile</w:t>
            </w:r>
          </w:p>
        </w:tc>
        <w:tc>
          <w:tcPr>
            <w:tcW w:w="2510" w:type="dxa"/>
            <w:shd w:val="clear" w:color="auto" w:fill="F2F4F8"/>
            <w:tcMar>
              <w:top w:w="80" w:type="dxa"/>
              <w:left w:w="110" w:type="dxa"/>
              <w:bottom w:w="80" w:type="dxa"/>
              <w:right w:w="110" w:type="dxa"/>
            </w:tcMar>
          </w:tcPr>
          <w:p w14:paraId="02033310" w14:textId="77777777" w:rsidR="00EB0A50" w:rsidRDefault="00000000">
            <w:pPr>
              <w:spacing w:line="300" w:lineRule="auto"/>
            </w:pPr>
            <w:r>
              <w:rPr>
                <w:color w:val="000000"/>
                <w:sz w:val="20"/>
                <w:szCs w:val="20"/>
              </w:rPr>
              <w:t>Weak CRM and lower customer retention</w:t>
            </w:r>
          </w:p>
        </w:tc>
      </w:tr>
      <w:tr w:rsidR="00EB0A50" w14:paraId="6CDE7133" w14:textId="77777777">
        <w:tblPrEx>
          <w:tblCellMar>
            <w:top w:w="0" w:type="dxa"/>
            <w:bottom w:w="0" w:type="dxa"/>
          </w:tblCellMar>
        </w:tblPrEx>
        <w:tc>
          <w:tcPr>
            <w:tcW w:w="2050" w:type="dxa"/>
            <w:tcMar>
              <w:top w:w="80" w:type="dxa"/>
              <w:left w:w="110" w:type="dxa"/>
              <w:bottom w:w="80" w:type="dxa"/>
              <w:right w:w="110" w:type="dxa"/>
            </w:tcMar>
          </w:tcPr>
          <w:p w14:paraId="2B8547C8" w14:textId="77777777" w:rsidR="00EB0A50" w:rsidRDefault="00000000">
            <w:pPr>
              <w:spacing w:line="300" w:lineRule="auto"/>
            </w:pPr>
            <w:r>
              <w:rPr>
                <w:color w:val="000000"/>
                <w:sz w:val="20"/>
                <w:szCs w:val="20"/>
              </w:rPr>
              <w:t>Reporting</w:t>
            </w:r>
          </w:p>
        </w:tc>
        <w:tc>
          <w:tcPr>
            <w:tcW w:w="2300" w:type="dxa"/>
            <w:tcMar>
              <w:top w:w="80" w:type="dxa"/>
              <w:left w:w="110" w:type="dxa"/>
              <w:bottom w:w="80" w:type="dxa"/>
              <w:right w:w="110" w:type="dxa"/>
            </w:tcMar>
          </w:tcPr>
          <w:p w14:paraId="331F9B53" w14:textId="77777777" w:rsidR="00EB0A50" w:rsidRDefault="00000000">
            <w:pPr>
              <w:spacing w:line="300" w:lineRule="auto"/>
            </w:pPr>
            <w:r>
              <w:rPr>
                <w:color w:val="000000"/>
                <w:sz w:val="20"/>
                <w:szCs w:val="20"/>
              </w:rPr>
              <w:t>Spreadsheet-based reports</w:t>
            </w:r>
          </w:p>
        </w:tc>
        <w:tc>
          <w:tcPr>
            <w:tcW w:w="2500" w:type="dxa"/>
            <w:tcMar>
              <w:top w:w="80" w:type="dxa"/>
              <w:left w:w="110" w:type="dxa"/>
              <w:bottom w:w="80" w:type="dxa"/>
              <w:right w:w="110" w:type="dxa"/>
            </w:tcMar>
          </w:tcPr>
          <w:p w14:paraId="5E96868F" w14:textId="77777777" w:rsidR="00EB0A50" w:rsidRDefault="00000000">
            <w:pPr>
              <w:spacing w:line="300" w:lineRule="auto"/>
            </w:pPr>
            <w:r>
              <w:rPr>
                <w:color w:val="000000"/>
                <w:sz w:val="20"/>
                <w:szCs w:val="20"/>
              </w:rPr>
              <w:t>Delayed and inaccurate information</w:t>
            </w:r>
          </w:p>
        </w:tc>
        <w:tc>
          <w:tcPr>
            <w:tcW w:w="2510" w:type="dxa"/>
            <w:tcMar>
              <w:top w:w="80" w:type="dxa"/>
              <w:left w:w="110" w:type="dxa"/>
              <w:bottom w:w="80" w:type="dxa"/>
              <w:right w:w="110" w:type="dxa"/>
            </w:tcMar>
          </w:tcPr>
          <w:p w14:paraId="4FB4F9C2" w14:textId="77777777" w:rsidR="00EB0A50" w:rsidRDefault="00000000">
            <w:pPr>
              <w:spacing w:line="300" w:lineRule="auto"/>
            </w:pPr>
            <w:r>
              <w:rPr>
                <w:color w:val="000000"/>
                <w:sz w:val="20"/>
                <w:szCs w:val="20"/>
              </w:rPr>
              <w:t>Poor strategic decision-making</w:t>
            </w:r>
          </w:p>
        </w:tc>
      </w:tr>
      <w:tr w:rsidR="00EB0A50" w14:paraId="2170FCA0" w14:textId="77777777">
        <w:tblPrEx>
          <w:tblCellMar>
            <w:top w:w="0" w:type="dxa"/>
            <w:bottom w:w="0" w:type="dxa"/>
          </w:tblCellMar>
        </w:tblPrEx>
        <w:tc>
          <w:tcPr>
            <w:tcW w:w="2050" w:type="dxa"/>
            <w:shd w:val="clear" w:color="auto" w:fill="F2F4F8"/>
            <w:tcMar>
              <w:top w:w="80" w:type="dxa"/>
              <w:left w:w="110" w:type="dxa"/>
              <w:bottom w:w="80" w:type="dxa"/>
              <w:right w:w="110" w:type="dxa"/>
            </w:tcMar>
          </w:tcPr>
          <w:p w14:paraId="2CA996AF" w14:textId="77777777" w:rsidR="00EB0A50" w:rsidRDefault="00000000">
            <w:pPr>
              <w:spacing w:line="300" w:lineRule="auto"/>
            </w:pPr>
            <w:r>
              <w:rPr>
                <w:color w:val="000000"/>
                <w:sz w:val="20"/>
                <w:szCs w:val="20"/>
              </w:rPr>
              <w:t>Information security</w:t>
            </w:r>
          </w:p>
        </w:tc>
        <w:tc>
          <w:tcPr>
            <w:tcW w:w="2300" w:type="dxa"/>
            <w:shd w:val="clear" w:color="auto" w:fill="F2F4F8"/>
            <w:tcMar>
              <w:top w:w="80" w:type="dxa"/>
              <w:left w:w="110" w:type="dxa"/>
              <w:bottom w:w="80" w:type="dxa"/>
              <w:right w:w="110" w:type="dxa"/>
            </w:tcMar>
          </w:tcPr>
          <w:p w14:paraId="0106734C" w14:textId="77777777" w:rsidR="00EB0A50" w:rsidRDefault="00000000">
            <w:pPr>
              <w:spacing w:line="300" w:lineRule="auto"/>
            </w:pPr>
            <w:r>
              <w:rPr>
                <w:color w:val="000000"/>
                <w:sz w:val="20"/>
                <w:szCs w:val="20"/>
              </w:rPr>
              <w:t>Limited access controls</w:t>
            </w:r>
          </w:p>
        </w:tc>
        <w:tc>
          <w:tcPr>
            <w:tcW w:w="2500" w:type="dxa"/>
            <w:shd w:val="clear" w:color="auto" w:fill="F2F4F8"/>
            <w:tcMar>
              <w:top w:w="80" w:type="dxa"/>
              <w:left w:w="110" w:type="dxa"/>
              <w:bottom w:w="80" w:type="dxa"/>
              <w:right w:w="110" w:type="dxa"/>
            </w:tcMar>
          </w:tcPr>
          <w:p w14:paraId="6F81D52B" w14:textId="77777777" w:rsidR="00EB0A50" w:rsidRDefault="00000000">
            <w:pPr>
              <w:spacing w:line="300" w:lineRule="auto"/>
            </w:pPr>
            <w:r>
              <w:rPr>
                <w:color w:val="000000"/>
                <w:sz w:val="20"/>
                <w:szCs w:val="20"/>
              </w:rPr>
              <w:t>Increased cyber-security risk</w:t>
            </w:r>
          </w:p>
        </w:tc>
        <w:tc>
          <w:tcPr>
            <w:tcW w:w="2510" w:type="dxa"/>
            <w:shd w:val="clear" w:color="auto" w:fill="F2F4F8"/>
            <w:tcMar>
              <w:top w:w="80" w:type="dxa"/>
              <w:left w:w="110" w:type="dxa"/>
              <w:bottom w:w="80" w:type="dxa"/>
              <w:right w:w="110" w:type="dxa"/>
            </w:tcMar>
          </w:tcPr>
          <w:p w14:paraId="62DBB30E" w14:textId="77777777" w:rsidR="00EB0A50" w:rsidRDefault="00000000">
            <w:pPr>
              <w:spacing w:line="300" w:lineRule="auto"/>
            </w:pPr>
            <w:r>
              <w:rPr>
                <w:color w:val="000000"/>
                <w:sz w:val="20"/>
                <w:szCs w:val="20"/>
              </w:rPr>
              <w:t>Potential UK GDPR non-compliance</w:t>
            </w:r>
          </w:p>
        </w:tc>
      </w:tr>
      <w:tr w:rsidR="00EB0A50" w14:paraId="04F4CA0D" w14:textId="77777777">
        <w:tblPrEx>
          <w:tblCellMar>
            <w:top w:w="0" w:type="dxa"/>
            <w:bottom w:w="0" w:type="dxa"/>
          </w:tblCellMar>
        </w:tblPrEx>
        <w:tc>
          <w:tcPr>
            <w:tcW w:w="2050" w:type="dxa"/>
            <w:tcMar>
              <w:top w:w="80" w:type="dxa"/>
              <w:left w:w="110" w:type="dxa"/>
              <w:bottom w:w="80" w:type="dxa"/>
              <w:right w:w="110" w:type="dxa"/>
            </w:tcMar>
          </w:tcPr>
          <w:p w14:paraId="0698461E" w14:textId="77777777" w:rsidR="00EB0A50" w:rsidRDefault="00000000">
            <w:pPr>
              <w:spacing w:line="300" w:lineRule="auto"/>
            </w:pPr>
            <w:r>
              <w:rPr>
                <w:color w:val="000000"/>
                <w:sz w:val="20"/>
                <w:szCs w:val="20"/>
              </w:rPr>
              <w:t>Department integration</w:t>
            </w:r>
          </w:p>
        </w:tc>
        <w:tc>
          <w:tcPr>
            <w:tcW w:w="2300" w:type="dxa"/>
            <w:tcMar>
              <w:top w:w="80" w:type="dxa"/>
              <w:left w:w="110" w:type="dxa"/>
              <w:bottom w:w="80" w:type="dxa"/>
              <w:right w:w="110" w:type="dxa"/>
            </w:tcMar>
          </w:tcPr>
          <w:p w14:paraId="1AC6A506" w14:textId="77777777" w:rsidR="00EB0A50" w:rsidRDefault="00000000">
            <w:pPr>
              <w:spacing w:line="300" w:lineRule="auto"/>
            </w:pPr>
            <w:r>
              <w:rPr>
                <w:color w:val="000000"/>
                <w:sz w:val="20"/>
                <w:szCs w:val="20"/>
              </w:rPr>
              <w:t>Stand-alone systems</w:t>
            </w:r>
          </w:p>
        </w:tc>
        <w:tc>
          <w:tcPr>
            <w:tcW w:w="2500" w:type="dxa"/>
            <w:tcMar>
              <w:top w:w="80" w:type="dxa"/>
              <w:left w:w="110" w:type="dxa"/>
              <w:bottom w:w="80" w:type="dxa"/>
              <w:right w:w="110" w:type="dxa"/>
            </w:tcMar>
          </w:tcPr>
          <w:p w14:paraId="51B58C87" w14:textId="77777777" w:rsidR="00EB0A50" w:rsidRDefault="00000000">
            <w:pPr>
              <w:spacing w:line="300" w:lineRule="auto"/>
            </w:pPr>
            <w:r>
              <w:rPr>
                <w:color w:val="000000"/>
                <w:sz w:val="20"/>
                <w:szCs w:val="20"/>
              </w:rPr>
              <w:t>Manual duplication of work</w:t>
            </w:r>
          </w:p>
        </w:tc>
        <w:tc>
          <w:tcPr>
            <w:tcW w:w="2510" w:type="dxa"/>
            <w:tcMar>
              <w:top w:w="80" w:type="dxa"/>
              <w:left w:w="110" w:type="dxa"/>
              <w:bottom w:w="80" w:type="dxa"/>
              <w:right w:w="110" w:type="dxa"/>
            </w:tcMar>
          </w:tcPr>
          <w:p w14:paraId="3CDCFD78" w14:textId="77777777" w:rsidR="00EB0A50" w:rsidRDefault="00000000">
            <w:pPr>
              <w:spacing w:line="300" w:lineRule="auto"/>
            </w:pPr>
            <w:r>
              <w:rPr>
                <w:color w:val="000000"/>
                <w:sz w:val="20"/>
                <w:szCs w:val="20"/>
              </w:rPr>
              <w:t>Reduced productivity and higher operating costs</w:t>
            </w:r>
          </w:p>
        </w:tc>
      </w:tr>
    </w:tbl>
    <w:p w14:paraId="3DF805F3" w14:textId="77777777" w:rsidR="00EB0A50" w:rsidRDefault="00000000">
      <w:pPr>
        <w:spacing w:before="80" w:after="240" w:line="300" w:lineRule="auto"/>
        <w:jc w:val="center"/>
      </w:pPr>
      <w:r>
        <w:rPr>
          <w:i/>
          <w:iCs/>
          <w:color w:val="555555"/>
          <w:sz w:val="19"/>
          <w:szCs w:val="19"/>
        </w:rPr>
        <w:t xml:space="preserve">Table 1: Critical evaluation of </w:t>
      </w:r>
      <w:proofErr w:type="spellStart"/>
      <w:r>
        <w:rPr>
          <w:i/>
          <w:iCs/>
          <w:color w:val="555555"/>
          <w:sz w:val="19"/>
          <w:szCs w:val="19"/>
        </w:rPr>
        <w:t>Maldiva</w:t>
      </w:r>
      <w:proofErr w:type="spellEnd"/>
      <w:r>
        <w:rPr>
          <w:i/>
          <w:iCs/>
          <w:color w:val="555555"/>
          <w:sz w:val="19"/>
          <w:szCs w:val="19"/>
        </w:rPr>
        <w:t xml:space="preserve"> Ltd.'s existing information systems (author's own analysis).</w:t>
      </w:r>
    </w:p>
    <w:p w14:paraId="6F092214" w14:textId="77777777" w:rsidR="00EB0A50" w:rsidRDefault="00000000">
      <w:pPr>
        <w:pStyle w:val="Heading1"/>
        <w:spacing w:before="280" w:after="180"/>
      </w:pPr>
      <w:r>
        <w:rPr>
          <w:b/>
          <w:bCs/>
          <w:color w:val="1B2A4A"/>
          <w:sz w:val="28"/>
          <w:szCs w:val="28"/>
        </w:rPr>
        <w:t>3. Recommended Information Systems Solution</w:t>
      </w:r>
    </w:p>
    <w:p w14:paraId="4C6D3B32" w14:textId="77777777" w:rsidR="00EB0A50" w:rsidRDefault="00000000">
      <w:pPr>
        <w:pStyle w:val="Heading2"/>
        <w:spacing w:before="220" w:after="140"/>
      </w:pPr>
      <w:r>
        <w:rPr>
          <w:b/>
          <w:bCs/>
          <w:color w:val="2E5FA3"/>
          <w:sz w:val="24"/>
          <w:szCs w:val="24"/>
        </w:rPr>
        <w:t>3.1 Proposed Solution: Cloud-Based ERP System</w:t>
      </w:r>
    </w:p>
    <w:p w14:paraId="1584D697" w14:textId="77777777" w:rsidR="00EB0A50" w:rsidRDefault="00000000">
      <w:pPr>
        <w:spacing w:after="160"/>
        <w:jc w:val="both"/>
      </w:pPr>
      <w:r>
        <w:t>This report recommends a cloud-based ERP system integrating CRM, BI and financial management. Rather than replacing individual systems independently, an ERP platform consolidates business functions into one environment supported by a single central database, so information entered once is immediately available across the organisation, eliminating duplicate data entry and supporting faster decision-making (Monk and Wagner, 2013).</w:t>
      </w:r>
    </w:p>
    <w:p w14:paraId="24292823" w14:textId="77777777" w:rsidR="00EB0A50" w:rsidRDefault="00000000">
      <w:pPr>
        <w:spacing w:after="160"/>
        <w:jc w:val="both"/>
      </w:pPr>
      <w:r>
        <w:t xml:space="preserve">Unlike the existing fragmented systems, a cloud ERP platform enables real-time communication between inventory, finance, sales, procurement and customer service, </w:t>
      </w:r>
      <w:r>
        <w:lastRenderedPageBreak/>
        <w:t>creating a single source of truth for organisational data and the infrastructure required to support future growth, as shown in Figure 2.</w:t>
      </w:r>
    </w:p>
    <w:p w14:paraId="59F592EA" w14:textId="77777777" w:rsidR="00EB0A50" w:rsidRDefault="00000000">
      <w:pPr>
        <w:spacing w:before="160" w:after="40"/>
        <w:jc w:val="center"/>
      </w:pPr>
      <w:r>
        <w:rPr>
          <w:noProof/>
        </w:rPr>
        <w:drawing>
          <wp:inline distT="0" distB="0" distL="0" distR="0" wp14:anchorId="0C4C7E97" wp14:editId="6DA12D6F">
            <wp:extent cx="5760720" cy="3346704"/>
            <wp:effectExtent l="0" t="0" r="0" b="0"/>
            <wp:docPr id="2001069066" name="Picture 2001069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760720" cy="3346704"/>
                    </a:xfrm>
                    <a:prstGeom prst="rect">
                      <a:avLst/>
                    </a:prstGeom>
                  </pic:spPr>
                </pic:pic>
              </a:graphicData>
            </a:graphic>
          </wp:inline>
        </w:drawing>
      </w:r>
    </w:p>
    <w:p w14:paraId="3D1210CC" w14:textId="77777777" w:rsidR="00EB0A50" w:rsidRDefault="00000000">
      <w:pPr>
        <w:spacing w:before="80" w:after="240" w:line="300" w:lineRule="auto"/>
        <w:jc w:val="center"/>
      </w:pPr>
      <w:r>
        <w:rPr>
          <w:i/>
          <w:iCs/>
          <w:color w:val="555555"/>
          <w:sz w:val="19"/>
          <w:szCs w:val="19"/>
        </w:rPr>
        <w:t>Figure 2: Proposed integrated cloud ERP architecture (author's own illustration).</w:t>
      </w:r>
    </w:p>
    <w:p w14:paraId="791B2A43" w14:textId="77777777" w:rsidR="00EB0A50" w:rsidRDefault="00000000">
      <w:pPr>
        <w:pStyle w:val="Heading2"/>
        <w:spacing w:before="220" w:after="140"/>
      </w:pPr>
      <w:r>
        <w:rPr>
          <w:b/>
          <w:bCs/>
          <w:color w:val="2E5FA3"/>
          <w:sz w:val="24"/>
          <w:szCs w:val="24"/>
        </w:rPr>
        <w:t>3.2 Evaluation of Alternative ERP Solutions</w:t>
      </w:r>
    </w:p>
    <w:p w14:paraId="22314979" w14:textId="77777777" w:rsidR="00EB0A50" w:rsidRDefault="00000000">
      <w:pPr>
        <w:spacing w:after="160"/>
        <w:jc w:val="both"/>
      </w:pPr>
      <w:r>
        <w:t xml:space="preserve">Before comparing vendors, an alternative strategy — connecting separate 'best-of-breed' inventory, CRM and reporting packages through interfaces — was considered and rejected: although individual modules can be marginally stronger, this approach would recreate </w:t>
      </w:r>
      <w:proofErr w:type="spellStart"/>
      <w:r>
        <w:t>Maldiva's</w:t>
      </w:r>
      <w:proofErr w:type="spellEnd"/>
      <w:r>
        <w:t xml:space="preserve"> core weakness of multiple databases requiring synchronisation, with integration costs and failure points at every join (Davenport, 1998). An integrated suite was therefore preferred, and three leading cloud ERP solutions suitable for medium-sized retailers were evaluated against functionality, cost, scalability and long-term value.</w:t>
      </w:r>
    </w:p>
    <w:p w14:paraId="57DC6778" w14:textId="77777777" w:rsidR="00EB0A50" w:rsidRDefault="00000000">
      <w:pPr>
        <w:spacing w:before="180" w:after="100"/>
      </w:pPr>
      <w:r>
        <w:rPr>
          <w:b/>
          <w:bCs/>
          <w:color w:val="1B2A4A"/>
        </w:rPr>
        <w:t>Microsoft Dynamics 365 Business Central</w:t>
      </w:r>
    </w:p>
    <w:p w14:paraId="3D7A4F7E" w14:textId="77777777" w:rsidR="00EB0A50" w:rsidRDefault="00000000">
      <w:pPr>
        <w:spacing w:after="160"/>
        <w:jc w:val="both"/>
      </w:pPr>
      <w:r>
        <w:t>Dynamics 365 Business Central provides functionality across finance, inventory, purchasing, CRM and reporting, and integrates with Microsoft 365, Teams and Power BI — likely to reduce training needs on the assumption, to be validated during planning, that most staff already use Microsoft tools. Its modular cloud architecture suits growing retailers (Microsoft, 2025).</w:t>
      </w:r>
    </w:p>
    <w:p w14:paraId="18487A01" w14:textId="77777777" w:rsidR="00EB0A50" w:rsidRDefault="00000000">
      <w:pPr>
        <w:spacing w:before="180" w:after="100"/>
      </w:pPr>
      <w:r>
        <w:rPr>
          <w:b/>
          <w:bCs/>
          <w:color w:val="1B2A4A"/>
        </w:rPr>
        <w:t>Oracle NetSuite</w:t>
      </w:r>
    </w:p>
    <w:p w14:paraId="2F7D3B0D" w14:textId="77777777" w:rsidR="00EB0A50" w:rsidRDefault="00000000">
      <w:pPr>
        <w:spacing w:after="160"/>
        <w:jc w:val="both"/>
      </w:pPr>
      <w:r>
        <w:lastRenderedPageBreak/>
        <w:t>NetSuite is a leading cloud ERP offering advanced financial management, supply chain capability and analytics, but implementation and licensing costs are generally higher, making it better suited to larger organisations with complex international operations.</w:t>
      </w:r>
    </w:p>
    <w:p w14:paraId="724F2E85" w14:textId="77777777" w:rsidR="00EB0A50" w:rsidRDefault="00000000">
      <w:pPr>
        <w:spacing w:before="180" w:after="100"/>
      </w:pPr>
      <w:r>
        <w:rPr>
          <w:b/>
          <w:bCs/>
          <w:color w:val="1B2A4A"/>
        </w:rPr>
        <w:t>SAP Business One</w:t>
      </w:r>
    </w:p>
    <w:p w14:paraId="62B8AB7C" w14:textId="77777777" w:rsidR="00EB0A50" w:rsidRDefault="00000000">
      <w:pPr>
        <w:spacing w:after="160"/>
        <w:jc w:val="both"/>
      </w:pPr>
      <w:r>
        <w:t>SAP Business One offers integrated finance, inventory and procurement for SMEs, but typically requires greater technical expertise and heavier customisation during implementation than competing cloud platforms.</w:t>
      </w:r>
    </w:p>
    <w:p w14:paraId="6197A7F6" w14:textId="77777777" w:rsidR="00EB0A50" w:rsidRDefault="00000000">
      <w:pPr>
        <w:spacing w:after="160"/>
        <w:jc w:val="both"/>
      </w:pPr>
      <w:r>
        <w:t>Figure 3 presents the weighted decision matrix comparing the shortlisted solutions, and Table 2 summarises the qualitative evaluation.</w:t>
      </w:r>
    </w:p>
    <w:p w14:paraId="12136222" w14:textId="77777777" w:rsidR="00EB0A50" w:rsidRDefault="00000000">
      <w:pPr>
        <w:spacing w:before="160" w:after="40"/>
        <w:jc w:val="center"/>
      </w:pPr>
      <w:r>
        <w:rPr>
          <w:noProof/>
        </w:rPr>
        <w:drawing>
          <wp:inline distT="0" distB="0" distL="0" distR="0" wp14:anchorId="5B58FF92" wp14:editId="005174CF">
            <wp:extent cx="5760720" cy="2734056"/>
            <wp:effectExtent l="0" t="0" r="0" b="0"/>
            <wp:docPr id="118105278" name="Picture 118105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60720" cy="2734056"/>
                    </a:xfrm>
                    <a:prstGeom prst="rect">
                      <a:avLst/>
                    </a:prstGeom>
                  </pic:spPr>
                </pic:pic>
              </a:graphicData>
            </a:graphic>
          </wp:inline>
        </w:drawing>
      </w:r>
    </w:p>
    <w:p w14:paraId="0CA87D0F" w14:textId="77777777" w:rsidR="00EB0A50" w:rsidRDefault="00000000">
      <w:pPr>
        <w:spacing w:before="80" w:after="240" w:line="300" w:lineRule="auto"/>
        <w:jc w:val="center"/>
      </w:pPr>
      <w:r>
        <w:rPr>
          <w:i/>
          <w:iCs/>
          <w:color w:val="555555"/>
          <w:sz w:val="19"/>
          <w:szCs w:val="19"/>
        </w:rPr>
        <w:t>Figure 3: ERP decision matrix – weighted evaluation of shortlisted solutions (author's own analysis; illustrative scores).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50"/>
        <w:gridCol w:w="2300"/>
        <w:gridCol w:w="2300"/>
        <w:gridCol w:w="2310"/>
      </w:tblGrid>
      <w:tr w:rsidR="00EB0A50" w14:paraId="75F6EF44" w14:textId="77777777">
        <w:tblPrEx>
          <w:tblCellMar>
            <w:top w:w="0" w:type="dxa"/>
            <w:bottom w:w="0" w:type="dxa"/>
          </w:tblCellMar>
        </w:tblPrEx>
        <w:tc>
          <w:tcPr>
            <w:tcW w:w="2450" w:type="dxa"/>
            <w:shd w:val="clear" w:color="auto" w:fill="1B2A4A"/>
            <w:tcMar>
              <w:top w:w="80" w:type="dxa"/>
              <w:left w:w="110" w:type="dxa"/>
              <w:bottom w:w="80" w:type="dxa"/>
              <w:right w:w="110" w:type="dxa"/>
            </w:tcMar>
          </w:tcPr>
          <w:p w14:paraId="36D25F99" w14:textId="77777777" w:rsidR="00EB0A50" w:rsidRDefault="00000000">
            <w:pPr>
              <w:spacing w:line="300" w:lineRule="auto"/>
            </w:pPr>
            <w:r>
              <w:rPr>
                <w:b/>
                <w:bCs/>
                <w:color w:val="FFFFFF"/>
                <w:sz w:val="21"/>
                <w:szCs w:val="21"/>
              </w:rPr>
              <w:t>Evaluation Criteria</w:t>
            </w:r>
          </w:p>
        </w:tc>
        <w:tc>
          <w:tcPr>
            <w:tcW w:w="2300" w:type="dxa"/>
            <w:shd w:val="clear" w:color="auto" w:fill="1B2A4A"/>
            <w:tcMar>
              <w:top w:w="80" w:type="dxa"/>
              <w:left w:w="110" w:type="dxa"/>
              <w:bottom w:w="80" w:type="dxa"/>
              <w:right w:w="110" w:type="dxa"/>
            </w:tcMar>
          </w:tcPr>
          <w:p w14:paraId="3FAA3E6F" w14:textId="77777777" w:rsidR="00EB0A50" w:rsidRDefault="00000000">
            <w:pPr>
              <w:spacing w:line="300" w:lineRule="auto"/>
            </w:pPr>
            <w:r>
              <w:rPr>
                <w:b/>
                <w:bCs/>
                <w:color w:val="FFFFFF"/>
                <w:sz w:val="21"/>
                <w:szCs w:val="21"/>
              </w:rPr>
              <w:t>Microsoft Dynamics 365</w:t>
            </w:r>
          </w:p>
        </w:tc>
        <w:tc>
          <w:tcPr>
            <w:tcW w:w="2300" w:type="dxa"/>
            <w:shd w:val="clear" w:color="auto" w:fill="1B2A4A"/>
            <w:tcMar>
              <w:top w:w="80" w:type="dxa"/>
              <w:left w:w="110" w:type="dxa"/>
              <w:bottom w:w="80" w:type="dxa"/>
              <w:right w:w="110" w:type="dxa"/>
            </w:tcMar>
          </w:tcPr>
          <w:p w14:paraId="0129F79A" w14:textId="77777777" w:rsidR="00EB0A50" w:rsidRDefault="00000000">
            <w:pPr>
              <w:spacing w:line="300" w:lineRule="auto"/>
            </w:pPr>
            <w:r>
              <w:rPr>
                <w:b/>
                <w:bCs/>
                <w:color w:val="FFFFFF"/>
                <w:sz w:val="21"/>
                <w:szCs w:val="21"/>
              </w:rPr>
              <w:t>Oracle NetSuite</w:t>
            </w:r>
          </w:p>
        </w:tc>
        <w:tc>
          <w:tcPr>
            <w:tcW w:w="2310" w:type="dxa"/>
            <w:shd w:val="clear" w:color="auto" w:fill="1B2A4A"/>
            <w:tcMar>
              <w:top w:w="80" w:type="dxa"/>
              <w:left w:w="110" w:type="dxa"/>
              <w:bottom w:w="80" w:type="dxa"/>
              <w:right w:w="110" w:type="dxa"/>
            </w:tcMar>
          </w:tcPr>
          <w:p w14:paraId="420C892A" w14:textId="77777777" w:rsidR="00EB0A50" w:rsidRDefault="00000000">
            <w:pPr>
              <w:spacing w:line="300" w:lineRule="auto"/>
            </w:pPr>
            <w:r>
              <w:rPr>
                <w:b/>
                <w:bCs/>
                <w:color w:val="FFFFFF"/>
                <w:sz w:val="21"/>
                <w:szCs w:val="21"/>
              </w:rPr>
              <w:t>SAP Business One</w:t>
            </w:r>
          </w:p>
        </w:tc>
      </w:tr>
      <w:tr w:rsidR="00EB0A50" w14:paraId="568BCA39" w14:textId="77777777">
        <w:tblPrEx>
          <w:tblCellMar>
            <w:top w:w="0" w:type="dxa"/>
            <w:bottom w:w="0" w:type="dxa"/>
          </w:tblCellMar>
        </w:tblPrEx>
        <w:tc>
          <w:tcPr>
            <w:tcW w:w="2450" w:type="dxa"/>
            <w:tcMar>
              <w:top w:w="80" w:type="dxa"/>
              <w:left w:w="110" w:type="dxa"/>
              <w:bottom w:w="80" w:type="dxa"/>
              <w:right w:w="110" w:type="dxa"/>
            </w:tcMar>
          </w:tcPr>
          <w:p w14:paraId="1D45F54C" w14:textId="77777777" w:rsidR="00EB0A50" w:rsidRDefault="00000000">
            <w:pPr>
              <w:spacing w:line="300" w:lineRule="auto"/>
            </w:pPr>
            <w:r>
              <w:rPr>
                <w:color w:val="000000"/>
                <w:sz w:val="20"/>
                <w:szCs w:val="20"/>
              </w:rPr>
              <w:t>Initial cost</w:t>
            </w:r>
          </w:p>
        </w:tc>
        <w:tc>
          <w:tcPr>
            <w:tcW w:w="2300" w:type="dxa"/>
            <w:tcMar>
              <w:top w:w="80" w:type="dxa"/>
              <w:left w:w="110" w:type="dxa"/>
              <w:bottom w:w="80" w:type="dxa"/>
              <w:right w:w="110" w:type="dxa"/>
            </w:tcMar>
          </w:tcPr>
          <w:p w14:paraId="1FE0262D" w14:textId="77777777" w:rsidR="00EB0A50" w:rsidRDefault="00000000">
            <w:pPr>
              <w:spacing w:line="300" w:lineRule="auto"/>
            </w:pPr>
            <w:r>
              <w:rPr>
                <w:color w:val="000000"/>
                <w:sz w:val="20"/>
                <w:szCs w:val="20"/>
              </w:rPr>
              <w:t>Moderate</w:t>
            </w:r>
          </w:p>
        </w:tc>
        <w:tc>
          <w:tcPr>
            <w:tcW w:w="2300" w:type="dxa"/>
            <w:tcMar>
              <w:top w:w="80" w:type="dxa"/>
              <w:left w:w="110" w:type="dxa"/>
              <w:bottom w:w="80" w:type="dxa"/>
              <w:right w:w="110" w:type="dxa"/>
            </w:tcMar>
          </w:tcPr>
          <w:p w14:paraId="75253D59" w14:textId="77777777" w:rsidR="00EB0A50" w:rsidRDefault="00000000">
            <w:pPr>
              <w:spacing w:line="300" w:lineRule="auto"/>
            </w:pPr>
            <w:r>
              <w:rPr>
                <w:color w:val="000000"/>
                <w:sz w:val="20"/>
                <w:szCs w:val="20"/>
              </w:rPr>
              <w:t>Higher</w:t>
            </w:r>
          </w:p>
        </w:tc>
        <w:tc>
          <w:tcPr>
            <w:tcW w:w="2310" w:type="dxa"/>
            <w:tcMar>
              <w:top w:w="80" w:type="dxa"/>
              <w:left w:w="110" w:type="dxa"/>
              <w:bottom w:w="80" w:type="dxa"/>
              <w:right w:w="110" w:type="dxa"/>
            </w:tcMar>
          </w:tcPr>
          <w:p w14:paraId="30AF7798" w14:textId="77777777" w:rsidR="00EB0A50" w:rsidRDefault="00000000">
            <w:pPr>
              <w:spacing w:line="300" w:lineRule="auto"/>
            </w:pPr>
            <w:r>
              <w:rPr>
                <w:color w:val="000000"/>
                <w:sz w:val="20"/>
                <w:szCs w:val="20"/>
              </w:rPr>
              <w:t>Higher</w:t>
            </w:r>
          </w:p>
        </w:tc>
      </w:tr>
      <w:tr w:rsidR="00EB0A50" w14:paraId="44917F29" w14:textId="77777777">
        <w:tblPrEx>
          <w:tblCellMar>
            <w:top w:w="0" w:type="dxa"/>
            <w:bottom w:w="0" w:type="dxa"/>
          </w:tblCellMar>
        </w:tblPrEx>
        <w:tc>
          <w:tcPr>
            <w:tcW w:w="2450" w:type="dxa"/>
            <w:shd w:val="clear" w:color="auto" w:fill="F2F4F8"/>
            <w:tcMar>
              <w:top w:w="80" w:type="dxa"/>
              <w:left w:w="110" w:type="dxa"/>
              <w:bottom w:w="80" w:type="dxa"/>
              <w:right w:w="110" w:type="dxa"/>
            </w:tcMar>
          </w:tcPr>
          <w:p w14:paraId="4BD9DBE6" w14:textId="77777777" w:rsidR="00EB0A50" w:rsidRDefault="00000000">
            <w:pPr>
              <w:spacing w:line="300" w:lineRule="auto"/>
            </w:pPr>
            <w:r>
              <w:rPr>
                <w:color w:val="000000"/>
                <w:sz w:val="20"/>
                <w:szCs w:val="20"/>
              </w:rPr>
              <w:t>Ease of implementation</w:t>
            </w:r>
          </w:p>
        </w:tc>
        <w:tc>
          <w:tcPr>
            <w:tcW w:w="2300" w:type="dxa"/>
            <w:shd w:val="clear" w:color="auto" w:fill="F2F4F8"/>
            <w:tcMar>
              <w:top w:w="80" w:type="dxa"/>
              <w:left w:w="110" w:type="dxa"/>
              <w:bottom w:w="80" w:type="dxa"/>
              <w:right w:w="110" w:type="dxa"/>
            </w:tcMar>
          </w:tcPr>
          <w:p w14:paraId="7FD5F5AB" w14:textId="77777777" w:rsidR="00EB0A50" w:rsidRDefault="00000000">
            <w:pPr>
              <w:spacing w:line="300" w:lineRule="auto"/>
            </w:pPr>
            <w:r>
              <w:rPr>
                <w:color w:val="000000"/>
                <w:sz w:val="20"/>
                <w:szCs w:val="20"/>
              </w:rPr>
              <w:t>Excellent</w:t>
            </w:r>
          </w:p>
        </w:tc>
        <w:tc>
          <w:tcPr>
            <w:tcW w:w="2300" w:type="dxa"/>
            <w:shd w:val="clear" w:color="auto" w:fill="F2F4F8"/>
            <w:tcMar>
              <w:top w:w="80" w:type="dxa"/>
              <w:left w:w="110" w:type="dxa"/>
              <w:bottom w:w="80" w:type="dxa"/>
              <w:right w:w="110" w:type="dxa"/>
            </w:tcMar>
          </w:tcPr>
          <w:p w14:paraId="4E3EAFA2" w14:textId="77777777" w:rsidR="00EB0A50" w:rsidRDefault="00000000">
            <w:pPr>
              <w:spacing w:line="300" w:lineRule="auto"/>
            </w:pPr>
            <w:r>
              <w:rPr>
                <w:color w:val="000000"/>
                <w:sz w:val="20"/>
                <w:szCs w:val="20"/>
              </w:rPr>
              <w:t>Very good</w:t>
            </w:r>
          </w:p>
        </w:tc>
        <w:tc>
          <w:tcPr>
            <w:tcW w:w="2310" w:type="dxa"/>
            <w:shd w:val="clear" w:color="auto" w:fill="F2F4F8"/>
            <w:tcMar>
              <w:top w:w="80" w:type="dxa"/>
              <w:left w:w="110" w:type="dxa"/>
              <w:bottom w:w="80" w:type="dxa"/>
              <w:right w:w="110" w:type="dxa"/>
            </w:tcMar>
          </w:tcPr>
          <w:p w14:paraId="55E4C61F" w14:textId="77777777" w:rsidR="00EB0A50" w:rsidRDefault="00000000">
            <w:pPr>
              <w:spacing w:line="300" w:lineRule="auto"/>
            </w:pPr>
            <w:r>
              <w:rPr>
                <w:color w:val="000000"/>
                <w:sz w:val="20"/>
                <w:szCs w:val="20"/>
              </w:rPr>
              <w:t>Good</w:t>
            </w:r>
          </w:p>
        </w:tc>
      </w:tr>
      <w:tr w:rsidR="00EB0A50" w14:paraId="0E0E0A88" w14:textId="77777777">
        <w:tblPrEx>
          <w:tblCellMar>
            <w:top w:w="0" w:type="dxa"/>
            <w:bottom w:w="0" w:type="dxa"/>
          </w:tblCellMar>
        </w:tblPrEx>
        <w:tc>
          <w:tcPr>
            <w:tcW w:w="2450" w:type="dxa"/>
            <w:tcMar>
              <w:top w:w="80" w:type="dxa"/>
              <w:left w:w="110" w:type="dxa"/>
              <w:bottom w:w="80" w:type="dxa"/>
              <w:right w:w="110" w:type="dxa"/>
            </w:tcMar>
          </w:tcPr>
          <w:p w14:paraId="1CC810F4" w14:textId="77777777" w:rsidR="00EB0A50" w:rsidRDefault="00000000">
            <w:pPr>
              <w:spacing w:line="300" w:lineRule="auto"/>
            </w:pPr>
            <w:r>
              <w:rPr>
                <w:color w:val="000000"/>
                <w:sz w:val="20"/>
                <w:szCs w:val="20"/>
              </w:rPr>
              <w:t>Scalability</w:t>
            </w:r>
          </w:p>
        </w:tc>
        <w:tc>
          <w:tcPr>
            <w:tcW w:w="2300" w:type="dxa"/>
            <w:tcMar>
              <w:top w:w="80" w:type="dxa"/>
              <w:left w:w="110" w:type="dxa"/>
              <w:bottom w:w="80" w:type="dxa"/>
              <w:right w:w="110" w:type="dxa"/>
            </w:tcMar>
          </w:tcPr>
          <w:p w14:paraId="423F17F0" w14:textId="77777777" w:rsidR="00EB0A50" w:rsidRDefault="00000000">
            <w:pPr>
              <w:spacing w:line="300" w:lineRule="auto"/>
            </w:pPr>
            <w:r>
              <w:rPr>
                <w:color w:val="000000"/>
                <w:sz w:val="20"/>
                <w:szCs w:val="20"/>
              </w:rPr>
              <w:t>Excellent</w:t>
            </w:r>
          </w:p>
        </w:tc>
        <w:tc>
          <w:tcPr>
            <w:tcW w:w="2300" w:type="dxa"/>
            <w:tcMar>
              <w:top w:w="80" w:type="dxa"/>
              <w:left w:w="110" w:type="dxa"/>
              <w:bottom w:w="80" w:type="dxa"/>
              <w:right w:w="110" w:type="dxa"/>
            </w:tcMar>
          </w:tcPr>
          <w:p w14:paraId="09862DFA" w14:textId="77777777" w:rsidR="00EB0A50" w:rsidRDefault="00000000">
            <w:pPr>
              <w:spacing w:line="300" w:lineRule="auto"/>
            </w:pPr>
            <w:r>
              <w:rPr>
                <w:color w:val="000000"/>
                <w:sz w:val="20"/>
                <w:szCs w:val="20"/>
              </w:rPr>
              <w:t>Excellent</w:t>
            </w:r>
          </w:p>
        </w:tc>
        <w:tc>
          <w:tcPr>
            <w:tcW w:w="2310" w:type="dxa"/>
            <w:tcMar>
              <w:top w:w="80" w:type="dxa"/>
              <w:left w:w="110" w:type="dxa"/>
              <w:bottom w:w="80" w:type="dxa"/>
              <w:right w:w="110" w:type="dxa"/>
            </w:tcMar>
          </w:tcPr>
          <w:p w14:paraId="7B9E96D9" w14:textId="77777777" w:rsidR="00EB0A50" w:rsidRDefault="00000000">
            <w:pPr>
              <w:spacing w:line="300" w:lineRule="auto"/>
            </w:pPr>
            <w:r>
              <w:rPr>
                <w:color w:val="000000"/>
                <w:sz w:val="20"/>
                <w:szCs w:val="20"/>
              </w:rPr>
              <w:t>Very good</w:t>
            </w:r>
          </w:p>
        </w:tc>
      </w:tr>
      <w:tr w:rsidR="00EB0A50" w14:paraId="52405A59" w14:textId="77777777">
        <w:tblPrEx>
          <w:tblCellMar>
            <w:top w:w="0" w:type="dxa"/>
            <w:bottom w:w="0" w:type="dxa"/>
          </w:tblCellMar>
        </w:tblPrEx>
        <w:tc>
          <w:tcPr>
            <w:tcW w:w="2450" w:type="dxa"/>
            <w:shd w:val="clear" w:color="auto" w:fill="F2F4F8"/>
            <w:tcMar>
              <w:top w:w="80" w:type="dxa"/>
              <w:left w:w="110" w:type="dxa"/>
              <w:bottom w:w="80" w:type="dxa"/>
              <w:right w:w="110" w:type="dxa"/>
            </w:tcMar>
          </w:tcPr>
          <w:p w14:paraId="4BB6B515" w14:textId="77777777" w:rsidR="00EB0A50" w:rsidRDefault="00000000">
            <w:pPr>
              <w:spacing w:line="300" w:lineRule="auto"/>
            </w:pPr>
            <w:r>
              <w:rPr>
                <w:color w:val="000000"/>
                <w:sz w:val="20"/>
                <w:szCs w:val="20"/>
              </w:rPr>
              <w:t>Cloud capabilities</w:t>
            </w:r>
          </w:p>
        </w:tc>
        <w:tc>
          <w:tcPr>
            <w:tcW w:w="2300" w:type="dxa"/>
            <w:shd w:val="clear" w:color="auto" w:fill="F2F4F8"/>
            <w:tcMar>
              <w:top w:w="80" w:type="dxa"/>
              <w:left w:w="110" w:type="dxa"/>
              <w:bottom w:w="80" w:type="dxa"/>
              <w:right w:w="110" w:type="dxa"/>
            </w:tcMar>
          </w:tcPr>
          <w:p w14:paraId="3B4DD0E1" w14:textId="77777777" w:rsidR="00EB0A50" w:rsidRDefault="00000000">
            <w:pPr>
              <w:spacing w:line="300" w:lineRule="auto"/>
            </w:pPr>
            <w:r>
              <w:rPr>
                <w:color w:val="000000"/>
                <w:sz w:val="20"/>
                <w:szCs w:val="20"/>
              </w:rPr>
              <w:t>Excellent</w:t>
            </w:r>
          </w:p>
        </w:tc>
        <w:tc>
          <w:tcPr>
            <w:tcW w:w="2300" w:type="dxa"/>
            <w:shd w:val="clear" w:color="auto" w:fill="F2F4F8"/>
            <w:tcMar>
              <w:top w:w="80" w:type="dxa"/>
              <w:left w:w="110" w:type="dxa"/>
              <w:bottom w:w="80" w:type="dxa"/>
              <w:right w:w="110" w:type="dxa"/>
            </w:tcMar>
          </w:tcPr>
          <w:p w14:paraId="335310F2" w14:textId="77777777" w:rsidR="00EB0A50" w:rsidRDefault="00000000">
            <w:pPr>
              <w:spacing w:line="300" w:lineRule="auto"/>
            </w:pPr>
            <w:r>
              <w:rPr>
                <w:color w:val="000000"/>
                <w:sz w:val="20"/>
                <w:szCs w:val="20"/>
              </w:rPr>
              <w:t>Excellent</w:t>
            </w:r>
          </w:p>
        </w:tc>
        <w:tc>
          <w:tcPr>
            <w:tcW w:w="2310" w:type="dxa"/>
            <w:shd w:val="clear" w:color="auto" w:fill="F2F4F8"/>
            <w:tcMar>
              <w:top w:w="80" w:type="dxa"/>
              <w:left w:w="110" w:type="dxa"/>
              <w:bottom w:w="80" w:type="dxa"/>
              <w:right w:w="110" w:type="dxa"/>
            </w:tcMar>
          </w:tcPr>
          <w:p w14:paraId="14BDD927" w14:textId="77777777" w:rsidR="00EB0A50" w:rsidRDefault="00000000">
            <w:pPr>
              <w:spacing w:line="300" w:lineRule="auto"/>
            </w:pPr>
            <w:r>
              <w:rPr>
                <w:color w:val="000000"/>
                <w:sz w:val="20"/>
                <w:szCs w:val="20"/>
              </w:rPr>
              <w:t>Very good</w:t>
            </w:r>
          </w:p>
        </w:tc>
      </w:tr>
      <w:tr w:rsidR="00EB0A50" w14:paraId="1D86A59F" w14:textId="77777777">
        <w:tblPrEx>
          <w:tblCellMar>
            <w:top w:w="0" w:type="dxa"/>
            <w:bottom w:w="0" w:type="dxa"/>
          </w:tblCellMar>
        </w:tblPrEx>
        <w:tc>
          <w:tcPr>
            <w:tcW w:w="2450" w:type="dxa"/>
            <w:tcMar>
              <w:top w:w="80" w:type="dxa"/>
              <w:left w:w="110" w:type="dxa"/>
              <w:bottom w:w="80" w:type="dxa"/>
              <w:right w:w="110" w:type="dxa"/>
            </w:tcMar>
          </w:tcPr>
          <w:p w14:paraId="09D6F67B" w14:textId="77777777" w:rsidR="00EB0A50" w:rsidRDefault="00000000">
            <w:pPr>
              <w:spacing w:line="300" w:lineRule="auto"/>
            </w:pPr>
            <w:r>
              <w:rPr>
                <w:color w:val="000000"/>
                <w:sz w:val="20"/>
                <w:szCs w:val="20"/>
              </w:rPr>
              <w:t>Microsoft 365 integration</w:t>
            </w:r>
          </w:p>
        </w:tc>
        <w:tc>
          <w:tcPr>
            <w:tcW w:w="2300" w:type="dxa"/>
            <w:tcMar>
              <w:top w:w="80" w:type="dxa"/>
              <w:left w:w="110" w:type="dxa"/>
              <w:bottom w:w="80" w:type="dxa"/>
              <w:right w:w="110" w:type="dxa"/>
            </w:tcMar>
          </w:tcPr>
          <w:p w14:paraId="16BA809D" w14:textId="77777777" w:rsidR="00EB0A50" w:rsidRDefault="00000000">
            <w:pPr>
              <w:spacing w:line="300" w:lineRule="auto"/>
            </w:pPr>
            <w:r>
              <w:rPr>
                <w:color w:val="000000"/>
                <w:sz w:val="20"/>
                <w:szCs w:val="20"/>
              </w:rPr>
              <w:t>Excellent</w:t>
            </w:r>
          </w:p>
        </w:tc>
        <w:tc>
          <w:tcPr>
            <w:tcW w:w="2300" w:type="dxa"/>
            <w:tcMar>
              <w:top w:w="80" w:type="dxa"/>
              <w:left w:w="110" w:type="dxa"/>
              <w:bottom w:w="80" w:type="dxa"/>
              <w:right w:w="110" w:type="dxa"/>
            </w:tcMar>
          </w:tcPr>
          <w:p w14:paraId="0BE4B5CB" w14:textId="77777777" w:rsidR="00EB0A50" w:rsidRDefault="00000000">
            <w:pPr>
              <w:spacing w:line="300" w:lineRule="auto"/>
            </w:pPr>
            <w:r>
              <w:rPr>
                <w:color w:val="000000"/>
                <w:sz w:val="20"/>
                <w:szCs w:val="20"/>
              </w:rPr>
              <w:t>Limited</w:t>
            </w:r>
          </w:p>
        </w:tc>
        <w:tc>
          <w:tcPr>
            <w:tcW w:w="2310" w:type="dxa"/>
            <w:tcMar>
              <w:top w:w="80" w:type="dxa"/>
              <w:left w:w="110" w:type="dxa"/>
              <w:bottom w:w="80" w:type="dxa"/>
              <w:right w:w="110" w:type="dxa"/>
            </w:tcMar>
          </w:tcPr>
          <w:p w14:paraId="601EED68" w14:textId="77777777" w:rsidR="00EB0A50" w:rsidRDefault="00000000">
            <w:pPr>
              <w:spacing w:line="300" w:lineRule="auto"/>
            </w:pPr>
            <w:r>
              <w:rPr>
                <w:color w:val="000000"/>
                <w:sz w:val="20"/>
                <w:szCs w:val="20"/>
              </w:rPr>
              <w:t>Limited</w:t>
            </w:r>
          </w:p>
        </w:tc>
      </w:tr>
      <w:tr w:rsidR="00EB0A50" w14:paraId="2CE658FF" w14:textId="77777777">
        <w:tblPrEx>
          <w:tblCellMar>
            <w:top w:w="0" w:type="dxa"/>
            <w:bottom w:w="0" w:type="dxa"/>
          </w:tblCellMar>
        </w:tblPrEx>
        <w:tc>
          <w:tcPr>
            <w:tcW w:w="2450" w:type="dxa"/>
            <w:shd w:val="clear" w:color="auto" w:fill="F2F4F8"/>
            <w:tcMar>
              <w:top w:w="80" w:type="dxa"/>
              <w:left w:w="110" w:type="dxa"/>
              <w:bottom w:w="80" w:type="dxa"/>
              <w:right w:w="110" w:type="dxa"/>
            </w:tcMar>
          </w:tcPr>
          <w:p w14:paraId="518C7B62" w14:textId="77777777" w:rsidR="00EB0A50" w:rsidRDefault="00000000">
            <w:pPr>
              <w:spacing w:line="300" w:lineRule="auto"/>
            </w:pPr>
            <w:r>
              <w:rPr>
                <w:color w:val="000000"/>
                <w:sz w:val="20"/>
                <w:szCs w:val="20"/>
              </w:rPr>
              <w:t>Business intelligence</w:t>
            </w:r>
          </w:p>
        </w:tc>
        <w:tc>
          <w:tcPr>
            <w:tcW w:w="2300" w:type="dxa"/>
            <w:shd w:val="clear" w:color="auto" w:fill="F2F4F8"/>
            <w:tcMar>
              <w:top w:w="80" w:type="dxa"/>
              <w:left w:w="110" w:type="dxa"/>
              <w:bottom w:w="80" w:type="dxa"/>
              <w:right w:w="110" w:type="dxa"/>
            </w:tcMar>
          </w:tcPr>
          <w:p w14:paraId="15664867" w14:textId="77777777" w:rsidR="00EB0A50" w:rsidRDefault="00000000">
            <w:pPr>
              <w:spacing w:line="300" w:lineRule="auto"/>
            </w:pPr>
            <w:r>
              <w:rPr>
                <w:color w:val="000000"/>
                <w:sz w:val="20"/>
                <w:szCs w:val="20"/>
              </w:rPr>
              <w:t>Power BI integration</w:t>
            </w:r>
          </w:p>
        </w:tc>
        <w:tc>
          <w:tcPr>
            <w:tcW w:w="2300" w:type="dxa"/>
            <w:shd w:val="clear" w:color="auto" w:fill="F2F4F8"/>
            <w:tcMar>
              <w:top w:w="80" w:type="dxa"/>
              <w:left w:w="110" w:type="dxa"/>
              <w:bottom w:w="80" w:type="dxa"/>
              <w:right w:w="110" w:type="dxa"/>
            </w:tcMar>
          </w:tcPr>
          <w:p w14:paraId="0FF45D2E" w14:textId="77777777" w:rsidR="00EB0A50" w:rsidRDefault="00000000">
            <w:pPr>
              <w:spacing w:line="300" w:lineRule="auto"/>
            </w:pPr>
            <w:r>
              <w:rPr>
                <w:color w:val="000000"/>
                <w:sz w:val="20"/>
                <w:szCs w:val="20"/>
              </w:rPr>
              <w:t>Built-in analytics</w:t>
            </w:r>
          </w:p>
        </w:tc>
        <w:tc>
          <w:tcPr>
            <w:tcW w:w="2310" w:type="dxa"/>
            <w:shd w:val="clear" w:color="auto" w:fill="F2F4F8"/>
            <w:tcMar>
              <w:top w:w="80" w:type="dxa"/>
              <w:left w:w="110" w:type="dxa"/>
              <w:bottom w:w="80" w:type="dxa"/>
              <w:right w:w="110" w:type="dxa"/>
            </w:tcMar>
          </w:tcPr>
          <w:p w14:paraId="2CA7654F" w14:textId="77777777" w:rsidR="00EB0A50" w:rsidRDefault="00000000">
            <w:pPr>
              <w:spacing w:line="300" w:lineRule="auto"/>
            </w:pPr>
            <w:r>
              <w:rPr>
                <w:color w:val="000000"/>
                <w:sz w:val="20"/>
                <w:szCs w:val="20"/>
              </w:rPr>
              <w:t>Good</w:t>
            </w:r>
          </w:p>
        </w:tc>
      </w:tr>
      <w:tr w:rsidR="00EB0A50" w14:paraId="3687CE6E" w14:textId="77777777">
        <w:tblPrEx>
          <w:tblCellMar>
            <w:top w:w="0" w:type="dxa"/>
            <w:bottom w:w="0" w:type="dxa"/>
          </w:tblCellMar>
        </w:tblPrEx>
        <w:tc>
          <w:tcPr>
            <w:tcW w:w="2450" w:type="dxa"/>
            <w:tcMar>
              <w:top w:w="80" w:type="dxa"/>
              <w:left w:w="110" w:type="dxa"/>
              <w:bottom w:w="80" w:type="dxa"/>
              <w:right w:w="110" w:type="dxa"/>
            </w:tcMar>
          </w:tcPr>
          <w:p w14:paraId="1BF10B8D" w14:textId="77777777" w:rsidR="00EB0A50" w:rsidRDefault="00000000">
            <w:pPr>
              <w:spacing w:line="300" w:lineRule="auto"/>
            </w:pPr>
            <w:r>
              <w:rPr>
                <w:color w:val="000000"/>
                <w:sz w:val="20"/>
                <w:szCs w:val="20"/>
              </w:rPr>
              <w:t xml:space="preserve">Suitability for </w:t>
            </w:r>
            <w:proofErr w:type="spellStart"/>
            <w:r>
              <w:rPr>
                <w:color w:val="000000"/>
                <w:sz w:val="20"/>
                <w:szCs w:val="20"/>
              </w:rPr>
              <w:t>Maldiva</w:t>
            </w:r>
            <w:proofErr w:type="spellEnd"/>
          </w:p>
        </w:tc>
        <w:tc>
          <w:tcPr>
            <w:tcW w:w="2300" w:type="dxa"/>
            <w:tcMar>
              <w:top w:w="80" w:type="dxa"/>
              <w:left w:w="110" w:type="dxa"/>
              <w:bottom w:w="80" w:type="dxa"/>
              <w:right w:w="110" w:type="dxa"/>
            </w:tcMar>
          </w:tcPr>
          <w:p w14:paraId="0954DCB2" w14:textId="77777777" w:rsidR="00EB0A50" w:rsidRDefault="00000000">
            <w:pPr>
              <w:spacing w:line="300" w:lineRule="auto"/>
            </w:pPr>
            <w:r>
              <w:rPr>
                <w:color w:val="000000"/>
                <w:sz w:val="20"/>
                <w:szCs w:val="20"/>
              </w:rPr>
              <w:t>Excellent</w:t>
            </w:r>
          </w:p>
        </w:tc>
        <w:tc>
          <w:tcPr>
            <w:tcW w:w="2300" w:type="dxa"/>
            <w:tcMar>
              <w:top w:w="80" w:type="dxa"/>
              <w:left w:w="110" w:type="dxa"/>
              <w:bottom w:w="80" w:type="dxa"/>
              <w:right w:w="110" w:type="dxa"/>
            </w:tcMar>
          </w:tcPr>
          <w:p w14:paraId="17A33C2F" w14:textId="77777777" w:rsidR="00EB0A50" w:rsidRDefault="00000000">
            <w:pPr>
              <w:spacing w:line="300" w:lineRule="auto"/>
            </w:pPr>
            <w:r>
              <w:rPr>
                <w:color w:val="000000"/>
                <w:sz w:val="20"/>
                <w:szCs w:val="20"/>
              </w:rPr>
              <w:t>Very good</w:t>
            </w:r>
          </w:p>
        </w:tc>
        <w:tc>
          <w:tcPr>
            <w:tcW w:w="2310" w:type="dxa"/>
            <w:tcMar>
              <w:top w:w="80" w:type="dxa"/>
              <w:left w:w="110" w:type="dxa"/>
              <w:bottom w:w="80" w:type="dxa"/>
              <w:right w:w="110" w:type="dxa"/>
            </w:tcMar>
          </w:tcPr>
          <w:p w14:paraId="6C488E4B" w14:textId="77777777" w:rsidR="00EB0A50" w:rsidRDefault="00000000">
            <w:pPr>
              <w:spacing w:line="300" w:lineRule="auto"/>
            </w:pPr>
            <w:r>
              <w:rPr>
                <w:color w:val="000000"/>
                <w:sz w:val="20"/>
                <w:szCs w:val="20"/>
              </w:rPr>
              <w:t>Good</w:t>
            </w:r>
          </w:p>
        </w:tc>
      </w:tr>
    </w:tbl>
    <w:p w14:paraId="13071D1E" w14:textId="77777777" w:rsidR="00EB0A50" w:rsidRDefault="00000000">
      <w:pPr>
        <w:spacing w:before="80" w:after="240" w:line="300" w:lineRule="auto"/>
        <w:jc w:val="center"/>
      </w:pPr>
      <w:r>
        <w:rPr>
          <w:i/>
          <w:iCs/>
          <w:color w:val="555555"/>
          <w:sz w:val="19"/>
          <w:szCs w:val="19"/>
        </w:rPr>
        <w:t>Table 2: Comparative evaluation of leading ERP solutions (author's own analysis).</w:t>
      </w:r>
    </w:p>
    <w:p w14:paraId="12F4C27F" w14:textId="77777777" w:rsidR="00EB0A50" w:rsidRDefault="00000000">
      <w:pPr>
        <w:pStyle w:val="Heading2"/>
        <w:spacing w:before="220" w:after="140"/>
      </w:pPr>
      <w:r>
        <w:rPr>
          <w:b/>
          <w:bCs/>
          <w:color w:val="2E5FA3"/>
          <w:sz w:val="24"/>
          <w:szCs w:val="24"/>
        </w:rPr>
        <w:lastRenderedPageBreak/>
        <w:t>3.3 Justification for the Recommended Solution</w:t>
      </w:r>
    </w:p>
    <w:p w14:paraId="52D63743" w14:textId="77777777" w:rsidR="00EB0A50" w:rsidRDefault="00000000">
      <w:pPr>
        <w:spacing w:after="160"/>
        <w:jc w:val="both"/>
      </w:pPr>
      <w:r>
        <w:t>Following the comparative evaluation, Microsoft Dynamics 365 Business Central is recommended, based on five factors.</w:t>
      </w:r>
    </w:p>
    <w:p w14:paraId="7F12D6DC" w14:textId="77777777" w:rsidR="00EB0A50" w:rsidRDefault="00000000">
      <w:pPr>
        <w:spacing w:after="160"/>
        <w:jc w:val="both"/>
      </w:pPr>
      <w:r>
        <w:rPr>
          <w:b/>
          <w:bCs/>
        </w:rPr>
        <w:t xml:space="preserve">Business efficiency. </w:t>
      </w:r>
      <w:r>
        <w:t>Inventory levels update automatically whenever products are purchased online or in-store, eliminating the discrepancies that currently cause cancelled orders, while automated workflows remove manual transfers between departments, reducing administrative workload and improving productivity.</w:t>
      </w:r>
    </w:p>
    <w:p w14:paraId="10C9A7BE" w14:textId="77777777" w:rsidR="00EB0A50" w:rsidRDefault="00000000">
      <w:pPr>
        <w:spacing w:after="160"/>
        <w:jc w:val="both"/>
      </w:pPr>
      <w:r>
        <w:rPr>
          <w:b/>
          <w:bCs/>
        </w:rPr>
        <w:t xml:space="preserve">Improved decision-making. </w:t>
      </w:r>
      <w:r>
        <w:t>Dynamics 365 integrates with Power BI, replacing outdated spreadsheet reports with live dashboards showing sales, stock, customer trends and financial performance in real time — the shift from reactive to data-driven management that improves forecasting and responsiveness (Laudon and Laudon, 2022).</w:t>
      </w:r>
    </w:p>
    <w:p w14:paraId="2334D434" w14:textId="77777777" w:rsidR="00EB0A50" w:rsidRDefault="00000000">
      <w:pPr>
        <w:spacing w:after="160"/>
        <w:jc w:val="both"/>
      </w:pPr>
      <w:r>
        <w:rPr>
          <w:b/>
          <w:bCs/>
        </w:rPr>
        <w:t xml:space="preserve">Enhanced customer relationship management. </w:t>
      </w:r>
      <w:r>
        <w:t>The integrated CRM module creates a 360-degree customer view: service teams access purchase histories and previous enquiries in one place, while marketing can segment customers and run personalised campaigns that improve retention and repeat sales (Payne and Frow, 2005).</w:t>
      </w:r>
    </w:p>
    <w:p w14:paraId="3CBDA0DD" w14:textId="77777777" w:rsidR="00EB0A50" w:rsidRDefault="00000000">
      <w:pPr>
        <w:spacing w:after="160"/>
        <w:jc w:val="both"/>
      </w:pPr>
      <w:r>
        <w:rPr>
          <w:b/>
          <w:bCs/>
        </w:rPr>
        <w:t xml:space="preserve">Security and regulatory compliance. </w:t>
      </w:r>
      <w:r>
        <w:t>Dynamics 365 provides enterprise-grade protection through multi-factor authentication, role-based access controls, encryption, automated backup and audit trails, significantly improving UK GDPR compliance while reducing the likelihood of data breaches (Information Commissioner's Office, 2023).</w:t>
      </w:r>
    </w:p>
    <w:p w14:paraId="51D10D2F" w14:textId="77777777" w:rsidR="00EB0A50" w:rsidRDefault="00000000">
      <w:pPr>
        <w:spacing w:after="160"/>
        <w:jc w:val="both"/>
      </w:pPr>
      <w:r>
        <w:rPr>
          <w:b/>
          <w:bCs/>
        </w:rPr>
        <w:t xml:space="preserve">Scalability and long-term value. </w:t>
      </w:r>
      <w:r>
        <w:t>Cloud ERP enables additional stores, users and functions to be added without new infrastructure investment, and subscription licensing converts large capital expenditure into predictable operating costs while keeping the software current (Marston et al., 2011). However, total cost of ownership extends beyond licensing to implementation services, training and data migration, which is why the plan includes a contingency budget and cost governance.</w:t>
      </w:r>
    </w:p>
    <w:p w14:paraId="5BF3A82D" w14:textId="77777777" w:rsidR="00EB0A50" w:rsidRDefault="00000000">
      <w:pPr>
        <w:spacing w:after="160"/>
        <w:jc w:val="both"/>
      </w:pPr>
      <w:r>
        <w:t>Table 3 presents a SWOT analysis, and Figure 4 summarises the expected benefits as targets to be validated in the pilot.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EB0A50" w14:paraId="59030CF3" w14:textId="77777777">
        <w:tblPrEx>
          <w:tblCellMar>
            <w:top w:w="0" w:type="dxa"/>
            <w:bottom w:w="0" w:type="dxa"/>
          </w:tblCellMar>
        </w:tblPrEx>
        <w:tc>
          <w:tcPr>
            <w:tcW w:w="4680" w:type="dxa"/>
            <w:shd w:val="clear" w:color="auto" w:fill="1B2A4A"/>
            <w:tcMar>
              <w:top w:w="80" w:type="dxa"/>
              <w:left w:w="110" w:type="dxa"/>
              <w:bottom w:w="80" w:type="dxa"/>
              <w:right w:w="110" w:type="dxa"/>
            </w:tcMar>
          </w:tcPr>
          <w:p w14:paraId="2D87B9F7" w14:textId="77777777" w:rsidR="00EB0A50" w:rsidRDefault="00000000">
            <w:pPr>
              <w:spacing w:line="300" w:lineRule="auto"/>
            </w:pPr>
            <w:r>
              <w:rPr>
                <w:b/>
                <w:bCs/>
                <w:color w:val="FFFFFF"/>
                <w:sz w:val="21"/>
                <w:szCs w:val="21"/>
              </w:rPr>
              <w:t>Strengths</w:t>
            </w:r>
          </w:p>
        </w:tc>
        <w:tc>
          <w:tcPr>
            <w:tcW w:w="4680" w:type="dxa"/>
            <w:shd w:val="clear" w:color="auto" w:fill="1B2A4A"/>
            <w:tcMar>
              <w:top w:w="80" w:type="dxa"/>
              <w:left w:w="110" w:type="dxa"/>
              <w:bottom w:w="80" w:type="dxa"/>
              <w:right w:w="110" w:type="dxa"/>
            </w:tcMar>
          </w:tcPr>
          <w:p w14:paraId="4AF5F69F" w14:textId="77777777" w:rsidR="00EB0A50" w:rsidRDefault="00000000">
            <w:pPr>
              <w:spacing w:line="300" w:lineRule="auto"/>
            </w:pPr>
            <w:r>
              <w:rPr>
                <w:b/>
                <w:bCs/>
                <w:color w:val="FFFFFF"/>
                <w:sz w:val="21"/>
                <w:szCs w:val="21"/>
              </w:rPr>
              <w:t>Weaknesses</w:t>
            </w:r>
          </w:p>
        </w:tc>
      </w:tr>
      <w:tr w:rsidR="00EB0A50" w14:paraId="77986941" w14:textId="77777777">
        <w:tblPrEx>
          <w:tblCellMar>
            <w:top w:w="0" w:type="dxa"/>
            <w:bottom w:w="0" w:type="dxa"/>
          </w:tblCellMar>
        </w:tblPrEx>
        <w:tc>
          <w:tcPr>
            <w:tcW w:w="4680" w:type="dxa"/>
            <w:tcMar>
              <w:top w:w="80" w:type="dxa"/>
              <w:left w:w="110" w:type="dxa"/>
              <w:bottom w:w="80" w:type="dxa"/>
              <w:right w:w="110" w:type="dxa"/>
            </w:tcMar>
          </w:tcPr>
          <w:p w14:paraId="6514A24A" w14:textId="77777777" w:rsidR="00EB0A50" w:rsidRDefault="00000000">
            <w:pPr>
              <w:spacing w:line="300" w:lineRule="auto"/>
            </w:pPr>
            <w:r>
              <w:rPr>
                <w:color w:val="000000"/>
                <w:sz w:val="20"/>
                <w:szCs w:val="20"/>
              </w:rPr>
              <w:t>Real-time integrated information; improved operational efficiency; enhanced customer experience; better security and compliance</w:t>
            </w:r>
          </w:p>
        </w:tc>
        <w:tc>
          <w:tcPr>
            <w:tcW w:w="4680" w:type="dxa"/>
            <w:tcMar>
              <w:top w:w="80" w:type="dxa"/>
              <w:left w:w="110" w:type="dxa"/>
              <w:bottom w:w="80" w:type="dxa"/>
              <w:right w:w="110" w:type="dxa"/>
            </w:tcMar>
          </w:tcPr>
          <w:p w14:paraId="63A2CCD1" w14:textId="77777777" w:rsidR="00EB0A50" w:rsidRDefault="00000000">
            <w:pPr>
              <w:spacing w:line="300" w:lineRule="auto"/>
            </w:pPr>
            <w:r>
              <w:rPr>
                <w:color w:val="000000"/>
                <w:sz w:val="20"/>
                <w:szCs w:val="20"/>
              </w:rPr>
              <w:t>Initial implementation costs; employee training required; temporary productivity disruption; data migration complexity</w:t>
            </w:r>
          </w:p>
        </w:tc>
      </w:tr>
      <w:tr w:rsidR="00EB0A50" w14:paraId="3D06ACF0" w14:textId="77777777">
        <w:tblPrEx>
          <w:tblCellMar>
            <w:top w:w="0" w:type="dxa"/>
            <w:bottom w:w="0" w:type="dxa"/>
          </w:tblCellMar>
        </w:tblPrEx>
        <w:tc>
          <w:tcPr>
            <w:tcW w:w="4680" w:type="dxa"/>
            <w:shd w:val="clear" w:color="auto" w:fill="F2F4F8"/>
            <w:tcMar>
              <w:top w:w="80" w:type="dxa"/>
              <w:left w:w="110" w:type="dxa"/>
              <w:bottom w:w="80" w:type="dxa"/>
              <w:right w:w="110" w:type="dxa"/>
            </w:tcMar>
          </w:tcPr>
          <w:p w14:paraId="2D0AE211" w14:textId="77777777" w:rsidR="00EB0A50" w:rsidRDefault="00000000">
            <w:pPr>
              <w:spacing w:line="300" w:lineRule="auto"/>
            </w:pPr>
            <w:r>
              <w:rPr>
                <w:color w:val="000000"/>
                <w:sz w:val="20"/>
                <w:szCs w:val="20"/>
              </w:rPr>
              <w:t>Opportunities</w:t>
            </w:r>
          </w:p>
        </w:tc>
        <w:tc>
          <w:tcPr>
            <w:tcW w:w="4680" w:type="dxa"/>
            <w:shd w:val="clear" w:color="auto" w:fill="F2F4F8"/>
            <w:tcMar>
              <w:top w:w="80" w:type="dxa"/>
              <w:left w:w="110" w:type="dxa"/>
              <w:bottom w:w="80" w:type="dxa"/>
              <w:right w:w="110" w:type="dxa"/>
            </w:tcMar>
          </w:tcPr>
          <w:p w14:paraId="158F7EF8" w14:textId="77777777" w:rsidR="00EB0A50" w:rsidRDefault="00000000">
            <w:pPr>
              <w:spacing w:line="300" w:lineRule="auto"/>
            </w:pPr>
            <w:r>
              <w:rPr>
                <w:color w:val="000000"/>
                <w:sz w:val="20"/>
                <w:szCs w:val="20"/>
              </w:rPr>
              <w:t>Threats</w:t>
            </w:r>
          </w:p>
        </w:tc>
      </w:tr>
      <w:tr w:rsidR="00EB0A50" w14:paraId="7CB1A6CB" w14:textId="77777777">
        <w:tblPrEx>
          <w:tblCellMar>
            <w:top w:w="0" w:type="dxa"/>
            <w:bottom w:w="0" w:type="dxa"/>
          </w:tblCellMar>
        </w:tblPrEx>
        <w:tc>
          <w:tcPr>
            <w:tcW w:w="4680" w:type="dxa"/>
            <w:tcMar>
              <w:top w:w="80" w:type="dxa"/>
              <w:left w:w="110" w:type="dxa"/>
              <w:bottom w:w="80" w:type="dxa"/>
              <w:right w:w="110" w:type="dxa"/>
            </w:tcMar>
          </w:tcPr>
          <w:p w14:paraId="4425398C" w14:textId="77777777" w:rsidR="00EB0A50" w:rsidRDefault="00000000">
            <w:pPr>
              <w:spacing w:line="300" w:lineRule="auto"/>
            </w:pPr>
            <w:r>
              <w:rPr>
                <w:color w:val="000000"/>
                <w:sz w:val="20"/>
                <w:szCs w:val="20"/>
              </w:rPr>
              <w:lastRenderedPageBreak/>
              <w:t>Future business expansion; artificial intelligence integration; improved competitive advantage; predictive analytics</w:t>
            </w:r>
          </w:p>
        </w:tc>
        <w:tc>
          <w:tcPr>
            <w:tcW w:w="4680" w:type="dxa"/>
            <w:tcMar>
              <w:top w:w="80" w:type="dxa"/>
              <w:left w:w="110" w:type="dxa"/>
              <w:bottom w:w="80" w:type="dxa"/>
              <w:right w:w="110" w:type="dxa"/>
            </w:tcMar>
          </w:tcPr>
          <w:p w14:paraId="631D78D6" w14:textId="77777777" w:rsidR="00EB0A50" w:rsidRDefault="00000000">
            <w:pPr>
              <w:spacing w:line="300" w:lineRule="auto"/>
            </w:pPr>
            <w:r>
              <w:rPr>
                <w:color w:val="000000"/>
                <w:sz w:val="20"/>
                <w:szCs w:val="20"/>
              </w:rPr>
              <w:t>Cyber-security threats; employee resistance to change; project cost overruns; implementation delays</w:t>
            </w:r>
          </w:p>
        </w:tc>
      </w:tr>
    </w:tbl>
    <w:p w14:paraId="4658C004" w14:textId="77777777" w:rsidR="00EB0A50" w:rsidRDefault="00000000">
      <w:pPr>
        <w:spacing w:before="80" w:after="240" w:line="300" w:lineRule="auto"/>
        <w:jc w:val="center"/>
      </w:pPr>
      <w:r>
        <w:rPr>
          <w:i/>
          <w:iCs/>
          <w:color w:val="555555"/>
          <w:sz w:val="19"/>
          <w:szCs w:val="19"/>
        </w:rPr>
        <w:t>Table 3: SWOT analysis of the proposed ERP implementation (author's own analysis).</w:t>
      </w:r>
    </w:p>
    <w:p w14:paraId="55CB4679" w14:textId="77777777" w:rsidR="00EB0A50" w:rsidRDefault="00000000">
      <w:pPr>
        <w:spacing w:before="160" w:after="40"/>
        <w:jc w:val="center"/>
      </w:pPr>
      <w:r>
        <w:rPr>
          <w:noProof/>
        </w:rPr>
        <w:drawing>
          <wp:inline distT="0" distB="0" distL="0" distR="0" wp14:anchorId="4FFAEAD6" wp14:editId="680FF214">
            <wp:extent cx="5852160" cy="2350008"/>
            <wp:effectExtent l="0" t="0" r="0" b="0"/>
            <wp:docPr id="1113564679" name="Picture 1113564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852160" cy="2350008"/>
                    </a:xfrm>
                    <a:prstGeom prst="rect">
                      <a:avLst/>
                    </a:prstGeom>
                  </pic:spPr>
                </pic:pic>
              </a:graphicData>
            </a:graphic>
          </wp:inline>
        </w:drawing>
      </w:r>
    </w:p>
    <w:p w14:paraId="725B74CF" w14:textId="77777777" w:rsidR="00EB0A50" w:rsidRDefault="00000000">
      <w:pPr>
        <w:spacing w:before="80" w:after="240" w:line="300" w:lineRule="auto"/>
        <w:jc w:val="center"/>
      </w:pPr>
      <w:r>
        <w:rPr>
          <w:i/>
          <w:iCs/>
          <w:color w:val="555555"/>
          <w:sz w:val="19"/>
          <w:szCs w:val="19"/>
        </w:rPr>
        <w:t>Figure 4: Expected business benefits following ERP implementation (author's own illustration).</w:t>
      </w:r>
    </w:p>
    <w:p w14:paraId="399D15C5" w14:textId="77777777" w:rsidR="00EB0A50" w:rsidRDefault="00000000">
      <w:pPr>
        <w:spacing w:after="160"/>
        <w:jc w:val="both"/>
      </w:pPr>
      <w:r>
        <w:rPr>
          <w:b/>
          <w:bCs/>
        </w:rPr>
        <w:t xml:space="preserve">Critical evaluation. </w:t>
      </w:r>
      <w:r>
        <w:t xml:space="preserve">Although implementation requires significant investment, organisational change and training, the long-term benefits substantially outweigh the short-term costs. Unlike incremental fixes, Dynamics 365 addresses the root cause of </w:t>
      </w:r>
      <w:proofErr w:type="spellStart"/>
      <w:r>
        <w:t>Maldiva's</w:t>
      </w:r>
      <w:proofErr w:type="spellEnd"/>
      <w:r>
        <w:t xml:space="preserve"> challenges — fragmentation — by creating a fully integrated information environment (Davenport, 1998), aligning technology with business objectives to improve efficiency, customer satisfaction, compliance and growth.</w:t>
      </w:r>
    </w:p>
    <w:p w14:paraId="5A59080C" w14:textId="77777777" w:rsidR="00EB0A50" w:rsidRDefault="00000000">
      <w:pPr>
        <w:pStyle w:val="Heading1"/>
        <w:spacing w:before="280" w:after="180"/>
      </w:pPr>
      <w:r>
        <w:rPr>
          <w:b/>
          <w:bCs/>
          <w:color w:val="1B2A4A"/>
          <w:sz w:val="28"/>
          <w:szCs w:val="28"/>
        </w:rPr>
        <w:t>4. Implementation Plan</w:t>
      </w:r>
    </w:p>
    <w:p w14:paraId="24969A44" w14:textId="77777777" w:rsidR="00EB0A50" w:rsidRDefault="00000000">
      <w:pPr>
        <w:spacing w:after="160"/>
        <w:jc w:val="both"/>
      </w:pPr>
      <w:r>
        <w:t>Successful ERP implementation depends on effective project management, stakeholder engagement and organisational change as much as on technology: failures are more commonly associated with poor planning, inadequate training and resistance to change than with technical limitations (Umble, Haft and Umble, 2003; Panorama Consulting Group, 2023). A phased, twelve-month rollout is therefore recommended (Figure 5) rather than a simultaneous deployment across all thirty stores, reducing risk and allowing issues to be resolved and feedback incorporated before wider deployment.</w:t>
      </w:r>
    </w:p>
    <w:p w14:paraId="40A8D761" w14:textId="77777777" w:rsidR="00EB0A50" w:rsidRDefault="00000000">
      <w:pPr>
        <w:spacing w:before="160" w:after="40"/>
        <w:jc w:val="center"/>
      </w:pPr>
      <w:r>
        <w:rPr>
          <w:noProof/>
        </w:rPr>
        <w:lastRenderedPageBreak/>
        <w:drawing>
          <wp:inline distT="0" distB="0" distL="0" distR="0" wp14:anchorId="46C6C56D" wp14:editId="5290D078">
            <wp:extent cx="5852160" cy="2825496"/>
            <wp:effectExtent l="0" t="0" r="0" b="0"/>
            <wp:docPr id="2114522700" name="Picture 2114522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852160" cy="2825496"/>
                    </a:xfrm>
                    <a:prstGeom prst="rect">
                      <a:avLst/>
                    </a:prstGeom>
                  </pic:spPr>
                </pic:pic>
              </a:graphicData>
            </a:graphic>
          </wp:inline>
        </w:drawing>
      </w:r>
    </w:p>
    <w:p w14:paraId="285B7251" w14:textId="77777777" w:rsidR="00EB0A50" w:rsidRDefault="00000000">
      <w:pPr>
        <w:spacing w:before="80" w:after="240" w:line="300" w:lineRule="auto"/>
        <w:jc w:val="center"/>
      </w:pPr>
      <w:r>
        <w:rPr>
          <w:i/>
          <w:iCs/>
          <w:color w:val="555555"/>
          <w:sz w:val="19"/>
          <w:szCs w:val="19"/>
        </w:rPr>
        <w:t>Figure 5: ERP implementation Gantt chart, 12 months (author's own illustration).</w:t>
      </w:r>
    </w:p>
    <w:p w14:paraId="573D4B3E" w14:textId="77777777" w:rsidR="00EB0A50" w:rsidRDefault="00000000">
      <w:pPr>
        <w:spacing w:before="180" w:after="100"/>
      </w:pPr>
      <w:r>
        <w:rPr>
          <w:b/>
          <w:bCs/>
          <w:color w:val="1B2A4A"/>
        </w:rPr>
        <w:t>Phase 1 – Project Planning and Vendor Selection (Months 1–2)</w:t>
      </w:r>
    </w:p>
    <w:p w14:paraId="657C5DBE" w14:textId="77777777" w:rsidR="00EB0A50" w:rsidRDefault="00000000">
      <w:pPr>
        <w:spacing w:after="160"/>
        <w:jc w:val="both"/>
      </w:pPr>
      <w:r>
        <w:t>A steering committee of senior management, IT specialists and departmental representatives should be established; strong executive sponsorship is among the most important determinants of ERP success (Kotter, 2012). Measurable objectives — inventory accuracy, fulfilment times, customer satisfaction — should be defined and vendors evaluated against functionality, cost, security, scalability and support.</w:t>
      </w:r>
    </w:p>
    <w:p w14:paraId="6F252227" w14:textId="77777777" w:rsidR="00EB0A50" w:rsidRDefault="00000000">
      <w:pPr>
        <w:spacing w:before="180" w:after="100"/>
      </w:pPr>
      <w:r>
        <w:rPr>
          <w:b/>
          <w:bCs/>
          <w:color w:val="1B2A4A"/>
        </w:rPr>
        <w:t>Phase 2 – Data Cleansing and Migration (Months 2–4)</w:t>
      </w:r>
    </w:p>
    <w:p w14:paraId="7E9C3417" w14:textId="77777777" w:rsidR="00EB0A50" w:rsidRDefault="00000000">
      <w:pPr>
        <w:spacing w:after="160"/>
        <w:jc w:val="both"/>
      </w:pPr>
      <w:r>
        <w:t>An ERP system is only as good as its data. Customer, inventory and supplier records should be reviewed to remove duplicates, inconsistencies and obsolete entries before migration, since migrating inaccurate data simply transfers existing problems into the new system (Umble, Haft and Umble, 2003). This phase also allows records held without a lawful basis to be removed, supporting UK GDPR compliance.</w:t>
      </w:r>
    </w:p>
    <w:p w14:paraId="49875535" w14:textId="77777777" w:rsidR="00EB0A50" w:rsidRDefault="00000000">
      <w:pPr>
        <w:spacing w:before="180" w:after="100"/>
      </w:pPr>
      <w:r>
        <w:rPr>
          <w:b/>
          <w:bCs/>
          <w:color w:val="1B2A4A"/>
        </w:rPr>
        <w:t>Phase 3 – System Configuration and Integration (Months 4–6)</w:t>
      </w:r>
    </w:p>
    <w:p w14:paraId="67DCC006" w14:textId="77777777" w:rsidR="00EB0A50" w:rsidRDefault="00000000">
      <w:pPr>
        <w:spacing w:after="160"/>
        <w:jc w:val="both"/>
      </w:pPr>
      <w:r>
        <w:t xml:space="preserve">The software should be configured to </w:t>
      </w:r>
      <w:proofErr w:type="spellStart"/>
      <w:r>
        <w:t>Maldiva's</w:t>
      </w:r>
      <w:proofErr w:type="spellEnd"/>
      <w:r>
        <w:t xml:space="preserve"> processes, adopting standard workflows rather than heavy customisation to reduce complexity and simplify upgrades (Al-Mashari, Al-</w:t>
      </w:r>
      <w:proofErr w:type="spellStart"/>
      <w:r>
        <w:t>Mudimigh</w:t>
      </w:r>
      <w:proofErr w:type="spellEnd"/>
      <w:r>
        <w:t xml:space="preserve"> and Zairi, 2003). The platform should integrate with existing point-of-sale terminals, the e-commerce platform, payment gateways and supplier systems via APIs, providing real-time synchronisation and eliminating manual data entry.</w:t>
      </w:r>
    </w:p>
    <w:p w14:paraId="1ABF83FE" w14:textId="77777777" w:rsidR="00EB0A50" w:rsidRDefault="00000000">
      <w:pPr>
        <w:spacing w:before="180" w:after="100"/>
      </w:pPr>
      <w:r>
        <w:rPr>
          <w:b/>
          <w:bCs/>
          <w:color w:val="1B2A4A"/>
        </w:rPr>
        <w:t>Phase 4 – Training and Change Management (Months 5–7)</w:t>
      </w:r>
    </w:p>
    <w:p w14:paraId="40376AA2" w14:textId="77777777" w:rsidR="00EB0A50" w:rsidRDefault="00000000">
      <w:pPr>
        <w:spacing w:after="160"/>
        <w:jc w:val="both"/>
      </w:pPr>
      <w:r>
        <w:t xml:space="preserve">Employees must understand both how the system works and why it is being introduced. Role-specific training should cover store, finance, marketing, customer service and management </w:t>
      </w:r>
      <w:r>
        <w:lastRenderedPageBreak/>
        <w:t>staff, with a 'super user' in each store providing first-line support and reducing dependence on consultants. Kotter's (2012) model — communicating a clear vision, creating short-term wins and maintaining engagement — should underpin the change strategy.</w:t>
      </w:r>
    </w:p>
    <w:p w14:paraId="2902AE02" w14:textId="77777777" w:rsidR="00EB0A50" w:rsidRDefault="00000000">
      <w:pPr>
        <w:spacing w:before="180" w:after="100"/>
      </w:pPr>
      <w:r>
        <w:rPr>
          <w:b/>
          <w:bCs/>
          <w:color w:val="1B2A4A"/>
        </w:rPr>
        <w:t>Phase 5 – Pilot Implementation (Months 7–9)</w:t>
      </w:r>
    </w:p>
    <w:p w14:paraId="66DA3E71" w14:textId="77777777" w:rsidR="00EB0A50" w:rsidRDefault="00000000">
      <w:pPr>
        <w:spacing w:after="160"/>
        <w:jc w:val="both"/>
      </w:pPr>
      <w:r>
        <w:t xml:space="preserve">The system should first go live in five representative stores plus the online platform, enabling </w:t>
      </w:r>
      <w:proofErr w:type="spellStart"/>
      <w:r>
        <w:t>Maldiva</w:t>
      </w:r>
      <w:proofErr w:type="spellEnd"/>
      <w:r>
        <w:t xml:space="preserve"> to evaluate performance, identify configuration issues, assess employee confidence and test reporting accuracy; pilot indicators should inform refinements before full deployment.</w:t>
      </w:r>
    </w:p>
    <w:p w14:paraId="5D9A6C56" w14:textId="77777777" w:rsidR="00EB0A50" w:rsidRDefault="00000000">
      <w:pPr>
        <w:spacing w:before="180" w:after="100"/>
      </w:pPr>
      <w:r>
        <w:rPr>
          <w:b/>
          <w:bCs/>
          <w:color w:val="1B2A4A"/>
        </w:rPr>
        <w:t>Phase 6 – Organisation-Wide Deployment (Months 9–12)</w:t>
      </w:r>
    </w:p>
    <w:p w14:paraId="083AFFAE" w14:textId="77777777" w:rsidR="00EB0A50" w:rsidRDefault="00000000">
      <w:pPr>
        <w:spacing w:after="160"/>
        <w:jc w:val="both"/>
      </w:pPr>
      <w:r>
        <w:t>The system should then be introduced gradually across the remaining stores, with legacy systems running temporarily in parallel until confidence is established. Once complete, spreadsheet processes and disconnected databases should be permanently decommissioned to prevent staff reverting to old practices.</w:t>
      </w:r>
    </w:p>
    <w:p w14:paraId="5A6F60EB" w14:textId="77777777" w:rsidR="00EB0A50" w:rsidRDefault="00000000">
      <w:pPr>
        <w:spacing w:before="180" w:after="100"/>
      </w:pPr>
      <w:r>
        <w:rPr>
          <w:b/>
          <w:bCs/>
          <w:color w:val="1B2A4A"/>
        </w:rPr>
        <w:t>Risk Management</w:t>
      </w:r>
    </w:p>
    <w:p w14:paraId="7DE605BD" w14:textId="77777777" w:rsidR="00EB0A50" w:rsidRDefault="00000000">
      <w:pPr>
        <w:spacing w:after="160"/>
        <w:jc w:val="both"/>
      </w:pPr>
      <w:r>
        <w:t>Figure 6 maps the principal implementation risks by likelihood and impact, and Table 4 sets out the corresponding mitigation strategies.</w:t>
      </w:r>
    </w:p>
    <w:p w14:paraId="7C7712DA" w14:textId="77777777" w:rsidR="00EB0A50" w:rsidRDefault="00000000">
      <w:pPr>
        <w:spacing w:before="160" w:after="40"/>
        <w:jc w:val="center"/>
      </w:pPr>
      <w:r>
        <w:rPr>
          <w:noProof/>
        </w:rPr>
        <w:drawing>
          <wp:inline distT="0" distB="0" distL="0" distR="0" wp14:anchorId="189A7EB0" wp14:editId="79FAD969">
            <wp:extent cx="5394960" cy="2807208"/>
            <wp:effectExtent l="0" t="0" r="0" b="0"/>
            <wp:docPr id="827523715" name="Picture 8275237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394960" cy="2807208"/>
                    </a:xfrm>
                    <a:prstGeom prst="rect">
                      <a:avLst/>
                    </a:prstGeom>
                  </pic:spPr>
                </pic:pic>
              </a:graphicData>
            </a:graphic>
          </wp:inline>
        </w:drawing>
      </w:r>
    </w:p>
    <w:p w14:paraId="7F1B244F" w14:textId="77777777" w:rsidR="00EB0A50" w:rsidRDefault="00000000">
      <w:pPr>
        <w:spacing w:before="80" w:after="240" w:line="300" w:lineRule="auto"/>
        <w:jc w:val="center"/>
      </w:pPr>
      <w:r>
        <w:rPr>
          <w:i/>
          <w:iCs/>
          <w:color w:val="555555"/>
          <w:sz w:val="19"/>
          <w:szCs w:val="19"/>
        </w:rPr>
        <w:t>Figure 6: Implementation risk heat map (author's own analysis).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50"/>
        <w:gridCol w:w="1500"/>
        <w:gridCol w:w="1400"/>
        <w:gridCol w:w="4010"/>
      </w:tblGrid>
      <w:tr w:rsidR="00EB0A50" w14:paraId="44F0DD56" w14:textId="77777777">
        <w:tblPrEx>
          <w:tblCellMar>
            <w:top w:w="0" w:type="dxa"/>
            <w:bottom w:w="0" w:type="dxa"/>
          </w:tblCellMar>
        </w:tblPrEx>
        <w:tc>
          <w:tcPr>
            <w:tcW w:w="2450" w:type="dxa"/>
            <w:shd w:val="clear" w:color="auto" w:fill="1B2A4A"/>
            <w:tcMar>
              <w:top w:w="80" w:type="dxa"/>
              <w:left w:w="110" w:type="dxa"/>
              <w:bottom w:w="80" w:type="dxa"/>
              <w:right w:w="110" w:type="dxa"/>
            </w:tcMar>
          </w:tcPr>
          <w:p w14:paraId="4F4CF94A" w14:textId="77777777" w:rsidR="00EB0A50" w:rsidRDefault="00000000">
            <w:pPr>
              <w:spacing w:line="300" w:lineRule="auto"/>
            </w:pPr>
            <w:r>
              <w:rPr>
                <w:b/>
                <w:bCs/>
                <w:color w:val="FFFFFF"/>
                <w:sz w:val="21"/>
                <w:szCs w:val="21"/>
              </w:rPr>
              <w:t>Risk</w:t>
            </w:r>
          </w:p>
        </w:tc>
        <w:tc>
          <w:tcPr>
            <w:tcW w:w="1500" w:type="dxa"/>
            <w:shd w:val="clear" w:color="auto" w:fill="1B2A4A"/>
            <w:tcMar>
              <w:top w:w="80" w:type="dxa"/>
              <w:left w:w="110" w:type="dxa"/>
              <w:bottom w:w="80" w:type="dxa"/>
              <w:right w:w="110" w:type="dxa"/>
            </w:tcMar>
          </w:tcPr>
          <w:p w14:paraId="570458D5" w14:textId="77777777" w:rsidR="00EB0A50" w:rsidRDefault="00000000">
            <w:pPr>
              <w:spacing w:line="300" w:lineRule="auto"/>
            </w:pPr>
            <w:r>
              <w:rPr>
                <w:b/>
                <w:bCs/>
                <w:color w:val="FFFFFF"/>
                <w:sz w:val="21"/>
                <w:szCs w:val="21"/>
              </w:rPr>
              <w:t>Likelihood</w:t>
            </w:r>
          </w:p>
        </w:tc>
        <w:tc>
          <w:tcPr>
            <w:tcW w:w="1400" w:type="dxa"/>
            <w:shd w:val="clear" w:color="auto" w:fill="1B2A4A"/>
            <w:tcMar>
              <w:top w:w="80" w:type="dxa"/>
              <w:left w:w="110" w:type="dxa"/>
              <w:bottom w:w="80" w:type="dxa"/>
              <w:right w:w="110" w:type="dxa"/>
            </w:tcMar>
          </w:tcPr>
          <w:p w14:paraId="5CD0D21F" w14:textId="77777777" w:rsidR="00EB0A50" w:rsidRDefault="00000000">
            <w:pPr>
              <w:spacing w:line="300" w:lineRule="auto"/>
            </w:pPr>
            <w:r>
              <w:rPr>
                <w:b/>
                <w:bCs/>
                <w:color w:val="FFFFFF"/>
                <w:sz w:val="21"/>
                <w:szCs w:val="21"/>
              </w:rPr>
              <w:t>Impact</w:t>
            </w:r>
          </w:p>
        </w:tc>
        <w:tc>
          <w:tcPr>
            <w:tcW w:w="4010" w:type="dxa"/>
            <w:shd w:val="clear" w:color="auto" w:fill="1B2A4A"/>
            <w:tcMar>
              <w:top w:w="80" w:type="dxa"/>
              <w:left w:w="110" w:type="dxa"/>
              <w:bottom w:w="80" w:type="dxa"/>
              <w:right w:w="110" w:type="dxa"/>
            </w:tcMar>
          </w:tcPr>
          <w:p w14:paraId="5219DAEF" w14:textId="77777777" w:rsidR="00EB0A50" w:rsidRDefault="00000000">
            <w:pPr>
              <w:spacing w:line="300" w:lineRule="auto"/>
            </w:pPr>
            <w:r>
              <w:rPr>
                <w:b/>
                <w:bCs/>
                <w:color w:val="FFFFFF"/>
                <w:sz w:val="21"/>
                <w:szCs w:val="21"/>
              </w:rPr>
              <w:t>Mitigation Strategy</w:t>
            </w:r>
          </w:p>
        </w:tc>
      </w:tr>
      <w:tr w:rsidR="00EB0A50" w14:paraId="4389708C" w14:textId="77777777">
        <w:tblPrEx>
          <w:tblCellMar>
            <w:top w:w="0" w:type="dxa"/>
            <w:bottom w:w="0" w:type="dxa"/>
          </w:tblCellMar>
        </w:tblPrEx>
        <w:tc>
          <w:tcPr>
            <w:tcW w:w="2450" w:type="dxa"/>
            <w:tcMar>
              <w:top w:w="80" w:type="dxa"/>
              <w:left w:w="110" w:type="dxa"/>
              <w:bottom w:w="80" w:type="dxa"/>
              <w:right w:w="110" w:type="dxa"/>
            </w:tcMar>
          </w:tcPr>
          <w:p w14:paraId="67681643" w14:textId="77777777" w:rsidR="00EB0A50" w:rsidRDefault="00000000">
            <w:pPr>
              <w:spacing w:line="300" w:lineRule="auto"/>
            </w:pPr>
            <w:r>
              <w:rPr>
                <w:color w:val="000000"/>
                <w:sz w:val="20"/>
                <w:szCs w:val="20"/>
              </w:rPr>
              <w:t>Employee resistance</w:t>
            </w:r>
          </w:p>
        </w:tc>
        <w:tc>
          <w:tcPr>
            <w:tcW w:w="1500" w:type="dxa"/>
            <w:tcMar>
              <w:top w:w="80" w:type="dxa"/>
              <w:left w:w="110" w:type="dxa"/>
              <w:bottom w:w="80" w:type="dxa"/>
              <w:right w:w="110" w:type="dxa"/>
            </w:tcMar>
          </w:tcPr>
          <w:p w14:paraId="1F2B095E" w14:textId="77777777" w:rsidR="00EB0A50" w:rsidRDefault="00000000">
            <w:pPr>
              <w:spacing w:line="300" w:lineRule="auto"/>
            </w:pPr>
            <w:r>
              <w:rPr>
                <w:color w:val="000000"/>
                <w:sz w:val="20"/>
                <w:szCs w:val="20"/>
              </w:rPr>
              <w:t>Medium</w:t>
            </w:r>
          </w:p>
        </w:tc>
        <w:tc>
          <w:tcPr>
            <w:tcW w:w="1400" w:type="dxa"/>
            <w:tcMar>
              <w:top w:w="80" w:type="dxa"/>
              <w:left w:w="110" w:type="dxa"/>
              <w:bottom w:w="80" w:type="dxa"/>
              <w:right w:w="110" w:type="dxa"/>
            </w:tcMar>
          </w:tcPr>
          <w:p w14:paraId="51132CBF" w14:textId="77777777" w:rsidR="00EB0A50" w:rsidRDefault="00000000">
            <w:pPr>
              <w:spacing w:line="300" w:lineRule="auto"/>
            </w:pPr>
            <w:r>
              <w:rPr>
                <w:color w:val="000000"/>
                <w:sz w:val="20"/>
                <w:szCs w:val="20"/>
              </w:rPr>
              <w:t>High</w:t>
            </w:r>
          </w:p>
        </w:tc>
        <w:tc>
          <w:tcPr>
            <w:tcW w:w="4010" w:type="dxa"/>
            <w:tcMar>
              <w:top w:w="80" w:type="dxa"/>
              <w:left w:w="110" w:type="dxa"/>
              <w:bottom w:w="80" w:type="dxa"/>
              <w:right w:w="110" w:type="dxa"/>
            </w:tcMar>
          </w:tcPr>
          <w:p w14:paraId="67A86DCE" w14:textId="77777777" w:rsidR="00EB0A50" w:rsidRDefault="00000000">
            <w:pPr>
              <w:spacing w:line="300" w:lineRule="auto"/>
            </w:pPr>
            <w:r>
              <w:rPr>
                <w:color w:val="000000"/>
                <w:sz w:val="20"/>
                <w:szCs w:val="20"/>
              </w:rPr>
              <w:t>Communication, training and super users</w:t>
            </w:r>
          </w:p>
        </w:tc>
      </w:tr>
      <w:tr w:rsidR="00EB0A50" w14:paraId="30A14B9F" w14:textId="77777777">
        <w:tblPrEx>
          <w:tblCellMar>
            <w:top w:w="0" w:type="dxa"/>
            <w:bottom w:w="0" w:type="dxa"/>
          </w:tblCellMar>
        </w:tblPrEx>
        <w:tc>
          <w:tcPr>
            <w:tcW w:w="2450" w:type="dxa"/>
            <w:shd w:val="clear" w:color="auto" w:fill="F2F4F8"/>
            <w:tcMar>
              <w:top w:w="80" w:type="dxa"/>
              <w:left w:w="110" w:type="dxa"/>
              <w:bottom w:w="80" w:type="dxa"/>
              <w:right w:w="110" w:type="dxa"/>
            </w:tcMar>
          </w:tcPr>
          <w:p w14:paraId="0AAF763E" w14:textId="77777777" w:rsidR="00EB0A50" w:rsidRDefault="00000000">
            <w:pPr>
              <w:spacing w:line="300" w:lineRule="auto"/>
            </w:pPr>
            <w:r>
              <w:rPr>
                <w:color w:val="000000"/>
                <w:sz w:val="20"/>
                <w:szCs w:val="20"/>
              </w:rPr>
              <w:t>Budget overruns</w:t>
            </w:r>
          </w:p>
        </w:tc>
        <w:tc>
          <w:tcPr>
            <w:tcW w:w="1500" w:type="dxa"/>
            <w:shd w:val="clear" w:color="auto" w:fill="F2F4F8"/>
            <w:tcMar>
              <w:top w:w="80" w:type="dxa"/>
              <w:left w:w="110" w:type="dxa"/>
              <w:bottom w:w="80" w:type="dxa"/>
              <w:right w:w="110" w:type="dxa"/>
            </w:tcMar>
          </w:tcPr>
          <w:p w14:paraId="0857D1AA" w14:textId="77777777" w:rsidR="00EB0A50" w:rsidRDefault="00000000">
            <w:pPr>
              <w:spacing w:line="300" w:lineRule="auto"/>
            </w:pPr>
            <w:r>
              <w:rPr>
                <w:color w:val="000000"/>
                <w:sz w:val="20"/>
                <w:szCs w:val="20"/>
              </w:rPr>
              <w:t>Medium</w:t>
            </w:r>
          </w:p>
        </w:tc>
        <w:tc>
          <w:tcPr>
            <w:tcW w:w="1400" w:type="dxa"/>
            <w:shd w:val="clear" w:color="auto" w:fill="F2F4F8"/>
            <w:tcMar>
              <w:top w:w="80" w:type="dxa"/>
              <w:left w:w="110" w:type="dxa"/>
              <w:bottom w:w="80" w:type="dxa"/>
              <w:right w:w="110" w:type="dxa"/>
            </w:tcMar>
          </w:tcPr>
          <w:p w14:paraId="2C130F85" w14:textId="77777777" w:rsidR="00EB0A50" w:rsidRDefault="00000000">
            <w:pPr>
              <w:spacing w:line="300" w:lineRule="auto"/>
            </w:pPr>
            <w:r>
              <w:rPr>
                <w:color w:val="000000"/>
                <w:sz w:val="20"/>
                <w:szCs w:val="20"/>
              </w:rPr>
              <w:t>High</w:t>
            </w:r>
          </w:p>
        </w:tc>
        <w:tc>
          <w:tcPr>
            <w:tcW w:w="4010" w:type="dxa"/>
            <w:shd w:val="clear" w:color="auto" w:fill="F2F4F8"/>
            <w:tcMar>
              <w:top w:w="80" w:type="dxa"/>
              <w:left w:w="110" w:type="dxa"/>
              <w:bottom w:w="80" w:type="dxa"/>
              <w:right w:w="110" w:type="dxa"/>
            </w:tcMar>
          </w:tcPr>
          <w:p w14:paraId="724733F6" w14:textId="77777777" w:rsidR="00EB0A50" w:rsidRDefault="00000000">
            <w:pPr>
              <w:spacing w:line="300" w:lineRule="auto"/>
            </w:pPr>
            <w:r>
              <w:rPr>
                <w:color w:val="000000"/>
                <w:sz w:val="20"/>
                <w:szCs w:val="20"/>
              </w:rPr>
              <w:t>Project governance and contingency budget</w:t>
            </w:r>
          </w:p>
        </w:tc>
      </w:tr>
      <w:tr w:rsidR="00EB0A50" w14:paraId="28D84053" w14:textId="77777777">
        <w:tblPrEx>
          <w:tblCellMar>
            <w:top w:w="0" w:type="dxa"/>
            <w:bottom w:w="0" w:type="dxa"/>
          </w:tblCellMar>
        </w:tblPrEx>
        <w:tc>
          <w:tcPr>
            <w:tcW w:w="2450" w:type="dxa"/>
            <w:tcMar>
              <w:top w:w="80" w:type="dxa"/>
              <w:left w:w="110" w:type="dxa"/>
              <w:bottom w:w="80" w:type="dxa"/>
              <w:right w:w="110" w:type="dxa"/>
            </w:tcMar>
          </w:tcPr>
          <w:p w14:paraId="36DED1C7" w14:textId="77777777" w:rsidR="00EB0A50" w:rsidRDefault="00000000">
            <w:pPr>
              <w:spacing w:line="300" w:lineRule="auto"/>
            </w:pPr>
            <w:r>
              <w:rPr>
                <w:color w:val="000000"/>
                <w:sz w:val="20"/>
                <w:szCs w:val="20"/>
              </w:rPr>
              <w:lastRenderedPageBreak/>
              <w:t>Data migration errors</w:t>
            </w:r>
          </w:p>
        </w:tc>
        <w:tc>
          <w:tcPr>
            <w:tcW w:w="1500" w:type="dxa"/>
            <w:tcMar>
              <w:top w:w="80" w:type="dxa"/>
              <w:left w:w="110" w:type="dxa"/>
              <w:bottom w:w="80" w:type="dxa"/>
              <w:right w:w="110" w:type="dxa"/>
            </w:tcMar>
          </w:tcPr>
          <w:p w14:paraId="1D228FEB" w14:textId="77777777" w:rsidR="00EB0A50" w:rsidRDefault="00000000">
            <w:pPr>
              <w:spacing w:line="300" w:lineRule="auto"/>
            </w:pPr>
            <w:r>
              <w:rPr>
                <w:color w:val="000000"/>
                <w:sz w:val="20"/>
                <w:szCs w:val="20"/>
              </w:rPr>
              <w:t>Low</w:t>
            </w:r>
          </w:p>
        </w:tc>
        <w:tc>
          <w:tcPr>
            <w:tcW w:w="1400" w:type="dxa"/>
            <w:tcMar>
              <w:top w:w="80" w:type="dxa"/>
              <w:left w:w="110" w:type="dxa"/>
              <w:bottom w:w="80" w:type="dxa"/>
              <w:right w:w="110" w:type="dxa"/>
            </w:tcMar>
          </w:tcPr>
          <w:p w14:paraId="51F7EEEE" w14:textId="77777777" w:rsidR="00EB0A50" w:rsidRDefault="00000000">
            <w:pPr>
              <w:spacing w:line="300" w:lineRule="auto"/>
            </w:pPr>
            <w:r>
              <w:rPr>
                <w:color w:val="000000"/>
                <w:sz w:val="20"/>
                <w:szCs w:val="20"/>
              </w:rPr>
              <w:t>High</w:t>
            </w:r>
          </w:p>
        </w:tc>
        <w:tc>
          <w:tcPr>
            <w:tcW w:w="4010" w:type="dxa"/>
            <w:tcMar>
              <w:top w:w="80" w:type="dxa"/>
              <w:left w:w="110" w:type="dxa"/>
              <w:bottom w:w="80" w:type="dxa"/>
              <w:right w:w="110" w:type="dxa"/>
            </w:tcMar>
          </w:tcPr>
          <w:p w14:paraId="2F960205" w14:textId="77777777" w:rsidR="00EB0A50" w:rsidRDefault="00000000">
            <w:pPr>
              <w:spacing w:line="300" w:lineRule="auto"/>
            </w:pPr>
            <w:r>
              <w:rPr>
                <w:color w:val="000000"/>
                <w:sz w:val="20"/>
                <w:szCs w:val="20"/>
              </w:rPr>
              <w:t>Data cleansing and testing before migration</w:t>
            </w:r>
          </w:p>
        </w:tc>
      </w:tr>
      <w:tr w:rsidR="00EB0A50" w14:paraId="183159AD" w14:textId="77777777">
        <w:tblPrEx>
          <w:tblCellMar>
            <w:top w:w="0" w:type="dxa"/>
            <w:bottom w:w="0" w:type="dxa"/>
          </w:tblCellMar>
        </w:tblPrEx>
        <w:tc>
          <w:tcPr>
            <w:tcW w:w="2450" w:type="dxa"/>
            <w:shd w:val="clear" w:color="auto" w:fill="F2F4F8"/>
            <w:tcMar>
              <w:top w:w="80" w:type="dxa"/>
              <w:left w:w="110" w:type="dxa"/>
              <w:bottom w:w="80" w:type="dxa"/>
              <w:right w:w="110" w:type="dxa"/>
            </w:tcMar>
          </w:tcPr>
          <w:p w14:paraId="0B288713" w14:textId="77777777" w:rsidR="00EB0A50" w:rsidRDefault="00000000">
            <w:pPr>
              <w:spacing w:line="300" w:lineRule="auto"/>
            </w:pPr>
            <w:r>
              <w:rPr>
                <w:color w:val="000000"/>
                <w:sz w:val="20"/>
                <w:szCs w:val="20"/>
              </w:rPr>
              <w:t>System downtime</w:t>
            </w:r>
          </w:p>
        </w:tc>
        <w:tc>
          <w:tcPr>
            <w:tcW w:w="1500" w:type="dxa"/>
            <w:shd w:val="clear" w:color="auto" w:fill="F2F4F8"/>
            <w:tcMar>
              <w:top w:w="80" w:type="dxa"/>
              <w:left w:w="110" w:type="dxa"/>
              <w:bottom w:w="80" w:type="dxa"/>
              <w:right w:w="110" w:type="dxa"/>
            </w:tcMar>
          </w:tcPr>
          <w:p w14:paraId="2CD28BFE" w14:textId="77777777" w:rsidR="00EB0A50" w:rsidRDefault="00000000">
            <w:pPr>
              <w:spacing w:line="300" w:lineRule="auto"/>
            </w:pPr>
            <w:r>
              <w:rPr>
                <w:color w:val="000000"/>
                <w:sz w:val="20"/>
                <w:szCs w:val="20"/>
              </w:rPr>
              <w:t>Low</w:t>
            </w:r>
          </w:p>
        </w:tc>
        <w:tc>
          <w:tcPr>
            <w:tcW w:w="1400" w:type="dxa"/>
            <w:shd w:val="clear" w:color="auto" w:fill="F2F4F8"/>
            <w:tcMar>
              <w:top w:w="80" w:type="dxa"/>
              <w:left w:w="110" w:type="dxa"/>
              <w:bottom w:w="80" w:type="dxa"/>
              <w:right w:w="110" w:type="dxa"/>
            </w:tcMar>
          </w:tcPr>
          <w:p w14:paraId="24514992" w14:textId="77777777" w:rsidR="00EB0A50" w:rsidRDefault="00000000">
            <w:pPr>
              <w:spacing w:line="300" w:lineRule="auto"/>
            </w:pPr>
            <w:r>
              <w:rPr>
                <w:color w:val="000000"/>
                <w:sz w:val="20"/>
                <w:szCs w:val="20"/>
              </w:rPr>
              <w:t>Medium</w:t>
            </w:r>
          </w:p>
        </w:tc>
        <w:tc>
          <w:tcPr>
            <w:tcW w:w="4010" w:type="dxa"/>
            <w:shd w:val="clear" w:color="auto" w:fill="F2F4F8"/>
            <w:tcMar>
              <w:top w:w="80" w:type="dxa"/>
              <w:left w:w="110" w:type="dxa"/>
              <w:bottom w:w="80" w:type="dxa"/>
              <w:right w:w="110" w:type="dxa"/>
            </w:tcMar>
          </w:tcPr>
          <w:p w14:paraId="5D8025A7" w14:textId="77777777" w:rsidR="00EB0A50" w:rsidRDefault="00000000">
            <w:pPr>
              <w:spacing w:line="300" w:lineRule="auto"/>
            </w:pPr>
            <w:r>
              <w:rPr>
                <w:color w:val="000000"/>
                <w:sz w:val="20"/>
                <w:szCs w:val="20"/>
              </w:rPr>
              <w:t>Phased rollout and backup procedures</w:t>
            </w:r>
          </w:p>
        </w:tc>
      </w:tr>
      <w:tr w:rsidR="00EB0A50" w14:paraId="36C65F29" w14:textId="77777777">
        <w:tblPrEx>
          <w:tblCellMar>
            <w:top w:w="0" w:type="dxa"/>
            <w:bottom w:w="0" w:type="dxa"/>
          </w:tblCellMar>
        </w:tblPrEx>
        <w:tc>
          <w:tcPr>
            <w:tcW w:w="2450" w:type="dxa"/>
            <w:tcMar>
              <w:top w:w="80" w:type="dxa"/>
              <w:left w:w="110" w:type="dxa"/>
              <w:bottom w:w="80" w:type="dxa"/>
              <w:right w:w="110" w:type="dxa"/>
            </w:tcMar>
          </w:tcPr>
          <w:p w14:paraId="384A0BCD" w14:textId="77777777" w:rsidR="00EB0A50" w:rsidRDefault="00000000">
            <w:pPr>
              <w:spacing w:line="300" w:lineRule="auto"/>
            </w:pPr>
            <w:r>
              <w:rPr>
                <w:color w:val="000000"/>
                <w:sz w:val="20"/>
                <w:szCs w:val="20"/>
              </w:rPr>
              <w:t>Cyber-security threats</w:t>
            </w:r>
          </w:p>
        </w:tc>
        <w:tc>
          <w:tcPr>
            <w:tcW w:w="1500" w:type="dxa"/>
            <w:tcMar>
              <w:top w:w="80" w:type="dxa"/>
              <w:left w:w="110" w:type="dxa"/>
              <w:bottom w:w="80" w:type="dxa"/>
              <w:right w:w="110" w:type="dxa"/>
            </w:tcMar>
          </w:tcPr>
          <w:p w14:paraId="0BB39C08" w14:textId="77777777" w:rsidR="00EB0A50" w:rsidRDefault="00000000">
            <w:pPr>
              <w:spacing w:line="300" w:lineRule="auto"/>
            </w:pPr>
            <w:r>
              <w:rPr>
                <w:color w:val="000000"/>
                <w:sz w:val="20"/>
                <w:szCs w:val="20"/>
              </w:rPr>
              <w:t>Medium</w:t>
            </w:r>
          </w:p>
        </w:tc>
        <w:tc>
          <w:tcPr>
            <w:tcW w:w="1400" w:type="dxa"/>
            <w:tcMar>
              <w:top w:w="80" w:type="dxa"/>
              <w:left w:w="110" w:type="dxa"/>
              <w:bottom w:w="80" w:type="dxa"/>
              <w:right w:w="110" w:type="dxa"/>
            </w:tcMar>
          </w:tcPr>
          <w:p w14:paraId="0475893F" w14:textId="77777777" w:rsidR="00EB0A50" w:rsidRDefault="00000000">
            <w:pPr>
              <w:spacing w:line="300" w:lineRule="auto"/>
            </w:pPr>
            <w:r>
              <w:rPr>
                <w:color w:val="000000"/>
                <w:sz w:val="20"/>
                <w:szCs w:val="20"/>
              </w:rPr>
              <w:t>High</w:t>
            </w:r>
          </w:p>
        </w:tc>
        <w:tc>
          <w:tcPr>
            <w:tcW w:w="4010" w:type="dxa"/>
            <w:tcMar>
              <w:top w:w="80" w:type="dxa"/>
              <w:left w:w="110" w:type="dxa"/>
              <w:bottom w:w="80" w:type="dxa"/>
              <w:right w:w="110" w:type="dxa"/>
            </w:tcMar>
          </w:tcPr>
          <w:p w14:paraId="2C1EDB0D" w14:textId="77777777" w:rsidR="00EB0A50" w:rsidRDefault="00000000">
            <w:pPr>
              <w:spacing w:line="300" w:lineRule="auto"/>
            </w:pPr>
            <w:r>
              <w:rPr>
                <w:color w:val="000000"/>
                <w:sz w:val="20"/>
                <w:szCs w:val="20"/>
              </w:rPr>
              <w:t>Multi-factor authentication and continuous monitoring</w:t>
            </w:r>
          </w:p>
        </w:tc>
      </w:tr>
      <w:tr w:rsidR="00EB0A50" w14:paraId="0B8F6EB8" w14:textId="77777777">
        <w:tblPrEx>
          <w:tblCellMar>
            <w:top w:w="0" w:type="dxa"/>
            <w:bottom w:w="0" w:type="dxa"/>
          </w:tblCellMar>
        </w:tblPrEx>
        <w:tc>
          <w:tcPr>
            <w:tcW w:w="2450" w:type="dxa"/>
            <w:shd w:val="clear" w:color="auto" w:fill="F2F4F8"/>
            <w:tcMar>
              <w:top w:w="80" w:type="dxa"/>
              <w:left w:w="110" w:type="dxa"/>
              <w:bottom w:w="80" w:type="dxa"/>
              <w:right w:w="110" w:type="dxa"/>
            </w:tcMar>
          </w:tcPr>
          <w:p w14:paraId="733D6EC6" w14:textId="77777777" w:rsidR="00EB0A50" w:rsidRDefault="00000000">
            <w:pPr>
              <w:spacing w:line="300" w:lineRule="auto"/>
            </w:pPr>
            <w:r>
              <w:rPr>
                <w:color w:val="000000"/>
                <w:sz w:val="20"/>
                <w:szCs w:val="20"/>
              </w:rPr>
              <w:t>Integration issues</w:t>
            </w:r>
          </w:p>
        </w:tc>
        <w:tc>
          <w:tcPr>
            <w:tcW w:w="1500" w:type="dxa"/>
            <w:shd w:val="clear" w:color="auto" w:fill="F2F4F8"/>
            <w:tcMar>
              <w:top w:w="80" w:type="dxa"/>
              <w:left w:w="110" w:type="dxa"/>
              <w:bottom w:w="80" w:type="dxa"/>
              <w:right w:w="110" w:type="dxa"/>
            </w:tcMar>
          </w:tcPr>
          <w:p w14:paraId="16CF9BB1" w14:textId="77777777" w:rsidR="00EB0A50" w:rsidRDefault="00000000">
            <w:pPr>
              <w:spacing w:line="300" w:lineRule="auto"/>
            </w:pPr>
            <w:r>
              <w:rPr>
                <w:color w:val="000000"/>
                <w:sz w:val="20"/>
                <w:szCs w:val="20"/>
              </w:rPr>
              <w:t>Medium</w:t>
            </w:r>
          </w:p>
        </w:tc>
        <w:tc>
          <w:tcPr>
            <w:tcW w:w="1400" w:type="dxa"/>
            <w:shd w:val="clear" w:color="auto" w:fill="F2F4F8"/>
            <w:tcMar>
              <w:top w:w="80" w:type="dxa"/>
              <w:left w:w="110" w:type="dxa"/>
              <w:bottom w:w="80" w:type="dxa"/>
              <w:right w:w="110" w:type="dxa"/>
            </w:tcMar>
          </w:tcPr>
          <w:p w14:paraId="35948F39" w14:textId="77777777" w:rsidR="00EB0A50" w:rsidRDefault="00000000">
            <w:pPr>
              <w:spacing w:line="300" w:lineRule="auto"/>
            </w:pPr>
            <w:r>
              <w:rPr>
                <w:color w:val="000000"/>
                <w:sz w:val="20"/>
                <w:szCs w:val="20"/>
              </w:rPr>
              <w:t>Medium</w:t>
            </w:r>
          </w:p>
        </w:tc>
        <w:tc>
          <w:tcPr>
            <w:tcW w:w="4010" w:type="dxa"/>
            <w:shd w:val="clear" w:color="auto" w:fill="F2F4F8"/>
            <w:tcMar>
              <w:top w:w="80" w:type="dxa"/>
              <w:left w:w="110" w:type="dxa"/>
              <w:bottom w:w="80" w:type="dxa"/>
              <w:right w:w="110" w:type="dxa"/>
            </w:tcMar>
          </w:tcPr>
          <w:p w14:paraId="1F4740D8" w14:textId="77777777" w:rsidR="00EB0A50" w:rsidRDefault="00000000">
            <w:pPr>
              <w:spacing w:line="300" w:lineRule="auto"/>
            </w:pPr>
            <w:r>
              <w:rPr>
                <w:color w:val="000000"/>
                <w:sz w:val="20"/>
                <w:szCs w:val="20"/>
              </w:rPr>
              <w:t>Early API testing and vendor support</w:t>
            </w:r>
          </w:p>
        </w:tc>
      </w:tr>
    </w:tbl>
    <w:p w14:paraId="189750ED" w14:textId="77777777" w:rsidR="00EB0A50" w:rsidRDefault="00000000">
      <w:pPr>
        <w:spacing w:before="80" w:after="240" w:line="300" w:lineRule="auto"/>
        <w:jc w:val="center"/>
      </w:pPr>
      <w:r>
        <w:rPr>
          <w:i/>
          <w:iCs/>
          <w:color w:val="555555"/>
          <w:sz w:val="19"/>
          <w:szCs w:val="19"/>
        </w:rPr>
        <w:t>Table 4: ERP implementation risk assessment (author's own analysis).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20"/>
        <w:gridCol w:w="3120"/>
        <w:gridCol w:w="3120"/>
      </w:tblGrid>
      <w:tr w:rsidR="00EB0A50" w14:paraId="0F18F3C2" w14:textId="77777777">
        <w:tblPrEx>
          <w:tblCellMar>
            <w:top w:w="0" w:type="dxa"/>
            <w:bottom w:w="0" w:type="dxa"/>
          </w:tblCellMar>
        </w:tblPrEx>
        <w:tc>
          <w:tcPr>
            <w:tcW w:w="3120" w:type="dxa"/>
            <w:shd w:val="clear" w:color="auto" w:fill="1B2A4A"/>
            <w:tcMar>
              <w:top w:w="80" w:type="dxa"/>
              <w:left w:w="110" w:type="dxa"/>
              <w:bottom w:w="80" w:type="dxa"/>
              <w:right w:w="110" w:type="dxa"/>
            </w:tcMar>
          </w:tcPr>
          <w:p w14:paraId="000863E7" w14:textId="77777777" w:rsidR="00EB0A50" w:rsidRDefault="00000000">
            <w:pPr>
              <w:spacing w:line="300" w:lineRule="auto"/>
            </w:pPr>
            <w:r>
              <w:rPr>
                <w:b/>
                <w:bCs/>
                <w:color w:val="FFFFFF"/>
                <w:sz w:val="21"/>
                <w:szCs w:val="21"/>
              </w:rPr>
              <w:t>Objective</w:t>
            </w:r>
          </w:p>
        </w:tc>
        <w:tc>
          <w:tcPr>
            <w:tcW w:w="3120" w:type="dxa"/>
            <w:shd w:val="clear" w:color="auto" w:fill="1B2A4A"/>
            <w:tcMar>
              <w:top w:w="80" w:type="dxa"/>
              <w:left w:w="110" w:type="dxa"/>
              <w:bottom w:w="80" w:type="dxa"/>
              <w:right w:w="110" w:type="dxa"/>
            </w:tcMar>
          </w:tcPr>
          <w:p w14:paraId="5CED3330" w14:textId="77777777" w:rsidR="00EB0A50" w:rsidRDefault="00000000">
            <w:pPr>
              <w:spacing w:line="300" w:lineRule="auto"/>
            </w:pPr>
            <w:r>
              <w:rPr>
                <w:b/>
                <w:bCs/>
                <w:color w:val="FFFFFF"/>
                <w:sz w:val="21"/>
                <w:szCs w:val="21"/>
              </w:rPr>
              <w:t>Current Position</w:t>
            </w:r>
          </w:p>
        </w:tc>
        <w:tc>
          <w:tcPr>
            <w:tcW w:w="3120" w:type="dxa"/>
            <w:shd w:val="clear" w:color="auto" w:fill="1B2A4A"/>
            <w:tcMar>
              <w:top w:w="80" w:type="dxa"/>
              <w:left w:w="110" w:type="dxa"/>
              <w:bottom w:w="80" w:type="dxa"/>
              <w:right w:w="110" w:type="dxa"/>
            </w:tcMar>
          </w:tcPr>
          <w:p w14:paraId="12D1A0F8" w14:textId="77777777" w:rsidR="00EB0A50" w:rsidRDefault="00000000">
            <w:pPr>
              <w:spacing w:line="300" w:lineRule="auto"/>
            </w:pPr>
            <w:r>
              <w:rPr>
                <w:b/>
                <w:bCs/>
                <w:color w:val="FFFFFF"/>
                <w:sz w:val="21"/>
                <w:szCs w:val="21"/>
              </w:rPr>
              <w:t>Target After ERP</w:t>
            </w:r>
          </w:p>
        </w:tc>
      </w:tr>
      <w:tr w:rsidR="00EB0A50" w14:paraId="48B2DB8E" w14:textId="77777777">
        <w:tblPrEx>
          <w:tblCellMar>
            <w:top w:w="0" w:type="dxa"/>
            <w:bottom w:w="0" w:type="dxa"/>
          </w:tblCellMar>
        </w:tblPrEx>
        <w:tc>
          <w:tcPr>
            <w:tcW w:w="3120" w:type="dxa"/>
            <w:tcMar>
              <w:top w:w="80" w:type="dxa"/>
              <w:left w:w="110" w:type="dxa"/>
              <w:bottom w:w="80" w:type="dxa"/>
              <w:right w:w="110" w:type="dxa"/>
            </w:tcMar>
          </w:tcPr>
          <w:p w14:paraId="4B4C0CA7" w14:textId="77777777" w:rsidR="00EB0A50" w:rsidRDefault="00000000">
            <w:pPr>
              <w:spacing w:line="300" w:lineRule="auto"/>
            </w:pPr>
            <w:r>
              <w:rPr>
                <w:color w:val="000000"/>
                <w:sz w:val="20"/>
                <w:szCs w:val="20"/>
              </w:rPr>
              <w:t>Inventory accuracy</w:t>
            </w:r>
          </w:p>
        </w:tc>
        <w:tc>
          <w:tcPr>
            <w:tcW w:w="3120" w:type="dxa"/>
            <w:tcMar>
              <w:top w:w="80" w:type="dxa"/>
              <w:left w:w="110" w:type="dxa"/>
              <w:bottom w:w="80" w:type="dxa"/>
              <w:right w:w="110" w:type="dxa"/>
            </w:tcMar>
          </w:tcPr>
          <w:p w14:paraId="3F8E3ED5" w14:textId="77777777" w:rsidR="00EB0A50" w:rsidRDefault="00000000">
            <w:pPr>
              <w:spacing w:line="300" w:lineRule="auto"/>
            </w:pPr>
            <w:r>
              <w:rPr>
                <w:color w:val="000000"/>
                <w:sz w:val="20"/>
                <w:szCs w:val="20"/>
              </w:rPr>
              <w:t>Manual reconciliation</w:t>
            </w:r>
          </w:p>
        </w:tc>
        <w:tc>
          <w:tcPr>
            <w:tcW w:w="3120" w:type="dxa"/>
            <w:tcMar>
              <w:top w:w="80" w:type="dxa"/>
              <w:left w:w="110" w:type="dxa"/>
              <w:bottom w:w="80" w:type="dxa"/>
              <w:right w:w="110" w:type="dxa"/>
            </w:tcMar>
          </w:tcPr>
          <w:p w14:paraId="4F0D34E4" w14:textId="77777777" w:rsidR="00EB0A50" w:rsidRDefault="00000000">
            <w:pPr>
              <w:spacing w:line="300" w:lineRule="auto"/>
            </w:pPr>
            <w:r>
              <w:rPr>
                <w:color w:val="000000"/>
                <w:sz w:val="20"/>
                <w:szCs w:val="20"/>
              </w:rPr>
              <w:t>&gt;98% stock accuracy</w:t>
            </w:r>
          </w:p>
        </w:tc>
      </w:tr>
      <w:tr w:rsidR="00EB0A50" w14:paraId="60EDD5BA" w14:textId="77777777">
        <w:tblPrEx>
          <w:tblCellMar>
            <w:top w:w="0" w:type="dxa"/>
            <w:bottom w:w="0" w:type="dxa"/>
          </w:tblCellMar>
        </w:tblPrEx>
        <w:tc>
          <w:tcPr>
            <w:tcW w:w="3120" w:type="dxa"/>
            <w:shd w:val="clear" w:color="auto" w:fill="F2F4F8"/>
            <w:tcMar>
              <w:top w:w="80" w:type="dxa"/>
              <w:left w:w="110" w:type="dxa"/>
              <w:bottom w:w="80" w:type="dxa"/>
              <w:right w:w="110" w:type="dxa"/>
            </w:tcMar>
          </w:tcPr>
          <w:p w14:paraId="109DB06E" w14:textId="77777777" w:rsidR="00EB0A50" w:rsidRDefault="00000000">
            <w:pPr>
              <w:spacing w:line="300" w:lineRule="auto"/>
            </w:pPr>
            <w:r>
              <w:rPr>
                <w:color w:val="000000"/>
                <w:sz w:val="20"/>
                <w:szCs w:val="20"/>
              </w:rPr>
              <w:t>Customer order fulfilment</w:t>
            </w:r>
          </w:p>
        </w:tc>
        <w:tc>
          <w:tcPr>
            <w:tcW w:w="3120" w:type="dxa"/>
            <w:shd w:val="clear" w:color="auto" w:fill="F2F4F8"/>
            <w:tcMar>
              <w:top w:w="80" w:type="dxa"/>
              <w:left w:w="110" w:type="dxa"/>
              <w:bottom w:w="80" w:type="dxa"/>
              <w:right w:w="110" w:type="dxa"/>
            </w:tcMar>
          </w:tcPr>
          <w:p w14:paraId="0C861746" w14:textId="77777777" w:rsidR="00EB0A50" w:rsidRDefault="00000000">
            <w:pPr>
              <w:spacing w:line="300" w:lineRule="auto"/>
            </w:pPr>
            <w:r>
              <w:rPr>
                <w:color w:val="000000"/>
                <w:sz w:val="20"/>
                <w:szCs w:val="20"/>
              </w:rPr>
              <w:t>Frequent cancellations</w:t>
            </w:r>
          </w:p>
        </w:tc>
        <w:tc>
          <w:tcPr>
            <w:tcW w:w="3120" w:type="dxa"/>
            <w:shd w:val="clear" w:color="auto" w:fill="F2F4F8"/>
            <w:tcMar>
              <w:top w:w="80" w:type="dxa"/>
              <w:left w:w="110" w:type="dxa"/>
              <w:bottom w:w="80" w:type="dxa"/>
              <w:right w:w="110" w:type="dxa"/>
            </w:tcMar>
          </w:tcPr>
          <w:p w14:paraId="0F378B76" w14:textId="77777777" w:rsidR="00EB0A50" w:rsidRDefault="00000000">
            <w:pPr>
              <w:spacing w:line="300" w:lineRule="auto"/>
            </w:pPr>
            <w:r>
              <w:rPr>
                <w:color w:val="000000"/>
                <w:sz w:val="20"/>
                <w:szCs w:val="20"/>
              </w:rPr>
              <w:t>95%+ successful fulfilment</w:t>
            </w:r>
          </w:p>
        </w:tc>
      </w:tr>
      <w:tr w:rsidR="00EB0A50" w14:paraId="0BD1495A" w14:textId="77777777">
        <w:tblPrEx>
          <w:tblCellMar>
            <w:top w:w="0" w:type="dxa"/>
            <w:bottom w:w="0" w:type="dxa"/>
          </w:tblCellMar>
        </w:tblPrEx>
        <w:tc>
          <w:tcPr>
            <w:tcW w:w="3120" w:type="dxa"/>
            <w:tcMar>
              <w:top w:w="80" w:type="dxa"/>
              <w:left w:w="110" w:type="dxa"/>
              <w:bottom w:w="80" w:type="dxa"/>
              <w:right w:w="110" w:type="dxa"/>
            </w:tcMar>
          </w:tcPr>
          <w:p w14:paraId="1F2D32B0" w14:textId="77777777" w:rsidR="00EB0A50" w:rsidRDefault="00000000">
            <w:pPr>
              <w:spacing w:line="300" w:lineRule="auto"/>
            </w:pPr>
            <w:r>
              <w:rPr>
                <w:color w:val="000000"/>
                <w:sz w:val="20"/>
                <w:szCs w:val="20"/>
              </w:rPr>
              <w:t>Report production time</w:t>
            </w:r>
          </w:p>
        </w:tc>
        <w:tc>
          <w:tcPr>
            <w:tcW w:w="3120" w:type="dxa"/>
            <w:tcMar>
              <w:top w:w="80" w:type="dxa"/>
              <w:left w:w="110" w:type="dxa"/>
              <w:bottom w:w="80" w:type="dxa"/>
              <w:right w:w="110" w:type="dxa"/>
            </w:tcMar>
          </w:tcPr>
          <w:p w14:paraId="23FE55EB" w14:textId="77777777" w:rsidR="00EB0A50" w:rsidRDefault="00000000">
            <w:pPr>
              <w:spacing w:line="300" w:lineRule="auto"/>
            </w:pPr>
            <w:r>
              <w:rPr>
                <w:color w:val="000000"/>
                <w:sz w:val="20"/>
                <w:szCs w:val="20"/>
              </w:rPr>
              <w:t>Several days</w:t>
            </w:r>
          </w:p>
        </w:tc>
        <w:tc>
          <w:tcPr>
            <w:tcW w:w="3120" w:type="dxa"/>
            <w:tcMar>
              <w:top w:w="80" w:type="dxa"/>
              <w:left w:w="110" w:type="dxa"/>
              <w:bottom w:w="80" w:type="dxa"/>
              <w:right w:w="110" w:type="dxa"/>
            </w:tcMar>
          </w:tcPr>
          <w:p w14:paraId="6F32D2E3" w14:textId="77777777" w:rsidR="00EB0A50" w:rsidRDefault="00000000">
            <w:pPr>
              <w:spacing w:line="300" w:lineRule="auto"/>
            </w:pPr>
            <w:r>
              <w:rPr>
                <w:color w:val="000000"/>
                <w:sz w:val="20"/>
                <w:szCs w:val="20"/>
              </w:rPr>
              <w:t>Real-time dashboards</w:t>
            </w:r>
          </w:p>
        </w:tc>
      </w:tr>
      <w:tr w:rsidR="00EB0A50" w14:paraId="59209A1A" w14:textId="77777777">
        <w:tblPrEx>
          <w:tblCellMar>
            <w:top w:w="0" w:type="dxa"/>
            <w:bottom w:w="0" w:type="dxa"/>
          </w:tblCellMar>
        </w:tblPrEx>
        <w:tc>
          <w:tcPr>
            <w:tcW w:w="3120" w:type="dxa"/>
            <w:shd w:val="clear" w:color="auto" w:fill="F2F4F8"/>
            <w:tcMar>
              <w:top w:w="80" w:type="dxa"/>
              <w:left w:w="110" w:type="dxa"/>
              <w:bottom w:w="80" w:type="dxa"/>
              <w:right w:w="110" w:type="dxa"/>
            </w:tcMar>
          </w:tcPr>
          <w:p w14:paraId="76F7B0F9" w14:textId="77777777" w:rsidR="00EB0A50" w:rsidRDefault="00000000">
            <w:pPr>
              <w:spacing w:line="300" w:lineRule="auto"/>
            </w:pPr>
            <w:r>
              <w:rPr>
                <w:color w:val="000000"/>
                <w:sz w:val="20"/>
                <w:szCs w:val="20"/>
              </w:rPr>
              <w:t>Customer satisfaction</w:t>
            </w:r>
          </w:p>
        </w:tc>
        <w:tc>
          <w:tcPr>
            <w:tcW w:w="3120" w:type="dxa"/>
            <w:shd w:val="clear" w:color="auto" w:fill="F2F4F8"/>
            <w:tcMar>
              <w:top w:w="80" w:type="dxa"/>
              <w:left w:w="110" w:type="dxa"/>
              <w:bottom w:w="80" w:type="dxa"/>
              <w:right w:w="110" w:type="dxa"/>
            </w:tcMar>
          </w:tcPr>
          <w:p w14:paraId="174D31E7" w14:textId="77777777" w:rsidR="00EB0A50" w:rsidRDefault="00000000">
            <w:pPr>
              <w:spacing w:line="300" w:lineRule="auto"/>
            </w:pPr>
            <w:r>
              <w:rPr>
                <w:color w:val="000000"/>
                <w:sz w:val="20"/>
                <w:szCs w:val="20"/>
              </w:rPr>
              <w:t>Inconsistent service</w:t>
            </w:r>
          </w:p>
        </w:tc>
        <w:tc>
          <w:tcPr>
            <w:tcW w:w="3120" w:type="dxa"/>
            <w:shd w:val="clear" w:color="auto" w:fill="F2F4F8"/>
            <w:tcMar>
              <w:top w:w="80" w:type="dxa"/>
              <w:left w:w="110" w:type="dxa"/>
              <w:bottom w:w="80" w:type="dxa"/>
              <w:right w:w="110" w:type="dxa"/>
            </w:tcMar>
          </w:tcPr>
          <w:p w14:paraId="07801E8C" w14:textId="77777777" w:rsidR="00EB0A50" w:rsidRDefault="00000000">
            <w:pPr>
              <w:spacing w:line="300" w:lineRule="auto"/>
            </w:pPr>
            <w:r>
              <w:rPr>
                <w:color w:val="000000"/>
                <w:sz w:val="20"/>
                <w:szCs w:val="20"/>
              </w:rPr>
              <w:t>Increased customer retention</w:t>
            </w:r>
          </w:p>
        </w:tc>
      </w:tr>
      <w:tr w:rsidR="00EB0A50" w14:paraId="43BCCA52" w14:textId="77777777">
        <w:tblPrEx>
          <w:tblCellMar>
            <w:top w:w="0" w:type="dxa"/>
            <w:bottom w:w="0" w:type="dxa"/>
          </w:tblCellMar>
        </w:tblPrEx>
        <w:tc>
          <w:tcPr>
            <w:tcW w:w="3120" w:type="dxa"/>
            <w:tcMar>
              <w:top w:w="80" w:type="dxa"/>
              <w:left w:w="110" w:type="dxa"/>
              <w:bottom w:w="80" w:type="dxa"/>
              <w:right w:w="110" w:type="dxa"/>
            </w:tcMar>
          </w:tcPr>
          <w:p w14:paraId="52C4CEF5" w14:textId="77777777" w:rsidR="00EB0A50" w:rsidRDefault="00000000">
            <w:pPr>
              <w:spacing w:line="300" w:lineRule="auto"/>
            </w:pPr>
            <w:r>
              <w:rPr>
                <w:color w:val="000000"/>
                <w:sz w:val="20"/>
                <w:szCs w:val="20"/>
              </w:rPr>
              <w:t>Administrative workload</w:t>
            </w:r>
          </w:p>
        </w:tc>
        <w:tc>
          <w:tcPr>
            <w:tcW w:w="3120" w:type="dxa"/>
            <w:tcMar>
              <w:top w:w="80" w:type="dxa"/>
              <w:left w:w="110" w:type="dxa"/>
              <w:bottom w:w="80" w:type="dxa"/>
              <w:right w:w="110" w:type="dxa"/>
            </w:tcMar>
          </w:tcPr>
          <w:p w14:paraId="63445BFA" w14:textId="77777777" w:rsidR="00EB0A50" w:rsidRDefault="00000000">
            <w:pPr>
              <w:spacing w:line="300" w:lineRule="auto"/>
            </w:pPr>
            <w:r>
              <w:rPr>
                <w:color w:val="000000"/>
                <w:sz w:val="20"/>
                <w:szCs w:val="20"/>
              </w:rPr>
              <w:t>High manual input</w:t>
            </w:r>
          </w:p>
        </w:tc>
        <w:tc>
          <w:tcPr>
            <w:tcW w:w="3120" w:type="dxa"/>
            <w:tcMar>
              <w:top w:w="80" w:type="dxa"/>
              <w:left w:w="110" w:type="dxa"/>
              <w:bottom w:w="80" w:type="dxa"/>
              <w:right w:w="110" w:type="dxa"/>
            </w:tcMar>
          </w:tcPr>
          <w:p w14:paraId="508970E4" w14:textId="77777777" w:rsidR="00EB0A50" w:rsidRDefault="00000000">
            <w:pPr>
              <w:spacing w:line="300" w:lineRule="auto"/>
            </w:pPr>
            <w:r>
              <w:rPr>
                <w:color w:val="000000"/>
                <w:sz w:val="20"/>
                <w:szCs w:val="20"/>
              </w:rPr>
              <w:t>Significant automation</w:t>
            </w:r>
          </w:p>
        </w:tc>
      </w:tr>
      <w:tr w:rsidR="00EB0A50" w14:paraId="4887BD05" w14:textId="77777777">
        <w:tblPrEx>
          <w:tblCellMar>
            <w:top w:w="0" w:type="dxa"/>
            <w:bottom w:w="0" w:type="dxa"/>
          </w:tblCellMar>
        </w:tblPrEx>
        <w:tc>
          <w:tcPr>
            <w:tcW w:w="3120" w:type="dxa"/>
            <w:shd w:val="clear" w:color="auto" w:fill="F2F4F8"/>
            <w:tcMar>
              <w:top w:w="80" w:type="dxa"/>
              <w:left w:w="110" w:type="dxa"/>
              <w:bottom w:w="80" w:type="dxa"/>
              <w:right w:w="110" w:type="dxa"/>
            </w:tcMar>
          </w:tcPr>
          <w:p w14:paraId="3CAA906B" w14:textId="77777777" w:rsidR="00EB0A50" w:rsidRDefault="00000000">
            <w:pPr>
              <w:spacing w:line="300" w:lineRule="auto"/>
            </w:pPr>
            <w:r>
              <w:rPr>
                <w:color w:val="000000"/>
                <w:sz w:val="20"/>
                <w:szCs w:val="20"/>
              </w:rPr>
              <w:t>Decision-making</w:t>
            </w:r>
          </w:p>
        </w:tc>
        <w:tc>
          <w:tcPr>
            <w:tcW w:w="3120" w:type="dxa"/>
            <w:shd w:val="clear" w:color="auto" w:fill="F2F4F8"/>
            <w:tcMar>
              <w:top w:w="80" w:type="dxa"/>
              <w:left w:w="110" w:type="dxa"/>
              <w:bottom w:w="80" w:type="dxa"/>
              <w:right w:w="110" w:type="dxa"/>
            </w:tcMar>
          </w:tcPr>
          <w:p w14:paraId="76733089" w14:textId="77777777" w:rsidR="00EB0A50" w:rsidRDefault="00000000">
            <w:pPr>
              <w:spacing w:line="300" w:lineRule="auto"/>
            </w:pPr>
            <w:r>
              <w:rPr>
                <w:color w:val="000000"/>
                <w:sz w:val="20"/>
                <w:szCs w:val="20"/>
              </w:rPr>
              <w:t>Historical reporting</w:t>
            </w:r>
          </w:p>
        </w:tc>
        <w:tc>
          <w:tcPr>
            <w:tcW w:w="3120" w:type="dxa"/>
            <w:shd w:val="clear" w:color="auto" w:fill="F2F4F8"/>
            <w:tcMar>
              <w:top w:w="80" w:type="dxa"/>
              <w:left w:w="110" w:type="dxa"/>
              <w:bottom w:w="80" w:type="dxa"/>
              <w:right w:w="110" w:type="dxa"/>
            </w:tcMar>
          </w:tcPr>
          <w:p w14:paraId="3C19E58A" w14:textId="77777777" w:rsidR="00EB0A50" w:rsidRDefault="00000000">
            <w:pPr>
              <w:spacing w:line="300" w:lineRule="auto"/>
            </w:pPr>
            <w:r>
              <w:rPr>
                <w:color w:val="000000"/>
                <w:sz w:val="20"/>
                <w:szCs w:val="20"/>
              </w:rPr>
              <w:t>Live business intelligence</w:t>
            </w:r>
          </w:p>
        </w:tc>
      </w:tr>
    </w:tbl>
    <w:p w14:paraId="1A6B3326" w14:textId="77777777" w:rsidR="00EB0A50" w:rsidRDefault="00000000">
      <w:pPr>
        <w:spacing w:before="80" w:after="240" w:line="300" w:lineRule="auto"/>
        <w:jc w:val="center"/>
      </w:pPr>
      <w:r>
        <w:rPr>
          <w:i/>
          <w:iCs/>
          <w:color w:val="555555"/>
          <w:sz w:val="19"/>
          <w:szCs w:val="19"/>
        </w:rPr>
        <w:t>Table 5: Proposed key performance indicators for measuring implementation success.</w:t>
      </w:r>
    </w:p>
    <w:p w14:paraId="1D95F37A" w14:textId="77777777" w:rsidR="00EB0A50" w:rsidRDefault="00000000">
      <w:pPr>
        <w:spacing w:after="160"/>
        <w:jc w:val="both"/>
      </w:pPr>
      <w:r>
        <w:rPr>
          <w:b/>
          <w:bCs/>
        </w:rPr>
        <w:t xml:space="preserve">Critical evaluation of the implementation strategy. </w:t>
      </w:r>
      <w:r>
        <w:t>The phased strategy significantly reduces project risk, balancing technological deployment with employee engagement and recognising that transformation depends as much on organisational culture as on software. Structured change management combined with measurable indicators allows success to be evaluated objectively. Figure 7 summarises the transformation the programme is designed to deliver.</w:t>
      </w:r>
    </w:p>
    <w:p w14:paraId="1CAA4B6A" w14:textId="77777777" w:rsidR="00EB0A50" w:rsidRDefault="00000000">
      <w:pPr>
        <w:spacing w:before="160" w:after="40"/>
        <w:jc w:val="center"/>
      </w:pPr>
      <w:r>
        <w:rPr>
          <w:noProof/>
        </w:rPr>
        <w:drawing>
          <wp:inline distT="0" distB="0" distL="0" distR="0" wp14:anchorId="2773892E" wp14:editId="1662831A">
            <wp:extent cx="5852160" cy="2624328"/>
            <wp:effectExtent l="0" t="0" r="0" b="0"/>
            <wp:docPr id="2041075913" name="Picture 2041075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852160" cy="2624328"/>
                    </a:xfrm>
                    <a:prstGeom prst="rect">
                      <a:avLst/>
                    </a:prstGeom>
                  </pic:spPr>
                </pic:pic>
              </a:graphicData>
            </a:graphic>
          </wp:inline>
        </w:drawing>
      </w:r>
    </w:p>
    <w:p w14:paraId="4C1BEEE9" w14:textId="77777777" w:rsidR="00EB0A50" w:rsidRDefault="00000000">
      <w:pPr>
        <w:spacing w:before="80" w:after="240" w:line="300" w:lineRule="auto"/>
        <w:jc w:val="center"/>
      </w:pPr>
      <w:r>
        <w:rPr>
          <w:i/>
          <w:iCs/>
          <w:color w:val="555555"/>
          <w:sz w:val="19"/>
          <w:szCs w:val="19"/>
        </w:rPr>
        <w:t>Figure 7: Business transformation from current state to future state (author's own illustration).</w:t>
      </w:r>
    </w:p>
    <w:p w14:paraId="66A92C78" w14:textId="77777777" w:rsidR="00EB0A50" w:rsidRDefault="00000000">
      <w:pPr>
        <w:pStyle w:val="Heading1"/>
        <w:spacing w:before="280" w:after="180"/>
      </w:pPr>
      <w:r>
        <w:rPr>
          <w:b/>
          <w:bCs/>
          <w:color w:val="1B2A4A"/>
          <w:sz w:val="28"/>
          <w:szCs w:val="28"/>
        </w:rPr>
        <w:lastRenderedPageBreak/>
        <w:t>5. Conclusion</w:t>
      </w:r>
    </w:p>
    <w:p w14:paraId="031BF0E8" w14:textId="77777777" w:rsidR="00EB0A50" w:rsidRDefault="00000000">
      <w:pPr>
        <w:spacing w:after="160"/>
        <w:jc w:val="both"/>
      </w:pPr>
      <w:proofErr w:type="spellStart"/>
      <w:r>
        <w:t>Maldiva</w:t>
      </w:r>
      <w:proofErr w:type="spellEnd"/>
      <w:r>
        <w:t xml:space="preserve"> Ltd.'s rapid growth has exposed significant weaknesses in its information systems: manual inventory management, disconnected customer databases, spreadsheet reporting and limited integration have reduced efficiency, increased risk and restricted timely, evidence-based decision-making. These are symptoms of an architecture no longer aligned with the organisation's strategy.</w:t>
      </w:r>
    </w:p>
    <w:p w14:paraId="61F5AAAD" w14:textId="77777777" w:rsidR="00EB0A50" w:rsidRDefault="00000000">
      <w:pPr>
        <w:spacing w:after="160"/>
        <w:jc w:val="both"/>
      </w:pPr>
      <w:r>
        <w:t xml:space="preserve">Incremental improvements to individual applications would only preserve the underlying fragmentation. Following evaluation of alternatives, Microsoft Dynamics 365 Business Central was identified as the most appropriate platform for its integrated functionality, scalability, security, ease of implementation and familiarity to staff. By uniting inventory, finance, CRM and BI within one shared database, </w:t>
      </w:r>
      <w:proofErr w:type="spellStart"/>
      <w:r>
        <w:t>Maldiva</w:t>
      </w:r>
      <w:proofErr w:type="spellEnd"/>
      <w:r>
        <w:t xml:space="preserve"> will establish a single source of truth supporting real-time decision-making, while enhanced security controls improve UK GDPR compliance.</w:t>
      </w:r>
    </w:p>
    <w:p w14:paraId="28A1AA1C" w14:textId="77777777" w:rsidR="00EB0A50" w:rsidRDefault="00000000">
      <w:pPr>
        <w:spacing w:after="160"/>
        <w:jc w:val="both"/>
      </w:pPr>
      <w:r>
        <w:t xml:space="preserve">Two limitations of this analysis should be acknowledged: the vendor comparison uses indicative rather than quoted pricing, and the evaluation scores in Figure 3 represent the author's structured judgement rather than benchmark data, so both should be confirmed through formal procurement. Successful implementation, moreover, extends beyond technology: change management, executive leadership and structured training are equally critical. The phased strategy, supported by defined KPIs, risk management and post-implementation review, provides a realistic framework for transformation with minimal disruption. The programme should therefore be viewed not as an IT upgrade but as a strategic business transformation, creating a scalable platform for innovation, improved customer experience and long-term competitive advantage. It is recommended that </w:t>
      </w:r>
      <w:proofErr w:type="spellStart"/>
      <w:r>
        <w:t>Maldiva</w:t>
      </w:r>
      <w:proofErr w:type="spellEnd"/>
      <w:r>
        <w:t xml:space="preserve"> Ltd.'s leadership approve the proposal and authorise Phase 1 at the earliest opportunity.</w:t>
      </w:r>
    </w:p>
    <w:p w14:paraId="5D07B6EE" w14:textId="77777777" w:rsidR="00EB0A50" w:rsidRDefault="00000000">
      <w:r>
        <w:br w:type="page"/>
      </w:r>
    </w:p>
    <w:p w14:paraId="0C01C299" w14:textId="77777777" w:rsidR="00EB0A50" w:rsidRDefault="00000000">
      <w:pPr>
        <w:pStyle w:val="Heading1"/>
        <w:spacing w:before="280" w:after="180"/>
      </w:pPr>
      <w:r>
        <w:rPr>
          <w:b/>
          <w:bCs/>
          <w:color w:val="1B2A4A"/>
          <w:sz w:val="28"/>
          <w:szCs w:val="28"/>
        </w:rPr>
        <w:lastRenderedPageBreak/>
        <w:t>References</w:t>
      </w:r>
    </w:p>
    <w:p w14:paraId="3A931DE8" w14:textId="77777777" w:rsidR="00EB0A50" w:rsidRDefault="00000000">
      <w:pPr>
        <w:spacing w:after="160"/>
        <w:ind w:left="720" w:hanging="720"/>
      </w:pPr>
      <w:r>
        <w:t>Al-Mashari, M., Al-</w:t>
      </w:r>
      <w:proofErr w:type="spellStart"/>
      <w:r>
        <w:t>Mudimigh</w:t>
      </w:r>
      <w:proofErr w:type="spellEnd"/>
      <w:r>
        <w:t>, A. and Zairi, M. (2003) 'Enterprise resource planning: A taxonomy of critical factors', European Journal of Operational Research, 146(2), pp. 352–364.</w:t>
      </w:r>
    </w:p>
    <w:p w14:paraId="38EF1B35" w14:textId="77777777" w:rsidR="00EB0A50" w:rsidRDefault="00000000">
      <w:pPr>
        <w:spacing w:after="160"/>
        <w:ind w:left="720" w:hanging="720"/>
      </w:pPr>
      <w:r>
        <w:t xml:space="preserve">Chaffey, D., Hemphill, T. and Edmundson-Bird, D. (2019) Digital Business and E-Commerce Management. 7th </w:t>
      </w:r>
      <w:proofErr w:type="spellStart"/>
      <w:r>
        <w:t>edn</w:t>
      </w:r>
      <w:proofErr w:type="spellEnd"/>
      <w:r>
        <w:t>. Harlow: Pearson.</w:t>
      </w:r>
    </w:p>
    <w:p w14:paraId="47F3967F" w14:textId="77777777" w:rsidR="00EB0A50" w:rsidRDefault="00000000">
      <w:pPr>
        <w:spacing w:after="160"/>
        <w:ind w:left="720" w:hanging="720"/>
      </w:pPr>
      <w:r>
        <w:t>Davenport, T.H. (1998) 'Putting the enterprise into the enterprise system', Harvard Business Review, 76(4), pp. 121–131.</w:t>
      </w:r>
    </w:p>
    <w:p w14:paraId="66E16299" w14:textId="77777777" w:rsidR="00EB0A50" w:rsidRDefault="00000000">
      <w:pPr>
        <w:spacing w:after="160"/>
        <w:ind w:left="720" w:hanging="720"/>
      </w:pPr>
      <w:r>
        <w:t>Information Commissioner's Office (ICO) (2023) Guide to the UK General Data Protection Regulation (UK GDPR). Available at: https://ico.org.uk/for-organisations/uk-gdpr-guidance-and-resources/ (Accessed: 20 July 2026).</w:t>
      </w:r>
    </w:p>
    <w:p w14:paraId="6F9066F7" w14:textId="77777777" w:rsidR="00EB0A50" w:rsidRDefault="00000000">
      <w:pPr>
        <w:spacing w:after="160"/>
        <w:ind w:left="720" w:hanging="720"/>
      </w:pPr>
      <w:r>
        <w:t>Kotter, J.P. (2012) Leading Change. Boston, MA: Harvard Business Review Press.</w:t>
      </w:r>
    </w:p>
    <w:p w14:paraId="11CAF457" w14:textId="77777777" w:rsidR="00EB0A50" w:rsidRDefault="00000000">
      <w:pPr>
        <w:spacing w:after="160"/>
        <w:ind w:left="720" w:hanging="720"/>
      </w:pPr>
      <w:r>
        <w:t xml:space="preserve">Laudon, K.C. and Laudon, J.P. (2022) Management Information Systems: Managing the Digital Firm. 17th </w:t>
      </w:r>
      <w:proofErr w:type="spellStart"/>
      <w:r>
        <w:t>edn</w:t>
      </w:r>
      <w:proofErr w:type="spellEnd"/>
      <w:r>
        <w:t>. Harlow: Pearson.</w:t>
      </w:r>
    </w:p>
    <w:p w14:paraId="320C6295" w14:textId="77777777" w:rsidR="00EB0A50" w:rsidRDefault="00000000">
      <w:pPr>
        <w:spacing w:after="160"/>
        <w:ind w:left="720" w:hanging="720"/>
      </w:pPr>
      <w:r>
        <w:t xml:space="preserve">Marston, S., Li, Z., Bandyopadhyay, S., Zhang, J. and </w:t>
      </w:r>
      <w:proofErr w:type="spellStart"/>
      <w:r>
        <w:t>Ghalsasi</w:t>
      </w:r>
      <w:proofErr w:type="spellEnd"/>
      <w:r>
        <w:t>, A. (2011) 'Cloud computing — The business perspective', Decision Support Systems, 51(1), pp. 176–189.</w:t>
      </w:r>
    </w:p>
    <w:p w14:paraId="202EB1B7" w14:textId="77777777" w:rsidR="00EB0A50" w:rsidRDefault="00000000">
      <w:pPr>
        <w:spacing w:after="160"/>
        <w:ind w:left="720" w:hanging="720"/>
      </w:pPr>
      <w:r>
        <w:t>Microsoft (2025) Dynamics 365 Business Central documentation. Available at: https://learn.microsoft.com/en-us/dynamics365/business-central/ (Accessed: 20 July 2026).</w:t>
      </w:r>
    </w:p>
    <w:p w14:paraId="3A648D2D" w14:textId="77777777" w:rsidR="00EB0A50" w:rsidRDefault="00000000">
      <w:pPr>
        <w:spacing w:after="160"/>
        <w:ind w:left="720" w:hanging="720"/>
      </w:pPr>
      <w:r>
        <w:t xml:space="preserve">Monk, E. and Wagner, B. (2013) Concepts in Enterprise Resource Planning. 4th </w:t>
      </w:r>
      <w:proofErr w:type="spellStart"/>
      <w:r>
        <w:t>edn</w:t>
      </w:r>
      <w:proofErr w:type="spellEnd"/>
      <w:r>
        <w:t>. Boston, MA: Course Technology, Cengage Learning.</w:t>
      </w:r>
    </w:p>
    <w:p w14:paraId="3E88CD11" w14:textId="77777777" w:rsidR="00EB0A50" w:rsidRDefault="00000000">
      <w:pPr>
        <w:spacing w:after="160"/>
        <w:ind w:left="720" w:hanging="720"/>
      </w:pPr>
      <w:r>
        <w:t>Panorama Consulting Group (2023) The 2023 ERP Report. Denver, CO: Panorama Consulting Group. Available at: https://www.panorama-consulting.com/resource-center/erp-report/ (Accessed: 20 July 2026).</w:t>
      </w:r>
    </w:p>
    <w:p w14:paraId="212FD739" w14:textId="77777777" w:rsidR="00EB0A50" w:rsidRDefault="00000000">
      <w:pPr>
        <w:spacing w:after="160"/>
        <w:ind w:left="720" w:hanging="720"/>
      </w:pPr>
      <w:r>
        <w:t>Payne, A. and Frow, P. (2005) 'A strategic framework for customer relationship management', Journal of Marketing, 69(4), pp. 167–176.</w:t>
      </w:r>
    </w:p>
    <w:p w14:paraId="43607B93" w14:textId="77777777" w:rsidR="00EB0A50" w:rsidRDefault="00000000">
      <w:pPr>
        <w:spacing w:after="160"/>
        <w:ind w:left="720" w:hanging="720"/>
      </w:pPr>
      <w:r>
        <w:t>Umble, E.J., Haft, R.R. and Umble, M.M. (2003) 'Enterprise resource planning: Implementation procedures and critical success factors', European Journal of Operational Research, 146(2), pp. 241–257.</w:t>
      </w:r>
    </w:p>
    <w:sectPr w:rsidR="00EB0A50">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9F1709" w14:textId="77777777" w:rsidR="00621E06" w:rsidRDefault="00621E06">
      <w:pPr>
        <w:spacing w:line="240" w:lineRule="auto"/>
      </w:pPr>
      <w:r>
        <w:separator/>
      </w:r>
    </w:p>
  </w:endnote>
  <w:endnote w:type="continuationSeparator" w:id="0">
    <w:p w14:paraId="505838B1" w14:textId="77777777" w:rsidR="00621E06" w:rsidRDefault="00621E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CBA50D7" w14:textId="77777777" w:rsidR="00EB0A50" w:rsidRDefault="00000000">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0E5F79">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23F98D5" w14:textId="77777777" w:rsidR="00621E06" w:rsidRDefault="00621E06">
      <w:pPr>
        <w:spacing w:line="240" w:lineRule="auto"/>
      </w:pPr>
      <w:r>
        <w:separator/>
      </w:r>
    </w:p>
  </w:footnote>
  <w:footnote w:type="continuationSeparator" w:id="0">
    <w:p w14:paraId="30246EDA" w14:textId="77777777" w:rsidR="00621E06" w:rsidRDefault="00621E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06228BA"/>
    <w:multiLevelType w:val="hybridMultilevel"/>
    <w:tmpl w:val="676E6B26"/>
    <w:lvl w:ilvl="0" w:tplc="173CBD82">
      <w:start w:val="1"/>
      <w:numFmt w:val="bullet"/>
      <w:lvlText w:val="●"/>
      <w:lvlJc w:val="left"/>
      <w:pPr>
        <w:ind w:left="720" w:hanging="360"/>
      </w:pPr>
    </w:lvl>
    <w:lvl w:ilvl="1" w:tplc="B10CAF46">
      <w:start w:val="1"/>
      <w:numFmt w:val="bullet"/>
      <w:lvlText w:val="○"/>
      <w:lvlJc w:val="left"/>
      <w:pPr>
        <w:ind w:left="1440" w:hanging="360"/>
      </w:pPr>
    </w:lvl>
    <w:lvl w:ilvl="2" w:tplc="8C4CC72A">
      <w:start w:val="1"/>
      <w:numFmt w:val="bullet"/>
      <w:lvlText w:val="■"/>
      <w:lvlJc w:val="left"/>
      <w:pPr>
        <w:ind w:left="2160" w:hanging="360"/>
      </w:pPr>
    </w:lvl>
    <w:lvl w:ilvl="3" w:tplc="372CE488">
      <w:start w:val="1"/>
      <w:numFmt w:val="bullet"/>
      <w:lvlText w:val="●"/>
      <w:lvlJc w:val="left"/>
      <w:pPr>
        <w:ind w:left="2880" w:hanging="360"/>
      </w:pPr>
    </w:lvl>
    <w:lvl w:ilvl="4" w:tplc="ECF4EE78">
      <w:start w:val="1"/>
      <w:numFmt w:val="bullet"/>
      <w:lvlText w:val="○"/>
      <w:lvlJc w:val="left"/>
      <w:pPr>
        <w:ind w:left="3600" w:hanging="360"/>
      </w:pPr>
    </w:lvl>
    <w:lvl w:ilvl="5" w:tplc="14E4B0FE">
      <w:start w:val="1"/>
      <w:numFmt w:val="bullet"/>
      <w:lvlText w:val="■"/>
      <w:lvlJc w:val="left"/>
      <w:pPr>
        <w:ind w:left="4320" w:hanging="360"/>
      </w:pPr>
    </w:lvl>
    <w:lvl w:ilvl="6" w:tplc="9E56D2C2">
      <w:start w:val="1"/>
      <w:numFmt w:val="bullet"/>
      <w:lvlText w:val="●"/>
      <w:lvlJc w:val="left"/>
      <w:pPr>
        <w:ind w:left="5040" w:hanging="360"/>
      </w:pPr>
    </w:lvl>
    <w:lvl w:ilvl="7" w:tplc="F5AA1EB4">
      <w:start w:val="1"/>
      <w:numFmt w:val="bullet"/>
      <w:lvlText w:val="●"/>
      <w:lvlJc w:val="left"/>
      <w:pPr>
        <w:ind w:left="5760" w:hanging="360"/>
      </w:pPr>
    </w:lvl>
    <w:lvl w:ilvl="8" w:tplc="396AF8A2">
      <w:start w:val="1"/>
      <w:numFmt w:val="bullet"/>
      <w:lvlText w:val="●"/>
      <w:lvlJc w:val="left"/>
      <w:pPr>
        <w:ind w:left="6480" w:hanging="360"/>
      </w:pPr>
    </w:lvl>
  </w:abstractNum>
  <w:abstractNum w:abstractNumId="1" w15:restartNumberingAfterBreak="0">
    <w:nsid w:val="5F254D9E"/>
    <w:multiLevelType w:val="hybridMultilevel"/>
    <w:tmpl w:val="FC9232AE"/>
    <w:lvl w:ilvl="0" w:tplc="8EC22DE2">
      <w:start w:val="1"/>
      <w:numFmt w:val="bullet"/>
      <w:lvlText w:val="•"/>
      <w:lvlJc w:val="left"/>
      <w:pPr>
        <w:ind w:left="504" w:hanging="288"/>
      </w:pPr>
    </w:lvl>
    <w:lvl w:ilvl="1" w:tplc="9FA02EB0">
      <w:numFmt w:val="decimal"/>
      <w:lvlText w:val=""/>
      <w:lvlJc w:val="left"/>
    </w:lvl>
    <w:lvl w:ilvl="2" w:tplc="81D8E2E0">
      <w:numFmt w:val="decimal"/>
      <w:lvlText w:val=""/>
      <w:lvlJc w:val="left"/>
    </w:lvl>
    <w:lvl w:ilvl="3" w:tplc="7206B64E">
      <w:numFmt w:val="decimal"/>
      <w:lvlText w:val=""/>
      <w:lvlJc w:val="left"/>
    </w:lvl>
    <w:lvl w:ilvl="4" w:tplc="845AF6BC">
      <w:numFmt w:val="decimal"/>
      <w:lvlText w:val=""/>
      <w:lvlJc w:val="left"/>
    </w:lvl>
    <w:lvl w:ilvl="5" w:tplc="44364F78">
      <w:numFmt w:val="decimal"/>
      <w:lvlText w:val=""/>
      <w:lvlJc w:val="left"/>
    </w:lvl>
    <w:lvl w:ilvl="6" w:tplc="44445C96">
      <w:numFmt w:val="decimal"/>
      <w:lvlText w:val=""/>
      <w:lvlJc w:val="left"/>
    </w:lvl>
    <w:lvl w:ilvl="7" w:tplc="7560658C">
      <w:numFmt w:val="decimal"/>
      <w:lvlText w:val=""/>
      <w:lvlJc w:val="left"/>
    </w:lvl>
    <w:lvl w:ilvl="8" w:tplc="0E3C4ED2">
      <w:numFmt w:val="decimal"/>
      <w:lvlText w:val=""/>
      <w:lvlJc w:val="left"/>
    </w:lvl>
  </w:abstractNum>
  <w:num w:numId="1" w16cid:durableId="616761173">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0A50"/>
    <w:rsid w:val="000E5F79"/>
    <w:rsid w:val="00621E06"/>
    <w:rsid w:val="00EB0A50"/>
    <w:rsid w:val="00F33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F86693"/>
  <w15:docId w15:val="{ACD4D6C5-78D7-BC44-BECC-9C697F437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2789</Words>
  <Characters>18967</Characters>
  <Application>Microsoft Office Word</Application>
  <DocSecurity>0</DocSecurity>
  <Lines>412</Lines>
  <Paragraphs>233</Paragraphs>
  <ScaleCrop>false</ScaleCrop>
  <Company/>
  <LinksUpToDate>false</LinksUpToDate>
  <CharactersWithSpaces>21523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Latoya Brown</cp:lastModifiedBy>
  <cp:revision>2</cp:revision>
  <dcterms:created xsi:type="dcterms:W3CDTF">2026-07-20T12:52:00Z</dcterms:created>
  <dcterms:modified xsi:type="dcterms:W3CDTF">2026-07-20T12:52:00Z</dcterms:modified>
</cp:coreProperties>
</file>