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34EC0" w14:textId="77777777" w:rsidR="0001033D" w:rsidRPr="0001033D" w:rsidRDefault="0001033D" w:rsidP="0001033D">
      <w:pPr>
        <w:rPr>
          <w:rFonts w:ascii="Verdana" w:eastAsia="Times New Roman" w:hAnsi="Verdana" w:cs="Times New Roman"/>
          <w:b/>
          <w:bCs/>
          <w:sz w:val="28"/>
          <w:szCs w:val="28"/>
          <w:u w:val="single"/>
          <w:lang w:eastAsia="en-GB"/>
        </w:rPr>
      </w:pPr>
      <w:r w:rsidRPr="0001033D">
        <w:rPr>
          <w:rFonts w:ascii="Verdana" w:eastAsia="Times New Roman" w:hAnsi="Verdana" w:cs="Times New Roman"/>
          <w:b/>
          <w:bCs/>
          <w:sz w:val="28"/>
          <w:szCs w:val="28"/>
          <w:u w:val="single"/>
          <w:lang w:eastAsia="en-GB"/>
        </w:rPr>
        <w:t xml:space="preserve">A critical evaluation and the learning steps focusing on a case study of an individual learner or a group of learners, based on an observed critical incident. </w:t>
      </w:r>
    </w:p>
    <w:p w14:paraId="29078F87" w14:textId="4C90C93B" w:rsidR="00AD1FE8" w:rsidRDefault="00AD1FE8"/>
    <w:p w14:paraId="6984C016" w14:textId="791171C7" w:rsidR="0001033D" w:rsidRPr="0001033D" w:rsidRDefault="0001033D">
      <w:pPr>
        <w:rPr>
          <w:rFonts w:ascii="Verdana" w:hAnsi="Verdana"/>
        </w:rPr>
      </w:pPr>
      <w:r w:rsidRPr="0001033D">
        <w:rPr>
          <w:rFonts w:ascii="Verdana" w:hAnsi="Verdana"/>
        </w:rPr>
        <w:t>by student 2306980</w:t>
      </w:r>
    </w:p>
    <w:p w14:paraId="371CA17D" w14:textId="77777777" w:rsidR="0001033D" w:rsidRDefault="0001033D"/>
    <w:p w14:paraId="4BAD9AF0" w14:textId="409A1E25" w:rsidR="002725D0" w:rsidRPr="002725D0" w:rsidRDefault="002725D0">
      <w:pPr>
        <w:rPr>
          <w:rFonts w:ascii="Verdana" w:hAnsi="Verdana"/>
          <w:b/>
          <w:bCs/>
          <w:color w:val="000000" w:themeColor="text1"/>
          <w:u w:val="single"/>
        </w:rPr>
      </w:pPr>
      <w:r w:rsidRPr="002725D0">
        <w:rPr>
          <w:rFonts w:ascii="Verdana" w:hAnsi="Verdana"/>
          <w:b/>
          <w:bCs/>
          <w:color w:val="000000" w:themeColor="text1"/>
          <w:u w:val="single"/>
        </w:rPr>
        <w:t>Introduction</w:t>
      </w:r>
    </w:p>
    <w:p w14:paraId="5B8ABC53" w14:textId="7467A0A1" w:rsidR="00AD1FE8" w:rsidRDefault="00AD1FE8"/>
    <w:p w14:paraId="2E365C3C" w14:textId="4CFA4903" w:rsidR="00AD1FE8" w:rsidRPr="00AD1FE8" w:rsidRDefault="00AD1FE8" w:rsidP="00922463">
      <w:pPr>
        <w:spacing w:line="360" w:lineRule="auto"/>
        <w:ind w:firstLine="720"/>
        <w:rPr>
          <w:rFonts w:ascii="Verdana" w:hAnsi="Verdana"/>
        </w:rPr>
      </w:pPr>
      <w:r>
        <w:t xml:space="preserve"> </w:t>
      </w:r>
      <w:r w:rsidRPr="00AD1FE8">
        <w:rPr>
          <w:rFonts w:ascii="Verdana" w:hAnsi="Verdana"/>
        </w:rPr>
        <w:t xml:space="preserve">The aim of this essay is to evaluate the next teaching and learning steps for an educational practitioner. These steps were identified </w:t>
      </w:r>
      <w:r>
        <w:rPr>
          <w:rFonts w:ascii="Verdana" w:hAnsi="Verdana"/>
        </w:rPr>
        <w:t>based on</w:t>
      </w:r>
      <w:r w:rsidRPr="00AD1FE8">
        <w:rPr>
          <w:rFonts w:ascii="Verdana" w:hAnsi="Verdana"/>
        </w:rPr>
        <w:t xml:space="preserve"> a critical incident observed in a case study of a group of learners.</w:t>
      </w:r>
      <w:r w:rsidR="009F3FB7">
        <w:rPr>
          <w:rFonts w:ascii="Verdana" w:hAnsi="Verdana"/>
        </w:rPr>
        <w:t xml:space="preserve"> The critical incident pertains to a group of learners who were given a task based on dialogic social interaction. </w:t>
      </w:r>
    </w:p>
    <w:p w14:paraId="3EE35286" w14:textId="77777777" w:rsidR="00AD1FE8" w:rsidRPr="00AD1FE8" w:rsidRDefault="00AD1FE8" w:rsidP="00AD1FE8">
      <w:pPr>
        <w:rPr>
          <w:rFonts w:ascii="Verdana" w:hAnsi="Verdana"/>
        </w:rPr>
      </w:pPr>
    </w:p>
    <w:p w14:paraId="5F206729" w14:textId="77777777" w:rsidR="00A469CA" w:rsidRDefault="00AD1FE8" w:rsidP="00922463">
      <w:pPr>
        <w:spacing w:line="360" w:lineRule="auto"/>
        <w:ind w:firstLine="720"/>
        <w:jc w:val="both"/>
        <w:rPr>
          <w:color w:val="FF0000"/>
        </w:rPr>
      </w:pPr>
      <w:r w:rsidRPr="00AD1FE8">
        <w:rPr>
          <w:rFonts w:ascii="Verdana" w:hAnsi="Verdana"/>
        </w:rPr>
        <w:t>Tripp’s conception of a critical incident renders a seemingly benign situation ‘significant’ through deep introspection into its underlying causes (Tripp,</w:t>
      </w:r>
      <w:r>
        <w:rPr>
          <w:rFonts w:ascii="Verdana" w:hAnsi="Verdana"/>
        </w:rPr>
        <w:t xml:space="preserve"> </w:t>
      </w:r>
      <w:r w:rsidRPr="00AD1FE8">
        <w:rPr>
          <w:rFonts w:ascii="Verdana" w:hAnsi="Verdana"/>
        </w:rPr>
        <w:t xml:space="preserve">2011 pg.8). </w:t>
      </w:r>
      <w:r w:rsidR="009F3FB7">
        <w:rPr>
          <w:rFonts w:ascii="Verdana" w:hAnsi="Verdana"/>
        </w:rPr>
        <w:t>How</w:t>
      </w:r>
      <w:r w:rsidRPr="00AD1FE8">
        <w:rPr>
          <w:rFonts w:ascii="Verdana" w:hAnsi="Verdana"/>
        </w:rPr>
        <w:t xml:space="preserve"> one interprets a critical incident provides the backdrop for educators to refine their pedagogical practices. </w:t>
      </w:r>
      <w:r w:rsidRPr="00AD1FE8">
        <w:rPr>
          <w:rFonts w:ascii="Verdana" w:hAnsi="Verdana"/>
          <w:color w:val="000000" w:themeColor="text1"/>
        </w:rPr>
        <w:t>It is thus important when reflecting upon critical incidents that our reflection engages in “</w:t>
      </w:r>
      <w:r w:rsidRPr="00AD1FE8">
        <w:rPr>
          <w:rFonts w:ascii="Verdana" w:eastAsia="Times New Roman" w:hAnsi="Verdana" w:cstheme="minorHAnsi"/>
          <w:lang w:eastAsia="en-GB"/>
        </w:rPr>
        <w:t xml:space="preserve">critique of ourselves and our professional values” </w:t>
      </w:r>
      <w:r w:rsidRPr="00AD1FE8">
        <w:rPr>
          <w:rFonts w:ascii="Verdana" w:eastAsia="Times New Roman" w:hAnsi="Verdana" w:cstheme="minorHAnsi"/>
          <w:color w:val="000000" w:themeColor="text1"/>
          <w:lang w:eastAsia="en-GB"/>
        </w:rPr>
        <w:t xml:space="preserve">otherwise we risk “simply </w:t>
      </w:r>
      <w:proofErr w:type="spellStart"/>
      <w:r w:rsidRPr="00AD1FE8">
        <w:rPr>
          <w:rFonts w:ascii="Verdana" w:eastAsia="Times New Roman" w:hAnsi="Verdana" w:cstheme="minorHAnsi"/>
          <w:color w:val="000000" w:themeColor="text1"/>
          <w:lang w:eastAsia="en-GB"/>
        </w:rPr>
        <w:t>reinforc</w:t>
      </w:r>
      <w:proofErr w:type="spellEnd"/>
      <w:r w:rsidRPr="00AD1FE8">
        <w:rPr>
          <w:rFonts w:ascii="Verdana" w:eastAsia="Times New Roman" w:hAnsi="Verdana" w:cstheme="minorHAnsi"/>
          <w:color w:val="000000" w:themeColor="text1"/>
          <w:lang w:eastAsia="en-GB"/>
        </w:rPr>
        <w:t>[</w:t>
      </w:r>
      <w:proofErr w:type="spellStart"/>
      <w:r w:rsidRPr="00AD1FE8">
        <w:rPr>
          <w:rFonts w:ascii="Verdana" w:eastAsia="Times New Roman" w:hAnsi="Verdana" w:cstheme="minorHAnsi"/>
          <w:color w:val="000000" w:themeColor="text1"/>
          <w:lang w:eastAsia="en-GB"/>
        </w:rPr>
        <w:t>ing</w:t>
      </w:r>
      <w:proofErr w:type="spellEnd"/>
      <w:r w:rsidRPr="00AD1FE8">
        <w:rPr>
          <w:rFonts w:ascii="Verdana" w:eastAsia="Times New Roman" w:hAnsi="Verdana" w:cstheme="minorHAnsi"/>
          <w:color w:val="000000" w:themeColor="text1"/>
          <w:lang w:eastAsia="en-GB"/>
        </w:rPr>
        <w:t>] existing patterns and tendencies” (Tripp, 2011 p.12).</w:t>
      </w:r>
      <w:r w:rsidR="009F3FB7" w:rsidRPr="009F3FB7">
        <w:rPr>
          <w:color w:val="FF0000"/>
        </w:rPr>
        <w:t xml:space="preserve"> </w:t>
      </w:r>
    </w:p>
    <w:p w14:paraId="39F6EF2F" w14:textId="77777777" w:rsidR="00A469CA" w:rsidRDefault="00A469CA" w:rsidP="00AD1FE8">
      <w:pPr>
        <w:spacing w:line="360" w:lineRule="auto"/>
        <w:jc w:val="both"/>
        <w:rPr>
          <w:color w:val="FF0000"/>
        </w:rPr>
      </w:pPr>
    </w:p>
    <w:p w14:paraId="3A17AF4C" w14:textId="6796E41F" w:rsidR="00AD1FE8" w:rsidRDefault="009F3FB7" w:rsidP="00922463">
      <w:pPr>
        <w:spacing w:line="360" w:lineRule="auto"/>
        <w:ind w:firstLine="720"/>
        <w:jc w:val="both"/>
        <w:rPr>
          <w:rFonts w:ascii="Verdana" w:eastAsia="Times New Roman" w:hAnsi="Verdana" w:cstheme="minorHAnsi"/>
          <w:color w:val="000000" w:themeColor="text1"/>
          <w:lang w:eastAsia="en-GB"/>
        </w:rPr>
      </w:pPr>
      <w:r w:rsidRPr="009F3FB7">
        <w:rPr>
          <w:rFonts w:ascii="Verdana" w:eastAsia="Times New Roman" w:hAnsi="Verdana" w:cstheme="minorHAnsi"/>
          <w:color w:val="000000" w:themeColor="text1"/>
          <w:lang w:eastAsia="en-GB"/>
        </w:rPr>
        <w:t xml:space="preserve">Critical incidents therefore invite educational practitioners to rethink their views, </w:t>
      </w:r>
      <w:r>
        <w:rPr>
          <w:rFonts w:ascii="Verdana" w:eastAsia="Times New Roman" w:hAnsi="Verdana" w:cstheme="minorHAnsi"/>
          <w:color w:val="000000" w:themeColor="text1"/>
          <w:lang w:eastAsia="en-GB"/>
        </w:rPr>
        <w:t xml:space="preserve">and </w:t>
      </w:r>
      <w:r w:rsidRPr="009F3FB7">
        <w:rPr>
          <w:rFonts w:ascii="Verdana" w:eastAsia="Times New Roman" w:hAnsi="Verdana" w:cstheme="minorHAnsi"/>
          <w:color w:val="000000" w:themeColor="text1"/>
          <w:lang w:eastAsia="en-GB"/>
        </w:rPr>
        <w:t xml:space="preserve">practices in entirely new ways </w:t>
      </w:r>
      <w:r>
        <w:rPr>
          <w:rFonts w:ascii="Verdana" w:eastAsia="Times New Roman" w:hAnsi="Verdana" w:cstheme="minorHAnsi"/>
          <w:color w:val="000000" w:themeColor="text1"/>
          <w:lang w:eastAsia="en-GB"/>
        </w:rPr>
        <w:t>by</w:t>
      </w:r>
      <w:r w:rsidRPr="009F3FB7">
        <w:rPr>
          <w:rFonts w:ascii="Verdana" w:eastAsia="Times New Roman" w:hAnsi="Verdana" w:cstheme="minorHAnsi"/>
          <w:color w:val="000000" w:themeColor="text1"/>
          <w:lang w:eastAsia="en-GB"/>
        </w:rPr>
        <w:t xml:space="preserve"> revealing inconsistencies, or room for improvement in </w:t>
      </w:r>
      <w:r>
        <w:rPr>
          <w:rFonts w:ascii="Verdana" w:eastAsia="Times New Roman" w:hAnsi="Verdana" w:cstheme="minorHAnsi"/>
          <w:color w:val="000000" w:themeColor="text1"/>
          <w:lang w:eastAsia="en-GB"/>
        </w:rPr>
        <w:t>everyday</w:t>
      </w:r>
      <w:r w:rsidRPr="009F3FB7">
        <w:rPr>
          <w:rFonts w:ascii="Verdana" w:eastAsia="Times New Roman" w:hAnsi="Verdana" w:cstheme="minorHAnsi"/>
          <w:color w:val="000000" w:themeColor="text1"/>
          <w:lang w:eastAsia="en-GB"/>
        </w:rPr>
        <w:t xml:space="preserve"> situations</w:t>
      </w:r>
      <w:r w:rsidR="00A469CA">
        <w:rPr>
          <w:rFonts w:ascii="Verdana" w:eastAsia="Times New Roman" w:hAnsi="Verdana" w:cstheme="minorHAnsi"/>
          <w:color w:val="000000" w:themeColor="text1"/>
          <w:lang w:eastAsia="en-GB"/>
        </w:rPr>
        <w:t xml:space="preserve"> in the classroom</w:t>
      </w:r>
      <w:r>
        <w:rPr>
          <w:rFonts w:ascii="Verdana" w:eastAsia="Times New Roman" w:hAnsi="Verdana" w:cstheme="minorHAnsi"/>
          <w:color w:val="000000" w:themeColor="text1"/>
          <w:lang w:eastAsia="en-GB"/>
        </w:rPr>
        <w:t>.</w:t>
      </w:r>
      <w:r w:rsidR="00A469CA">
        <w:rPr>
          <w:rFonts w:ascii="Verdana" w:eastAsia="Times New Roman" w:hAnsi="Verdana" w:cstheme="minorHAnsi"/>
          <w:color w:val="000000" w:themeColor="text1"/>
          <w:lang w:eastAsia="en-GB"/>
        </w:rPr>
        <w:t xml:space="preserve"> Tripp (</w:t>
      </w:r>
      <w:proofErr w:type="gramStart"/>
      <w:r w:rsidR="00A469CA">
        <w:rPr>
          <w:rFonts w:ascii="Verdana" w:eastAsia="Times New Roman" w:hAnsi="Verdana" w:cstheme="minorHAnsi"/>
          <w:color w:val="000000" w:themeColor="text1"/>
          <w:lang w:eastAsia="en-GB"/>
        </w:rPr>
        <w:t>2011,p.</w:t>
      </w:r>
      <w:proofErr w:type="gramEnd"/>
      <w:r w:rsidR="00A469CA">
        <w:rPr>
          <w:rFonts w:ascii="Verdana" w:eastAsia="Times New Roman" w:hAnsi="Verdana" w:cstheme="minorHAnsi"/>
          <w:color w:val="000000" w:themeColor="text1"/>
          <w:lang w:eastAsia="en-GB"/>
        </w:rPr>
        <w:t xml:space="preserve">14) labels these inconsistencies within the professional values of educators as “problematics”. Problematics can be interpreted as the subconscious structured practices that underpin certain behaviours in the classroom. It thus follows that a critical incident is underpinned by a ‘problematic’, and the purpose of </w:t>
      </w:r>
      <w:r w:rsidR="00962D0E">
        <w:rPr>
          <w:rFonts w:ascii="Verdana" w:eastAsia="Times New Roman" w:hAnsi="Verdana" w:cstheme="minorHAnsi"/>
          <w:color w:val="000000" w:themeColor="text1"/>
          <w:lang w:eastAsia="en-GB"/>
        </w:rPr>
        <w:t xml:space="preserve">the </w:t>
      </w:r>
      <w:r w:rsidR="00A469CA">
        <w:rPr>
          <w:rFonts w:ascii="Verdana" w:eastAsia="Times New Roman" w:hAnsi="Verdana" w:cstheme="minorHAnsi"/>
          <w:color w:val="000000" w:themeColor="text1"/>
          <w:lang w:eastAsia="en-GB"/>
        </w:rPr>
        <w:t>critical incident analysis is to reveal the ‘problematic’ behind pedagogical practices that do not achieve their intended aims</w:t>
      </w:r>
      <w:r w:rsidR="00854A39">
        <w:rPr>
          <w:rFonts w:ascii="Verdana" w:eastAsia="Times New Roman" w:hAnsi="Verdana" w:cstheme="minorHAnsi"/>
          <w:color w:val="000000" w:themeColor="text1"/>
          <w:lang w:eastAsia="en-GB"/>
        </w:rPr>
        <w:t>.</w:t>
      </w:r>
    </w:p>
    <w:p w14:paraId="16553453" w14:textId="77777777" w:rsidR="009F3FB7" w:rsidRDefault="009F3FB7" w:rsidP="00AD1FE8">
      <w:pPr>
        <w:spacing w:line="360" w:lineRule="auto"/>
        <w:jc w:val="both"/>
        <w:rPr>
          <w:rFonts w:ascii="Verdana" w:eastAsia="Times New Roman" w:hAnsi="Verdana" w:cstheme="minorHAnsi"/>
          <w:color w:val="000000" w:themeColor="text1"/>
          <w:lang w:eastAsia="en-GB"/>
        </w:rPr>
      </w:pPr>
    </w:p>
    <w:p w14:paraId="6A9D18C2" w14:textId="2B8FC3C7" w:rsidR="002725D0" w:rsidRDefault="009F3FB7"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lastRenderedPageBreak/>
        <w:t>The critical incident</w:t>
      </w:r>
      <w:r w:rsidR="005A5AB4">
        <w:rPr>
          <w:rFonts w:ascii="Verdana" w:eastAsia="Times New Roman" w:hAnsi="Verdana" w:cstheme="minorHAnsi"/>
          <w:color w:val="000000" w:themeColor="text1"/>
          <w:lang w:eastAsia="en-GB"/>
        </w:rPr>
        <w:t xml:space="preserve"> observed</w:t>
      </w:r>
      <w:r>
        <w:rPr>
          <w:rFonts w:ascii="Verdana" w:eastAsia="Times New Roman" w:hAnsi="Verdana" w:cstheme="minorHAnsi"/>
          <w:color w:val="000000" w:themeColor="text1"/>
          <w:lang w:eastAsia="en-GB"/>
        </w:rPr>
        <w:t xml:space="preserve"> revolved around an English teacher who was teaching a year 9 class in English literature. Specifically, Shakespearean plays. The teacher used a method known as social dialogic interaction. Put simply, this involved the learners pairing up and performing lines from Shakespeare to each other.</w:t>
      </w:r>
      <w:r w:rsidRPr="009F3FB7">
        <w:rPr>
          <w:rFonts w:ascii="Verdana" w:eastAsia="Times New Roman" w:hAnsi="Verdana" w:cstheme="minorHAnsi"/>
          <w:color w:val="000000" w:themeColor="text1"/>
          <w:lang w:eastAsia="en-GB"/>
        </w:rPr>
        <w:t xml:space="preserve"> </w:t>
      </w:r>
      <w:r>
        <w:rPr>
          <w:rFonts w:ascii="Verdana" w:eastAsia="Times New Roman" w:hAnsi="Verdana" w:cstheme="minorHAnsi"/>
          <w:color w:val="000000" w:themeColor="text1"/>
          <w:lang w:eastAsia="en-GB"/>
        </w:rPr>
        <w:t xml:space="preserve">The aim here was to generate an engaging environment for the learners. The line </w:t>
      </w:r>
      <w:r w:rsidR="00073D83">
        <w:rPr>
          <w:rFonts w:ascii="Verdana" w:eastAsia="Times New Roman" w:hAnsi="Verdana" w:cstheme="minorHAnsi"/>
          <w:color w:val="000000" w:themeColor="text1"/>
          <w:lang w:eastAsia="en-GB"/>
        </w:rPr>
        <w:t>the teacher chose was one with an angry tone, which</w:t>
      </w:r>
      <w:r>
        <w:rPr>
          <w:rFonts w:ascii="Verdana" w:eastAsia="Times New Roman" w:hAnsi="Verdana" w:cstheme="minorHAnsi"/>
          <w:color w:val="000000" w:themeColor="text1"/>
          <w:lang w:eastAsia="en-GB"/>
        </w:rPr>
        <w:t xml:space="preserve"> once performed resulted in class chaos. The attempt thus failed in its original purpose. </w:t>
      </w:r>
    </w:p>
    <w:p w14:paraId="2932098E" w14:textId="7FA5684B" w:rsidR="002725D0" w:rsidRDefault="002725D0" w:rsidP="00AD1FE8">
      <w:pPr>
        <w:spacing w:line="360" w:lineRule="auto"/>
        <w:jc w:val="both"/>
        <w:rPr>
          <w:rFonts w:ascii="Verdana" w:eastAsia="Times New Roman" w:hAnsi="Verdana" w:cstheme="minorHAnsi"/>
          <w:color w:val="000000" w:themeColor="text1"/>
          <w:lang w:eastAsia="en-GB"/>
        </w:rPr>
      </w:pPr>
    </w:p>
    <w:p w14:paraId="7C3A64B3" w14:textId="09E3ACE4" w:rsidR="00854A39" w:rsidRDefault="002725D0" w:rsidP="00AD1FE8">
      <w:pPr>
        <w:spacing w:line="360" w:lineRule="auto"/>
        <w:jc w:val="both"/>
        <w:rPr>
          <w:rFonts w:ascii="Verdana" w:eastAsia="Times New Roman" w:hAnsi="Verdana" w:cstheme="minorHAnsi"/>
          <w:b/>
          <w:bCs/>
          <w:color w:val="000000" w:themeColor="text1"/>
          <w:u w:val="single"/>
          <w:lang w:eastAsia="en-GB"/>
        </w:rPr>
      </w:pPr>
      <w:r w:rsidRPr="002725D0">
        <w:rPr>
          <w:rFonts w:ascii="Verdana" w:eastAsia="Times New Roman" w:hAnsi="Verdana" w:cstheme="minorHAnsi"/>
          <w:b/>
          <w:bCs/>
          <w:color w:val="000000" w:themeColor="text1"/>
          <w:u w:val="single"/>
          <w:lang w:eastAsia="en-GB"/>
        </w:rPr>
        <w:t>Literature review</w:t>
      </w:r>
    </w:p>
    <w:p w14:paraId="7E6C4B8A" w14:textId="77777777" w:rsidR="009A7E76" w:rsidRPr="009A7E76" w:rsidRDefault="009A7E76" w:rsidP="00AD1FE8">
      <w:pPr>
        <w:spacing w:line="360" w:lineRule="auto"/>
        <w:jc w:val="both"/>
        <w:rPr>
          <w:rFonts w:ascii="Verdana" w:eastAsia="Times New Roman" w:hAnsi="Verdana" w:cstheme="minorHAnsi"/>
          <w:b/>
          <w:bCs/>
          <w:color w:val="000000" w:themeColor="text1"/>
          <w:u w:val="single"/>
          <w:lang w:eastAsia="en-GB"/>
        </w:rPr>
      </w:pPr>
    </w:p>
    <w:p w14:paraId="788763A3" w14:textId="29672CAB" w:rsidR="00CE0696" w:rsidRDefault="000F3CFD"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works of Vygotsky underpin social constructivism</w:t>
      </w:r>
      <w:r w:rsidR="00854A39">
        <w:rPr>
          <w:rFonts w:ascii="Verdana" w:eastAsia="Times New Roman" w:hAnsi="Verdana" w:cstheme="minorHAnsi"/>
          <w:color w:val="000000" w:themeColor="text1"/>
          <w:lang w:eastAsia="en-GB"/>
        </w:rPr>
        <w:t xml:space="preserve"> (SC)</w:t>
      </w:r>
      <w:r w:rsidR="00073D83">
        <w:rPr>
          <w:rFonts w:ascii="Verdana" w:eastAsia="Times New Roman" w:hAnsi="Verdana" w:cstheme="minorHAnsi"/>
          <w:color w:val="000000" w:themeColor="text1"/>
          <w:lang w:eastAsia="en-GB"/>
        </w:rPr>
        <w:t xml:space="preserve">. </w:t>
      </w:r>
      <w:r w:rsidR="00854A39">
        <w:rPr>
          <w:rFonts w:ascii="Verdana" w:eastAsia="Times New Roman" w:hAnsi="Verdana" w:cstheme="minorHAnsi"/>
          <w:color w:val="000000" w:themeColor="text1"/>
          <w:lang w:eastAsia="en-GB"/>
        </w:rPr>
        <w:t>In tune with constructivism (reference), the active construction of knowledge by learners is an essential concept within SC. In contrast to constructivism</w:t>
      </w:r>
      <w:r w:rsidR="00991D2E">
        <w:rPr>
          <w:rFonts w:ascii="Verdana" w:eastAsia="Times New Roman" w:hAnsi="Verdana" w:cstheme="minorHAnsi"/>
          <w:color w:val="000000" w:themeColor="text1"/>
          <w:lang w:eastAsia="en-GB"/>
        </w:rPr>
        <w:t>,</w:t>
      </w:r>
      <w:r w:rsidR="00854A39">
        <w:rPr>
          <w:rFonts w:ascii="Verdana" w:eastAsia="Times New Roman" w:hAnsi="Verdana" w:cstheme="minorHAnsi"/>
          <w:color w:val="000000" w:themeColor="text1"/>
          <w:lang w:eastAsia="en-GB"/>
        </w:rPr>
        <w:t xml:space="preserve"> however, SC theorists argue that knowledge construction is a predominantly social task involving interaction </w:t>
      </w:r>
      <w:r w:rsidR="00CE0696">
        <w:rPr>
          <w:rFonts w:ascii="Verdana" w:eastAsia="Times New Roman" w:hAnsi="Verdana" w:cstheme="minorHAnsi"/>
          <w:color w:val="000000" w:themeColor="text1"/>
          <w:lang w:eastAsia="en-GB"/>
        </w:rPr>
        <w:t>between</w:t>
      </w:r>
      <w:r w:rsidR="00854A39">
        <w:rPr>
          <w:rFonts w:ascii="Verdana" w:eastAsia="Times New Roman" w:hAnsi="Verdana" w:cstheme="minorHAnsi"/>
          <w:color w:val="000000" w:themeColor="text1"/>
          <w:lang w:eastAsia="en-GB"/>
        </w:rPr>
        <w:t xml:space="preserve"> peers and educators.</w:t>
      </w:r>
      <w:r w:rsidR="00583441">
        <w:rPr>
          <w:rFonts w:ascii="Verdana" w:eastAsia="Times New Roman" w:hAnsi="Verdana" w:cstheme="minorHAnsi"/>
          <w:color w:val="000000" w:themeColor="text1"/>
          <w:lang w:eastAsia="en-GB"/>
        </w:rPr>
        <w:t xml:space="preserve"> </w:t>
      </w:r>
      <w:r w:rsidR="00CE0696">
        <w:rPr>
          <w:rFonts w:ascii="Verdana" w:eastAsia="Times New Roman" w:hAnsi="Verdana" w:cstheme="minorHAnsi"/>
          <w:color w:val="000000" w:themeColor="text1"/>
          <w:lang w:eastAsia="en-GB"/>
        </w:rPr>
        <w:t>Specifically, Vygotsky (</w:t>
      </w:r>
      <w:proofErr w:type="spellStart"/>
      <w:r w:rsidR="00AF0B14">
        <w:rPr>
          <w:rFonts w:ascii="Verdana" w:eastAsia="Times New Roman" w:hAnsi="Verdana" w:cstheme="minorHAnsi"/>
          <w:color w:val="000000" w:themeColor="text1"/>
          <w:lang w:eastAsia="en-GB"/>
        </w:rPr>
        <w:t>Werstch</w:t>
      </w:r>
      <w:proofErr w:type="spellEnd"/>
      <w:r w:rsidR="00AF0B14">
        <w:rPr>
          <w:rFonts w:ascii="Verdana" w:eastAsia="Times New Roman" w:hAnsi="Verdana" w:cstheme="minorHAnsi"/>
          <w:color w:val="000000" w:themeColor="text1"/>
          <w:lang w:eastAsia="en-GB"/>
        </w:rPr>
        <w:t xml:space="preserve">, 1985 referencing Vygotsky </w:t>
      </w:r>
      <w:r w:rsidR="00CE0696">
        <w:rPr>
          <w:rFonts w:ascii="Verdana" w:eastAsia="Times New Roman" w:hAnsi="Verdana" w:cstheme="minorHAnsi"/>
          <w:color w:val="000000" w:themeColor="text1"/>
          <w:lang w:eastAsia="en-GB"/>
        </w:rPr>
        <w:t xml:space="preserve">1981, p.163) argued that “logical memory, and formation of concepts” amongst other “higher functions” are in the first instance underpinned by social factors. </w:t>
      </w:r>
    </w:p>
    <w:p w14:paraId="79E56C8E" w14:textId="77777777" w:rsidR="00CE0696" w:rsidRDefault="00CE0696" w:rsidP="00AD1FE8">
      <w:pPr>
        <w:spacing w:line="360" w:lineRule="auto"/>
        <w:jc w:val="both"/>
        <w:rPr>
          <w:rFonts w:ascii="Verdana" w:eastAsia="Times New Roman" w:hAnsi="Verdana" w:cstheme="minorHAnsi"/>
          <w:color w:val="000000" w:themeColor="text1"/>
          <w:lang w:eastAsia="en-GB"/>
        </w:rPr>
      </w:pPr>
    </w:p>
    <w:p w14:paraId="19C6DE62" w14:textId="26A9A669" w:rsidR="00CE0696" w:rsidRDefault="00CE0696"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It is through learners’ experiences with others that they first begin to derive knowledge for themselves. This process, whereby “certain aspects that had been performed on an external plane come to be executed on an internal plane”, is known as “internalisation” (</w:t>
      </w:r>
      <w:proofErr w:type="spellStart"/>
      <w:r>
        <w:rPr>
          <w:rFonts w:ascii="Verdana" w:eastAsia="Times New Roman" w:hAnsi="Verdana" w:cstheme="minorHAnsi"/>
          <w:color w:val="000000" w:themeColor="text1"/>
          <w:lang w:eastAsia="en-GB"/>
        </w:rPr>
        <w:t>Wertsch</w:t>
      </w:r>
      <w:proofErr w:type="spellEnd"/>
      <w:r>
        <w:rPr>
          <w:rFonts w:ascii="Verdana" w:eastAsia="Times New Roman" w:hAnsi="Verdana" w:cstheme="minorHAnsi"/>
          <w:color w:val="000000" w:themeColor="text1"/>
          <w:lang w:eastAsia="en-GB"/>
        </w:rPr>
        <w:t>, 1985, p.61) Fundamental to the SC conception of internalisation is the idea that the absorption of information in the external plane is primarily a social process (</w:t>
      </w:r>
      <w:proofErr w:type="spellStart"/>
      <w:r>
        <w:rPr>
          <w:rFonts w:ascii="Verdana" w:eastAsia="Times New Roman" w:hAnsi="Verdana" w:cstheme="minorHAnsi"/>
          <w:color w:val="000000" w:themeColor="text1"/>
          <w:lang w:eastAsia="en-GB"/>
        </w:rPr>
        <w:t>Wersch</w:t>
      </w:r>
      <w:proofErr w:type="spellEnd"/>
      <w:r>
        <w:rPr>
          <w:rFonts w:ascii="Verdana" w:eastAsia="Times New Roman" w:hAnsi="Verdana" w:cstheme="minorHAnsi"/>
          <w:color w:val="000000" w:themeColor="text1"/>
          <w:lang w:eastAsia="en-GB"/>
        </w:rPr>
        <w:t xml:space="preserve">, 1985, p.62 referencing Vygotsky, 1981 p.162). This has significant implications for the methods educators may choose to deploy within the classroom. </w:t>
      </w:r>
    </w:p>
    <w:p w14:paraId="5561C257" w14:textId="2269664A" w:rsidR="00CE0696" w:rsidRDefault="00CE0696" w:rsidP="00AD1FE8">
      <w:pPr>
        <w:spacing w:line="360" w:lineRule="auto"/>
        <w:jc w:val="both"/>
        <w:rPr>
          <w:rFonts w:ascii="Verdana" w:eastAsia="Times New Roman" w:hAnsi="Verdana" w:cstheme="minorHAnsi"/>
          <w:color w:val="000000" w:themeColor="text1"/>
          <w:lang w:eastAsia="en-GB"/>
        </w:rPr>
      </w:pPr>
    </w:p>
    <w:p w14:paraId="763DDE66" w14:textId="77777777" w:rsidR="000343CE" w:rsidRDefault="00CE0696"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lastRenderedPageBreak/>
        <w:t xml:space="preserve">For example, the role of the educator becomes that of the more knowledgeable other (MKO) who assists learners within their zone of proximal development (ZPD).  Firstly, the </w:t>
      </w:r>
      <w:r w:rsidR="00FA37FF">
        <w:rPr>
          <w:rFonts w:ascii="Verdana" w:eastAsia="Times New Roman" w:hAnsi="Verdana" w:cstheme="minorHAnsi"/>
          <w:color w:val="000000" w:themeColor="text1"/>
          <w:lang w:eastAsia="en-GB"/>
        </w:rPr>
        <w:t>ZPD</w:t>
      </w:r>
      <w:r>
        <w:rPr>
          <w:rFonts w:ascii="Verdana" w:eastAsia="Times New Roman" w:hAnsi="Verdana" w:cstheme="minorHAnsi"/>
          <w:color w:val="000000" w:themeColor="text1"/>
          <w:lang w:eastAsia="en-GB"/>
        </w:rPr>
        <w:t xml:space="preserve"> was developed by Vygotsky (1934, 1978) to refer to the functions which learners are in the process of being able to do, but which they cannot quite do without the help of someone who is more able. It is the presence of an MKO and the social interaction between </w:t>
      </w:r>
      <w:r w:rsidR="003D33A3">
        <w:rPr>
          <w:rFonts w:ascii="Verdana" w:eastAsia="Times New Roman" w:hAnsi="Verdana" w:cstheme="minorHAnsi"/>
          <w:color w:val="000000" w:themeColor="text1"/>
          <w:lang w:eastAsia="en-GB"/>
        </w:rPr>
        <w:t xml:space="preserve">the </w:t>
      </w:r>
      <w:r>
        <w:rPr>
          <w:rFonts w:ascii="Verdana" w:eastAsia="Times New Roman" w:hAnsi="Verdana" w:cstheme="minorHAnsi"/>
          <w:color w:val="000000" w:themeColor="text1"/>
          <w:lang w:eastAsia="en-GB"/>
        </w:rPr>
        <w:t xml:space="preserve">learner and MKO that provides the basis for </w:t>
      </w:r>
      <w:r w:rsidR="003D33A3">
        <w:rPr>
          <w:rFonts w:ascii="Verdana" w:eastAsia="Times New Roman" w:hAnsi="Verdana" w:cstheme="minorHAnsi"/>
          <w:color w:val="000000" w:themeColor="text1"/>
          <w:lang w:eastAsia="en-GB"/>
        </w:rPr>
        <w:t xml:space="preserve">the </w:t>
      </w:r>
      <w:r>
        <w:rPr>
          <w:rFonts w:ascii="Verdana" w:eastAsia="Times New Roman" w:hAnsi="Verdana" w:cstheme="minorHAnsi"/>
          <w:color w:val="000000" w:themeColor="text1"/>
          <w:lang w:eastAsia="en-GB"/>
        </w:rPr>
        <w:t>internalisation of knowledge that was previously unattainable to the learner</w:t>
      </w:r>
      <w:r w:rsidR="0023483F">
        <w:rPr>
          <w:rFonts w:ascii="Verdana" w:eastAsia="Times New Roman" w:hAnsi="Verdana" w:cstheme="minorHAnsi"/>
          <w:color w:val="000000" w:themeColor="text1"/>
          <w:lang w:eastAsia="en-GB"/>
        </w:rPr>
        <w:t xml:space="preserve"> (Abtahi, Graven and </w:t>
      </w:r>
      <w:proofErr w:type="spellStart"/>
      <w:r w:rsidR="0023483F">
        <w:rPr>
          <w:rFonts w:ascii="Verdana" w:eastAsia="Times New Roman" w:hAnsi="Verdana" w:cstheme="minorHAnsi"/>
          <w:color w:val="000000" w:themeColor="text1"/>
          <w:lang w:eastAsia="en-GB"/>
        </w:rPr>
        <w:t>Lerman</w:t>
      </w:r>
      <w:proofErr w:type="spellEnd"/>
      <w:r w:rsidR="0023483F">
        <w:rPr>
          <w:rFonts w:ascii="Verdana" w:eastAsia="Times New Roman" w:hAnsi="Verdana" w:cstheme="minorHAnsi"/>
          <w:color w:val="000000" w:themeColor="text1"/>
          <w:lang w:eastAsia="en-GB"/>
        </w:rPr>
        <w:t>, 2017, p.277)</w:t>
      </w:r>
      <w:r>
        <w:rPr>
          <w:rFonts w:ascii="Verdana" w:eastAsia="Times New Roman" w:hAnsi="Verdana" w:cstheme="minorHAnsi"/>
          <w:color w:val="000000" w:themeColor="text1"/>
          <w:lang w:eastAsia="en-GB"/>
        </w:rPr>
        <w:t xml:space="preserve">. </w:t>
      </w:r>
    </w:p>
    <w:p w14:paraId="4CCF072C" w14:textId="77777777" w:rsidR="000343CE" w:rsidRDefault="000343CE" w:rsidP="00AD1FE8">
      <w:pPr>
        <w:spacing w:line="360" w:lineRule="auto"/>
        <w:jc w:val="both"/>
        <w:rPr>
          <w:rFonts w:ascii="Verdana" w:eastAsia="Times New Roman" w:hAnsi="Verdana" w:cstheme="minorHAnsi"/>
          <w:color w:val="000000" w:themeColor="text1"/>
          <w:lang w:eastAsia="en-GB"/>
        </w:rPr>
      </w:pPr>
    </w:p>
    <w:p w14:paraId="4085E0D3" w14:textId="5490DE3B" w:rsidR="00CE0696" w:rsidRDefault="00CE0696"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role of the educator then becomes that of the MKO. An MKO can be de</w:t>
      </w:r>
      <w:r w:rsidR="000343CE">
        <w:rPr>
          <w:rFonts w:ascii="Verdana" w:eastAsia="Times New Roman" w:hAnsi="Verdana" w:cstheme="minorHAnsi"/>
          <w:color w:val="000000" w:themeColor="text1"/>
          <w:lang w:eastAsia="en-GB"/>
        </w:rPr>
        <w:t>fined as someone who has a superior comprehension of a task, who then uses this ability to assist learners (McLeod, 2023). Th</w:t>
      </w:r>
      <w:r w:rsidR="005D46FB">
        <w:rPr>
          <w:rFonts w:ascii="Verdana" w:eastAsia="Times New Roman" w:hAnsi="Verdana" w:cstheme="minorHAnsi"/>
          <w:color w:val="000000" w:themeColor="text1"/>
          <w:lang w:eastAsia="en-GB"/>
        </w:rPr>
        <w:t>e importance of the MKO</w:t>
      </w:r>
      <w:r w:rsidR="000343CE">
        <w:rPr>
          <w:rFonts w:ascii="Verdana" w:eastAsia="Times New Roman" w:hAnsi="Verdana" w:cstheme="minorHAnsi"/>
          <w:color w:val="000000" w:themeColor="text1"/>
          <w:lang w:eastAsia="en-GB"/>
        </w:rPr>
        <w:t xml:space="preserve"> is further supported by Rogoff (1990</w:t>
      </w:r>
      <w:r w:rsidR="005D46FB">
        <w:rPr>
          <w:rFonts w:ascii="Verdana" w:eastAsia="Times New Roman" w:hAnsi="Verdana" w:cstheme="minorHAnsi"/>
          <w:color w:val="000000" w:themeColor="text1"/>
          <w:lang w:eastAsia="en-GB"/>
        </w:rPr>
        <w:t>, p.26</w:t>
      </w:r>
      <w:r w:rsidR="000343CE">
        <w:rPr>
          <w:rFonts w:ascii="Verdana" w:eastAsia="Times New Roman" w:hAnsi="Verdana" w:cstheme="minorHAnsi"/>
          <w:color w:val="000000" w:themeColor="text1"/>
          <w:lang w:eastAsia="en-GB"/>
        </w:rPr>
        <w:t>) who argues tha</w:t>
      </w:r>
      <w:r w:rsidR="005D46FB">
        <w:rPr>
          <w:rFonts w:ascii="Verdana" w:eastAsia="Times New Roman" w:hAnsi="Verdana" w:cstheme="minorHAnsi"/>
          <w:color w:val="000000" w:themeColor="text1"/>
          <w:lang w:eastAsia="en-GB"/>
        </w:rPr>
        <w:t xml:space="preserve">t learning would not be realizable “without human efforts […] without models provided by other people” who are there to assist in the learning process. The MKO then performs a fundamental role in providing learners with the appropriate guidance needed </w:t>
      </w:r>
      <w:r w:rsidR="00282330">
        <w:rPr>
          <w:rFonts w:ascii="Verdana" w:eastAsia="Times New Roman" w:hAnsi="Verdana" w:cstheme="minorHAnsi"/>
          <w:color w:val="000000" w:themeColor="text1"/>
          <w:lang w:eastAsia="en-GB"/>
        </w:rPr>
        <w:t>to</w:t>
      </w:r>
      <w:r w:rsidR="005D46FB">
        <w:rPr>
          <w:rFonts w:ascii="Verdana" w:eastAsia="Times New Roman" w:hAnsi="Verdana" w:cstheme="minorHAnsi"/>
          <w:color w:val="000000" w:themeColor="text1"/>
          <w:lang w:eastAsia="en-GB"/>
        </w:rPr>
        <w:t xml:space="preserve"> conquer the tasks within their ZPD. </w:t>
      </w:r>
    </w:p>
    <w:p w14:paraId="7D4E4247" w14:textId="7AE1B71B" w:rsidR="00CB4A1D" w:rsidRDefault="00CB4A1D" w:rsidP="00AD1FE8">
      <w:pPr>
        <w:spacing w:line="360" w:lineRule="auto"/>
        <w:jc w:val="both"/>
        <w:rPr>
          <w:rFonts w:ascii="Verdana" w:eastAsia="Times New Roman" w:hAnsi="Verdana" w:cstheme="minorHAnsi"/>
          <w:color w:val="000000" w:themeColor="text1"/>
          <w:lang w:eastAsia="en-GB"/>
        </w:rPr>
      </w:pPr>
    </w:p>
    <w:p w14:paraId="1F7138D3" w14:textId="018A08C0" w:rsidR="00085D87" w:rsidRDefault="00FA37FF"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Of great importance to the essay is the question of how the MKO can guide learners and mediate </w:t>
      </w:r>
      <w:r w:rsidR="002C03DA">
        <w:rPr>
          <w:rFonts w:ascii="Verdana" w:eastAsia="Times New Roman" w:hAnsi="Verdana" w:cstheme="minorHAnsi"/>
          <w:color w:val="000000" w:themeColor="text1"/>
          <w:lang w:eastAsia="en-GB"/>
        </w:rPr>
        <w:t>development and learning</w:t>
      </w:r>
      <w:r>
        <w:rPr>
          <w:rFonts w:ascii="Verdana" w:eastAsia="Times New Roman" w:hAnsi="Verdana" w:cstheme="minorHAnsi"/>
          <w:color w:val="000000" w:themeColor="text1"/>
          <w:lang w:eastAsia="en-GB"/>
        </w:rPr>
        <w:t xml:space="preserve">. </w:t>
      </w:r>
      <w:r w:rsidR="000343CE">
        <w:rPr>
          <w:rFonts w:ascii="Verdana" w:eastAsia="Times New Roman" w:hAnsi="Verdana" w:cstheme="minorHAnsi"/>
          <w:color w:val="000000" w:themeColor="text1"/>
          <w:lang w:eastAsia="en-GB"/>
        </w:rPr>
        <w:t xml:space="preserve">One </w:t>
      </w:r>
      <w:proofErr w:type="gramStart"/>
      <w:r w:rsidR="000343CE">
        <w:rPr>
          <w:rFonts w:ascii="Verdana" w:eastAsia="Times New Roman" w:hAnsi="Verdana" w:cstheme="minorHAnsi"/>
          <w:color w:val="000000" w:themeColor="text1"/>
          <w:lang w:eastAsia="en-GB"/>
        </w:rPr>
        <w:t>particular method</w:t>
      </w:r>
      <w:proofErr w:type="gramEnd"/>
      <w:r w:rsidR="000343CE">
        <w:rPr>
          <w:rFonts w:ascii="Verdana" w:eastAsia="Times New Roman" w:hAnsi="Verdana" w:cstheme="minorHAnsi"/>
          <w:color w:val="000000" w:themeColor="text1"/>
          <w:lang w:eastAsia="en-GB"/>
        </w:rPr>
        <w:t xml:space="preserve"> is through scaffoldin</w:t>
      </w:r>
      <w:r w:rsidR="002E38E8">
        <w:rPr>
          <w:rFonts w:ascii="Verdana" w:eastAsia="Times New Roman" w:hAnsi="Verdana" w:cstheme="minorHAnsi"/>
          <w:color w:val="000000" w:themeColor="text1"/>
          <w:lang w:eastAsia="en-GB"/>
        </w:rPr>
        <w:t>g. Scaffolding in the educational sense refers to the addition of enough guidance, by an MKO, to enable the learner to solve the task at hand. Bliss, Askew and Macrae (1996, p.41) state that there are three significant components to scaffolding. These are “modelling, contingency management and feedback”.</w:t>
      </w:r>
      <w:r w:rsidR="00282330">
        <w:rPr>
          <w:rFonts w:ascii="Verdana" w:eastAsia="Times New Roman" w:hAnsi="Verdana" w:cstheme="minorHAnsi"/>
          <w:color w:val="000000" w:themeColor="text1"/>
          <w:lang w:eastAsia="en-GB"/>
        </w:rPr>
        <w:t xml:space="preserve"> </w:t>
      </w:r>
      <w:r w:rsidR="0080070F">
        <w:rPr>
          <w:rFonts w:ascii="Verdana" w:eastAsia="Times New Roman" w:hAnsi="Verdana" w:cstheme="minorHAnsi"/>
          <w:color w:val="000000" w:themeColor="text1"/>
          <w:lang w:eastAsia="en-GB"/>
        </w:rPr>
        <w:t xml:space="preserve">Modelling is of special importance to the critical incident as one area of reflection will be upon the teacher’s failure to effectively model how to complete the task that the learners were directed to do. </w:t>
      </w:r>
      <w:r w:rsidR="00282330">
        <w:rPr>
          <w:rFonts w:ascii="Verdana" w:eastAsia="Times New Roman" w:hAnsi="Verdana" w:cstheme="minorHAnsi"/>
          <w:color w:val="000000" w:themeColor="text1"/>
          <w:lang w:eastAsia="en-GB"/>
        </w:rPr>
        <w:t xml:space="preserve">Modelling refers to the practice where an MKO takes it upon themselves to complete a task in conjunction with learners’ attention. By effectively demonstrating how a task is completed, the aim is to generate </w:t>
      </w:r>
      <w:r w:rsidR="00282330">
        <w:rPr>
          <w:rFonts w:ascii="Verdana" w:eastAsia="Times New Roman" w:hAnsi="Verdana" w:cstheme="minorHAnsi"/>
          <w:color w:val="000000" w:themeColor="text1"/>
          <w:lang w:eastAsia="en-GB"/>
        </w:rPr>
        <w:lastRenderedPageBreak/>
        <w:t>the understanding required for learners to</w:t>
      </w:r>
      <w:r w:rsidR="00061631">
        <w:rPr>
          <w:rFonts w:ascii="Verdana" w:eastAsia="Times New Roman" w:hAnsi="Verdana" w:cstheme="minorHAnsi"/>
          <w:color w:val="000000" w:themeColor="text1"/>
          <w:lang w:eastAsia="en-GB"/>
        </w:rPr>
        <w:t xml:space="preserve"> then</w:t>
      </w:r>
      <w:r w:rsidR="00282330">
        <w:rPr>
          <w:rFonts w:ascii="Verdana" w:eastAsia="Times New Roman" w:hAnsi="Verdana" w:cstheme="minorHAnsi"/>
          <w:color w:val="000000" w:themeColor="text1"/>
          <w:lang w:eastAsia="en-GB"/>
        </w:rPr>
        <w:t xml:space="preserve"> imitate</w:t>
      </w:r>
      <w:r w:rsidR="00061631">
        <w:rPr>
          <w:rFonts w:ascii="Verdana" w:eastAsia="Times New Roman" w:hAnsi="Verdana" w:cstheme="minorHAnsi"/>
          <w:color w:val="000000" w:themeColor="text1"/>
          <w:lang w:eastAsia="en-GB"/>
        </w:rPr>
        <w:t xml:space="preserve"> and develop the skills themselves</w:t>
      </w:r>
      <w:r w:rsidR="00282330">
        <w:rPr>
          <w:rFonts w:ascii="Verdana" w:eastAsia="Times New Roman" w:hAnsi="Verdana" w:cstheme="minorHAnsi"/>
          <w:color w:val="000000" w:themeColor="text1"/>
          <w:lang w:eastAsia="en-GB"/>
        </w:rPr>
        <w:t>.</w:t>
      </w:r>
      <w:r w:rsidR="00061631">
        <w:rPr>
          <w:rFonts w:ascii="Verdana" w:eastAsia="Times New Roman" w:hAnsi="Verdana" w:cstheme="minorHAnsi"/>
          <w:color w:val="000000" w:themeColor="text1"/>
          <w:lang w:eastAsia="en-GB"/>
        </w:rPr>
        <w:t xml:space="preserve"> </w:t>
      </w:r>
    </w:p>
    <w:p w14:paraId="533FD95D" w14:textId="5382A810" w:rsidR="00085D87" w:rsidRDefault="00085D87" w:rsidP="00AD1FE8">
      <w:pPr>
        <w:spacing w:line="360" w:lineRule="auto"/>
        <w:jc w:val="both"/>
        <w:rPr>
          <w:rFonts w:ascii="Verdana" w:eastAsia="Times New Roman" w:hAnsi="Verdana" w:cstheme="minorHAnsi"/>
          <w:color w:val="000000" w:themeColor="text1"/>
          <w:lang w:eastAsia="en-GB"/>
        </w:rPr>
      </w:pPr>
    </w:p>
    <w:p w14:paraId="22F650FD" w14:textId="6A402545" w:rsidR="00922463" w:rsidRDefault="00085D87"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Wood, </w:t>
      </w:r>
      <w:proofErr w:type="gramStart"/>
      <w:r>
        <w:rPr>
          <w:rFonts w:ascii="Verdana" w:eastAsia="Times New Roman" w:hAnsi="Verdana" w:cstheme="minorHAnsi"/>
          <w:color w:val="000000" w:themeColor="text1"/>
          <w:lang w:eastAsia="en-GB"/>
        </w:rPr>
        <w:t>Bruner</w:t>
      </w:r>
      <w:proofErr w:type="gramEnd"/>
      <w:r>
        <w:rPr>
          <w:rFonts w:ascii="Verdana" w:eastAsia="Times New Roman" w:hAnsi="Verdana" w:cstheme="minorHAnsi"/>
          <w:color w:val="000000" w:themeColor="text1"/>
          <w:lang w:eastAsia="en-GB"/>
        </w:rPr>
        <w:t xml:space="preserve"> and Ross (1976) explain how the scaffolding process works in practice.</w:t>
      </w:r>
      <w:r w:rsidR="00922463">
        <w:rPr>
          <w:rFonts w:ascii="Verdana" w:eastAsia="Times New Roman" w:hAnsi="Verdana" w:cstheme="minorHAnsi"/>
          <w:color w:val="000000" w:themeColor="text1"/>
          <w:lang w:eastAsia="en-GB"/>
        </w:rPr>
        <w:t xml:space="preserve"> They state that scaffolding is comparable to general problem-solving, in the sense that the “mastery of lower-order concepts is an essential condition to mastery of higher-order concepts” (Wood, Bruner and Ross, 1976, p.89). In other words, scaffolding revolves around the “combining of the set of component acts necessary to achieve a particular end” (</w:t>
      </w:r>
      <w:r w:rsidR="00B51F6B">
        <w:rPr>
          <w:rFonts w:ascii="Verdana" w:eastAsia="Times New Roman" w:hAnsi="Verdana" w:cstheme="minorHAnsi"/>
          <w:color w:val="000000" w:themeColor="text1"/>
          <w:lang w:eastAsia="en-GB"/>
        </w:rPr>
        <w:t>Wood et al</w:t>
      </w:r>
      <w:r w:rsidR="00922463">
        <w:rPr>
          <w:rFonts w:ascii="Verdana" w:eastAsia="Times New Roman" w:hAnsi="Verdana" w:cstheme="minorHAnsi"/>
          <w:color w:val="000000" w:themeColor="text1"/>
          <w:lang w:eastAsia="en-GB"/>
        </w:rPr>
        <w:t>, 1976, p.90). In the classroom, with a MKO present, scaffolding becomes a social context, whereby the MKO “controls the elements of the task that are initially outside the learner’s capacity” allowing the learner to focus on those parts which they can complete (Wood</w:t>
      </w:r>
      <w:r w:rsidR="00B51F6B">
        <w:rPr>
          <w:rFonts w:ascii="Verdana" w:eastAsia="Times New Roman" w:hAnsi="Verdana" w:cstheme="minorHAnsi"/>
          <w:color w:val="000000" w:themeColor="text1"/>
          <w:lang w:eastAsia="en-GB"/>
        </w:rPr>
        <w:t xml:space="preserve"> et al</w:t>
      </w:r>
      <w:r w:rsidR="00922463">
        <w:rPr>
          <w:rFonts w:ascii="Verdana" w:eastAsia="Times New Roman" w:hAnsi="Verdana" w:cstheme="minorHAnsi"/>
          <w:color w:val="000000" w:themeColor="text1"/>
          <w:lang w:eastAsia="en-GB"/>
        </w:rPr>
        <w:t xml:space="preserve">, 1976, p.90). </w:t>
      </w:r>
    </w:p>
    <w:p w14:paraId="727E4740" w14:textId="78B43AAB" w:rsidR="002642A1" w:rsidRDefault="002642A1" w:rsidP="00AD1FE8">
      <w:pPr>
        <w:spacing w:line="360" w:lineRule="auto"/>
        <w:jc w:val="both"/>
        <w:rPr>
          <w:rFonts w:ascii="Verdana" w:eastAsia="Times New Roman" w:hAnsi="Verdana" w:cstheme="minorHAnsi"/>
          <w:color w:val="000000" w:themeColor="text1"/>
          <w:lang w:eastAsia="en-GB"/>
        </w:rPr>
      </w:pPr>
    </w:p>
    <w:p w14:paraId="1C7CFEE9" w14:textId="38A0C602" w:rsidR="00922463" w:rsidRDefault="00922463"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In line with its metaphorical meaning, learners like buildings, are meant to stand tall and confident after the scaffolding has been removed. This is because one of the intentions of scaffolding is that learners “internalise” their new understandings (Hammond, 2001, p.15).</w:t>
      </w:r>
      <w:r w:rsidRPr="00922463">
        <w:rPr>
          <w:rFonts w:ascii="Verdana" w:eastAsia="Times New Roman" w:hAnsi="Verdana" w:cstheme="minorHAnsi"/>
          <w:color w:val="000000" w:themeColor="text1"/>
          <w:lang w:eastAsia="en-GB"/>
        </w:rPr>
        <w:t xml:space="preserve"> </w:t>
      </w:r>
      <w:r>
        <w:rPr>
          <w:rFonts w:ascii="Verdana" w:eastAsia="Times New Roman" w:hAnsi="Verdana" w:cstheme="minorHAnsi"/>
          <w:color w:val="000000" w:themeColor="text1"/>
          <w:lang w:eastAsia="en-GB"/>
        </w:rPr>
        <w:t xml:space="preserve">As Adam (2006, p.244) explains learning, in the view of a social constructivist, “occurs in the mind”. Therefore, action in and of itself is not an indicator of what a student has learned. Rather it is a “surface manifestation of possible underlying competencies” (Adam, 2006, p.244). Internalisation then is key for social constructivists, as once internalisation occurs then something has been learned. </w:t>
      </w:r>
    </w:p>
    <w:p w14:paraId="77B69B9D" w14:textId="77777777" w:rsidR="00922463" w:rsidRDefault="00922463" w:rsidP="00AD1FE8">
      <w:pPr>
        <w:spacing w:line="360" w:lineRule="auto"/>
        <w:jc w:val="both"/>
        <w:rPr>
          <w:rFonts w:ascii="Verdana" w:eastAsia="Times New Roman" w:hAnsi="Verdana" w:cstheme="minorHAnsi"/>
          <w:color w:val="000000" w:themeColor="text1"/>
          <w:lang w:eastAsia="en-GB"/>
        </w:rPr>
      </w:pPr>
    </w:p>
    <w:p w14:paraId="4C0470CB" w14:textId="1A4672CD" w:rsidR="00922463" w:rsidRDefault="00922463"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This relates to the concept of metacognition. </w:t>
      </w:r>
      <w:proofErr w:type="spellStart"/>
      <w:r>
        <w:rPr>
          <w:rFonts w:ascii="Verdana" w:eastAsia="Times New Roman" w:hAnsi="Verdana" w:cstheme="minorHAnsi"/>
          <w:color w:val="000000" w:themeColor="text1"/>
          <w:lang w:eastAsia="en-GB"/>
        </w:rPr>
        <w:t>Swiderek</w:t>
      </w:r>
      <w:proofErr w:type="spellEnd"/>
      <w:r>
        <w:rPr>
          <w:rFonts w:ascii="Verdana" w:eastAsia="Times New Roman" w:hAnsi="Verdana" w:cstheme="minorHAnsi"/>
          <w:color w:val="000000" w:themeColor="text1"/>
          <w:lang w:eastAsia="en-GB"/>
        </w:rPr>
        <w:t xml:space="preserve"> (1996, p.418) refers to it as “thinking about your thinking”. Whilst Martinez (2006, p.696) argues for a narrower definition - “the monitoring and control of thought”. Expanding this Martinez (2006, p.696) introduces three constituent parts to the metacognitive process -</w:t>
      </w:r>
      <w:r w:rsidRPr="00922463">
        <w:t xml:space="preserve"> </w:t>
      </w:r>
      <w:r>
        <w:t>“</w:t>
      </w:r>
      <w:r w:rsidRPr="00922463">
        <w:rPr>
          <w:rFonts w:ascii="Verdana" w:eastAsia="Times New Roman" w:hAnsi="Verdana" w:cstheme="minorHAnsi"/>
          <w:color w:val="000000" w:themeColor="text1"/>
          <w:lang w:eastAsia="en-GB"/>
        </w:rPr>
        <w:t>metamemory and meta</w:t>
      </w:r>
      <w:r>
        <w:rPr>
          <w:rFonts w:ascii="Verdana" w:eastAsia="Times New Roman" w:hAnsi="Verdana" w:cstheme="minorHAnsi"/>
          <w:color w:val="000000" w:themeColor="text1"/>
          <w:lang w:eastAsia="en-GB"/>
        </w:rPr>
        <w:t>-</w:t>
      </w:r>
      <w:r w:rsidRPr="00922463">
        <w:rPr>
          <w:rFonts w:ascii="Verdana" w:eastAsia="Times New Roman" w:hAnsi="Verdana" w:cstheme="minorHAnsi"/>
          <w:color w:val="000000" w:themeColor="text1"/>
          <w:lang w:eastAsia="en-GB"/>
        </w:rPr>
        <w:t xml:space="preserve">comprehension, </w:t>
      </w:r>
      <w:r>
        <w:rPr>
          <w:rFonts w:ascii="Verdana" w:eastAsia="Times New Roman" w:hAnsi="Verdana" w:cstheme="minorHAnsi"/>
          <w:color w:val="000000" w:themeColor="text1"/>
          <w:lang w:eastAsia="en-GB"/>
        </w:rPr>
        <w:t>problem-solving</w:t>
      </w:r>
      <w:r w:rsidRPr="00922463">
        <w:rPr>
          <w:rFonts w:ascii="Verdana" w:eastAsia="Times New Roman" w:hAnsi="Verdana" w:cstheme="minorHAnsi"/>
          <w:color w:val="000000" w:themeColor="text1"/>
          <w:lang w:eastAsia="en-GB"/>
        </w:rPr>
        <w:t>, and critical thinking</w:t>
      </w:r>
      <w:r>
        <w:rPr>
          <w:rFonts w:ascii="Verdana" w:eastAsia="Times New Roman" w:hAnsi="Verdana" w:cstheme="minorHAnsi"/>
          <w:color w:val="000000" w:themeColor="text1"/>
          <w:lang w:eastAsia="en-GB"/>
        </w:rPr>
        <w:t>”. Metamemory and meta-</w:t>
      </w:r>
      <w:r>
        <w:rPr>
          <w:rFonts w:ascii="Verdana" w:eastAsia="Times New Roman" w:hAnsi="Verdana" w:cstheme="minorHAnsi"/>
          <w:color w:val="000000" w:themeColor="text1"/>
          <w:lang w:eastAsia="en-GB"/>
        </w:rPr>
        <w:lastRenderedPageBreak/>
        <w:t>comprehension are the internal insights learners have on what they remember and can comprehend. For example, students with poor metamemory and meta-comprehension may aimlessly scour a textbook not even realising that they cannot make sense of it (Martinez, 2006, p.697). Next, problem-solving in Martinez’s (</w:t>
      </w:r>
      <w:r w:rsidR="00D1506B">
        <w:rPr>
          <w:rFonts w:ascii="Verdana" w:eastAsia="Times New Roman" w:hAnsi="Verdana" w:cstheme="minorHAnsi"/>
          <w:color w:val="000000" w:themeColor="text1"/>
          <w:lang w:eastAsia="en-GB"/>
        </w:rPr>
        <w:t>2</w:t>
      </w:r>
      <w:r>
        <w:rPr>
          <w:rFonts w:ascii="Verdana" w:eastAsia="Times New Roman" w:hAnsi="Verdana" w:cstheme="minorHAnsi"/>
          <w:color w:val="000000" w:themeColor="text1"/>
          <w:lang w:eastAsia="en-GB"/>
        </w:rPr>
        <w:t>006, p.697) words, refers to the actions we take in “</w:t>
      </w:r>
      <w:r w:rsidRPr="00922463">
        <w:rPr>
          <w:rFonts w:ascii="Verdana" w:eastAsia="Times New Roman" w:hAnsi="Verdana" w:cstheme="minorHAnsi"/>
          <w:color w:val="000000" w:themeColor="text1"/>
          <w:lang w:eastAsia="en-GB"/>
        </w:rPr>
        <w:t>the pursuit of a goal when the path to that goal is uncertain</w:t>
      </w:r>
      <w:r>
        <w:rPr>
          <w:rFonts w:ascii="Verdana" w:eastAsia="Times New Roman" w:hAnsi="Verdana" w:cstheme="minorHAnsi"/>
          <w:color w:val="000000" w:themeColor="text1"/>
          <w:lang w:eastAsia="en-GB"/>
        </w:rPr>
        <w:t>”. Finally, critical thinking is the process of rigorously evaluating the validity of information that learners are introduced to.</w:t>
      </w:r>
      <w:r w:rsidRPr="00922463">
        <w:rPr>
          <w:rFonts w:ascii="Verdana" w:eastAsia="Times New Roman" w:hAnsi="Verdana" w:cstheme="minorHAnsi"/>
          <w:color w:val="000000" w:themeColor="text1"/>
          <w:lang w:eastAsia="en-GB"/>
        </w:rPr>
        <w:t xml:space="preserve"> </w:t>
      </w:r>
      <w:r>
        <w:rPr>
          <w:rFonts w:ascii="Verdana" w:eastAsia="Times New Roman" w:hAnsi="Verdana" w:cstheme="minorHAnsi"/>
          <w:color w:val="000000" w:themeColor="text1"/>
          <w:lang w:eastAsia="en-GB"/>
        </w:rPr>
        <w:t>Put simply, metacognition refers to the process of the regulation of self-learning.  Ultimately, social constructivism views the role of the MKO as providing the modelling and scaffolding required for learners to</w:t>
      </w:r>
      <w:r w:rsidR="006F2177">
        <w:rPr>
          <w:rFonts w:ascii="Verdana" w:eastAsia="Times New Roman" w:hAnsi="Verdana" w:cstheme="minorHAnsi"/>
          <w:color w:val="000000" w:themeColor="text1"/>
          <w:lang w:eastAsia="en-GB"/>
        </w:rPr>
        <w:t xml:space="preserve"> eventually</w:t>
      </w:r>
      <w:r>
        <w:rPr>
          <w:rFonts w:ascii="Verdana" w:eastAsia="Times New Roman" w:hAnsi="Verdana" w:cstheme="minorHAnsi"/>
          <w:color w:val="000000" w:themeColor="text1"/>
          <w:lang w:eastAsia="en-GB"/>
        </w:rPr>
        <w:t xml:space="preserve"> acquire metacognition.</w:t>
      </w:r>
    </w:p>
    <w:p w14:paraId="1CC728AB" w14:textId="1F6FF00E" w:rsidR="00922463" w:rsidRDefault="00922463" w:rsidP="00922463">
      <w:pPr>
        <w:spacing w:line="360" w:lineRule="auto"/>
        <w:jc w:val="both"/>
        <w:rPr>
          <w:rFonts w:ascii="Verdana" w:eastAsia="Times New Roman" w:hAnsi="Verdana" w:cstheme="minorHAnsi"/>
          <w:color w:val="000000" w:themeColor="text1"/>
          <w:lang w:eastAsia="en-GB"/>
        </w:rPr>
      </w:pPr>
    </w:p>
    <w:p w14:paraId="19C942F5" w14:textId="4A6F7AFE" w:rsidR="005C3310" w:rsidRDefault="00922463" w:rsidP="005C3310">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r>
      <w:r w:rsidR="00B52BC0">
        <w:rPr>
          <w:rFonts w:ascii="Verdana" w:eastAsia="Times New Roman" w:hAnsi="Verdana" w:cstheme="minorHAnsi"/>
          <w:color w:val="000000" w:themeColor="text1"/>
          <w:lang w:eastAsia="en-GB"/>
        </w:rPr>
        <w:t>Moving on, s</w:t>
      </w:r>
      <w:r>
        <w:rPr>
          <w:rFonts w:ascii="Verdana" w:eastAsia="Times New Roman" w:hAnsi="Verdana" w:cstheme="minorHAnsi"/>
          <w:color w:val="000000" w:themeColor="text1"/>
          <w:lang w:eastAsia="en-GB"/>
        </w:rPr>
        <w:t>ocial dialogic interaction</w:t>
      </w:r>
      <w:r w:rsidR="004063B5">
        <w:rPr>
          <w:rFonts w:ascii="Verdana" w:eastAsia="Times New Roman" w:hAnsi="Verdana" w:cstheme="minorHAnsi"/>
          <w:color w:val="000000" w:themeColor="text1"/>
          <w:lang w:eastAsia="en-GB"/>
        </w:rPr>
        <w:t>, otherwise known as dialogic pedagogy,</w:t>
      </w:r>
      <w:r>
        <w:rPr>
          <w:rFonts w:ascii="Verdana" w:eastAsia="Times New Roman" w:hAnsi="Verdana" w:cstheme="minorHAnsi"/>
          <w:color w:val="000000" w:themeColor="text1"/>
          <w:lang w:eastAsia="en-GB"/>
        </w:rPr>
        <w:t xml:space="preserve"> as a </w:t>
      </w:r>
      <w:r w:rsidR="004063B5">
        <w:rPr>
          <w:rFonts w:ascii="Verdana" w:eastAsia="Times New Roman" w:hAnsi="Verdana" w:cstheme="minorHAnsi"/>
          <w:color w:val="000000" w:themeColor="text1"/>
          <w:lang w:eastAsia="en-GB"/>
        </w:rPr>
        <w:t>teaching method</w:t>
      </w:r>
      <w:r>
        <w:rPr>
          <w:rFonts w:ascii="Verdana" w:eastAsia="Times New Roman" w:hAnsi="Verdana" w:cstheme="minorHAnsi"/>
          <w:color w:val="000000" w:themeColor="text1"/>
          <w:lang w:eastAsia="en-GB"/>
        </w:rPr>
        <w:t xml:space="preserve"> is overwhelmingly supported by the social constructivist cam</w:t>
      </w:r>
      <w:r w:rsidR="004063B5">
        <w:rPr>
          <w:rFonts w:ascii="Verdana" w:eastAsia="Times New Roman" w:hAnsi="Verdana" w:cstheme="minorHAnsi"/>
          <w:color w:val="000000" w:themeColor="text1"/>
          <w:lang w:eastAsia="en-GB"/>
        </w:rPr>
        <w:t xml:space="preserve">p. As Adam (2006, p.248) points out the view that learners are “active co-constructors of knowledge” is foundational to social constructivism. Subsequently, Teo (2019, p.172) expands upon this by highlighting that the collaborative, “co-constructive” element of Vygotskian learning theories is at the heart of social dialogic interaction. </w:t>
      </w:r>
      <w:r w:rsidR="005C3310">
        <w:rPr>
          <w:rFonts w:ascii="Verdana" w:eastAsia="Times New Roman" w:hAnsi="Verdana" w:cstheme="minorHAnsi"/>
          <w:color w:val="000000" w:themeColor="text1"/>
          <w:lang w:eastAsia="en-GB"/>
        </w:rPr>
        <w:t>In addition to this social dialogic interaction is heavily influenced by Bakhtin’s (1981) concept of dialogism. Teo (2019, p.172) does well to explain this, stating that SDI “decentres learning … that takes place in an individual to the social interaction in which learners participate” with the result being that students no longer passively accept the fixed nature of concepts, but reshape them “</w:t>
      </w:r>
      <w:r w:rsidR="005C3310" w:rsidRPr="005C3310">
        <w:rPr>
          <w:rFonts w:ascii="Verdana" w:eastAsia="Times New Roman" w:hAnsi="Verdana" w:cstheme="minorHAnsi"/>
          <w:color w:val="000000" w:themeColor="text1"/>
          <w:lang w:eastAsia="en-GB"/>
        </w:rPr>
        <w:t>by populating them with their own accents, and appropriating them by adapting them to their own meanings and intentions</w:t>
      </w:r>
      <w:r w:rsidR="005C3310">
        <w:rPr>
          <w:rFonts w:ascii="Verdana" w:eastAsia="Times New Roman" w:hAnsi="Verdana" w:cstheme="minorHAnsi"/>
          <w:color w:val="000000" w:themeColor="text1"/>
          <w:lang w:eastAsia="en-GB"/>
        </w:rPr>
        <w:t xml:space="preserve">”. Teachers alongside peers collectively “co-construct </w:t>
      </w:r>
      <w:r w:rsidR="005C3310" w:rsidRPr="005C3310">
        <w:rPr>
          <w:rFonts w:ascii="Verdana" w:eastAsia="Times New Roman" w:hAnsi="Verdana" w:cstheme="minorHAnsi"/>
          <w:color w:val="000000" w:themeColor="text1"/>
          <w:lang w:eastAsia="en-GB"/>
        </w:rPr>
        <w:t>meaning by critically questioning and filtering ideas through their own knowledge, perspectives, and lived experiences</w:t>
      </w:r>
      <w:r w:rsidR="005C3310">
        <w:rPr>
          <w:rFonts w:ascii="Verdana" w:eastAsia="Times New Roman" w:hAnsi="Verdana" w:cstheme="minorHAnsi"/>
          <w:color w:val="000000" w:themeColor="text1"/>
          <w:lang w:eastAsia="en-GB"/>
        </w:rPr>
        <w:t>” (Teo, 2019, p.172).</w:t>
      </w:r>
    </w:p>
    <w:p w14:paraId="31CE4781" w14:textId="5199E28C" w:rsidR="005B6EA9" w:rsidRDefault="005B6EA9" w:rsidP="005C3310">
      <w:pPr>
        <w:spacing w:line="360" w:lineRule="auto"/>
        <w:jc w:val="both"/>
        <w:rPr>
          <w:rFonts w:ascii="Verdana" w:eastAsia="Times New Roman" w:hAnsi="Verdana" w:cstheme="minorHAnsi"/>
          <w:color w:val="000000" w:themeColor="text1"/>
          <w:lang w:eastAsia="en-GB"/>
        </w:rPr>
      </w:pPr>
    </w:p>
    <w:p w14:paraId="17950807" w14:textId="0704940F" w:rsidR="005B6EA9" w:rsidRPr="005C3310" w:rsidRDefault="005B6EA9" w:rsidP="005C3310">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lastRenderedPageBreak/>
        <w:tab/>
        <w:t xml:space="preserve">The practical </w:t>
      </w:r>
      <w:r w:rsidR="006F2177">
        <w:rPr>
          <w:rFonts w:ascii="Verdana" w:eastAsia="Times New Roman" w:hAnsi="Verdana" w:cstheme="minorHAnsi"/>
          <w:color w:val="000000" w:themeColor="text1"/>
          <w:lang w:eastAsia="en-GB"/>
        </w:rPr>
        <w:t>element</w:t>
      </w:r>
      <w:r>
        <w:rPr>
          <w:rFonts w:ascii="Verdana" w:eastAsia="Times New Roman" w:hAnsi="Verdana" w:cstheme="minorHAnsi"/>
          <w:color w:val="000000" w:themeColor="text1"/>
          <w:lang w:eastAsia="en-GB"/>
        </w:rPr>
        <w:t xml:space="preserve"> of using the method of SDI varies according to the subject matter, however, there are common elements that define SDI as a</w:t>
      </w:r>
      <w:r w:rsidR="006F2177">
        <w:rPr>
          <w:rFonts w:ascii="Verdana" w:eastAsia="Times New Roman" w:hAnsi="Verdana" w:cstheme="minorHAnsi"/>
          <w:color w:val="000000" w:themeColor="text1"/>
          <w:lang w:eastAsia="en-GB"/>
        </w:rPr>
        <w:t xml:space="preserve"> unified</w:t>
      </w:r>
      <w:r>
        <w:rPr>
          <w:rFonts w:ascii="Verdana" w:eastAsia="Times New Roman" w:hAnsi="Verdana" w:cstheme="minorHAnsi"/>
          <w:color w:val="000000" w:themeColor="text1"/>
          <w:lang w:eastAsia="en-GB"/>
        </w:rPr>
        <w:t xml:space="preserve"> method.</w:t>
      </w:r>
      <w:r w:rsidR="006F2177">
        <w:rPr>
          <w:rFonts w:ascii="Verdana" w:eastAsia="Times New Roman" w:hAnsi="Verdana" w:cstheme="minorHAnsi"/>
          <w:color w:val="000000" w:themeColor="text1"/>
          <w:lang w:eastAsia="en-GB"/>
        </w:rPr>
        <w:t xml:space="preserve"> </w:t>
      </w:r>
      <w:proofErr w:type="spellStart"/>
      <w:r w:rsidR="006F2177">
        <w:rPr>
          <w:rFonts w:ascii="Verdana" w:eastAsia="Times New Roman" w:hAnsi="Verdana" w:cstheme="minorHAnsi"/>
          <w:color w:val="000000" w:themeColor="text1"/>
          <w:lang w:eastAsia="en-GB"/>
        </w:rPr>
        <w:t>Reznitskaya</w:t>
      </w:r>
      <w:proofErr w:type="spellEnd"/>
      <w:r w:rsidR="006F2177">
        <w:rPr>
          <w:rFonts w:ascii="Verdana" w:eastAsia="Times New Roman" w:hAnsi="Verdana" w:cstheme="minorHAnsi"/>
          <w:color w:val="000000" w:themeColor="text1"/>
          <w:lang w:eastAsia="en-GB"/>
        </w:rPr>
        <w:t xml:space="preserve"> (2020, p.4) contends that SDI is best deployed when used to generate class discussion to gain a deeper understanding of the subject matter. </w:t>
      </w:r>
      <w:proofErr w:type="spellStart"/>
      <w:r w:rsidR="006F2177">
        <w:rPr>
          <w:rFonts w:ascii="Verdana" w:eastAsia="Times New Roman" w:hAnsi="Verdana" w:cstheme="minorHAnsi"/>
          <w:color w:val="000000" w:themeColor="text1"/>
          <w:lang w:eastAsia="en-GB"/>
        </w:rPr>
        <w:t>Lefstein</w:t>
      </w:r>
      <w:proofErr w:type="spellEnd"/>
      <w:r w:rsidR="006F2177">
        <w:rPr>
          <w:rFonts w:ascii="Verdana" w:eastAsia="Times New Roman" w:hAnsi="Verdana" w:cstheme="minorHAnsi"/>
          <w:color w:val="000000" w:themeColor="text1"/>
          <w:lang w:eastAsia="en-GB"/>
        </w:rPr>
        <w:t xml:space="preserve"> (2020, p.4) elaborates that SDI is about creating “interactional structures” whereby learners exchange conceptions, address each other’s viewpoints, and thus attempt to reach a common ground. </w:t>
      </w:r>
      <w:r w:rsidR="00DE5E54">
        <w:rPr>
          <w:rFonts w:ascii="Verdana" w:eastAsia="Times New Roman" w:hAnsi="Verdana" w:cstheme="minorHAnsi"/>
          <w:color w:val="000000" w:themeColor="text1"/>
          <w:lang w:eastAsia="en-GB"/>
        </w:rPr>
        <w:t xml:space="preserve">Ma (2013, p.408) provides a </w:t>
      </w:r>
      <w:proofErr w:type="gramStart"/>
      <w:r w:rsidR="00DE5E54">
        <w:rPr>
          <w:rFonts w:ascii="Verdana" w:eastAsia="Times New Roman" w:hAnsi="Verdana" w:cstheme="minorHAnsi"/>
          <w:color w:val="000000" w:themeColor="text1"/>
          <w:lang w:eastAsia="en-GB"/>
        </w:rPr>
        <w:t>fairly broad</w:t>
      </w:r>
      <w:proofErr w:type="gramEnd"/>
      <w:r w:rsidR="00DE5E54">
        <w:rPr>
          <w:rFonts w:ascii="Verdana" w:eastAsia="Times New Roman" w:hAnsi="Verdana" w:cstheme="minorHAnsi"/>
          <w:color w:val="000000" w:themeColor="text1"/>
          <w:lang w:eastAsia="en-GB"/>
        </w:rPr>
        <w:t xml:space="preserve"> conception for SDI - a situation “where the teacher engages students in dialogue or arranges for dialogue to take place between peers”. SDI then is unified through a commitment toward a collaborative classroom setting, whereby dialogue is used to filter learners’ subjectivities toward the co-construction of knowledge and understanding. </w:t>
      </w:r>
    </w:p>
    <w:p w14:paraId="1218B745" w14:textId="591A756A" w:rsidR="005C3310" w:rsidRPr="005C3310" w:rsidRDefault="005C3310" w:rsidP="005C3310">
      <w:pPr>
        <w:spacing w:line="360" w:lineRule="auto"/>
        <w:jc w:val="both"/>
        <w:rPr>
          <w:rFonts w:ascii="Verdana" w:eastAsia="Times New Roman" w:hAnsi="Verdana" w:cstheme="minorHAnsi"/>
          <w:color w:val="000000" w:themeColor="text1"/>
          <w:lang w:eastAsia="en-GB"/>
        </w:rPr>
      </w:pPr>
    </w:p>
    <w:p w14:paraId="6E082606" w14:textId="6B7BCFFF" w:rsidR="00922463" w:rsidRDefault="00922463" w:rsidP="00AD1FE8">
      <w:pPr>
        <w:spacing w:line="360" w:lineRule="auto"/>
        <w:jc w:val="both"/>
        <w:rPr>
          <w:rFonts w:ascii="Verdana" w:eastAsia="Times New Roman" w:hAnsi="Verdana" w:cstheme="minorHAnsi"/>
          <w:b/>
          <w:bCs/>
          <w:color w:val="000000" w:themeColor="text1"/>
          <w:u w:val="single"/>
          <w:lang w:eastAsia="en-GB"/>
        </w:rPr>
      </w:pPr>
      <w:r w:rsidRPr="00922463">
        <w:rPr>
          <w:rFonts w:ascii="Verdana" w:eastAsia="Times New Roman" w:hAnsi="Verdana" w:cstheme="minorHAnsi"/>
          <w:b/>
          <w:bCs/>
          <w:color w:val="000000" w:themeColor="text1"/>
          <w:u w:val="single"/>
          <w:lang w:eastAsia="en-GB"/>
        </w:rPr>
        <w:t>Case study</w:t>
      </w:r>
    </w:p>
    <w:p w14:paraId="07E765F2" w14:textId="5B5D6425" w:rsidR="00922463" w:rsidRDefault="00922463" w:rsidP="00AD1FE8">
      <w:pPr>
        <w:spacing w:line="360" w:lineRule="auto"/>
        <w:jc w:val="both"/>
        <w:rPr>
          <w:rFonts w:ascii="Verdana" w:eastAsia="Times New Roman" w:hAnsi="Verdana" w:cstheme="minorHAnsi"/>
          <w:b/>
          <w:bCs/>
          <w:color w:val="000000" w:themeColor="text1"/>
          <w:u w:val="single"/>
          <w:lang w:eastAsia="en-GB"/>
        </w:rPr>
      </w:pPr>
    </w:p>
    <w:p w14:paraId="28D7C93E" w14:textId="78BA808E" w:rsidR="00922463" w:rsidRDefault="00922463" w:rsidP="00B52BC0">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critical incident took place within a year 9 English classroom and is situated around a group of learners, as opposed to one individual. The subject that was being taught was that of Shakespearean literature, particularly the performance of lines from Shakespeare. The class were given the task of role-playing</w:t>
      </w:r>
      <w:r w:rsidR="00B52BC0">
        <w:rPr>
          <w:rFonts w:ascii="Verdana" w:eastAsia="Times New Roman" w:hAnsi="Verdana" w:cstheme="minorHAnsi"/>
          <w:color w:val="000000" w:themeColor="text1"/>
          <w:lang w:eastAsia="en-GB"/>
        </w:rPr>
        <w:t>, in pairs,</w:t>
      </w:r>
      <w:r>
        <w:rPr>
          <w:rFonts w:ascii="Verdana" w:eastAsia="Times New Roman" w:hAnsi="Verdana" w:cstheme="minorHAnsi"/>
          <w:color w:val="000000" w:themeColor="text1"/>
          <w:lang w:eastAsia="en-GB"/>
        </w:rPr>
        <w:t xml:space="preserve"> lines from ‘Much Ado about Nothing’.</w:t>
      </w:r>
      <w:r w:rsidR="00B52BC0">
        <w:rPr>
          <w:rFonts w:ascii="Verdana" w:eastAsia="Times New Roman" w:hAnsi="Verdana" w:cstheme="minorHAnsi"/>
          <w:color w:val="000000" w:themeColor="text1"/>
          <w:lang w:eastAsia="en-GB"/>
        </w:rPr>
        <w:t xml:space="preserve"> This is the method known as social dialogic interaction.</w:t>
      </w:r>
      <w:r>
        <w:rPr>
          <w:rFonts w:ascii="Verdana" w:eastAsia="Times New Roman" w:hAnsi="Verdana" w:cstheme="minorHAnsi"/>
          <w:color w:val="000000" w:themeColor="text1"/>
          <w:lang w:eastAsia="en-GB"/>
        </w:rPr>
        <w:t xml:space="preserve"> The lines given to the class were emotionally driven and revolved around the characters Beatrice and Benedick and their relationship. </w:t>
      </w:r>
      <w:r w:rsidR="00B52BC0">
        <w:rPr>
          <w:rFonts w:ascii="Verdana" w:eastAsia="Times New Roman" w:hAnsi="Verdana" w:cstheme="minorHAnsi"/>
          <w:color w:val="000000" w:themeColor="text1"/>
          <w:lang w:eastAsia="en-GB"/>
        </w:rPr>
        <w:t>The unintended result was that when performing the lines to each other, learners became overwhelmed with excitement due to the content of the lines and got louder and louder until the whole class erupted into chaos. The teacher was then forced to abandon the method, and resort to an alternative means to teaching the subject matter. Ultimately, the attempt failed in its original aim.</w:t>
      </w:r>
    </w:p>
    <w:p w14:paraId="208C88F9" w14:textId="6963A6E4" w:rsidR="005B6EA9" w:rsidRDefault="005B6EA9" w:rsidP="0002053F">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w:t>
      </w:r>
      <w:r w:rsidR="00B52BC0">
        <w:rPr>
          <w:rFonts w:ascii="Verdana" w:eastAsia="Times New Roman" w:hAnsi="Verdana" w:cstheme="minorHAnsi"/>
          <w:color w:val="000000" w:themeColor="text1"/>
          <w:lang w:eastAsia="en-GB"/>
        </w:rPr>
        <w:t>cademic literature overwhelmingly supports the validity of social dialogic interaction (SDI) as a learning method.</w:t>
      </w:r>
      <w:r>
        <w:rPr>
          <w:rFonts w:ascii="Verdana" w:eastAsia="Times New Roman" w:hAnsi="Verdana" w:cstheme="minorHAnsi"/>
          <w:color w:val="000000" w:themeColor="text1"/>
          <w:lang w:eastAsia="en-GB"/>
        </w:rPr>
        <w:t xml:space="preserve"> For example, Teo has </w:t>
      </w:r>
      <w:r>
        <w:rPr>
          <w:rFonts w:ascii="Verdana" w:eastAsia="Times New Roman" w:hAnsi="Verdana" w:cstheme="minorHAnsi"/>
          <w:color w:val="000000" w:themeColor="text1"/>
          <w:lang w:eastAsia="en-GB"/>
        </w:rPr>
        <w:lastRenderedPageBreak/>
        <w:t>argued that SDI provides the necessary skillsets learners need to succeed in a 21</w:t>
      </w:r>
      <w:r w:rsidRPr="005B6EA9">
        <w:rPr>
          <w:rFonts w:ascii="Verdana" w:eastAsia="Times New Roman" w:hAnsi="Verdana" w:cstheme="minorHAnsi"/>
          <w:color w:val="000000" w:themeColor="text1"/>
          <w:vertAlign w:val="superscript"/>
          <w:lang w:eastAsia="en-GB"/>
        </w:rPr>
        <w:t>st</w:t>
      </w:r>
      <w:r>
        <w:rPr>
          <w:rFonts w:ascii="Verdana" w:eastAsia="Times New Roman" w:hAnsi="Verdana" w:cstheme="minorHAnsi"/>
          <w:color w:val="000000" w:themeColor="text1"/>
          <w:lang w:eastAsia="en-GB"/>
        </w:rPr>
        <w:t>-century world</w:t>
      </w:r>
      <w:r w:rsidR="00C000D6">
        <w:rPr>
          <w:rFonts w:ascii="Verdana" w:eastAsia="Times New Roman" w:hAnsi="Verdana" w:cstheme="minorHAnsi"/>
          <w:color w:val="000000" w:themeColor="text1"/>
          <w:lang w:eastAsia="en-GB"/>
        </w:rPr>
        <w:t xml:space="preserve"> dominated by disinformation</w:t>
      </w:r>
      <w:r>
        <w:rPr>
          <w:rFonts w:ascii="Verdana" w:eastAsia="Times New Roman" w:hAnsi="Verdana" w:cstheme="minorHAnsi"/>
          <w:color w:val="000000" w:themeColor="text1"/>
          <w:lang w:eastAsia="en-GB"/>
        </w:rPr>
        <w:t>. Furthermore</w:t>
      </w:r>
      <w:r w:rsidR="00C000D6">
        <w:rPr>
          <w:rFonts w:ascii="Verdana" w:eastAsia="Times New Roman" w:hAnsi="Verdana" w:cstheme="minorHAnsi"/>
          <w:color w:val="000000" w:themeColor="text1"/>
          <w:lang w:eastAsia="en-GB"/>
        </w:rPr>
        <w:t>, Sorenson et al (2009, p.30) found that the use of SDI was an effective tool in generating inclusivity within diverse educational settings.</w:t>
      </w:r>
      <w:r>
        <w:rPr>
          <w:rFonts w:ascii="Verdana" w:eastAsia="Times New Roman" w:hAnsi="Verdana" w:cstheme="minorHAnsi"/>
          <w:color w:val="000000" w:themeColor="text1"/>
          <w:lang w:eastAsia="en-GB"/>
        </w:rPr>
        <w:t xml:space="preserve"> </w:t>
      </w:r>
      <w:r w:rsidR="00B52BC0">
        <w:rPr>
          <w:rFonts w:ascii="Verdana" w:eastAsia="Times New Roman" w:hAnsi="Verdana" w:cstheme="minorHAnsi"/>
          <w:color w:val="000000" w:themeColor="text1"/>
          <w:lang w:eastAsia="en-GB"/>
        </w:rPr>
        <w:t xml:space="preserve"> However as also shown, this </w:t>
      </w:r>
      <w:proofErr w:type="gramStart"/>
      <w:r w:rsidR="00B52BC0">
        <w:rPr>
          <w:rFonts w:ascii="Verdana" w:eastAsia="Times New Roman" w:hAnsi="Verdana" w:cstheme="minorHAnsi"/>
          <w:color w:val="000000" w:themeColor="text1"/>
          <w:lang w:eastAsia="en-GB"/>
        </w:rPr>
        <w:t>particular attempt</w:t>
      </w:r>
      <w:proofErr w:type="gramEnd"/>
      <w:r w:rsidR="00B52BC0">
        <w:rPr>
          <w:rFonts w:ascii="Verdana" w:eastAsia="Times New Roman" w:hAnsi="Verdana" w:cstheme="minorHAnsi"/>
          <w:color w:val="000000" w:themeColor="text1"/>
          <w:lang w:eastAsia="en-GB"/>
        </w:rPr>
        <w:t xml:space="preserve"> at deploying SDI failed. This section of the essay aims to explore the theoretical and practical reasons behind the failure of the</w:t>
      </w:r>
      <w:r w:rsidR="004063B5">
        <w:rPr>
          <w:rFonts w:ascii="Verdana" w:eastAsia="Times New Roman" w:hAnsi="Verdana" w:cstheme="minorHAnsi"/>
          <w:color w:val="000000" w:themeColor="text1"/>
          <w:lang w:eastAsia="en-GB"/>
        </w:rPr>
        <w:t xml:space="preserve"> use of SDI as a method within the</w:t>
      </w:r>
      <w:r w:rsidR="00B52BC0">
        <w:rPr>
          <w:rFonts w:ascii="Verdana" w:eastAsia="Times New Roman" w:hAnsi="Verdana" w:cstheme="minorHAnsi"/>
          <w:color w:val="000000" w:themeColor="text1"/>
          <w:lang w:eastAsia="en-GB"/>
        </w:rPr>
        <w:t xml:space="preserve"> critical incident. Then in the following section reflection on t</w:t>
      </w:r>
      <w:r w:rsidR="004063B5">
        <w:rPr>
          <w:rFonts w:ascii="Verdana" w:eastAsia="Times New Roman" w:hAnsi="Verdana" w:cstheme="minorHAnsi"/>
          <w:color w:val="000000" w:themeColor="text1"/>
          <w:lang w:eastAsia="en-GB"/>
        </w:rPr>
        <w:t>eaching and learning methods</w:t>
      </w:r>
      <w:r w:rsidR="00B52BC0">
        <w:rPr>
          <w:rFonts w:ascii="Verdana" w:eastAsia="Times New Roman" w:hAnsi="Verdana" w:cstheme="minorHAnsi"/>
          <w:color w:val="000000" w:themeColor="text1"/>
          <w:lang w:eastAsia="en-GB"/>
        </w:rPr>
        <w:t xml:space="preserve"> will take place. </w:t>
      </w:r>
    </w:p>
    <w:p w14:paraId="4150D60F" w14:textId="4A4BA998" w:rsidR="004063B5" w:rsidRDefault="004063B5" w:rsidP="005B6EA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There is an argument to be made that the teacher in the critical incident had not provided the necessary conditions for the SDI method to work successfully. Shepard (2000) put forward the idea that the existing educational framework can influence whether new techniques are advantageous or not. For instance, if the group of learners from the case study had been taught through behaviourist methods throughout their education, and there had been no attempt to engage with social constructivist methods, then that would explain why SDI was not successful in this case. This then begs the question, what are the necessary conditions for SDI to be a successful teaching method?</w:t>
      </w:r>
      <w:r w:rsidR="005C3310">
        <w:rPr>
          <w:rFonts w:ascii="Verdana" w:eastAsia="Times New Roman" w:hAnsi="Verdana" w:cstheme="minorHAnsi"/>
          <w:color w:val="000000" w:themeColor="text1"/>
          <w:lang w:eastAsia="en-GB"/>
        </w:rPr>
        <w:t xml:space="preserve"> Or, as Tripp would put it what was the underlying ‘problematic’?</w:t>
      </w:r>
    </w:p>
    <w:p w14:paraId="448E7FEE" w14:textId="29CE9ED6" w:rsidR="0002053F" w:rsidRDefault="0002053F" w:rsidP="0002053F">
      <w:pPr>
        <w:spacing w:line="360" w:lineRule="auto"/>
        <w:jc w:val="both"/>
        <w:rPr>
          <w:rFonts w:ascii="Verdana" w:eastAsia="Times New Roman" w:hAnsi="Verdana" w:cstheme="minorHAnsi"/>
          <w:color w:val="000000" w:themeColor="text1"/>
          <w:lang w:eastAsia="en-GB"/>
        </w:rPr>
      </w:pPr>
    </w:p>
    <w:p w14:paraId="1D3C8AB0" w14:textId="7345D127" w:rsidR="00F6267C" w:rsidRDefault="0002053F" w:rsidP="00620551">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Starting with Shepard’s argument around the capacity for the existing educational framework to have the potential to negatively impact the effectiveness of alternative methods. Based on prior observations of this group of learners, the educator tended to rely upon </w:t>
      </w:r>
      <w:r w:rsidR="00D1506B">
        <w:rPr>
          <w:rFonts w:ascii="Verdana" w:eastAsia="Times New Roman" w:hAnsi="Verdana" w:cstheme="minorHAnsi"/>
          <w:color w:val="000000" w:themeColor="text1"/>
          <w:lang w:eastAsia="en-GB"/>
        </w:rPr>
        <w:t>didacticism often</w:t>
      </w:r>
      <w:r w:rsidR="00AC7003">
        <w:rPr>
          <w:rFonts w:ascii="Verdana" w:eastAsia="Times New Roman" w:hAnsi="Verdana" w:cstheme="minorHAnsi"/>
          <w:color w:val="000000" w:themeColor="text1"/>
          <w:lang w:eastAsia="en-GB"/>
        </w:rPr>
        <w:t xml:space="preserve"> resorting to monologist methods</w:t>
      </w:r>
      <w:r w:rsidR="00BB1A0A">
        <w:rPr>
          <w:rFonts w:ascii="Verdana" w:eastAsia="Times New Roman" w:hAnsi="Verdana" w:cstheme="minorHAnsi"/>
          <w:color w:val="000000" w:themeColor="text1"/>
          <w:lang w:eastAsia="en-GB"/>
        </w:rPr>
        <w:t xml:space="preserve"> of learning</w:t>
      </w:r>
      <w:r w:rsidR="00AC7003">
        <w:rPr>
          <w:rFonts w:ascii="Verdana" w:eastAsia="Times New Roman" w:hAnsi="Verdana" w:cstheme="minorHAnsi"/>
          <w:color w:val="000000" w:themeColor="text1"/>
          <w:lang w:eastAsia="en-GB"/>
        </w:rPr>
        <w:t>.</w:t>
      </w:r>
      <w:r w:rsidR="00BB1A0A">
        <w:rPr>
          <w:rFonts w:ascii="Verdana" w:eastAsia="Times New Roman" w:hAnsi="Verdana" w:cstheme="minorHAnsi"/>
          <w:color w:val="000000" w:themeColor="text1"/>
          <w:lang w:eastAsia="en-GB"/>
        </w:rPr>
        <w:t xml:space="preserve"> For example, the teacher would often use closed questioning, allowing little room for the subjectivities of his learners.</w:t>
      </w:r>
      <w:r w:rsidR="00AC7003">
        <w:rPr>
          <w:rFonts w:ascii="Verdana" w:eastAsia="Times New Roman" w:hAnsi="Verdana" w:cstheme="minorHAnsi"/>
          <w:color w:val="000000" w:themeColor="text1"/>
          <w:lang w:eastAsia="en-GB"/>
        </w:rPr>
        <w:t xml:space="preserve"> These are methods which place the teacher at the centre whereby their role is to act as the authority on knowledge</w:t>
      </w:r>
      <w:r w:rsidR="00BB1A0A">
        <w:rPr>
          <w:rFonts w:ascii="Verdana" w:eastAsia="Times New Roman" w:hAnsi="Verdana" w:cstheme="minorHAnsi"/>
          <w:color w:val="000000" w:themeColor="text1"/>
          <w:lang w:eastAsia="en-GB"/>
        </w:rPr>
        <w:t xml:space="preserve"> (</w:t>
      </w:r>
      <w:proofErr w:type="spellStart"/>
      <w:r w:rsidR="00BB1A0A">
        <w:rPr>
          <w:rFonts w:ascii="Verdana" w:eastAsia="Times New Roman" w:hAnsi="Verdana" w:cstheme="minorHAnsi"/>
          <w:color w:val="000000" w:themeColor="text1"/>
          <w:lang w:eastAsia="en-GB"/>
        </w:rPr>
        <w:t>Nesari</w:t>
      </w:r>
      <w:proofErr w:type="spellEnd"/>
      <w:r w:rsidR="00BB1A0A">
        <w:rPr>
          <w:rFonts w:ascii="Verdana" w:eastAsia="Times New Roman" w:hAnsi="Verdana" w:cstheme="minorHAnsi"/>
          <w:color w:val="000000" w:themeColor="text1"/>
          <w:lang w:eastAsia="en-GB"/>
        </w:rPr>
        <w:t>, 2015, p.643)</w:t>
      </w:r>
      <w:r w:rsidR="00AC7003">
        <w:rPr>
          <w:rFonts w:ascii="Verdana" w:eastAsia="Times New Roman" w:hAnsi="Verdana" w:cstheme="minorHAnsi"/>
          <w:color w:val="000000" w:themeColor="text1"/>
          <w:lang w:eastAsia="en-GB"/>
        </w:rPr>
        <w:t xml:space="preserve">. Teachers then become </w:t>
      </w:r>
      <w:r w:rsidR="00BB1A0A">
        <w:rPr>
          <w:rFonts w:ascii="Verdana" w:eastAsia="Times New Roman" w:hAnsi="Verdana" w:cstheme="minorHAnsi"/>
          <w:color w:val="000000" w:themeColor="text1"/>
          <w:lang w:eastAsia="en-GB"/>
        </w:rPr>
        <w:t xml:space="preserve">reproducers of the view </w:t>
      </w:r>
      <w:r w:rsidR="00513BB4">
        <w:rPr>
          <w:rFonts w:ascii="Verdana" w:eastAsia="Times New Roman" w:hAnsi="Verdana" w:cstheme="minorHAnsi"/>
          <w:color w:val="000000" w:themeColor="text1"/>
          <w:lang w:eastAsia="en-GB"/>
        </w:rPr>
        <w:t>that</w:t>
      </w:r>
      <w:r w:rsidR="00BB1A0A">
        <w:rPr>
          <w:rFonts w:ascii="Verdana" w:eastAsia="Times New Roman" w:hAnsi="Verdana" w:cstheme="minorHAnsi"/>
          <w:color w:val="000000" w:themeColor="text1"/>
          <w:lang w:eastAsia="en-GB"/>
        </w:rPr>
        <w:t xml:space="preserve"> knowledge </w:t>
      </w:r>
      <w:r w:rsidR="00513BB4">
        <w:rPr>
          <w:rFonts w:ascii="Verdana" w:eastAsia="Times New Roman" w:hAnsi="Verdana" w:cstheme="minorHAnsi"/>
          <w:color w:val="000000" w:themeColor="text1"/>
          <w:lang w:eastAsia="en-GB"/>
        </w:rPr>
        <w:t>is</w:t>
      </w:r>
      <w:r w:rsidR="00BB1A0A">
        <w:rPr>
          <w:rFonts w:ascii="Verdana" w:eastAsia="Times New Roman" w:hAnsi="Verdana" w:cstheme="minorHAnsi"/>
          <w:color w:val="000000" w:themeColor="text1"/>
          <w:lang w:eastAsia="en-GB"/>
        </w:rPr>
        <w:t xml:space="preserve"> something which is universal or static and thus received, as opposed to something which is co-constructed (</w:t>
      </w:r>
      <w:proofErr w:type="spellStart"/>
      <w:r w:rsidR="00BB1A0A">
        <w:rPr>
          <w:rFonts w:ascii="Verdana" w:eastAsia="Times New Roman" w:hAnsi="Verdana" w:cstheme="minorHAnsi"/>
          <w:color w:val="000000" w:themeColor="text1"/>
          <w:lang w:eastAsia="en-GB"/>
        </w:rPr>
        <w:t>Nesari</w:t>
      </w:r>
      <w:proofErr w:type="spellEnd"/>
      <w:r w:rsidR="00BB1A0A">
        <w:rPr>
          <w:rFonts w:ascii="Verdana" w:eastAsia="Times New Roman" w:hAnsi="Verdana" w:cstheme="minorHAnsi"/>
          <w:color w:val="000000" w:themeColor="text1"/>
          <w:lang w:eastAsia="en-GB"/>
        </w:rPr>
        <w:t xml:space="preserve">, 2015, p.643). In </w:t>
      </w:r>
      <w:r w:rsidR="00BB1A0A">
        <w:rPr>
          <w:rFonts w:ascii="Verdana" w:eastAsia="Times New Roman" w:hAnsi="Verdana" w:cstheme="minorHAnsi"/>
          <w:color w:val="000000" w:themeColor="text1"/>
          <w:lang w:eastAsia="en-GB"/>
        </w:rPr>
        <w:lastRenderedPageBreak/>
        <w:t xml:space="preserve">terms of the critical incident, it is arguably little surprise that the learners found it difficult to engage with the method. There is an implication here from Shepard’s argument that for the SDI to have been effective, it </w:t>
      </w:r>
      <w:r w:rsidR="00F6267C">
        <w:rPr>
          <w:rFonts w:ascii="Verdana" w:eastAsia="Times New Roman" w:hAnsi="Verdana" w:cstheme="minorHAnsi"/>
          <w:color w:val="000000" w:themeColor="text1"/>
          <w:lang w:eastAsia="en-GB"/>
        </w:rPr>
        <w:t>had to</w:t>
      </w:r>
      <w:r w:rsidR="00BB1A0A">
        <w:rPr>
          <w:rFonts w:ascii="Verdana" w:eastAsia="Times New Roman" w:hAnsi="Verdana" w:cstheme="minorHAnsi"/>
          <w:color w:val="000000" w:themeColor="text1"/>
          <w:lang w:eastAsia="en-GB"/>
        </w:rPr>
        <w:t xml:space="preserve"> have been built up throughout multiple lessons.</w:t>
      </w:r>
      <w:r w:rsidR="00F6267C">
        <w:rPr>
          <w:rFonts w:ascii="Verdana" w:eastAsia="Times New Roman" w:hAnsi="Verdana" w:cstheme="minorHAnsi"/>
          <w:color w:val="000000" w:themeColor="text1"/>
          <w:lang w:eastAsia="en-GB"/>
        </w:rPr>
        <w:t xml:space="preserve"> </w:t>
      </w:r>
    </w:p>
    <w:p w14:paraId="66DF0B57" w14:textId="69BB5526" w:rsidR="00513BB4" w:rsidRDefault="006F2177" w:rsidP="00D1506B">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Another point to consider is that the teacher in the critical incident did not generate a teacher-student</w:t>
      </w:r>
      <w:r w:rsidR="0002053F">
        <w:rPr>
          <w:rFonts w:ascii="Verdana" w:eastAsia="Times New Roman" w:hAnsi="Verdana" w:cstheme="minorHAnsi"/>
          <w:color w:val="000000" w:themeColor="text1"/>
          <w:lang w:eastAsia="en-GB"/>
        </w:rPr>
        <w:t>-student</w:t>
      </w:r>
      <w:r>
        <w:rPr>
          <w:rFonts w:ascii="Verdana" w:eastAsia="Times New Roman" w:hAnsi="Verdana" w:cstheme="minorHAnsi"/>
          <w:color w:val="000000" w:themeColor="text1"/>
          <w:lang w:eastAsia="en-GB"/>
        </w:rPr>
        <w:t xml:space="preserve"> interaction but rather a student-student interaction.</w:t>
      </w:r>
      <w:r w:rsidR="00F6267C">
        <w:rPr>
          <w:rFonts w:ascii="Verdana" w:eastAsia="Times New Roman" w:hAnsi="Verdana" w:cstheme="minorHAnsi"/>
          <w:color w:val="000000" w:themeColor="text1"/>
          <w:lang w:eastAsia="en-GB"/>
        </w:rPr>
        <w:t xml:space="preserve"> One way for the teacher to build toward effective student-student dialogic interaction would be to begin from the position of a general dialogue between the class and the teacher</w:t>
      </w:r>
      <w:r w:rsidR="00513BB4">
        <w:rPr>
          <w:rFonts w:ascii="Verdana" w:eastAsia="Times New Roman" w:hAnsi="Verdana" w:cstheme="minorHAnsi"/>
          <w:color w:val="000000" w:themeColor="text1"/>
          <w:lang w:eastAsia="en-GB"/>
        </w:rPr>
        <w:t xml:space="preserve"> and work toward making discussions more independent (Mercer and Howe, 2012, p.13)</w:t>
      </w:r>
      <w:r w:rsidR="00F6267C">
        <w:rPr>
          <w:rFonts w:ascii="Verdana" w:eastAsia="Times New Roman" w:hAnsi="Verdana" w:cstheme="minorHAnsi"/>
          <w:color w:val="000000" w:themeColor="text1"/>
          <w:lang w:eastAsia="en-GB"/>
        </w:rPr>
        <w:t xml:space="preserve">. Instead, the teacher assumed it was within the reach of the students, who had little to no prior experience with this method, to engage in productive collaborative dialogue without any help from the teacher. </w:t>
      </w:r>
      <w:r>
        <w:rPr>
          <w:rFonts w:ascii="Verdana" w:eastAsia="Times New Roman" w:hAnsi="Verdana" w:cstheme="minorHAnsi"/>
          <w:color w:val="000000" w:themeColor="text1"/>
          <w:lang w:eastAsia="en-GB"/>
        </w:rPr>
        <w:t xml:space="preserve"> From this, it can be extrapolated that at th</w:t>
      </w:r>
      <w:r w:rsidR="00513BB4">
        <w:rPr>
          <w:rFonts w:ascii="Verdana" w:eastAsia="Times New Roman" w:hAnsi="Verdana" w:cstheme="minorHAnsi"/>
          <w:color w:val="000000" w:themeColor="text1"/>
          <w:lang w:eastAsia="en-GB"/>
        </w:rPr>
        <w:t>is</w:t>
      </w:r>
      <w:r>
        <w:rPr>
          <w:rFonts w:ascii="Verdana" w:eastAsia="Times New Roman" w:hAnsi="Verdana" w:cstheme="minorHAnsi"/>
          <w:color w:val="000000" w:themeColor="text1"/>
          <w:lang w:eastAsia="en-GB"/>
        </w:rPr>
        <w:t xml:space="preserve"> moment the students were overwhelmed. Without the MKO involved to guide the learners, arguably, they were far outside of their ZPD. This would partly explain why the learners did not benefit from the SDI. </w:t>
      </w:r>
    </w:p>
    <w:p w14:paraId="0277FFE7" w14:textId="77925250" w:rsidR="00D1506B" w:rsidRDefault="00C000D6" w:rsidP="00D1506B">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success of SDI is greatly dependent on the collaborative elements of the interaction</w:t>
      </w:r>
      <w:r w:rsidR="00D1506B">
        <w:rPr>
          <w:rFonts w:ascii="Verdana" w:eastAsia="Times New Roman" w:hAnsi="Verdana" w:cstheme="minorHAnsi"/>
          <w:color w:val="000000" w:themeColor="text1"/>
          <w:lang w:eastAsia="en-GB"/>
        </w:rPr>
        <w:t>.  Yet within contemporary educational settings, there is a “limited amount of true dialogue” occurring within the classroom, according to Mercer and Howe (2012, p.17). Within schools today, learners are still expected to adhere to strict rules when it comes to whole-class interaction. These all revolve around conditions set by the teacher which often restrict true collaboration</w:t>
      </w:r>
      <w:r w:rsidR="00F74CF8">
        <w:rPr>
          <w:rFonts w:ascii="Verdana" w:eastAsia="Times New Roman" w:hAnsi="Verdana" w:cstheme="minorHAnsi"/>
          <w:color w:val="000000" w:themeColor="text1"/>
          <w:lang w:eastAsia="en-GB"/>
        </w:rPr>
        <w:t>.</w:t>
      </w:r>
      <w:r w:rsidR="00D1506B">
        <w:rPr>
          <w:rFonts w:ascii="Verdana" w:eastAsia="Times New Roman" w:hAnsi="Verdana" w:cstheme="minorHAnsi"/>
          <w:color w:val="000000" w:themeColor="text1"/>
          <w:lang w:eastAsia="en-GB"/>
        </w:rPr>
        <w:t xml:space="preserve"> </w:t>
      </w:r>
      <w:r w:rsidR="00F74CF8">
        <w:rPr>
          <w:rFonts w:ascii="Verdana" w:eastAsia="Times New Roman" w:hAnsi="Verdana" w:cstheme="minorHAnsi"/>
          <w:color w:val="000000" w:themeColor="text1"/>
          <w:lang w:eastAsia="en-GB"/>
        </w:rPr>
        <w:t>S</w:t>
      </w:r>
      <w:r w:rsidR="00D1506B">
        <w:rPr>
          <w:rFonts w:ascii="Verdana" w:eastAsia="Times New Roman" w:hAnsi="Verdana" w:cstheme="minorHAnsi"/>
          <w:color w:val="000000" w:themeColor="text1"/>
          <w:lang w:eastAsia="en-GB"/>
        </w:rPr>
        <w:t>uch as “</w:t>
      </w:r>
      <w:r w:rsidR="00F74CF8">
        <w:rPr>
          <w:rFonts w:ascii="Verdana" w:eastAsia="Times New Roman" w:hAnsi="Verdana" w:cstheme="minorHAnsi"/>
          <w:color w:val="000000" w:themeColor="text1"/>
          <w:lang w:eastAsia="en-GB"/>
        </w:rPr>
        <w:t>o</w:t>
      </w:r>
      <w:r w:rsidR="00D1506B" w:rsidRPr="00D1506B">
        <w:rPr>
          <w:rFonts w:ascii="Verdana" w:eastAsia="Times New Roman" w:hAnsi="Verdana" w:cstheme="minorHAnsi"/>
          <w:color w:val="000000" w:themeColor="text1"/>
          <w:lang w:eastAsia="en-GB"/>
        </w:rPr>
        <w:t>nly the teacher can nominate who should speak; only the teacher may ask a question without seeking permission; only the teacher can evaluate a comment made by a participant</w:t>
      </w:r>
      <w:r w:rsidR="00D1506B">
        <w:rPr>
          <w:rFonts w:ascii="Verdana" w:eastAsia="Times New Roman" w:hAnsi="Verdana" w:cstheme="minorHAnsi"/>
          <w:color w:val="000000" w:themeColor="text1"/>
          <w:lang w:eastAsia="en-GB"/>
        </w:rPr>
        <w:t xml:space="preserve">” (Mercer and Howe, 2012, p.17). </w:t>
      </w:r>
      <w:r w:rsidR="00B27BE3">
        <w:rPr>
          <w:rFonts w:ascii="Verdana" w:eastAsia="Times New Roman" w:hAnsi="Verdana" w:cstheme="minorHAnsi"/>
          <w:color w:val="000000" w:themeColor="text1"/>
          <w:lang w:eastAsia="en-GB"/>
        </w:rPr>
        <w:t>The issue here then, is that SDI relies upon a classroom environment where learners are comfortable</w:t>
      </w:r>
      <w:r w:rsidR="00912A8D">
        <w:rPr>
          <w:rFonts w:ascii="Verdana" w:eastAsia="Times New Roman" w:hAnsi="Verdana" w:cstheme="minorHAnsi"/>
          <w:color w:val="000000" w:themeColor="text1"/>
          <w:lang w:eastAsia="en-GB"/>
        </w:rPr>
        <w:t>,</w:t>
      </w:r>
      <w:r w:rsidR="00B27BE3">
        <w:rPr>
          <w:rFonts w:ascii="Verdana" w:eastAsia="Times New Roman" w:hAnsi="Verdana" w:cstheme="minorHAnsi"/>
          <w:color w:val="000000" w:themeColor="text1"/>
          <w:lang w:eastAsia="en-GB"/>
        </w:rPr>
        <w:t xml:space="preserve"> where learners do not feel like the object waiting for knowledge to be conferred </w:t>
      </w:r>
      <w:r w:rsidR="00A81A15">
        <w:rPr>
          <w:rFonts w:ascii="Verdana" w:eastAsia="Times New Roman" w:hAnsi="Verdana" w:cstheme="minorHAnsi"/>
          <w:color w:val="000000" w:themeColor="text1"/>
          <w:lang w:eastAsia="en-GB"/>
        </w:rPr>
        <w:t>upon</w:t>
      </w:r>
      <w:r w:rsidR="00B27BE3">
        <w:rPr>
          <w:rFonts w:ascii="Verdana" w:eastAsia="Times New Roman" w:hAnsi="Verdana" w:cstheme="minorHAnsi"/>
          <w:color w:val="000000" w:themeColor="text1"/>
          <w:lang w:eastAsia="en-GB"/>
        </w:rPr>
        <w:t xml:space="preserve"> </w:t>
      </w:r>
      <w:r w:rsidR="00A81A15">
        <w:rPr>
          <w:rFonts w:ascii="Verdana" w:eastAsia="Times New Roman" w:hAnsi="Verdana" w:cstheme="minorHAnsi"/>
          <w:color w:val="000000" w:themeColor="text1"/>
          <w:lang w:eastAsia="en-GB"/>
        </w:rPr>
        <w:t>them but</w:t>
      </w:r>
      <w:r w:rsidR="00B27BE3">
        <w:rPr>
          <w:rFonts w:ascii="Verdana" w:eastAsia="Times New Roman" w:hAnsi="Verdana" w:cstheme="minorHAnsi"/>
          <w:color w:val="000000" w:themeColor="text1"/>
          <w:lang w:eastAsia="en-GB"/>
        </w:rPr>
        <w:t xml:space="preserve"> are active subjects constructing knowledge with their peers guided by an MKO.</w:t>
      </w:r>
      <w:r w:rsidR="00A81A15">
        <w:rPr>
          <w:rFonts w:ascii="Verdana" w:eastAsia="Times New Roman" w:hAnsi="Verdana" w:cstheme="minorHAnsi"/>
          <w:color w:val="000000" w:themeColor="text1"/>
          <w:lang w:eastAsia="en-GB"/>
        </w:rPr>
        <w:t xml:space="preserve"> </w:t>
      </w:r>
      <w:r w:rsidR="00912A8D">
        <w:rPr>
          <w:rFonts w:ascii="Verdana" w:eastAsia="Times New Roman" w:hAnsi="Verdana" w:cstheme="minorHAnsi"/>
          <w:color w:val="000000" w:themeColor="text1"/>
          <w:lang w:eastAsia="en-GB"/>
        </w:rPr>
        <w:t>The school in which the critical incident occurred</w:t>
      </w:r>
      <w:r w:rsidR="009216C7">
        <w:rPr>
          <w:rFonts w:ascii="Verdana" w:eastAsia="Times New Roman" w:hAnsi="Verdana" w:cstheme="minorHAnsi"/>
          <w:color w:val="000000" w:themeColor="text1"/>
          <w:lang w:eastAsia="en-GB"/>
        </w:rPr>
        <w:t xml:space="preserve"> </w:t>
      </w:r>
      <w:r w:rsidR="00912A8D">
        <w:rPr>
          <w:rFonts w:ascii="Verdana" w:eastAsia="Times New Roman" w:hAnsi="Verdana" w:cstheme="minorHAnsi"/>
          <w:color w:val="000000" w:themeColor="text1"/>
          <w:lang w:eastAsia="en-GB"/>
        </w:rPr>
        <w:t xml:space="preserve"> </w:t>
      </w:r>
    </w:p>
    <w:p w14:paraId="28C1C9D3" w14:textId="2D6859C1" w:rsidR="007E4EC7" w:rsidRDefault="007E4EC7" w:rsidP="00D1506B">
      <w:pPr>
        <w:spacing w:line="360" w:lineRule="auto"/>
        <w:ind w:firstLine="720"/>
        <w:jc w:val="both"/>
        <w:rPr>
          <w:rFonts w:ascii="Verdana" w:eastAsia="Times New Roman" w:hAnsi="Verdana" w:cstheme="minorHAnsi"/>
          <w:color w:val="000000" w:themeColor="text1"/>
          <w:lang w:eastAsia="en-GB"/>
        </w:rPr>
      </w:pPr>
    </w:p>
    <w:p w14:paraId="3F21FC98" w14:textId="4F959C4C" w:rsidR="006F2177" w:rsidRDefault="007E4EC7" w:rsidP="007E4EC7">
      <w:pPr>
        <w:spacing w:line="360" w:lineRule="auto"/>
        <w:jc w:val="both"/>
        <w:rPr>
          <w:rFonts w:ascii="Verdana" w:eastAsia="Times New Roman" w:hAnsi="Verdana" w:cstheme="minorHAnsi"/>
          <w:color w:val="000000" w:themeColor="text1"/>
          <w:lang w:eastAsia="en-GB"/>
        </w:rPr>
      </w:pPr>
      <w:r w:rsidRPr="007E4EC7">
        <w:rPr>
          <w:rFonts w:ascii="Verdana" w:eastAsia="Times New Roman" w:hAnsi="Verdana" w:cstheme="minorHAnsi"/>
          <w:b/>
          <w:bCs/>
          <w:color w:val="000000" w:themeColor="text1"/>
          <w:u w:val="single"/>
          <w:lang w:eastAsia="en-GB"/>
        </w:rPr>
        <w:lastRenderedPageBreak/>
        <w:t>Teaching and learning methods</w:t>
      </w:r>
      <w:r>
        <w:rPr>
          <w:rFonts w:ascii="Verdana" w:eastAsia="Times New Roman" w:hAnsi="Verdana" w:cstheme="minorHAnsi"/>
          <w:color w:val="000000" w:themeColor="text1"/>
          <w:lang w:eastAsia="en-GB"/>
        </w:rPr>
        <w:t xml:space="preserve">. </w:t>
      </w:r>
    </w:p>
    <w:p w14:paraId="2822BF2E" w14:textId="09A91496" w:rsidR="009233E7" w:rsidRDefault="004063B5" w:rsidP="00AD1FE8">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t xml:space="preserve">  </w:t>
      </w:r>
    </w:p>
    <w:p w14:paraId="3687623C" w14:textId="6172ACB3" w:rsidR="00912A8D" w:rsidRDefault="00912A8D" w:rsidP="00AD1FE8">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t>Within the case study, three specific areas were highlighted for further investigation. That is the pre-existing educational framework being antagonistic toward SDI, the lack of involvement of the MKO within the SDI, and lastly the lack of genuine collaboration which</w:t>
      </w:r>
      <w:r w:rsidR="00A52019">
        <w:rPr>
          <w:rFonts w:ascii="Verdana" w:eastAsia="Times New Roman" w:hAnsi="Verdana" w:cstheme="minorHAnsi"/>
          <w:color w:val="000000" w:themeColor="text1"/>
          <w:lang w:eastAsia="en-GB"/>
        </w:rPr>
        <w:t xml:space="preserve"> still</w:t>
      </w:r>
      <w:r>
        <w:rPr>
          <w:rFonts w:ascii="Verdana" w:eastAsia="Times New Roman" w:hAnsi="Verdana" w:cstheme="minorHAnsi"/>
          <w:color w:val="000000" w:themeColor="text1"/>
          <w:lang w:eastAsia="en-GB"/>
        </w:rPr>
        <w:t xml:space="preserve"> exists throughout contemporary school settings. In this section of the essay, these three areas will be evaluated and reflected upon. This will then inform future teaching and learning methods.</w:t>
      </w:r>
    </w:p>
    <w:p w14:paraId="23CF02FE" w14:textId="56094701" w:rsidR="00A52019" w:rsidRDefault="00912A8D" w:rsidP="00A5201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To be an educator is to be a practitioner who is constantly </w:t>
      </w:r>
      <w:r w:rsidR="00EC3CD4">
        <w:rPr>
          <w:rFonts w:ascii="Verdana" w:eastAsia="Times New Roman" w:hAnsi="Verdana" w:cstheme="minorHAnsi"/>
          <w:color w:val="000000" w:themeColor="text1"/>
          <w:lang w:eastAsia="en-GB"/>
        </w:rPr>
        <w:t xml:space="preserve">critically </w:t>
      </w:r>
      <w:r>
        <w:rPr>
          <w:rFonts w:ascii="Verdana" w:eastAsia="Times New Roman" w:hAnsi="Verdana" w:cstheme="minorHAnsi"/>
          <w:color w:val="000000" w:themeColor="text1"/>
          <w:lang w:eastAsia="en-GB"/>
        </w:rPr>
        <w:t>reflecting upon their practice and strategizing ways in which they can improve. Teaching, like any other profession, demands that its practitioners constantly evaluate what they do, for the demands of the classroom are forever changing in line with the ever-</w:t>
      </w:r>
      <w:r w:rsidR="00B4655B">
        <w:rPr>
          <w:rFonts w:ascii="Verdana" w:eastAsia="Times New Roman" w:hAnsi="Verdana" w:cstheme="minorHAnsi"/>
          <w:color w:val="000000" w:themeColor="text1"/>
          <w:lang w:eastAsia="en-GB"/>
        </w:rPr>
        <w:t>evolving</w:t>
      </w:r>
      <w:r>
        <w:rPr>
          <w:rFonts w:ascii="Verdana" w:eastAsia="Times New Roman" w:hAnsi="Verdana" w:cstheme="minorHAnsi"/>
          <w:color w:val="000000" w:themeColor="text1"/>
          <w:lang w:eastAsia="en-GB"/>
        </w:rPr>
        <w:t xml:space="preserve"> nature of society (Schon, 1983, p.9).</w:t>
      </w:r>
      <w:r w:rsidR="00DA128B">
        <w:rPr>
          <w:rFonts w:ascii="Verdana" w:eastAsia="Times New Roman" w:hAnsi="Verdana" w:cstheme="minorHAnsi"/>
          <w:color w:val="000000" w:themeColor="text1"/>
          <w:lang w:eastAsia="en-GB"/>
        </w:rPr>
        <w:t xml:space="preserve"> Brookfield (2017) regards reflection as foundational to the teaching profession.</w:t>
      </w:r>
      <w:r>
        <w:rPr>
          <w:rFonts w:ascii="Verdana" w:eastAsia="Times New Roman" w:hAnsi="Verdana" w:cstheme="minorHAnsi"/>
          <w:color w:val="000000" w:themeColor="text1"/>
          <w:lang w:eastAsia="en-GB"/>
        </w:rPr>
        <w:t xml:space="preserve"> Reflection, however, is subjective and there are multiple frameworks which exist to help guide reflection. Tripp’s</w:t>
      </w:r>
      <w:r w:rsidR="00EC3CD4">
        <w:rPr>
          <w:rFonts w:ascii="Verdana" w:eastAsia="Times New Roman" w:hAnsi="Verdana" w:cstheme="minorHAnsi"/>
          <w:color w:val="000000" w:themeColor="text1"/>
          <w:lang w:eastAsia="en-GB"/>
        </w:rPr>
        <w:t xml:space="preserve"> (2011)</w:t>
      </w:r>
      <w:r>
        <w:rPr>
          <w:rFonts w:ascii="Verdana" w:eastAsia="Times New Roman" w:hAnsi="Verdana" w:cstheme="minorHAnsi"/>
          <w:color w:val="000000" w:themeColor="text1"/>
          <w:lang w:eastAsia="en-GB"/>
        </w:rPr>
        <w:t xml:space="preserve"> conception of the critical incident is itself a heuristic designed to provide a framework for educators to identify failures within their practice and to evaluate the mechanisms behind these professional failures.</w:t>
      </w:r>
      <w:r w:rsidR="00326768">
        <w:rPr>
          <w:rFonts w:ascii="Verdana" w:eastAsia="Times New Roman" w:hAnsi="Verdana" w:cstheme="minorHAnsi"/>
          <w:color w:val="000000" w:themeColor="text1"/>
          <w:lang w:eastAsia="en-GB"/>
        </w:rPr>
        <w:t xml:space="preserve"> In addition, there are frameworks which guide how practice can be improved. In this essay, Brookfield’s (2017) four lenses will be used in addition to </w:t>
      </w:r>
      <w:r w:rsidR="0046576E">
        <w:rPr>
          <w:rFonts w:ascii="Verdana" w:eastAsia="Times New Roman" w:hAnsi="Verdana" w:cstheme="minorHAnsi"/>
          <w:color w:val="000000" w:themeColor="text1"/>
          <w:lang w:eastAsia="en-GB"/>
        </w:rPr>
        <w:t>Gibbs’s (</w:t>
      </w:r>
      <w:r w:rsidR="00326768">
        <w:rPr>
          <w:rFonts w:ascii="Verdana" w:eastAsia="Times New Roman" w:hAnsi="Verdana" w:cstheme="minorHAnsi"/>
          <w:color w:val="000000" w:themeColor="text1"/>
          <w:lang w:eastAsia="en-GB"/>
        </w:rPr>
        <w:t>19</w:t>
      </w:r>
      <w:r w:rsidR="00E75CDA">
        <w:rPr>
          <w:rFonts w:ascii="Verdana" w:eastAsia="Times New Roman" w:hAnsi="Verdana" w:cstheme="minorHAnsi"/>
          <w:color w:val="000000" w:themeColor="text1"/>
          <w:lang w:eastAsia="en-GB"/>
        </w:rPr>
        <w:t>98</w:t>
      </w:r>
      <w:r w:rsidR="00326768">
        <w:rPr>
          <w:rFonts w:ascii="Verdana" w:eastAsia="Times New Roman" w:hAnsi="Verdana" w:cstheme="minorHAnsi"/>
          <w:color w:val="000000" w:themeColor="text1"/>
          <w:lang w:eastAsia="en-GB"/>
        </w:rPr>
        <w:t xml:space="preserve">) models of reflective practice. </w:t>
      </w:r>
      <w:r w:rsidR="00A52019">
        <w:rPr>
          <w:rFonts w:ascii="Verdana" w:eastAsia="Times New Roman" w:hAnsi="Verdana" w:cstheme="minorHAnsi"/>
          <w:color w:val="000000" w:themeColor="text1"/>
          <w:lang w:eastAsia="en-GB"/>
        </w:rPr>
        <w:t>I</w:t>
      </w:r>
      <w:r w:rsidR="00EC3CD4">
        <w:rPr>
          <w:rFonts w:ascii="Verdana" w:eastAsia="Times New Roman" w:hAnsi="Verdana" w:cstheme="minorHAnsi"/>
          <w:color w:val="000000" w:themeColor="text1"/>
          <w:lang w:eastAsia="en-GB"/>
        </w:rPr>
        <w:t>t is important to</w:t>
      </w:r>
      <w:r w:rsidR="00326768">
        <w:rPr>
          <w:rFonts w:ascii="Verdana" w:eastAsia="Times New Roman" w:hAnsi="Verdana" w:cstheme="minorHAnsi"/>
          <w:color w:val="000000" w:themeColor="text1"/>
          <w:lang w:eastAsia="en-GB"/>
        </w:rPr>
        <w:t xml:space="preserve"> provide a detailed</w:t>
      </w:r>
      <w:r w:rsidR="00EC3CD4">
        <w:rPr>
          <w:rFonts w:ascii="Verdana" w:eastAsia="Times New Roman" w:hAnsi="Verdana" w:cstheme="minorHAnsi"/>
          <w:color w:val="000000" w:themeColor="text1"/>
          <w:lang w:eastAsia="en-GB"/>
        </w:rPr>
        <w:t xml:space="preserve"> </w:t>
      </w:r>
      <w:r w:rsidR="0046576E">
        <w:rPr>
          <w:rFonts w:ascii="Verdana" w:eastAsia="Times New Roman" w:hAnsi="Verdana" w:cstheme="minorHAnsi"/>
          <w:color w:val="000000" w:themeColor="text1"/>
          <w:lang w:eastAsia="en-GB"/>
        </w:rPr>
        <w:t>layout</w:t>
      </w:r>
      <w:r w:rsidR="00326768">
        <w:rPr>
          <w:rFonts w:ascii="Verdana" w:eastAsia="Times New Roman" w:hAnsi="Verdana" w:cstheme="minorHAnsi"/>
          <w:color w:val="000000" w:themeColor="text1"/>
          <w:lang w:eastAsia="en-GB"/>
        </w:rPr>
        <w:t xml:space="preserve"> of</w:t>
      </w:r>
      <w:r w:rsidR="00EC3CD4">
        <w:rPr>
          <w:rFonts w:ascii="Verdana" w:eastAsia="Times New Roman" w:hAnsi="Verdana" w:cstheme="minorHAnsi"/>
          <w:color w:val="000000" w:themeColor="text1"/>
          <w:lang w:eastAsia="en-GB"/>
        </w:rPr>
        <w:t xml:space="preserve"> the method(s) of reflection which will be used to evaluate the critical incident.</w:t>
      </w:r>
      <w:r w:rsidR="00741CCE">
        <w:rPr>
          <w:rFonts w:ascii="Verdana" w:eastAsia="Times New Roman" w:hAnsi="Verdana" w:cstheme="minorHAnsi"/>
          <w:color w:val="000000" w:themeColor="text1"/>
          <w:lang w:eastAsia="en-GB"/>
        </w:rPr>
        <w:t xml:space="preserve"> </w:t>
      </w:r>
    </w:p>
    <w:p w14:paraId="139F7DCB" w14:textId="0FC0EB92" w:rsidR="002725D0" w:rsidRDefault="00741CCE" w:rsidP="00A5201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Beginning with Brookfield (2017, p.62), this approach invites practitioners to assess their practice from multiple angles - from the student’s perspective, from colleagues’ perspective, personal experience and from theory. Of most importance to this essay is the student’s perception and theory given that the critical incident was observed in initial teacher training </w:t>
      </w:r>
      <w:r w:rsidR="00BF2036">
        <w:rPr>
          <w:rFonts w:ascii="Verdana" w:eastAsia="Times New Roman" w:hAnsi="Verdana" w:cstheme="minorHAnsi"/>
          <w:color w:val="000000" w:themeColor="text1"/>
          <w:lang w:eastAsia="en-GB"/>
        </w:rPr>
        <w:t>which</w:t>
      </w:r>
      <w:r>
        <w:rPr>
          <w:rFonts w:ascii="Verdana" w:eastAsia="Times New Roman" w:hAnsi="Verdana" w:cstheme="minorHAnsi"/>
          <w:color w:val="000000" w:themeColor="text1"/>
          <w:lang w:eastAsia="en-GB"/>
        </w:rPr>
        <w:t xml:space="preserve"> makes evaluating personal experience and </w:t>
      </w:r>
      <w:r w:rsidR="00BF2036">
        <w:rPr>
          <w:rFonts w:ascii="Verdana" w:eastAsia="Times New Roman" w:hAnsi="Verdana" w:cstheme="minorHAnsi"/>
          <w:color w:val="000000" w:themeColor="text1"/>
          <w:lang w:eastAsia="en-GB"/>
        </w:rPr>
        <w:t>colleagues’</w:t>
      </w:r>
      <w:r>
        <w:rPr>
          <w:rFonts w:ascii="Verdana" w:eastAsia="Times New Roman" w:hAnsi="Verdana" w:cstheme="minorHAnsi"/>
          <w:color w:val="000000" w:themeColor="text1"/>
          <w:lang w:eastAsia="en-GB"/>
        </w:rPr>
        <w:t xml:space="preserve"> perception redundant. </w:t>
      </w:r>
      <w:r w:rsidR="00B4655B">
        <w:rPr>
          <w:rFonts w:ascii="Verdana" w:eastAsia="Times New Roman" w:hAnsi="Verdana" w:cstheme="minorHAnsi"/>
          <w:color w:val="000000" w:themeColor="text1"/>
          <w:lang w:eastAsia="en-GB"/>
        </w:rPr>
        <w:t>Looking from</w:t>
      </w:r>
      <w:r w:rsidR="008F49A0">
        <w:rPr>
          <w:rFonts w:ascii="Verdana" w:eastAsia="Times New Roman" w:hAnsi="Verdana" w:cstheme="minorHAnsi"/>
          <w:color w:val="000000" w:themeColor="text1"/>
          <w:lang w:eastAsia="en-GB"/>
        </w:rPr>
        <w:t xml:space="preserve"> the student’s perspective </w:t>
      </w:r>
      <w:r w:rsidR="008F49A0">
        <w:rPr>
          <w:rFonts w:ascii="Verdana" w:eastAsia="Times New Roman" w:hAnsi="Verdana" w:cstheme="minorHAnsi"/>
          <w:color w:val="000000" w:themeColor="text1"/>
          <w:lang w:eastAsia="en-GB"/>
        </w:rPr>
        <w:lastRenderedPageBreak/>
        <w:t xml:space="preserve">entails evaluating how </w:t>
      </w:r>
      <w:r w:rsidR="00B4655B">
        <w:rPr>
          <w:rFonts w:ascii="Verdana" w:eastAsia="Times New Roman" w:hAnsi="Verdana" w:cstheme="minorHAnsi"/>
          <w:color w:val="000000" w:themeColor="text1"/>
          <w:lang w:eastAsia="en-GB"/>
        </w:rPr>
        <w:t>learners react to certain methods, intending to gather feedback to inform future methods (Brookfield, 2017, p.63</w:t>
      </w:r>
      <w:r w:rsidR="00A52019">
        <w:rPr>
          <w:rFonts w:ascii="Verdana" w:eastAsia="Times New Roman" w:hAnsi="Verdana" w:cstheme="minorHAnsi"/>
          <w:color w:val="000000" w:themeColor="text1"/>
          <w:lang w:eastAsia="en-GB"/>
        </w:rPr>
        <w:t>)</w:t>
      </w:r>
      <w:r w:rsidR="00B4655B">
        <w:rPr>
          <w:rFonts w:ascii="Verdana" w:eastAsia="Times New Roman" w:hAnsi="Verdana" w:cstheme="minorHAnsi"/>
          <w:color w:val="000000" w:themeColor="text1"/>
          <w:lang w:eastAsia="en-GB"/>
        </w:rPr>
        <w:t>. Of deep importance is the way educators react to feedback. If when an educator is presented with critical feedback they jump to a defensive stance, then they are missing an opportunity to see the practical effect of their methods. Instead, practitioners should seek to glean how their learners have responded to certain methods regularly</w:t>
      </w:r>
      <w:r w:rsidR="00A52019">
        <w:rPr>
          <w:rFonts w:ascii="Verdana" w:eastAsia="Times New Roman" w:hAnsi="Verdana" w:cstheme="minorHAnsi"/>
          <w:color w:val="000000" w:themeColor="text1"/>
          <w:lang w:eastAsia="en-GB"/>
        </w:rPr>
        <w:t xml:space="preserve"> and anonymously</w:t>
      </w:r>
      <w:r w:rsidR="00B4655B">
        <w:rPr>
          <w:rFonts w:ascii="Verdana" w:eastAsia="Times New Roman" w:hAnsi="Verdana" w:cstheme="minorHAnsi"/>
          <w:color w:val="000000" w:themeColor="text1"/>
          <w:lang w:eastAsia="en-GB"/>
        </w:rPr>
        <w:t xml:space="preserve">, using that information as a basis </w:t>
      </w:r>
      <w:r w:rsidR="00A52019">
        <w:rPr>
          <w:rFonts w:ascii="Verdana" w:eastAsia="Times New Roman" w:hAnsi="Verdana" w:cstheme="minorHAnsi"/>
          <w:color w:val="000000" w:themeColor="text1"/>
          <w:lang w:eastAsia="en-GB"/>
        </w:rPr>
        <w:t>for</w:t>
      </w:r>
      <w:r w:rsidR="00B4655B">
        <w:rPr>
          <w:rFonts w:ascii="Verdana" w:eastAsia="Times New Roman" w:hAnsi="Verdana" w:cstheme="minorHAnsi"/>
          <w:color w:val="000000" w:themeColor="text1"/>
          <w:lang w:eastAsia="en-GB"/>
        </w:rPr>
        <w:t xml:space="preserve"> future practice</w:t>
      </w:r>
      <w:r w:rsidR="00A52019">
        <w:rPr>
          <w:rFonts w:ascii="Verdana" w:eastAsia="Times New Roman" w:hAnsi="Verdana" w:cstheme="minorHAnsi"/>
          <w:color w:val="000000" w:themeColor="text1"/>
          <w:lang w:eastAsia="en-GB"/>
        </w:rPr>
        <w:t xml:space="preserve"> (Brookfield, 2017, p.65)</w:t>
      </w:r>
      <w:r w:rsidR="00B4655B">
        <w:rPr>
          <w:rFonts w:ascii="Verdana" w:eastAsia="Times New Roman" w:hAnsi="Verdana" w:cstheme="minorHAnsi"/>
          <w:color w:val="000000" w:themeColor="text1"/>
          <w:lang w:eastAsia="en-GB"/>
        </w:rPr>
        <w:t xml:space="preserve">. </w:t>
      </w:r>
      <w:r w:rsidR="00A52019">
        <w:rPr>
          <w:rFonts w:ascii="Verdana" w:eastAsia="Times New Roman" w:hAnsi="Verdana" w:cstheme="minorHAnsi"/>
          <w:color w:val="000000" w:themeColor="text1"/>
          <w:lang w:eastAsia="en-GB"/>
        </w:rPr>
        <w:t>Theory as a lens of reflection is of deep significance as it is through theory that educators can gain a “coherent and comprehensive” account of issues that are foundational to the profession. Reading and engaging with theory allows practitioners to see past their isolationism and “broadens our understandings and forces us to reappraise old assumptions” (Brookfield, 2017, p. 175).</w:t>
      </w:r>
    </w:p>
    <w:p w14:paraId="771A09C4" w14:textId="5E18F539" w:rsidR="00FA33D7" w:rsidRDefault="00457EDD" w:rsidP="00A5201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Next, Gibb’s (2013) reflective cycle comprises six distinct stages of the experiential learning cycle. That is the initial experience, a description of how this made us feel, an evaluation of the experience, an analysis of the experience, a conclusion and finally an action plan whereby future steps are laid out (Gibbs, 2013, p.50). Within the essay, the initial experience was described, and an evaluation and an analysis were made where it was concluded that three issues were underpinning the critical incident. Subsequently, in conjunction with the two lenses of Brookfield - students’ perception and theory - an action plan will be made whereby reflection will take place on which teaching and learning methods would be better to use in the future. </w:t>
      </w:r>
    </w:p>
    <w:p w14:paraId="4AA0A403" w14:textId="77777777" w:rsidR="00FA33D7" w:rsidRDefault="00FA33D7" w:rsidP="00A52019">
      <w:pPr>
        <w:spacing w:line="360" w:lineRule="auto"/>
        <w:ind w:firstLine="720"/>
        <w:jc w:val="both"/>
        <w:rPr>
          <w:rFonts w:ascii="Verdana" w:eastAsia="Times New Roman" w:hAnsi="Verdana" w:cstheme="minorHAnsi"/>
          <w:color w:val="000000" w:themeColor="text1"/>
          <w:lang w:eastAsia="en-GB"/>
        </w:rPr>
      </w:pPr>
    </w:p>
    <w:p w14:paraId="7B8BB6B7" w14:textId="5F28FE83" w:rsidR="00E75CDA" w:rsidRDefault="00E75CDA" w:rsidP="00E75CDA">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Firstly, it was identified that the educational setting of the critical incident was antagonistic toward SDI. In summing this up it was argued that the teacher’s use of didactic teaching methods, throughout the majority of other lessons, created a learning environment which was too </w:t>
      </w:r>
      <w:proofErr w:type="gramStart"/>
      <w:r>
        <w:rPr>
          <w:rFonts w:ascii="Verdana" w:eastAsia="Times New Roman" w:hAnsi="Verdana" w:cstheme="minorHAnsi"/>
          <w:color w:val="000000" w:themeColor="text1"/>
          <w:lang w:eastAsia="en-GB"/>
        </w:rPr>
        <w:t>teacher-centric</w:t>
      </w:r>
      <w:proofErr w:type="gramEnd"/>
      <w:r>
        <w:rPr>
          <w:rFonts w:ascii="Verdana" w:eastAsia="Times New Roman" w:hAnsi="Verdana" w:cstheme="minorHAnsi"/>
          <w:color w:val="000000" w:themeColor="text1"/>
          <w:lang w:eastAsia="en-GB"/>
        </w:rPr>
        <w:t xml:space="preserve">. Using Brookfield’s (2013) lens of the students provides important insight here. From the perspective of the students, this was </w:t>
      </w:r>
      <w:r>
        <w:rPr>
          <w:rFonts w:ascii="Verdana" w:eastAsia="Times New Roman" w:hAnsi="Verdana" w:cstheme="minorHAnsi"/>
          <w:color w:val="000000" w:themeColor="text1"/>
          <w:lang w:eastAsia="en-GB"/>
        </w:rPr>
        <w:lastRenderedPageBreak/>
        <w:t>something almost alien to their conception of learning. Placing an expectation on the learners to automatically understand the value of SDI, and to be able to effectively use SDI, was almost setting them up to fail. Linking this to theory it could be argued that</w:t>
      </w:r>
      <w:r w:rsidR="00EC0961">
        <w:rPr>
          <w:rFonts w:ascii="Verdana" w:eastAsia="Times New Roman" w:hAnsi="Verdana" w:cstheme="minorHAnsi"/>
          <w:color w:val="000000" w:themeColor="text1"/>
          <w:lang w:eastAsia="en-GB"/>
        </w:rPr>
        <w:t xml:space="preserve"> </w:t>
      </w:r>
      <w:r w:rsidR="00E102C1">
        <w:rPr>
          <w:rFonts w:ascii="Verdana" w:eastAsia="Times New Roman" w:hAnsi="Verdana" w:cstheme="minorHAnsi"/>
          <w:color w:val="000000" w:themeColor="text1"/>
          <w:lang w:eastAsia="en-GB"/>
        </w:rPr>
        <w:t>the</w:t>
      </w:r>
      <w:r w:rsidR="00AB785E">
        <w:rPr>
          <w:rFonts w:ascii="Verdana" w:eastAsia="Times New Roman" w:hAnsi="Verdana" w:cstheme="minorHAnsi"/>
          <w:color w:val="000000" w:themeColor="text1"/>
          <w:lang w:eastAsia="en-GB"/>
        </w:rPr>
        <w:t xml:space="preserve">re was an insufficient level of scaffolding to support the learners. </w:t>
      </w:r>
      <w:proofErr w:type="spellStart"/>
      <w:r w:rsidR="00AB785E">
        <w:rPr>
          <w:rFonts w:ascii="Verdana" w:eastAsia="Times New Roman" w:hAnsi="Verdana" w:cstheme="minorHAnsi"/>
          <w:color w:val="000000" w:themeColor="text1"/>
          <w:lang w:eastAsia="en-GB"/>
        </w:rPr>
        <w:t>Mariani</w:t>
      </w:r>
      <w:proofErr w:type="spellEnd"/>
      <w:r w:rsidR="00AB785E">
        <w:rPr>
          <w:rFonts w:ascii="Verdana" w:eastAsia="Times New Roman" w:hAnsi="Verdana" w:cstheme="minorHAnsi"/>
          <w:color w:val="000000" w:themeColor="text1"/>
          <w:lang w:eastAsia="en-GB"/>
        </w:rPr>
        <w:t xml:space="preserve"> (1997) explains that the support educators provide </w:t>
      </w:r>
      <w:r w:rsidR="00C73B83">
        <w:rPr>
          <w:rFonts w:ascii="Verdana" w:eastAsia="Times New Roman" w:hAnsi="Verdana" w:cstheme="minorHAnsi"/>
          <w:color w:val="000000" w:themeColor="text1"/>
          <w:lang w:eastAsia="en-GB"/>
        </w:rPr>
        <w:t>does a</w:t>
      </w:r>
      <w:r w:rsidR="00AB785E">
        <w:rPr>
          <w:rFonts w:ascii="Verdana" w:eastAsia="Times New Roman" w:hAnsi="Verdana" w:cstheme="minorHAnsi"/>
          <w:color w:val="000000" w:themeColor="text1"/>
          <w:lang w:eastAsia="en-GB"/>
        </w:rPr>
        <w:t xml:space="preserve"> great deal in alleviating the frustration</w:t>
      </w:r>
      <w:r w:rsidR="00C73B83">
        <w:rPr>
          <w:rFonts w:ascii="Verdana" w:eastAsia="Times New Roman" w:hAnsi="Verdana" w:cstheme="minorHAnsi"/>
          <w:color w:val="000000" w:themeColor="text1"/>
          <w:lang w:eastAsia="en-GB"/>
        </w:rPr>
        <w:t xml:space="preserve"> learners often experience</w:t>
      </w:r>
      <w:r w:rsidR="00AB785E">
        <w:rPr>
          <w:rFonts w:ascii="Verdana" w:eastAsia="Times New Roman" w:hAnsi="Verdana" w:cstheme="minorHAnsi"/>
          <w:color w:val="000000" w:themeColor="text1"/>
          <w:lang w:eastAsia="en-GB"/>
        </w:rPr>
        <w:t xml:space="preserve"> associated with highly challenging work. In this c</w:t>
      </w:r>
      <w:r w:rsidR="00C73B83">
        <w:rPr>
          <w:rFonts w:ascii="Verdana" w:eastAsia="Times New Roman" w:hAnsi="Verdana" w:cstheme="minorHAnsi"/>
          <w:color w:val="000000" w:themeColor="text1"/>
          <w:lang w:eastAsia="en-GB"/>
        </w:rPr>
        <w:t>ase, there was a clear lack of modelling from the teacher and for the method to have worked extensive scaffolding would be required.</w:t>
      </w:r>
    </w:p>
    <w:p w14:paraId="42B8E0E6" w14:textId="4B5397A3" w:rsidR="00C73B83" w:rsidRDefault="00C73B83" w:rsidP="00E75CDA">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This can be linked to the second issue identified in the case study - the lack of involvement from the MKO within the SDI. </w:t>
      </w:r>
      <w:r w:rsidR="000A44FB">
        <w:rPr>
          <w:rFonts w:ascii="Verdana" w:eastAsia="Times New Roman" w:hAnsi="Verdana" w:cstheme="minorHAnsi"/>
          <w:color w:val="000000" w:themeColor="text1"/>
          <w:lang w:eastAsia="en-GB"/>
        </w:rPr>
        <w:t xml:space="preserve">Upon reflection, arguably, the teacher ought to have introduced the task as a teacher-student-student interaction whereby the teacher could effectively model what an SDI is meant to look like, with the whole class, checking for full understanding through feedback. Once this was satisfied, it would have been safe to remove </w:t>
      </w:r>
      <w:r w:rsidR="00CE0BFA">
        <w:rPr>
          <w:rFonts w:ascii="Verdana" w:eastAsia="Times New Roman" w:hAnsi="Verdana" w:cstheme="minorHAnsi"/>
          <w:color w:val="000000" w:themeColor="text1"/>
          <w:lang w:eastAsia="en-GB"/>
        </w:rPr>
        <w:t xml:space="preserve">the </w:t>
      </w:r>
      <w:r w:rsidR="000A44FB">
        <w:rPr>
          <w:rFonts w:ascii="Verdana" w:eastAsia="Times New Roman" w:hAnsi="Verdana" w:cstheme="minorHAnsi"/>
          <w:color w:val="000000" w:themeColor="text1"/>
          <w:lang w:eastAsia="en-GB"/>
        </w:rPr>
        <w:t>scaffolding and allow the learners to approach the SDI more independently.</w:t>
      </w:r>
      <w:r w:rsidR="00CE0BFA">
        <w:rPr>
          <w:rFonts w:ascii="Verdana" w:eastAsia="Times New Roman" w:hAnsi="Verdana" w:cstheme="minorHAnsi"/>
          <w:color w:val="000000" w:themeColor="text1"/>
          <w:lang w:eastAsia="en-GB"/>
        </w:rPr>
        <w:t xml:space="preserve"> However, it is not enough to effectively model the expectations for the SDI, if the relationship between the MKO and the learners is not built on solid foundations. Linking the perspective of the learner here to theory, Watson (2018) explicitly argues that to get the most out of teaching methods a strong relationship must exist between teacher and learner(s). </w:t>
      </w:r>
    </w:p>
    <w:p w14:paraId="60ED23DA" w14:textId="50CDC5F7" w:rsidR="00A911AA" w:rsidRDefault="00A911AA" w:rsidP="00E75CDA">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Lastly, it was argued that the collaborative elements of the SDI were not strong enough.</w:t>
      </w:r>
      <w:r w:rsidR="0037270B">
        <w:rPr>
          <w:rFonts w:ascii="Verdana" w:eastAsia="Times New Roman" w:hAnsi="Verdana" w:cstheme="minorHAnsi"/>
          <w:color w:val="000000" w:themeColor="text1"/>
          <w:lang w:eastAsia="en-GB"/>
        </w:rPr>
        <w:t xml:space="preserve"> </w:t>
      </w:r>
      <w:r w:rsidR="00FA23BC">
        <w:rPr>
          <w:rFonts w:ascii="Verdana" w:eastAsia="Times New Roman" w:hAnsi="Verdana" w:cstheme="minorHAnsi"/>
          <w:color w:val="000000" w:themeColor="text1"/>
          <w:lang w:eastAsia="en-GB"/>
        </w:rPr>
        <w:t>This was seen as a</w:t>
      </w:r>
      <w:r w:rsidR="00796E4D">
        <w:rPr>
          <w:rFonts w:ascii="Verdana" w:eastAsia="Times New Roman" w:hAnsi="Verdana" w:cstheme="minorHAnsi"/>
          <w:color w:val="000000" w:themeColor="text1"/>
          <w:lang w:eastAsia="en-GB"/>
        </w:rPr>
        <w:t xml:space="preserve"> general</w:t>
      </w:r>
      <w:r w:rsidR="00FA23BC">
        <w:rPr>
          <w:rFonts w:ascii="Verdana" w:eastAsia="Times New Roman" w:hAnsi="Verdana" w:cstheme="minorHAnsi"/>
          <w:color w:val="000000" w:themeColor="text1"/>
          <w:lang w:eastAsia="en-GB"/>
        </w:rPr>
        <w:t xml:space="preserve"> issue with contemporary education - that collaboration tends to be dominated by the teacher. </w:t>
      </w:r>
      <w:r w:rsidR="00796E4D">
        <w:rPr>
          <w:rFonts w:ascii="Verdana" w:eastAsia="Times New Roman" w:hAnsi="Verdana" w:cstheme="minorHAnsi"/>
          <w:color w:val="000000" w:themeColor="text1"/>
          <w:lang w:eastAsia="en-GB"/>
        </w:rPr>
        <w:t>As previously pointed out this negates the idea that students are co-constructors of knowledge and reinforces the idea that learners are passive. An alternative to this, grounded in theory, comes from Giroux (</w:t>
      </w:r>
      <w:r w:rsidR="00796E4D">
        <w:rPr>
          <w:rFonts w:ascii="Verdana" w:eastAsia="Times New Roman" w:hAnsi="Verdana" w:cstheme="minorHAnsi"/>
          <w:color w:val="000000" w:themeColor="text1"/>
          <w:lang w:eastAsia="en-GB"/>
        </w:rPr>
        <w:t>1978)</w:t>
      </w:r>
      <w:r w:rsidR="00796E4D">
        <w:rPr>
          <w:rFonts w:ascii="Verdana" w:eastAsia="Times New Roman" w:hAnsi="Verdana" w:cstheme="minorHAnsi"/>
          <w:color w:val="000000" w:themeColor="text1"/>
          <w:lang w:eastAsia="en-GB"/>
        </w:rPr>
        <w:t>.</w:t>
      </w:r>
      <w:r w:rsidR="00796E4D">
        <w:rPr>
          <w:rFonts w:ascii="Verdana" w:eastAsia="Times New Roman" w:hAnsi="Verdana" w:cstheme="minorHAnsi"/>
          <w:color w:val="000000" w:themeColor="text1"/>
          <w:lang w:eastAsia="en-GB"/>
        </w:rPr>
        <w:t xml:space="preserve"> Giroux elaborates on a concept known as proctoring. Acknowledging the lack of collaboration as a distinct feature of the hidden curriculum Giroux</w:t>
      </w:r>
      <w:r w:rsidR="00C840AC">
        <w:rPr>
          <w:rFonts w:ascii="Verdana" w:eastAsia="Times New Roman" w:hAnsi="Verdana" w:cstheme="minorHAnsi"/>
          <w:color w:val="000000" w:themeColor="text1"/>
          <w:lang w:eastAsia="en-GB"/>
        </w:rPr>
        <w:t xml:space="preserve"> (1978, p.149)</w:t>
      </w:r>
      <w:r w:rsidR="00796E4D">
        <w:rPr>
          <w:rFonts w:ascii="Verdana" w:eastAsia="Times New Roman" w:hAnsi="Verdana" w:cstheme="minorHAnsi"/>
          <w:color w:val="000000" w:themeColor="text1"/>
          <w:lang w:eastAsia="en-GB"/>
        </w:rPr>
        <w:t xml:space="preserve"> argues that this causes learners to be “consumers of pre-cooked knowledge” simply just taking in information in “an uncritical and </w:t>
      </w:r>
      <w:r w:rsidR="00796E4D">
        <w:rPr>
          <w:rFonts w:ascii="Verdana" w:eastAsia="Times New Roman" w:hAnsi="Verdana" w:cstheme="minorHAnsi"/>
          <w:color w:val="000000" w:themeColor="text1"/>
          <w:lang w:eastAsia="en-GB"/>
        </w:rPr>
        <w:lastRenderedPageBreak/>
        <w:t>passive manner”.</w:t>
      </w:r>
      <w:r w:rsidR="00F60494">
        <w:rPr>
          <w:rFonts w:ascii="Verdana" w:eastAsia="Times New Roman" w:hAnsi="Verdana" w:cstheme="minorHAnsi"/>
          <w:color w:val="000000" w:themeColor="text1"/>
          <w:lang w:eastAsia="en-GB"/>
        </w:rPr>
        <w:t xml:space="preserve"> </w:t>
      </w:r>
      <w:r w:rsidR="00C65D96">
        <w:rPr>
          <w:rFonts w:ascii="Verdana" w:eastAsia="Times New Roman" w:hAnsi="Verdana" w:cstheme="minorHAnsi"/>
          <w:color w:val="000000" w:themeColor="text1"/>
          <w:lang w:eastAsia="en-GB"/>
        </w:rPr>
        <w:t xml:space="preserve">The proctor comes in as a more talented and able member of the class who acts in a “leadership role” role, providing support for those who may struggle with certain tasks. This method is well-suited toward SDI, as it builds collaboration through “diffusing classroom power along horizontal lines”. One may go a step further and argue that this could be enhanced by implementing an element of vertical tutoring to proctoring. This would entail older, more experienced students who’ve had great success with SDI, modelling how to engage successfully with SDI to younger, less experienced learners. </w:t>
      </w:r>
    </w:p>
    <w:p w14:paraId="5AE392A4" w14:textId="677D7B50" w:rsidR="00A469CA" w:rsidRPr="0037270B" w:rsidRDefault="00A469CA" w:rsidP="00AD1FE8">
      <w:pPr>
        <w:spacing w:line="360" w:lineRule="auto"/>
        <w:jc w:val="both"/>
        <w:rPr>
          <w:rFonts w:ascii="Verdana" w:eastAsia="Times New Roman" w:hAnsi="Verdana" w:cstheme="minorHAnsi"/>
          <w:b/>
          <w:bCs/>
          <w:color w:val="000000" w:themeColor="text1"/>
          <w:u w:val="single"/>
          <w:lang w:eastAsia="en-GB"/>
        </w:rPr>
      </w:pPr>
    </w:p>
    <w:p w14:paraId="53F08ED1" w14:textId="39F6521C" w:rsidR="00A469CA" w:rsidRPr="0037270B" w:rsidRDefault="0037270B" w:rsidP="00AD1FE8">
      <w:pPr>
        <w:spacing w:line="360" w:lineRule="auto"/>
        <w:jc w:val="both"/>
        <w:rPr>
          <w:rFonts w:ascii="Verdana" w:eastAsia="Times New Roman" w:hAnsi="Verdana" w:cstheme="minorHAnsi"/>
          <w:b/>
          <w:bCs/>
          <w:color w:val="000000" w:themeColor="text1"/>
          <w:u w:val="single"/>
          <w:lang w:eastAsia="en-GB"/>
        </w:rPr>
      </w:pPr>
      <w:r w:rsidRPr="0037270B">
        <w:rPr>
          <w:rFonts w:ascii="Verdana" w:eastAsia="Times New Roman" w:hAnsi="Verdana" w:cstheme="minorHAnsi"/>
          <w:b/>
          <w:bCs/>
          <w:color w:val="000000" w:themeColor="text1"/>
          <w:u w:val="single"/>
          <w:lang w:eastAsia="en-GB"/>
        </w:rPr>
        <w:t>Discussion:</w:t>
      </w:r>
    </w:p>
    <w:p w14:paraId="39B8DC15" w14:textId="1348994F" w:rsidR="0037270B" w:rsidRDefault="0037270B" w:rsidP="006B0460">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The discussion section will </w:t>
      </w:r>
      <w:proofErr w:type="gramStart"/>
      <w:r>
        <w:rPr>
          <w:rFonts w:ascii="Verdana" w:eastAsia="Times New Roman" w:hAnsi="Verdana" w:cstheme="minorHAnsi"/>
          <w:color w:val="000000" w:themeColor="text1"/>
          <w:lang w:eastAsia="en-GB"/>
        </w:rPr>
        <w:t>be dedicated to providing</w:t>
      </w:r>
      <w:proofErr w:type="gramEnd"/>
      <w:r>
        <w:rPr>
          <w:rFonts w:ascii="Verdana" w:eastAsia="Times New Roman" w:hAnsi="Verdana" w:cstheme="minorHAnsi"/>
          <w:color w:val="000000" w:themeColor="text1"/>
          <w:lang w:eastAsia="en-GB"/>
        </w:rPr>
        <w:t xml:space="preserve"> an action plan centred on what this analysis of the critical incident means for my teaching practice as a student teacher going forward. </w:t>
      </w:r>
    </w:p>
    <w:p w14:paraId="5A0DCD5C" w14:textId="78611D5D" w:rsidR="00EA301F" w:rsidRDefault="006B0460" w:rsidP="00EA301F">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Firstly, SDI as a teaching method has the capacity to lead to positive educational outcomes when implemented with the correct conditions. As a teacher, I will seek to base my pedagogy on social constructivist theory treating the learners around me not as beacons waiting to receive, but as active participants within a learning environment which seeks to co-construct knowledge. In my teaching practice, this means I will carefully scaffold dialogic interactions guiding learners as an MKO.</w:t>
      </w:r>
      <w:r w:rsidR="00486BC4">
        <w:rPr>
          <w:rFonts w:ascii="Verdana" w:eastAsia="Times New Roman" w:hAnsi="Verdana" w:cstheme="minorHAnsi"/>
          <w:color w:val="000000" w:themeColor="text1"/>
          <w:lang w:eastAsia="en-GB"/>
        </w:rPr>
        <w:t xml:space="preserve"> Being mindful of their relative zone of proximal development, I will aim to provide the necessary support when needed, eventually allowing learners to become more independent.</w:t>
      </w:r>
      <w:r>
        <w:rPr>
          <w:rFonts w:ascii="Verdana" w:eastAsia="Times New Roman" w:hAnsi="Verdana" w:cstheme="minorHAnsi"/>
          <w:color w:val="000000" w:themeColor="text1"/>
          <w:lang w:eastAsia="en-GB"/>
        </w:rPr>
        <w:t xml:space="preserve"> I will strive to provide a truly collaborative environment within my classroom. </w:t>
      </w:r>
      <w:r w:rsidR="00486BC4">
        <w:rPr>
          <w:rFonts w:ascii="Verdana" w:eastAsia="Times New Roman" w:hAnsi="Verdana" w:cstheme="minorHAnsi"/>
          <w:color w:val="000000" w:themeColor="text1"/>
          <w:lang w:eastAsia="en-GB"/>
        </w:rPr>
        <w:t>Firstly,</w:t>
      </w:r>
      <w:r>
        <w:rPr>
          <w:rFonts w:ascii="Verdana" w:eastAsia="Times New Roman" w:hAnsi="Verdana" w:cstheme="minorHAnsi"/>
          <w:color w:val="000000" w:themeColor="text1"/>
          <w:lang w:eastAsia="en-GB"/>
        </w:rPr>
        <w:t xml:space="preserve"> by clearly modelling what is expected of learners when engaging in SDI, through a whole class discussion and dialogue</w:t>
      </w:r>
      <w:r w:rsidR="00486BC4">
        <w:rPr>
          <w:rFonts w:ascii="Verdana" w:eastAsia="Times New Roman" w:hAnsi="Verdana" w:cstheme="minorHAnsi"/>
          <w:color w:val="000000" w:themeColor="text1"/>
          <w:lang w:eastAsia="en-GB"/>
        </w:rPr>
        <w:t>. Here ground rules for discussions will be set and the benefits and aim of interactions will be explained</w:t>
      </w:r>
      <w:r>
        <w:rPr>
          <w:rFonts w:ascii="Verdana" w:eastAsia="Times New Roman" w:hAnsi="Verdana" w:cstheme="minorHAnsi"/>
          <w:color w:val="000000" w:themeColor="text1"/>
          <w:lang w:eastAsia="en-GB"/>
        </w:rPr>
        <w:t xml:space="preserve">. </w:t>
      </w:r>
      <w:r w:rsidR="00486BC4">
        <w:rPr>
          <w:rFonts w:ascii="Verdana" w:eastAsia="Times New Roman" w:hAnsi="Verdana" w:cstheme="minorHAnsi"/>
          <w:color w:val="000000" w:themeColor="text1"/>
          <w:lang w:eastAsia="en-GB"/>
        </w:rPr>
        <w:t xml:space="preserve">Once there has been development among learners they will gain more autonomy and discussions will be between groups or pairs as opposed to as a whole class. </w:t>
      </w:r>
      <w:r w:rsidR="00B6400D">
        <w:rPr>
          <w:rFonts w:ascii="Verdana" w:eastAsia="Times New Roman" w:hAnsi="Verdana" w:cstheme="minorHAnsi"/>
          <w:color w:val="000000" w:themeColor="text1"/>
          <w:lang w:eastAsia="en-GB"/>
        </w:rPr>
        <w:t xml:space="preserve">The ultimate ambition would be to help generate a group of proctors who are proficient in facilitating successful SDIs. </w:t>
      </w:r>
      <w:r w:rsidR="00EA301F">
        <w:rPr>
          <w:rFonts w:ascii="Verdana" w:eastAsia="Times New Roman" w:hAnsi="Verdana" w:cstheme="minorHAnsi"/>
          <w:color w:val="000000" w:themeColor="text1"/>
          <w:lang w:eastAsia="en-GB"/>
        </w:rPr>
        <w:t xml:space="preserve">This is labelled an ultimate ambition as it </w:t>
      </w:r>
      <w:r w:rsidR="00EA301F">
        <w:rPr>
          <w:rFonts w:ascii="Verdana" w:eastAsia="Times New Roman" w:hAnsi="Verdana" w:cstheme="minorHAnsi"/>
          <w:color w:val="000000" w:themeColor="text1"/>
          <w:lang w:eastAsia="en-GB"/>
        </w:rPr>
        <w:lastRenderedPageBreak/>
        <w:t xml:space="preserve">would take </w:t>
      </w:r>
      <w:proofErr w:type="gramStart"/>
      <w:r w:rsidR="00EA301F">
        <w:rPr>
          <w:rFonts w:ascii="Verdana" w:eastAsia="Times New Roman" w:hAnsi="Verdana" w:cstheme="minorHAnsi"/>
          <w:color w:val="000000" w:themeColor="text1"/>
          <w:lang w:eastAsia="en-GB"/>
        </w:rPr>
        <w:t>a number of</w:t>
      </w:r>
      <w:proofErr w:type="gramEnd"/>
      <w:r w:rsidR="00EA301F">
        <w:rPr>
          <w:rFonts w:ascii="Verdana" w:eastAsia="Times New Roman" w:hAnsi="Verdana" w:cstheme="minorHAnsi"/>
          <w:color w:val="000000" w:themeColor="text1"/>
          <w:lang w:eastAsia="en-GB"/>
        </w:rPr>
        <w:t xml:space="preserve"> years necessitating the teacher being constant in their education from year 7 to year 10, perhaps 11 before they are able to become proficient. The benefits of this however far outweigh the difficulties. As mentioned earlier this would help to start to reduce hierarchies within the classroom evening the inherent power imbalances within the classroom toward learners.</w:t>
      </w:r>
    </w:p>
    <w:p w14:paraId="40B066A2" w14:textId="1CA07CA7" w:rsidR="00EA301F" w:rsidRDefault="00726882" w:rsidP="00EA301F">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Moving now toward the practical application of SDI within my subject area humanities. Despite the critical incident pertaining </w:t>
      </w:r>
      <w:r w:rsidR="00475682">
        <w:rPr>
          <w:rFonts w:ascii="Verdana" w:eastAsia="Times New Roman" w:hAnsi="Verdana" w:cstheme="minorHAnsi"/>
          <w:color w:val="000000" w:themeColor="text1"/>
          <w:lang w:eastAsia="en-GB"/>
        </w:rPr>
        <w:t xml:space="preserve">to an English classroom, SDI has multiple applications. Kramer (2001, p.65) explains the validity within the humanities setting </w:t>
      </w:r>
      <w:r w:rsidR="00565FC3">
        <w:rPr>
          <w:rFonts w:ascii="Verdana" w:eastAsia="Times New Roman" w:hAnsi="Verdana" w:cstheme="minorHAnsi"/>
          <w:color w:val="000000" w:themeColor="text1"/>
          <w:lang w:eastAsia="en-GB"/>
        </w:rPr>
        <w:t>explaining</w:t>
      </w:r>
      <w:r w:rsidR="00475682">
        <w:rPr>
          <w:rFonts w:ascii="Verdana" w:eastAsia="Times New Roman" w:hAnsi="Verdana" w:cstheme="minorHAnsi"/>
          <w:color w:val="000000" w:themeColor="text1"/>
          <w:lang w:eastAsia="en-GB"/>
        </w:rPr>
        <w:t xml:space="preserve"> that SDI allows the hearing of multiple perspectives on one matter.</w:t>
      </w:r>
      <w:r w:rsidR="0069206F">
        <w:rPr>
          <w:rFonts w:ascii="Verdana" w:eastAsia="Times New Roman" w:hAnsi="Verdana" w:cstheme="minorHAnsi"/>
          <w:color w:val="000000" w:themeColor="text1"/>
          <w:lang w:eastAsia="en-GB"/>
        </w:rPr>
        <w:t xml:space="preserve"> This directly links to one of the what matters statements for humanities in the Welsh curriculum - ‘Human societies are complex and diverse, and shaped by human actions and beliefs’ (Hwb). It is arguable that providing learners </w:t>
      </w:r>
      <w:r w:rsidR="00565FC3">
        <w:rPr>
          <w:rFonts w:ascii="Verdana" w:eastAsia="Times New Roman" w:hAnsi="Verdana" w:cstheme="minorHAnsi"/>
          <w:color w:val="000000" w:themeColor="text1"/>
          <w:lang w:eastAsia="en-GB"/>
        </w:rPr>
        <w:t xml:space="preserve">with </w:t>
      </w:r>
      <w:r w:rsidR="0069206F">
        <w:rPr>
          <w:rFonts w:ascii="Verdana" w:eastAsia="Times New Roman" w:hAnsi="Verdana" w:cstheme="minorHAnsi"/>
          <w:color w:val="000000" w:themeColor="text1"/>
          <w:lang w:eastAsia="en-GB"/>
        </w:rPr>
        <w:t xml:space="preserve">the opportunity to hear multiple perspectives on what can be contentious, emotive, yet important issues also </w:t>
      </w:r>
      <w:proofErr w:type="gramStart"/>
      <w:r w:rsidR="0069206F">
        <w:rPr>
          <w:rFonts w:ascii="Verdana" w:eastAsia="Times New Roman" w:hAnsi="Verdana" w:cstheme="minorHAnsi"/>
          <w:color w:val="000000" w:themeColor="text1"/>
          <w:lang w:eastAsia="en-GB"/>
        </w:rPr>
        <w:t>helps</w:t>
      </w:r>
      <w:proofErr w:type="gramEnd"/>
      <w:r w:rsidR="0069206F">
        <w:rPr>
          <w:rFonts w:ascii="Verdana" w:eastAsia="Times New Roman" w:hAnsi="Verdana" w:cstheme="minorHAnsi"/>
          <w:color w:val="000000" w:themeColor="text1"/>
          <w:lang w:eastAsia="en-GB"/>
        </w:rPr>
        <w:t xml:space="preserve"> meet the core purpose of being ethical informed citizens.</w:t>
      </w:r>
      <w:r w:rsidR="00565FC3">
        <w:rPr>
          <w:rFonts w:ascii="Verdana" w:eastAsia="Times New Roman" w:hAnsi="Verdana" w:cstheme="minorHAnsi"/>
          <w:color w:val="000000" w:themeColor="text1"/>
          <w:lang w:eastAsia="en-GB"/>
        </w:rPr>
        <w:t xml:space="preserve"> In addition, and of deep significance is the power SDI </w:t>
      </w:r>
      <w:proofErr w:type="gramStart"/>
      <w:r w:rsidR="00565FC3">
        <w:rPr>
          <w:rFonts w:ascii="Verdana" w:eastAsia="Times New Roman" w:hAnsi="Verdana" w:cstheme="minorHAnsi"/>
          <w:color w:val="000000" w:themeColor="text1"/>
          <w:lang w:eastAsia="en-GB"/>
        </w:rPr>
        <w:t>has to</w:t>
      </w:r>
      <w:proofErr w:type="gramEnd"/>
      <w:r w:rsidR="00565FC3">
        <w:rPr>
          <w:rFonts w:ascii="Verdana" w:eastAsia="Times New Roman" w:hAnsi="Verdana" w:cstheme="minorHAnsi"/>
          <w:color w:val="000000" w:themeColor="text1"/>
          <w:lang w:eastAsia="en-GB"/>
        </w:rPr>
        <w:t xml:space="preserve"> elicit ‘conscientisation’ (</w:t>
      </w:r>
      <w:proofErr w:type="spellStart"/>
      <w:r w:rsidR="00565FC3">
        <w:rPr>
          <w:rFonts w:ascii="Verdana" w:eastAsia="Times New Roman" w:hAnsi="Verdana" w:cstheme="minorHAnsi"/>
          <w:color w:val="000000" w:themeColor="text1"/>
          <w:lang w:eastAsia="en-GB"/>
        </w:rPr>
        <w:t>Sleeter</w:t>
      </w:r>
      <w:proofErr w:type="spellEnd"/>
      <w:r w:rsidR="00565FC3">
        <w:rPr>
          <w:rFonts w:ascii="Verdana" w:eastAsia="Times New Roman" w:hAnsi="Verdana" w:cstheme="minorHAnsi"/>
          <w:color w:val="000000" w:themeColor="text1"/>
          <w:lang w:eastAsia="en-GB"/>
        </w:rPr>
        <w:t xml:space="preserve"> et al, 2004) within learners in humanities.</w:t>
      </w:r>
      <w:r w:rsidR="008614BC">
        <w:rPr>
          <w:rFonts w:ascii="Verdana" w:eastAsia="Times New Roman" w:hAnsi="Verdana" w:cstheme="minorHAnsi"/>
          <w:color w:val="000000" w:themeColor="text1"/>
          <w:lang w:eastAsia="en-GB"/>
        </w:rPr>
        <w:t xml:space="preserve"> SDI, </w:t>
      </w:r>
      <w:proofErr w:type="spellStart"/>
      <w:r w:rsidR="008614BC">
        <w:rPr>
          <w:rFonts w:ascii="Verdana" w:eastAsia="Times New Roman" w:hAnsi="Verdana" w:cstheme="minorHAnsi"/>
          <w:color w:val="000000" w:themeColor="text1"/>
          <w:lang w:eastAsia="en-GB"/>
        </w:rPr>
        <w:t>Sleeter</w:t>
      </w:r>
      <w:proofErr w:type="spellEnd"/>
      <w:r w:rsidR="008614BC">
        <w:rPr>
          <w:rFonts w:ascii="Verdana" w:eastAsia="Times New Roman" w:hAnsi="Verdana" w:cstheme="minorHAnsi"/>
          <w:color w:val="000000" w:themeColor="text1"/>
          <w:lang w:eastAsia="en-GB"/>
        </w:rPr>
        <w:t xml:space="preserve"> et al (2004, p.83)) argue, has the potential to engage learners toward an understanding of the lived experiences of those living in poverty, or who are marginalised in society. The fact that 800,000 children are reliant on food banks (Save the Children, 2022) is indicative of an egregious level of poverty in modern Britain. SDI </w:t>
      </w:r>
      <w:r w:rsidR="00A711B7">
        <w:rPr>
          <w:rFonts w:ascii="Verdana" w:eastAsia="Times New Roman" w:hAnsi="Verdana" w:cstheme="minorHAnsi"/>
          <w:color w:val="000000" w:themeColor="text1"/>
          <w:lang w:eastAsia="en-GB"/>
        </w:rPr>
        <w:t xml:space="preserve">becomes a tool </w:t>
      </w:r>
      <w:r w:rsidR="008614BC">
        <w:rPr>
          <w:rFonts w:ascii="Verdana" w:eastAsia="Times New Roman" w:hAnsi="Verdana" w:cstheme="minorHAnsi"/>
          <w:color w:val="000000" w:themeColor="text1"/>
          <w:lang w:eastAsia="en-GB"/>
        </w:rPr>
        <w:t>in humanities to interrogate sources of potential oppression</w:t>
      </w:r>
      <w:r w:rsidR="00A711B7">
        <w:rPr>
          <w:rFonts w:ascii="Verdana" w:eastAsia="Times New Roman" w:hAnsi="Verdana" w:cstheme="minorHAnsi"/>
          <w:color w:val="000000" w:themeColor="text1"/>
          <w:lang w:eastAsia="en-GB"/>
        </w:rPr>
        <w:t>.</w:t>
      </w:r>
      <w:r w:rsidR="008614BC">
        <w:rPr>
          <w:rFonts w:ascii="Verdana" w:eastAsia="Times New Roman" w:hAnsi="Verdana" w:cstheme="minorHAnsi"/>
          <w:color w:val="000000" w:themeColor="text1"/>
          <w:lang w:eastAsia="en-GB"/>
        </w:rPr>
        <w:t xml:space="preserve"> </w:t>
      </w:r>
      <w:r w:rsidR="00A711B7">
        <w:rPr>
          <w:rFonts w:ascii="Verdana" w:eastAsia="Times New Roman" w:hAnsi="Verdana" w:cstheme="minorHAnsi"/>
          <w:color w:val="000000" w:themeColor="text1"/>
          <w:lang w:eastAsia="en-GB"/>
        </w:rPr>
        <w:t>W</w:t>
      </w:r>
      <w:r w:rsidR="008614BC">
        <w:rPr>
          <w:rFonts w:ascii="Verdana" w:eastAsia="Times New Roman" w:hAnsi="Verdana" w:cstheme="minorHAnsi"/>
          <w:color w:val="000000" w:themeColor="text1"/>
          <w:lang w:eastAsia="en-GB"/>
        </w:rPr>
        <w:t xml:space="preserve">hether that be in religious studies, </w:t>
      </w:r>
      <w:proofErr w:type="gramStart"/>
      <w:r w:rsidR="008614BC">
        <w:rPr>
          <w:rFonts w:ascii="Verdana" w:eastAsia="Times New Roman" w:hAnsi="Verdana" w:cstheme="minorHAnsi"/>
          <w:color w:val="000000" w:themeColor="text1"/>
          <w:lang w:eastAsia="en-GB"/>
        </w:rPr>
        <w:t>history</w:t>
      </w:r>
      <w:proofErr w:type="gramEnd"/>
      <w:r w:rsidR="008614BC">
        <w:rPr>
          <w:rFonts w:ascii="Verdana" w:eastAsia="Times New Roman" w:hAnsi="Verdana" w:cstheme="minorHAnsi"/>
          <w:color w:val="000000" w:themeColor="text1"/>
          <w:lang w:eastAsia="en-GB"/>
        </w:rPr>
        <w:t xml:space="preserve"> or geography the teacher </w:t>
      </w:r>
      <w:r w:rsidR="00A711B7">
        <w:rPr>
          <w:rFonts w:ascii="Verdana" w:eastAsia="Times New Roman" w:hAnsi="Verdana" w:cstheme="minorHAnsi"/>
          <w:color w:val="000000" w:themeColor="text1"/>
          <w:lang w:eastAsia="en-GB"/>
        </w:rPr>
        <w:t>acts</w:t>
      </w:r>
      <w:r w:rsidR="008614BC" w:rsidRPr="008614BC">
        <w:rPr>
          <w:rFonts w:ascii="Verdana" w:eastAsia="Times New Roman" w:hAnsi="Verdana" w:cstheme="minorHAnsi"/>
          <w:color w:val="000000" w:themeColor="text1"/>
          <w:lang w:eastAsia="en-GB"/>
        </w:rPr>
        <w:t xml:space="preserve"> as a conduit by </w:t>
      </w:r>
      <w:r w:rsidR="008614BC">
        <w:rPr>
          <w:rFonts w:ascii="Verdana" w:eastAsia="Times New Roman" w:hAnsi="Verdana" w:cstheme="minorHAnsi"/>
          <w:color w:val="000000" w:themeColor="text1"/>
          <w:lang w:eastAsia="en-GB"/>
        </w:rPr>
        <w:t>providing the environment for “</w:t>
      </w:r>
      <w:r w:rsidR="008614BC" w:rsidRPr="008614BC">
        <w:rPr>
          <w:rFonts w:ascii="Verdana" w:eastAsia="Times New Roman" w:hAnsi="Verdana" w:cstheme="minorHAnsi"/>
          <w:color w:val="000000" w:themeColor="text1"/>
          <w:lang w:eastAsia="en-GB"/>
        </w:rPr>
        <w:t>students to question why some people suffer, lack opportunities, and lose hope despite their hard work and resilience, while others have anything they want and more in a relatively easy way</w:t>
      </w:r>
      <w:r w:rsidR="008614BC">
        <w:rPr>
          <w:rFonts w:ascii="Verdana" w:eastAsia="Times New Roman" w:hAnsi="Verdana" w:cstheme="minorHAnsi"/>
          <w:color w:val="000000" w:themeColor="text1"/>
          <w:lang w:eastAsia="en-GB"/>
        </w:rPr>
        <w:t>”. The aim would be to generate a sense of solidarity or conscientisation.</w:t>
      </w:r>
    </w:p>
    <w:p w14:paraId="12C5443B" w14:textId="34D74D12" w:rsidR="00A711B7" w:rsidRDefault="00A711B7" w:rsidP="00EA301F">
      <w:pPr>
        <w:spacing w:line="360" w:lineRule="auto"/>
        <w:ind w:firstLine="720"/>
        <w:jc w:val="both"/>
        <w:rPr>
          <w:rFonts w:ascii="Verdana" w:eastAsia="Times New Roman" w:hAnsi="Verdana" w:cstheme="minorHAnsi"/>
          <w:color w:val="000000" w:themeColor="text1"/>
          <w:lang w:eastAsia="en-GB"/>
        </w:rPr>
      </w:pPr>
    </w:p>
    <w:p w14:paraId="42B489E0" w14:textId="57794A22" w:rsidR="00A711B7" w:rsidRPr="00A711B7" w:rsidRDefault="00A711B7" w:rsidP="00A711B7">
      <w:pPr>
        <w:spacing w:line="360" w:lineRule="auto"/>
        <w:jc w:val="both"/>
        <w:rPr>
          <w:rFonts w:ascii="Verdana" w:eastAsia="Times New Roman" w:hAnsi="Verdana" w:cstheme="minorHAnsi"/>
          <w:b/>
          <w:bCs/>
          <w:color w:val="000000" w:themeColor="text1"/>
          <w:u w:val="single"/>
          <w:lang w:eastAsia="en-GB"/>
        </w:rPr>
      </w:pPr>
      <w:r w:rsidRPr="00A711B7">
        <w:rPr>
          <w:rFonts w:ascii="Verdana" w:eastAsia="Times New Roman" w:hAnsi="Verdana" w:cstheme="minorHAnsi"/>
          <w:b/>
          <w:bCs/>
          <w:color w:val="000000" w:themeColor="text1"/>
          <w:u w:val="single"/>
          <w:lang w:eastAsia="en-GB"/>
        </w:rPr>
        <w:t>Conclusion</w:t>
      </w:r>
    </w:p>
    <w:p w14:paraId="4A2B509A" w14:textId="605BCC1C" w:rsidR="00EA301F" w:rsidRDefault="00EA301F" w:rsidP="00EA301F">
      <w:pPr>
        <w:spacing w:line="360" w:lineRule="auto"/>
        <w:ind w:firstLine="720"/>
        <w:jc w:val="both"/>
        <w:rPr>
          <w:rFonts w:ascii="Verdana" w:eastAsia="Times New Roman" w:hAnsi="Verdana" w:cstheme="minorHAnsi"/>
          <w:color w:val="000000" w:themeColor="text1"/>
          <w:lang w:eastAsia="en-GB"/>
        </w:rPr>
      </w:pPr>
    </w:p>
    <w:p w14:paraId="3CB24948" w14:textId="31C8DED0" w:rsidR="0087202E" w:rsidRDefault="00445DC3" w:rsidP="00EA301F">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lastRenderedPageBreak/>
        <w:t xml:space="preserve">To summarise, the critical incident centred around the failure of a teacher to successfully deploy social dialogic interaction as a teaching method. The teacher used the method </w:t>
      </w:r>
      <w:proofErr w:type="gramStart"/>
      <w:r>
        <w:rPr>
          <w:rFonts w:ascii="Verdana" w:eastAsia="Times New Roman" w:hAnsi="Verdana" w:cstheme="minorHAnsi"/>
          <w:color w:val="000000" w:themeColor="text1"/>
          <w:lang w:eastAsia="en-GB"/>
        </w:rPr>
        <w:t>as a means to</w:t>
      </w:r>
      <w:proofErr w:type="gramEnd"/>
      <w:r>
        <w:rPr>
          <w:rFonts w:ascii="Verdana" w:eastAsia="Times New Roman" w:hAnsi="Verdana" w:cstheme="minorHAnsi"/>
          <w:color w:val="000000" w:themeColor="text1"/>
          <w:lang w:eastAsia="en-GB"/>
        </w:rPr>
        <w:t xml:space="preserve"> engage their learners with Shakespearean poetry. However, it failed when the class erupted into shouting and laughter. Nonetheless, it was found that academic literature, particularly that from the social constructivist school of thought heavily supported the use of social dialogic interactions. So long as the teacher was performing their role as a more knowledgeable other guiding learners through their zone of proximal development. </w:t>
      </w:r>
    </w:p>
    <w:p w14:paraId="104CFBCA" w14:textId="6FAB3FFF" w:rsidR="00445DC3" w:rsidRDefault="00445DC3" w:rsidP="00EA301F">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With this in mind, a critical incident analysis was performed on the situation. As a result, it was found that the teacher had not created the ideal conditions for social dialogic interaction to work effectively. Three main areas were identified here. These are the pre-existing educational setting being antagonistic toward social dialogic interaction, the lack of involvement of the teacher, and the lack of true collaboration within the classroom. </w:t>
      </w:r>
    </w:p>
    <w:p w14:paraId="63C369EA" w14:textId="76074760" w:rsidR="007979F2" w:rsidRDefault="00445DC3" w:rsidP="007979F2">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Nonetheless, through reflection using models provided by Brookfield and Gibbs, future teaching and learning methods were suggested.</w:t>
      </w:r>
      <w:r w:rsidR="002478AF">
        <w:rPr>
          <w:rFonts w:ascii="Verdana" w:eastAsia="Times New Roman" w:hAnsi="Verdana" w:cstheme="minorHAnsi"/>
          <w:color w:val="000000" w:themeColor="text1"/>
          <w:lang w:eastAsia="en-GB"/>
        </w:rPr>
        <w:t xml:space="preserve"> Instead of rejecting social dialogic interaction, it was argued for its continued use but under the correct circumstances.</w:t>
      </w:r>
      <w:r>
        <w:rPr>
          <w:rFonts w:ascii="Verdana" w:eastAsia="Times New Roman" w:hAnsi="Verdana" w:cstheme="minorHAnsi"/>
          <w:color w:val="000000" w:themeColor="text1"/>
          <w:lang w:eastAsia="en-GB"/>
        </w:rPr>
        <w:t xml:space="preserve"> These consisted of </w:t>
      </w:r>
      <w:r w:rsidR="007979F2">
        <w:rPr>
          <w:rFonts w:ascii="Verdana" w:eastAsia="Times New Roman" w:hAnsi="Verdana" w:cstheme="minorHAnsi"/>
          <w:color w:val="000000" w:themeColor="text1"/>
          <w:lang w:eastAsia="en-GB"/>
        </w:rPr>
        <w:t>providing the necessary scaffolding and support for learners, establishing solid relationships with learners, and finally the use of proctoring to help support the success of social dialogic interactions. Ultimately, it was decided that social dialogic interaction would be an effective pedagogical tool to use in my own future practice.</w:t>
      </w:r>
    </w:p>
    <w:p w14:paraId="092BBB72" w14:textId="77777777" w:rsidR="00A711B7" w:rsidRDefault="00A711B7" w:rsidP="00EA301F">
      <w:pPr>
        <w:spacing w:line="360" w:lineRule="auto"/>
        <w:ind w:firstLine="720"/>
        <w:jc w:val="both"/>
        <w:rPr>
          <w:rFonts w:ascii="Verdana" w:eastAsia="Times New Roman" w:hAnsi="Verdana" w:cstheme="minorHAnsi"/>
          <w:color w:val="000000" w:themeColor="text1"/>
          <w:lang w:eastAsia="en-GB"/>
        </w:rPr>
      </w:pPr>
    </w:p>
    <w:p w14:paraId="5AEE9F2D" w14:textId="77777777" w:rsidR="00B6400D" w:rsidRDefault="00B6400D" w:rsidP="006B0460">
      <w:pPr>
        <w:spacing w:line="360" w:lineRule="auto"/>
        <w:ind w:firstLine="720"/>
        <w:jc w:val="both"/>
        <w:rPr>
          <w:rFonts w:ascii="Verdana" w:eastAsia="Times New Roman" w:hAnsi="Verdana" w:cstheme="minorHAnsi"/>
          <w:color w:val="000000" w:themeColor="text1"/>
          <w:lang w:eastAsia="en-GB"/>
        </w:rPr>
      </w:pPr>
    </w:p>
    <w:p w14:paraId="1B63854F" w14:textId="77777777" w:rsidR="0037270B" w:rsidRDefault="0037270B" w:rsidP="00AD1FE8">
      <w:pPr>
        <w:spacing w:line="360" w:lineRule="auto"/>
        <w:jc w:val="both"/>
        <w:rPr>
          <w:rFonts w:ascii="Verdana" w:eastAsia="Times New Roman" w:hAnsi="Verdana" w:cstheme="minorHAnsi"/>
          <w:color w:val="000000" w:themeColor="text1"/>
          <w:lang w:eastAsia="en-GB"/>
        </w:rPr>
      </w:pPr>
    </w:p>
    <w:p w14:paraId="4C2A4664" w14:textId="77777777" w:rsidR="0037270B" w:rsidRDefault="0037270B" w:rsidP="00AD1FE8">
      <w:pPr>
        <w:spacing w:line="360" w:lineRule="auto"/>
        <w:jc w:val="both"/>
        <w:rPr>
          <w:rFonts w:ascii="Verdana" w:eastAsia="Times New Roman" w:hAnsi="Verdana" w:cstheme="minorHAnsi"/>
          <w:color w:val="000000" w:themeColor="text1"/>
          <w:lang w:eastAsia="en-GB"/>
        </w:rPr>
      </w:pPr>
    </w:p>
    <w:p w14:paraId="5376CFEC" w14:textId="77777777" w:rsidR="0037270B" w:rsidRDefault="0037270B" w:rsidP="00AD1FE8">
      <w:pPr>
        <w:spacing w:line="360" w:lineRule="auto"/>
        <w:jc w:val="both"/>
        <w:rPr>
          <w:rFonts w:ascii="Verdana" w:eastAsia="Times New Roman" w:hAnsi="Verdana" w:cstheme="minorHAnsi"/>
          <w:color w:val="000000" w:themeColor="text1"/>
          <w:lang w:eastAsia="en-GB"/>
        </w:rPr>
      </w:pPr>
    </w:p>
    <w:p w14:paraId="54060CA8" w14:textId="77777777" w:rsidR="00912F0E" w:rsidRDefault="00912F0E" w:rsidP="00AD1FE8">
      <w:pPr>
        <w:spacing w:line="360" w:lineRule="auto"/>
        <w:jc w:val="both"/>
        <w:rPr>
          <w:rFonts w:ascii="Verdana" w:eastAsia="Times New Roman" w:hAnsi="Verdana" w:cstheme="minorHAnsi"/>
          <w:color w:val="000000" w:themeColor="text1"/>
          <w:lang w:eastAsia="en-GB"/>
        </w:rPr>
      </w:pPr>
    </w:p>
    <w:p w14:paraId="04FD9617" w14:textId="77777777" w:rsidR="00244589" w:rsidRDefault="00244589" w:rsidP="00AD1FE8">
      <w:pPr>
        <w:spacing w:line="360" w:lineRule="auto"/>
        <w:jc w:val="both"/>
        <w:rPr>
          <w:rFonts w:ascii="Verdana" w:eastAsia="Times New Roman" w:hAnsi="Verdana" w:cstheme="minorHAnsi"/>
          <w:color w:val="000000" w:themeColor="text1"/>
          <w:lang w:eastAsia="en-GB"/>
        </w:rPr>
      </w:pPr>
    </w:p>
    <w:p w14:paraId="1445AAC2" w14:textId="3279C815" w:rsidR="00A469CA" w:rsidRDefault="0087202E" w:rsidP="00AD1FE8">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lastRenderedPageBreak/>
        <w:t>Reference list</w:t>
      </w:r>
      <w:r w:rsidR="00F3383E">
        <w:rPr>
          <w:rFonts w:ascii="Verdana" w:eastAsia="Times New Roman" w:hAnsi="Verdana" w:cstheme="minorHAnsi"/>
          <w:color w:val="000000" w:themeColor="text1"/>
          <w:lang w:eastAsia="en-GB"/>
        </w:rPr>
        <w:t>:</w:t>
      </w:r>
    </w:p>
    <w:p w14:paraId="3D9A4D7E" w14:textId="639BB37D" w:rsidR="00912F0E" w:rsidRDefault="00912F0E" w:rsidP="00AD1FE8">
      <w:pPr>
        <w:spacing w:line="360" w:lineRule="auto"/>
        <w:jc w:val="both"/>
        <w:rPr>
          <w:rFonts w:ascii="Verdana" w:eastAsia="Times New Roman" w:hAnsi="Verdana" w:cstheme="minorHAnsi"/>
          <w:color w:val="000000" w:themeColor="text1"/>
          <w:lang w:eastAsia="en-GB"/>
        </w:rPr>
      </w:pPr>
    </w:p>
    <w:p w14:paraId="04E7C272"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Abtahi, Y., Graven, M. and </w:t>
      </w:r>
      <w:proofErr w:type="spellStart"/>
      <w:r w:rsidRPr="00912F0E">
        <w:rPr>
          <w:rFonts w:ascii="Verdana" w:hAnsi="Verdana"/>
        </w:rPr>
        <w:t>Lerman</w:t>
      </w:r>
      <w:proofErr w:type="spellEnd"/>
      <w:r w:rsidRPr="00912F0E">
        <w:rPr>
          <w:rFonts w:ascii="Verdana" w:hAnsi="Verdana"/>
        </w:rPr>
        <w:t xml:space="preserve">, S. (2017) 'Conceptualising the more knowledgeable other within a multi-directional ZPD,' </w:t>
      </w:r>
      <w:r w:rsidRPr="00912F0E">
        <w:rPr>
          <w:rFonts w:ascii="Verdana" w:hAnsi="Verdana"/>
          <w:i/>
          <w:iCs/>
        </w:rPr>
        <w:t>Educational Studies in Mathematics</w:t>
      </w:r>
      <w:r w:rsidRPr="00912F0E">
        <w:rPr>
          <w:rFonts w:ascii="Verdana" w:hAnsi="Verdana"/>
        </w:rPr>
        <w:t>, 96(3), pp. 275–287. https://doi.org/10.1007/s10649-017-9768-1.</w:t>
      </w:r>
    </w:p>
    <w:p w14:paraId="4A1B4271"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Adams, P. (2006) 'Exploring social constructivism: theories and practicalities,' </w:t>
      </w:r>
      <w:r w:rsidRPr="00912F0E">
        <w:rPr>
          <w:rFonts w:ascii="Verdana" w:hAnsi="Verdana"/>
          <w:i/>
          <w:iCs/>
        </w:rPr>
        <w:t>Education 3-13</w:t>
      </w:r>
      <w:r w:rsidRPr="00912F0E">
        <w:rPr>
          <w:rFonts w:ascii="Verdana" w:hAnsi="Verdana"/>
        </w:rPr>
        <w:t>, 34(3), pp. 243–257. https://doi.org/10.1080/03004270600898893.</w:t>
      </w:r>
    </w:p>
    <w:p w14:paraId="12D0B747"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Asterhan</w:t>
      </w:r>
      <w:proofErr w:type="spellEnd"/>
      <w:r w:rsidRPr="00912F0E">
        <w:rPr>
          <w:rFonts w:ascii="Verdana" w:hAnsi="Verdana"/>
        </w:rPr>
        <w:t xml:space="preserve">, C.S.C. </w:t>
      </w:r>
      <w:r w:rsidRPr="00912F0E">
        <w:rPr>
          <w:rFonts w:ascii="Verdana" w:hAnsi="Verdana"/>
          <w:i/>
          <w:iCs/>
        </w:rPr>
        <w:t>et al.</w:t>
      </w:r>
      <w:r w:rsidRPr="00912F0E">
        <w:rPr>
          <w:rFonts w:ascii="Verdana" w:hAnsi="Verdana"/>
        </w:rPr>
        <w:t xml:space="preserve"> (2020) 'Controversies and consensus in research on dialogic teaching and learning,' </w:t>
      </w:r>
      <w:r w:rsidRPr="00912F0E">
        <w:rPr>
          <w:rFonts w:ascii="Verdana" w:hAnsi="Verdana"/>
          <w:i/>
          <w:iCs/>
        </w:rPr>
        <w:t>Dialogic Pedagogy</w:t>
      </w:r>
      <w:r w:rsidRPr="00912F0E">
        <w:rPr>
          <w:rFonts w:ascii="Verdana" w:hAnsi="Verdana"/>
        </w:rPr>
        <w:t>, 8. https://doi.org/10.5195/dpj.2020.312.</w:t>
      </w:r>
    </w:p>
    <w:p w14:paraId="6C13EA8B"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Bliss, J., Askew, M. and Macrae, S. (1996) 'Effective Teaching and Learning: scaffolding revisited,' </w:t>
      </w:r>
      <w:r w:rsidRPr="00912F0E">
        <w:rPr>
          <w:rFonts w:ascii="Verdana" w:hAnsi="Verdana"/>
          <w:i/>
          <w:iCs/>
        </w:rPr>
        <w:t>Oxford Review of Education</w:t>
      </w:r>
      <w:r w:rsidRPr="00912F0E">
        <w:rPr>
          <w:rFonts w:ascii="Verdana" w:hAnsi="Verdana"/>
        </w:rPr>
        <w:t>, 22(1), pp. 37–61. https://doi.org/10.1080/0305498960220103.</w:t>
      </w:r>
    </w:p>
    <w:p w14:paraId="5319C8D6"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Brookfield, S.D. (2017) </w:t>
      </w:r>
      <w:r w:rsidRPr="00912F0E">
        <w:rPr>
          <w:rFonts w:ascii="Verdana" w:hAnsi="Verdana"/>
          <w:i/>
          <w:iCs/>
        </w:rPr>
        <w:t>Becoming a critically reflective teacher</w:t>
      </w:r>
      <w:r w:rsidRPr="00912F0E">
        <w:rPr>
          <w:rFonts w:ascii="Verdana" w:hAnsi="Verdana"/>
        </w:rPr>
        <w:t>. John Wiley &amp; Sons.</w:t>
      </w:r>
    </w:p>
    <w:p w14:paraId="1F3A9AC7"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Gibbs, G. and Andrew, C. (2001) </w:t>
      </w:r>
      <w:r w:rsidRPr="00912F0E">
        <w:rPr>
          <w:rFonts w:ascii="Verdana" w:hAnsi="Verdana"/>
          <w:i/>
          <w:iCs/>
        </w:rPr>
        <w:t>Learning by doing: A Guide to Teaching and Learning Methods</w:t>
      </w:r>
      <w:r w:rsidRPr="00912F0E">
        <w:rPr>
          <w:rFonts w:ascii="Verdana" w:hAnsi="Verdana"/>
        </w:rPr>
        <w:t>.</w:t>
      </w:r>
    </w:p>
    <w:p w14:paraId="26508063"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Giroux, H.A. (1978) 'Developing Educational Programs: Overcoming the hidden curriculum,' </w:t>
      </w:r>
      <w:r w:rsidRPr="00912F0E">
        <w:rPr>
          <w:rFonts w:ascii="Verdana" w:hAnsi="Verdana"/>
          <w:i/>
          <w:iCs/>
        </w:rPr>
        <w:t xml:space="preserve">The Clearing House: A Journal of Educational Strategies, </w:t>
      </w:r>
      <w:proofErr w:type="gramStart"/>
      <w:r w:rsidRPr="00912F0E">
        <w:rPr>
          <w:rFonts w:ascii="Verdana" w:hAnsi="Verdana"/>
          <w:i/>
          <w:iCs/>
        </w:rPr>
        <w:t>Issues</w:t>
      </w:r>
      <w:proofErr w:type="gramEnd"/>
      <w:r w:rsidRPr="00912F0E">
        <w:rPr>
          <w:rFonts w:ascii="Verdana" w:hAnsi="Verdana"/>
          <w:i/>
          <w:iCs/>
        </w:rPr>
        <w:t xml:space="preserve"> and Ideas</w:t>
      </w:r>
      <w:r w:rsidRPr="00912F0E">
        <w:rPr>
          <w:rFonts w:ascii="Verdana" w:hAnsi="Verdana"/>
        </w:rPr>
        <w:t>, 52(4), pp. 148–151. https://doi.org/10.1080/00098655.1978.10113565.</w:t>
      </w:r>
    </w:p>
    <w:p w14:paraId="795A235D" w14:textId="16ED6600" w:rsid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lastRenderedPageBreak/>
        <w:t xml:space="preserve">Hammond, J. (2001) </w:t>
      </w:r>
      <w:r w:rsidRPr="00912F0E">
        <w:rPr>
          <w:rFonts w:ascii="Verdana" w:hAnsi="Verdana"/>
          <w:i/>
          <w:iCs/>
        </w:rPr>
        <w:t>Scaffolding: Teaching and Learning in Language and Literacy Education</w:t>
      </w:r>
      <w:r w:rsidRPr="00912F0E">
        <w:rPr>
          <w:rFonts w:ascii="Verdana" w:hAnsi="Verdana"/>
        </w:rPr>
        <w:t>.</w:t>
      </w:r>
    </w:p>
    <w:p w14:paraId="2744BF0F" w14:textId="77777777" w:rsidR="0069206F" w:rsidRPr="0069206F" w:rsidRDefault="0069206F" w:rsidP="0069206F">
      <w:pPr>
        <w:pStyle w:val="NormalWeb"/>
        <w:rPr>
          <w:rFonts w:ascii="Verdana" w:hAnsi="Verdana"/>
        </w:rPr>
      </w:pPr>
      <w:r w:rsidRPr="0069206F">
        <w:rPr>
          <w:rFonts w:ascii="Verdana" w:hAnsi="Verdana"/>
        </w:rPr>
        <w:t>Humanities: Statements of what matters - Hwb (no date). https://hwb.gov.wales/curriculum-for-wales/humanities/statements-of-what-matters.</w:t>
      </w:r>
    </w:p>
    <w:p w14:paraId="44992ACA" w14:textId="77777777" w:rsidR="00C0674E" w:rsidRPr="00C0674E" w:rsidRDefault="00C0674E" w:rsidP="00C0674E">
      <w:pPr>
        <w:pStyle w:val="NormalWeb"/>
        <w:spacing w:before="0" w:beforeAutospacing="0" w:after="0" w:afterAutospacing="0" w:line="480" w:lineRule="auto"/>
        <w:ind w:left="720" w:hanging="720"/>
        <w:rPr>
          <w:rFonts w:ascii="Verdana" w:hAnsi="Verdana"/>
        </w:rPr>
      </w:pPr>
      <w:r w:rsidRPr="00C0674E">
        <w:rPr>
          <w:rFonts w:ascii="Verdana" w:hAnsi="Verdana"/>
        </w:rPr>
        <w:t xml:space="preserve">Kramer, K.P. (2001) 'Educating through Meeting: Reflections on a dialogic pedagogy for teaching Religious studies,' </w:t>
      </w:r>
      <w:r w:rsidRPr="00C0674E">
        <w:rPr>
          <w:rFonts w:ascii="Verdana" w:hAnsi="Verdana"/>
          <w:i/>
          <w:iCs/>
        </w:rPr>
        <w:t>Teaching Theology &amp; Religion</w:t>
      </w:r>
      <w:r w:rsidRPr="00C0674E">
        <w:rPr>
          <w:rFonts w:ascii="Verdana" w:hAnsi="Verdana"/>
        </w:rPr>
        <w:t>, 4(2), pp. 64–70. https://doi.org/10.1111/1467-9647.00096.</w:t>
      </w:r>
    </w:p>
    <w:p w14:paraId="2C6EDC60" w14:textId="77777777" w:rsidR="0069206F" w:rsidRPr="00912F0E" w:rsidRDefault="0069206F" w:rsidP="00912F0E">
      <w:pPr>
        <w:pStyle w:val="NormalWeb"/>
        <w:spacing w:before="0" w:beforeAutospacing="0" w:after="0" w:afterAutospacing="0" w:line="480" w:lineRule="auto"/>
        <w:ind w:left="720" w:hanging="720"/>
        <w:rPr>
          <w:rFonts w:ascii="Verdana" w:hAnsi="Verdana"/>
        </w:rPr>
      </w:pPr>
    </w:p>
    <w:p w14:paraId="120B98FB"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Mariani</w:t>
      </w:r>
      <w:proofErr w:type="spellEnd"/>
      <w:r w:rsidRPr="00912F0E">
        <w:rPr>
          <w:rFonts w:ascii="Verdana" w:hAnsi="Verdana"/>
        </w:rPr>
        <w:t xml:space="preserve">, L. (1997) 'Teacher support and teacher challenge in promoting learner autonomy,' </w:t>
      </w:r>
      <w:r w:rsidRPr="00912F0E">
        <w:rPr>
          <w:rFonts w:ascii="Verdana" w:hAnsi="Verdana"/>
          <w:i/>
          <w:iCs/>
        </w:rPr>
        <w:t>ResearchGate</w:t>
      </w:r>
      <w:r w:rsidRPr="00912F0E">
        <w:rPr>
          <w:rFonts w:ascii="Verdana" w:hAnsi="Verdana"/>
        </w:rPr>
        <w:t xml:space="preserve"> [Preprint]. https://www.researchgate.net/publication/263860135_Teacher_Support_and_Teacher_Challenge_in_Promoting_Learner_Autonomy.</w:t>
      </w:r>
    </w:p>
    <w:p w14:paraId="61F881C4"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Martinez, M.E. (2006) 'What is </w:t>
      </w:r>
      <w:proofErr w:type="gramStart"/>
      <w:r w:rsidRPr="00912F0E">
        <w:rPr>
          <w:rFonts w:ascii="Verdana" w:hAnsi="Verdana"/>
        </w:rPr>
        <w:t>Metacognition?,</w:t>
      </w:r>
      <w:proofErr w:type="gramEnd"/>
      <w:r w:rsidRPr="00912F0E">
        <w:rPr>
          <w:rFonts w:ascii="Verdana" w:hAnsi="Verdana"/>
        </w:rPr>
        <w:t xml:space="preserve">' </w:t>
      </w:r>
      <w:r w:rsidRPr="00912F0E">
        <w:rPr>
          <w:rFonts w:ascii="Verdana" w:hAnsi="Verdana"/>
          <w:i/>
          <w:iCs/>
        </w:rPr>
        <w:t xml:space="preserve">Phi Delta </w:t>
      </w:r>
      <w:proofErr w:type="spellStart"/>
      <w:r w:rsidRPr="00912F0E">
        <w:rPr>
          <w:rFonts w:ascii="Verdana" w:hAnsi="Verdana"/>
          <w:i/>
          <w:iCs/>
        </w:rPr>
        <w:t>Kappan</w:t>
      </w:r>
      <w:proofErr w:type="spellEnd"/>
      <w:r w:rsidRPr="00912F0E">
        <w:rPr>
          <w:rFonts w:ascii="Verdana" w:hAnsi="Verdana"/>
        </w:rPr>
        <w:t>, 87(9), pp. 696–699. https://doi.org/10.1177/003172170608700916.</w:t>
      </w:r>
    </w:p>
    <w:p w14:paraId="159718F8"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Mcleod</w:t>
      </w:r>
      <w:proofErr w:type="spellEnd"/>
      <w:r w:rsidRPr="00912F0E">
        <w:rPr>
          <w:rFonts w:ascii="Verdana" w:hAnsi="Verdana"/>
        </w:rPr>
        <w:t xml:space="preserve">, S., PhD (2023) 'Lev Vygotsky’s Sociocultural Theory of Cognitive Development,' </w:t>
      </w:r>
      <w:r w:rsidRPr="00912F0E">
        <w:rPr>
          <w:rFonts w:ascii="Verdana" w:hAnsi="Verdana"/>
          <w:i/>
          <w:iCs/>
        </w:rPr>
        <w:t>Simply Psychology</w:t>
      </w:r>
      <w:r w:rsidRPr="00912F0E">
        <w:rPr>
          <w:rFonts w:ascii="Verdana" w:hAnsi="Verdana"/>
        </w:rPr>
        <w:t xml:space="preserve"> [Preprint]. https://www.simplypsychology.org/vygotsky.html?ezoic_amp=1&amp;fb_comment_id=500779888714_15217241.</w:t>
      </w:r>
    </w:p>
    <w:p w14:paraId="60A5909F"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Mercer, N. and Howe, C. (2012) 'Explaining the dialogic processes of teaching and learning: The value and potential of sociocultural theory,' </w:t>
      </w:r>
      <w:r w:rsidRPr="00912F0E">
        <w:rPr>
          <w:rFonts w:ascii="Verdana" w:hAnsi="Verdana"/>
          <w:i/>
          <w:iCs/>
        </w:rPr>
        <w:t>Learning, Culture and Social Interaction</w:t>
      </w:r>
      <w:r w:rsidRPr="00912F0E">
        <w:rPr>
          <w:rFonts w:ascii="Verdana" w:hAnsi="Verdana"/>
        </w:rPr>
        <w:t>, 1(1), pp. 12–21. https://doi.org/10.1016/j.lcsi.2012.03.001.</w:t>
      </w:r>
    </w:p>
    <w:p w14:paraId="4AAA1C3F"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lastRenderedPageBreak/>
        <w:t xml:space="preserve">Mui, M.S. (2013) 'Dialogic pedagogy in Hong Kong: Introducing art and culture,' </w:t>
      </w:r>
      <w:r w:rsidRPr="00912F0E">
        <w:rPr>
          <w:rFonts w:ascii="Verdana" w:hAnsi="Verdana"/>
          <w:i/>
          <w:iCs/>
        </w:rPr>
        <w:t>Arts and Humanities in Higher Education</w:t>
      </w:r>
      <w:r w:rsidRPr="00912F0E">
        <w:rPr>
          <w:rFonts w:ascii="Verdana" w:hAnsi="Verdana"/>
        </w:rPr>
        <w:t>, 12(4), pp. 408–423. https://doi.org/10.1177/1474022213481939.</w:t>
      </w:r>
    </w:p>
    <w:p w14:paraId="7B0A79B8"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Nesari</w:t>
      </w:r>
      <w:proofErr w:type="spellEnd"/>
      <w:r w:rsidRPr="00912F0E">
        <w:rPr>
          <w:rFonts w:ascii="Verdana" w:hAnsi="Verdana"/>
        </w:rPr>
        <w:t xml:space="preserve">, A.J. (2015) 'Dialogism versus </w:t>
      </w:r>
      <w:proofErr w:type="spellStart"/>
      <w:r w:rsidRPr="00912F0E">
        <w:rPr>
          <w:rFonts w:ascii="Verdana" w:hAnsi="Verdana"/>
        </w:rPr>
        <w:t>Monologism</w:t>
      </w:r>
      <w:proofErr w:type="spellEnd"/>
      <w:r w:rsidRPr="00912F0E">
        <w:rPr>
          <w:rFonts w:ascii="Verdana" w:hAnsi="Verdana"/>
        </w:rPr>
        <w:t xml:space="preserve">: A Bakhtinian Approach to Teaching,' </w:t>
      </w:r>
      <w:r w:rsidRPr="00912F0E">
        <w:rPr>
          <w:rFonts w:ascii="Verdana" w:hAnsi="Verdana"/>
          <w:i/>
          <w:iCs/>
        </w:rPr>
        <w:t xml:space="preserve">Procedia - Social and </w:t>
      </w:r>
      <w:proofErr w:type="spellStart"/>
      <w:r w:rsidRPr="00912F0E">
        <w:rPr>
          <w:rFonts w:ascii="Verdana" w:hAnsi="Verdana"/>
          <w:i/>
          <w:iCs/>
        </w:rPr>
        <w:t>Behavioral</w:t>
      </w:r>
      <w:proofErr w:type="spellEnd"/>
      <w:r w:rsidRPr="00912F0E">
        <w:rPr>
          <w:rFonts w:ascii="Verdana" w:hAnsi="Verdana"/>
          <w:i/>
          <w:iCs/>
        </w:rPr>
        <w:t xml:space="preserve"> Sciences</w:t>
      </w:r>
      <w:r w:rsidRPr="00912F0E">
        <w:rPr>
          <w:rFonts w:ascii="Verdana" w:hAnsi="Verdana"/>
        </w:rPr>
        <w:t>, 205, pp. 642–647. https://doi.org/10.1016/j.sbspro.2015.09.101.</w:t>
      </w:r>
    </w:p>
    <w:p w14:paraId="5BEC8A11"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Rogoff, B. (1990) </w:t>
      </w:r>
      <w:r w:rsidRPr="00912F0E">
        <w:rPr>
          <w:rFonts w:ascii="Verdana" w:hAnsi="Verdana"/>
          <w:i/>
          <w:iCs/>
        </w:rPr>
        <w:t>Apprenticeship in thinking: Cognitive Development in Social Context</w:t>
      </w:r>
      <w:r w:rsidRPr="00912F0E">
        <w:rPr>
          <w:rFonts w:ascii="Verdana" w:hAnsi="Verdana"/>
        </w:rPr>
        <w:t>. Oxford University Press, USA.</w:t>
      </w:r>
    </w:p>
    <w:p w14:paraId="1C79A2B1"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Schon, D.A. (1984) </w:t>
      </w:r>
      <w:r w:rsidRPr="00912F0E">
        <w:rPr>
          <w:rFonts w:ascii="Verdana" w:hAnsi="Verdana"/>
          <w:i/>
          <w:iCs/>
        </w:rPr>
        <w:t xml:space="preserve">The reflective practitioner: How Professionals Think </w:t>
      </w:r>
      <w:proofErr w:type="gramStart"/>
      <w:r w:rsidRPr="00912F0E">
        <w:rPr>
          <w:rFonts w:ascii="Verdana" w:hAnsi="Verdana"/>
          <w:i/>
          <w:iCs/>
        </w:rPr>
        <w:t>In</w:t>
      </w:r>
      <w:proofErr w:type="gramEnd"/>
      <w:r w:rsidRPr="00912F0E">
        <w:rPr>
          <w:rFonts w:ascii="Verdana" w:hAnsi="Verdana"/>
          <w:i/>
          <w:iCs/>
        </w:rPr>
        <w:t xml:space="preserve"> Action</w:t>
      </w:r>
      <w:r w:rsidRPr="00912F0E">
        <w:rPr>
          <w:rFonts w:ascii="Verdana" w:hAnsi="Verdana"/>
        </w:rPr>
        <w:t>.</w:t>
      </w:r>
    </w:p>
    <w:p w14:paraId="01632517" w14:textId="76EE8C89" w:rsid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Shepard, L.A. (2000) 'The role of assessment in a learning culture,' </w:t>
      </w:r>
      <w:r w:rsidRPr="00912F0E">
        <w:rPr>
          <w:rFonts w:ascii="Verdana" w:hAnsi="Verdana"/>
          <w:i/>
          <w:iCs/>
        </w:rPr>
        <w:t>Educational Researcher</w:t>
      </w:r>
      <w:r w:rsidRPr="00912F0E">
        <w:rPr>
          <w:rFonts w:ascii="Verdana" w:hAnsi="Verdana"/>
        </w:rPr>
        <w:t xml:space="preserve">, 29(7), pp. 4–14. </w:t>
      </w:r>
      <w:hyperlink r:id="rId5" w:history="1">
        <w:r w:rsidR="00C0674E" w:rsidRPr="008F03C0">
          <w:rPr>
            <w:rStyle w:val="Hyperlink"/>
            <w:rFonts w:ascii="Verdana" w:hAnsi="Verdana"/>
          </w:rPr>
          <w:t>https://doi.org/10.3102/0013189x029007004</w:t>
        </w:r>
      </w:hyperlink>
      <w:r w:rsidRPr="00912F0E">
        <w:rPr>
          <w:rFonts w:ascii="Verdana" w:hAnsi="Verdana"/>
        </w:rPr>
        <w:t>.</w:t>
      </w:r>
    </w:p>
    <w:p w14:paraId="3021B3E9" w14:textId="77777777" w:rsidR="00C0674E" w:rsidRPr="00C0674E" w:rsidRDefault="00C0674E" w:rsidP="00C0674E">
      <w:pPr>
        <w:pStyle w:val="NormalWeb"/>
        <w:spacing w:before="0" w:beforeAutospacing="0" w:after="0" w:afterAutospacing="0" w:line="480" w:lineRule="auto"/>
        <w:ind w:left="720" w:hanging="720"/>
        <w:rPr>
          <w:rFonts w:ascii="Verdana" w:hAnsi="Verdana"/>
        </w:rPr>
      </w:pPr>
      <w:proofErr w:type="spellStart"/>
      <w:r w:rsidRPr="00C0674E">
        <w:rPr>
          <w:rFonts w:ascii="Verdana" w:hAnsi="Verdana"/>
        </w:rPr>
        <w:t>Sleeter</w:t>
      </w:r>
      <w:proofErr w:type="spellEnd"/>
      <w:r w:rsidRPr="00C0674E">
        <w:rPr>
          <w:rFonts w:ascii="Verdana" w:hAnsi="Verdana"/>
        </w:rPr>
        <w:t xml:space="preserve">, C.E., Torres, M.N. and Laughlin, P. (2004) 'Scaffolding Conscientization through Inquiry in Teacher Education.,' </w:t>
      </w:r>
      <w:r w:rsidRPr="00C0674E">
        <w:rPr>
          <w:rFonts w:ascii="Verdana" w:hAnsi="Verdana"/>
          <w:i/>
          <w:iCs/>
        </w:rPr>
        <w:t>Teacher Education Quarterly</w:t>
      </w:r>
      <w:r w:rsidRPr="00C0674E">
        <w:rPr>
          <w:rFonts w:ascii="Verdana" w:hAnsi="Verdana"/>
        </w:rPr>
        <w:t>, 31(1), pp. 81–96. http://files.eric.ed.gov/fulltext/EJ795236.pdf.</w:t>
      </w:r>
    </w:p>
    <w:p w14:paraId="0EF1FDEB" w14:textId="38926E50" w:rsidR="00C0674E" w:rsidRDefault="00C0674E" w:rsidP="00912F0E">
      <w:pPr>
        <w:pStyle w:val="NormalWeb"/>
        <w:spacing w:before="0" w:beforeAutospacing="0" w:after="0" w:afterAutospacing="0" w:line="480" w:lineRule="auto"/>
        <w:ind w:left="720" w:hanging="720"/>
        <w:rPr>
          <w:rFonts w:ascii="Verdana" w:hAnsi="Verdana"/>
        </w:rPr>
      </w:pPr>
    </w:p>
    <w:p w14:paraId="53928D17" w14:textId="11623930" w:rsidR="00912F0E" w:rsidRPr="00912F0E" w:rsidRDefault="00912F0E" w:rsidP="00C0674E">
      <w:pPr>
        <w:pStyle w:val="NormalWeb"/>
        <w:spacing w:before="0" w:beforeAutospacing="0" w:after="0" w:afterAutospacing="0" w:line="480" w:lineRule="auto"/>
        <w:rPr>
          <w:rFonts w:ascii="Verdana" w:hAnsi="Verdana"/>
        </w:rPr>
      </w:pPr>
      <w:r w:rsidRPr="00912F0E">
        <w:rPr>
          <w:rFonts w:ascii="Verdana" w:hAnsi="Verdana"/>
        </w:rPr>
        <w:t xml:space="preserve">Sorensen, N. </w:t>
      </w:r>
      <w:r w:rsidRPr="00912F0E">
        <w:rPr>
          <w:rFonts w:ascii="Verdana" w:hAnsi="Verdana"/>
          <w:i/>
          <w:iCs/>
        </w:rPr>
        <w:t>et al.</w:t>
      </w:r>
      <w:r w:rsidRPr="00912F0E">
        <w:rPr>
          <w:rFonts w:ascii="Verdana" w:hAnsi="Verdana"/>
        </w:rPr>
        <w:t xml:space="preserve"> (2009) 'Taking a Hands Approach to Diversity in Higher Education: A Critical-Dialogic Model for Effective Intergroup Interaction,' </w:t>
      </w:r>
      <w:r w:rsidRPr="00912F0E">
        <w:rPr>
          <w:rFonts w:ascii="Verdana" w:hAnsi="Verdana"/>
          <w:i/>
          <w:iCs/>
        </w:rPr>
        <w:t>Analyses of Social Issues and Public Policy</w:t>
      </w:r>
      <w:r w:rsidRPr="00912F0E">
        <w:rPr>
          <w:rFonts w:ascii="Verdana" w:hAnsi="Verdana"/>
        </w:rPr>
        <w:t>, 9(1), pp. 3–35. https://doi.org/10.1111/j.1530-2415.2009.01193.x.</w:t>
      </w:r>
    </w:p>
    <w:p w14:paraId="383B8BDD"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lastRenderedPageBreak/>
        <w:t>Swiderek</w:t>
      </w:r>
      <w:proofErr w:type="spellEnd"/>
      <w:r w:rsidRPr="00912F0E">
        <w:rPr>
          <w:rFonts w:ascii="Verdana" w:hAnsi="Verdana"/>
        </w:rPr>
        <w:t xml:space="preserve">, B. (1996) 'Metacognition,' </w:t>
      </w:r>
      <w:r w:rsidRPr="00912F0E">
        <w:rPr>
          <w:rFonts w:ascii="Verdana" w:hAnsi="Verdana"/>
          <w:i/>
          <w:iCs/>
        </w:rPr>
        <w:t>Journal of Adolescent &amp; Adult Literacy</w:t>
      </w:r>
      <w:r w:rsidRPr="00912F0E">
        <w:rPr>
          <w:rFonts w:ascii="Verdana" w:hAnsi="Verdana"/>
        </w:rPr>
        <w:t>, 39(5), pp. 418–419. http://www.jstor.org/stable/40014665.</w:t>
      </w:r>
    </w:p>
    <w:p w14:paraId="5F7180CA"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Teo, P. (2019) 'Teaching for the 21st century: A case for dialogic pedagogy,' </w:t>
      </w:r>
      <w:r w:rsidRPr="00912F0E">
        <w:rPr>
          <w:rFonts w:ascii="Verdana" w:hAnsi="Verdana"/>
          <w:i/>
          <w:iCs/>
        </w:rPr>
        <w:t>Learning, Culture and Social Interaction</w:t>
      </w:r>
      <w:r w:rsidRPr="00912F0E">
        <w:rPr>
          <w:rFonts w:ascii="Verdana" w:hAnsi="Verdana"/>
        </w:rPr>
        <w:t>, 21, pp. 170–178. https://doi.org/10.1016/j.lcsi.2019.03.009.</w:t>
      </w:r>
    </w:p>
    <w:p w14:paraId="2066A79E"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Tripp, D. (2012) </w:t>
      </w:r>
      <w:r w:rsidRPr="00912F0E">
        <w:rPr>
          <w:rFonts w:ascii="Verdana" w:hAnsi="Verdana"/>
          <w:i/>
          <w:iCs/>
        </w:rPr>
        <w:t>Critical incidents in teaching: Developing Professional Judgement</w:t>
      </w:r>
      <w:r w:rsidRPr="00912F0E">
        <w:rPr>
          <w:rFonts w:ascii="Verdana" w:hAnsi="Verdana"/>
        </w:rPr>
        <w:t>.</w:t>
      </w:r>
    </w:p>
    <w:p w14:paraId="1D3910E6"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Watson, M. (2018) </w:t>
      </w:r>
      <w:r w:rsidRPr="00912F0E">
        <w:rPr>
          <w:rFonts w:ascii="Verdana" w:hAnsi="Verdana"/>
          <w:i/>
          <w:iCs/>
        </w:rPr>
        <w:t>Building the Teacher–Student relationship</w:t>
      </w:r>
      <w:r w:rsidRPr="00912F0E">
        <w:rPr>
          <w:rFonts w:ascii="Verdana" w:hAnsi="Verdana"/>
        </w:rPr>
        <w:t xml:space="preserve">, </w:t>
      </w:r>
      <w:r w:rsidRPr="00912F0E">
        <w:rPr>
          <w:rFonts w:ascii="Verdana" w:hAnsi="Verdana"/>
          <w:i/>
          <w:iCs/>
        </w:rPr>
        <w:t>Oxford University Press eBooks</w:t>
      </w:r>
      <w:r w:rsidRPr="00912F0E">
        <w:rPr>
          <w:rFonts w:ascii="Verdana" w:hAnsi="Verdana"/>
        </w:rPr>
        <w:t>. https://doi.org/10.1093/oso/9780190867263.003.0004.</w:t>
      </w:r>
    </w:p>
    <w:p w14:paraId="3149F962"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Wertsch</w:t>
      </w:r>
      <w:proofErr w:type="spellEnd"/>
      <w:r w:rsidRPr="00912F0E">
        <w:rPr>
          <w:rFonts w:ascii="Verdana" w:hAnsi="Verdana"/>
        </w:rPr>
        <w:t xml:space="preserve">, J.V. (1985) </w:t>
      </w:r>
      <w:r w:rsidRPr="00912F0E">
        <w:rPr>
          <w:rFonts w:ascii="Verdana" w:hAnsi="Verdana"/>
          <w:i/>
          <w:iCs/>
        </w:rPr>
        <w:t>Vygotsky and the social formation of mind</w:t>
      </w:r>
      <w:r w:rsidRPr="00912F0E">
        <w:rPr>
          <w:rFonts w:ascii="Verdana" w:hAnsi="Verdana"/>
        </w:rPr>
        <w:t>. Harvard University Press.</w:t>
      </w:r>
    </w:p>
    <w:p w14:paraId="7DF0F66B"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Wood, D., Bruner, J.S. and Ross, G. (1976) 'THE ROLE OF TUTORING IN PROBLEM SOLVING </w:t>
      </w:r>
      <w:r w:rsidRPr="00912F0E">
        <w:rPr>
          <w:rFonts w:ascii="Verdana" w:hAnsi="Verdana"/>
          <w:vertAlign w:val="superscript"/>
        </w:rPr>
        <w:t>*</w:t>
      </w:r>
      <w:r w:rsidRPr="00912F0E">
        <w:rPr>
          <w:rFonts w:ascii="Verdana" w:hAnsi="Verdana"/>
        </w:rPr>
        <w:t xml:space="preserve">,' </w:t>
      </w:r>
      <w:r w:rsidRPr="00912F0E">
        <w:rPr>
          <w:rFonts w:ascii="Verdana" w:hAnsi="Verdana"/>
          <w:i/>
          <w:iCs/>
        </w:rPr>
        <w:t>Journal of Child Psychology and Psychiatry</w:t>
      </w:r>
      <w:r w:rsidRPr="00912F0E">
        <w:rPr>
          <w:rFonts w:ascii="Verdana" w:hAnsi="Verdana"/>
        </w:rPr>
        <w:t>, 17(2), pp. 89–100. https://doi.org/10.1111/j.1469-7610.1976.tb00381.x.</w:t>
      </w:r>
    </w:p>
    <w:p w14:paraId="67419EA5" w14:textId="77777777" w:rsidR="00912F0E" w:rsidRDefault="00912F0E" w:rsidP="00AD1FE8">
      <w:pPr>
        <w:spacing w:line="360" w:lineRule="auto"/>
        <w:jc w:val="both"/>
        <w:rPr>
          <w:rFonts w:ascii="Verdana" w:eastAsia="Times New Roman" w:hAnsi="Verdana" w:cstheme="minorHAnsi"/>
          <w:color w:val="000000" w:themeColor="text1"/>
          <w:lang w:eastAsia="en-GB"/>
        </w:rPr>
      </w:pPr>
    </w:p>
    <w:p w14:paraId="24F8DEFE" w14:textId="7A8F767C" w:rsidR="00F3383E" w:rsidRDefault="00F3383E" w:rsidP="00AD1FE8">
      <w:pPr>
        <w:spacing w:line="360" w:lineRule="auto"/>
        <w:jc w:val="both"/>
        <w:rPr>
          <w:rFonts w:ascii="Verdana" w:eastAsia="Times New Roman" w:hAnsi="Verdana" w:cstheme="minorHAnsi"/>
          <w:color w:val="000000" w:themeColor="text1"/>
          <w:lang w:eastAsia="en-GB"/>
        </w:rPr>
      </w:pPr>
    </w:p>
    <w:p w14:paraId="6CC1666F" w14:textId="77777777" w:rsidR="00F3383E" w:rsidRDefault="00F3383E" w:rsidP="00AD1FE8">
      <w:pPr>
        <w:spacing w:line="360" w:lineRule="auto"/>
        <w:jc w:val="both"/>
        <w:rPr>
          <w:rFonts w:ascii="Verdana" w:eastAsia="Times New Roman" w:hAnsi="Verdana" w:cstheme="minorHAnsi"/>
          <w:color w:val="000000" w:themeColor="text1"/>
          <w:lang w:eastAsia="en-GB"/>
        </w:rPr>
      </w:pPr>
    </w:p>
    <w:p w14:paraId="70FBA367" w14:textId="77777777" w:rsidR="009F3FB7" w:rsidRDefault="009F3FB7" w:rsidP="00AD1FE8">
      <w:pPr>
        <w:spacing w:line="360" w:lineRule="auto"/>
        <w:jc w:val="both"/>
        <w:rPr>
          <w:rFonts w:ascii="Verdana" w:eastAsia="Times New Roman" w:hAnsi="Verdana" w:cstheme="minorHAnsi"/>
          <w:color w:val="000000" w:themeColor="text1"/>
          <w:lang w:eastAsia="en-GB"/>
        </w:rPr>
      </w:pPr>
    </w:p>
    <w:p w14:paraId="3F7EA5A9" w14:textId="78A60A27" w:rsidR="009F3FB7" w:rsidRDefault="009F3FB7" w:rsidP="00AD1FE8">
      <w:pPr>
        <w:spacing w:line="360" w:lineRule="auto"/>
        <w:jc w:val="both"/>
        <w:rPr>
          <w:rFonts w:ascii="Verdana" w:eastAsia="Times New Roman" w:hAnsi="Verdana" w:cstheme="minorHAnsi"/>
          <w:color w:val="000000" w:themeColor="text1"/>
          <w:lang w:eastAsia="en-GB"/>
        </w:rPr>
      </w:pPr>
    </w:p>
    <w:p w14:paraId="14E06684" w14:textId="77777777" w:rsidR="009F3FB7" w:rsidRPr="00AD1FE8" w:rsidRDefault="009F3FB7" w:rsidP="00AD1FE8">
      <w:pPr>
        <w:spacing w:line="360" w:lineRule="auto"/>
        <w:jc w:val="both"/>
        <w:rPr>
          <w:rFonts w:ascii="Verdana" w:eastAsia="Times New Roman" w:hAnsi="Verdana" w:cstheme="minorHAnsi"/>
          <w:color w:val="000000" w:themeColor="text1"/>
          <w:lang w:eastAsia="en-GB"/>
        </w:rPr>
      </w:pPr>
    </w:p>
    <w:p w14:paraId="131667C9" w14:textId="39ACD46C" w:rsidR="00AD1FE8" w:rsidRPr="00AD1FE8" w:rsidRDefault="00AD1FE8" w:rsidP="00AD1FE8">
      <w:pPr>
        <w:rPr>
          <w:rFonts w:ascii="Verdana" w:hAnsi="Verdana"/>
          <w:sz w:val="22"/>
          <w:szCs w:val="22"/>
        </w:rPr>
      </w:pPr>
    </w:p>
    <w:p w14:paraId="6610165A" w14:textId="64FDD0C9" w:rsidR="00AD1FE8" w:rsidRPr="00AD1FE8" w:rsidRDefault="00AD1FE8">
      <w:pPr>
        <w:rPr>
          <w:rFonts w:ascii="Verdana" w:hAnsi="Verdana"/>
        </w:rPr>
      </w:pPr>
    </w:p>
    <w:sectPr w:rsidR="00AD1FE8" w:rsidRPr="00AD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00A23"/>
    <w:multiLevelType w:val="hybridMultilevel"/>
    <w:tmpl w:val="6EF88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FE8"/>
    <w:rsid w:val="0001033D"/>
    <w:rsid w:val="0002053F"/>
    <w:rsid w:val="000343CE"/>
    <w:rsid w:val="00061631"/>
    <w:rsid w:val="00073D83"/>
    <w:rsid w:val="00085D87"/>
    <w:rsid w:val="000A44FB"/>
    <w:rsid w:val="000F3CFD"/>
    <w:rsid w:val="0011592D"/>
    <w:rsid w:val="001A7BBC"/>
    <w:rsid w:val="0023483F"/>
    <w:rsid w:val="00244589"/>
    <w:rsid w:val="002478AF"/>
    <w:rsid w:val="002642A1"/>
    <w:rsid w:val="002725D0"/>
    <w:rsid w:val="00282330"/>
    <w:rsid w:val="002C03DA"/>
    <w:rsid w:val="002E38E8"/>
    <w:rsid w:val="00326768"/>
    <w:rsid w:val="0037270B"/>
    <w:rsid w:val="003D33A3"/>
    <w:rsid w:val="004063B5"/>
    <w:rsid w:val="00445DC3"/>
    <w:rsid w:val="00457EDD"/>
    <w:rsid w:val="0046576E"/>
    <w:rsid w:val="00475682"/>
    <w:rsid w:val="00486BC4"/>
    <w:rsid w:val="004F166F"/>
    <w:rsid w:val="004F6115"/>
    <w:rsid w:val="00513BB4"/>
    <w:rsid w:val="005140C4"/>
    <w:rsid w:val="00565FC3"/>
    <w:rsid w:val="00583441"/>
    <w:rsid w:val="005A5AB4"/>
    <w:rsid w:val="005B6EA9"/>
    <w:rsid w:val="005C3310"/>
    <w:rsid w:val="005D46FB"/>
    <w:rsid w:val="00620551"/>
    <w:rsid w:val="006610A1"/>
    <w:rsid w:val="0069206F"/>
    <w:rsid w:val="006B0460"/>
    <w:rsid w:val="006C5268"/>
    <w:rsid w:val="006F2177"/>
    <w:rsid w:val="00726882"/>
    <w:rsid w:val="00741CCE"/>
    <w:rsid w:val="00796E4D"/>
    <w:rsid w:val="007979F2"/>
    <w:rsid w:val="007E4EC7"/>
    <w:rsid w:val="0080070F"/>
    <w:rsid w:val="00826FA3"/>
    <w:rsid w:val="00854A39"/>
    <w:rsid w:val="008614BC"/>
    <w:rsid w:val="0087202E"/>
    <w:rsid w:val="00894896"/>
    <w:rsid w:val="008F49A0"/>
    <w:rsid w:val="00912A8D"/>
    <w:rsid w:val="00912F0E"/>
    <w:rsid w:val="009216C7"/>
    <w:rsid w:val="00922463"/>
    <w:rsid w:val="009233E7"/>
    <w:rsid w:val="00962D0E"/>
    <w:rsid w:val="00991D2E"/>
    <w:rsid w:val="009A7E76"/>
    <w:rsid w:val="009F0E46"/>
    <w:rsid w:val="009F3FB7"/>
    <w:rsid w:val="00A30AC3"/>
    <w:rsid w:val="00A469CA"/>
    <w:rsid w:val="00A52019"/>
    <w:rsid w:val="00A711B7"/>
    <w:rsid w:val="00A81A15"/>
    <w:rsid w:val="00A911AA"/>
    <w:rsid w:val="00AB785E"/>
    <w:rsid w:val="00AC7003"/>
    <w:rsid w:val="00AD1FE8"/>
    <w:rsid w:val="00AF0B14"/>
    <w:rsid w:val="00B06619"/>
    <w:rsid w:val="00B27BE3"/>
    <w:rsid w:val="00B4655B"/>
    <w:rsid w:val="00B51F6B"/>
    <w:rsid w:val="00B52BC0"/>
    <w:rsid w:val="00B6400D"/>
    <w:rsid w:val="00BB1A0A"/>
    <w:rsid w:val="00BF2036"/>
    <w:rsid w:val="00C000D6"/>
    <w:rsid w:val="00C0674E"/>
    <w:rsid w:val="00C5393F"/>
    <w:rsid w:val="00C65D96"/>
    <w:rsid w:val="00C73B83"/>
    <w:rsid w:val="00C840AC"/>
    <w:rsid w:val="00CB4A1D"/>
    <w:rsid w:val="00CD0633"/>
    <w:rsid w:val="00CE0696"/>
    <w:rsid w:val="00CE0BFA"/>
    <w:rsid w:val="00CE2134"/>
    <w:rsid w:val="00CF5F4C"/>
    <w:rsid w:val="00D1506B"/>
    <w:rsid w:val="00D23F2F"/>
    <w:rsid w:val="00DA128B"/>
    <w:rsid w:val="00DE5E54"/>
    <w:rsid w:val="00E102C1"/>
    <w:rsid w:val="00E3271F"/>
    <w:rsid w:val="00E7569D"/>
    <w:rsid w:val="00E75CDA"/>
    <w:rsid w:val="00EA301F"/>
    <w:rsid w:val="00EC0961"/>
    <w:rsid w:val="00EC3CD4"/>
    <w:rsid w:val="00ED026C"/>
    <w:rsid w:val="00F04557"/>
    <w:rsid w:val="00F2467C"/>
    <w:rsid w:val="00F3383E"/>
    <w:rsid w:val="00F60494"/>
    <w:rsid w:val="00F6267C"/>
    <w:rsid w:val="00F74CF8"/>
    <w:rsid w:val="00FA23BC"/>
    <w:rsid w:val="00FA33D7"/>
    <w:rsid w:val="00FA3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340575"/>
  <w15:chartTrackingRefBased/>
  <w15:docId w15:val="{9598A07D-B1E7-5B45-8F38-D7370421E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1FE8"/>
    <w:pPr>
      <w:ind w:left="720"/>
      <w:contextualSpacing/>
    </w:pPr>
  </w:style>
  <w:style w:type="paragraph" w:styleId="NormalWeb">
    <w:name w:val="Normal (Web)"/>
    <w:basedOn w:val="Normal"/>
    <w:uiPriority w:val="99"/>
    <w:semiHidden/>
    <w:unhideWhenUsed/>
    <w:rsid w:val="00912F0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0674E"/>
    <w:rPr>
      <w:color w:val="0563C1" w:themeColor="hyperlink"/>
      <w:u w:val="single"/>
    </w:rPr>
  </w:style>
  <w:style w:type="character" w:styleId="UnresolvedMention">
    <w:name w:val="Unresolved Mention"/>
    <w:basedOn w:val="DefaultParagraphFont"/>
    <w:uiPriority w:val="99"/>
    <w:semiHidden/>
    <w:unhideWhenUsed/>
    <w:rsid w:val="00C067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97448">
      <w:bodyDiv w:val="1"/>
      <w:marLeft w:val="0"/>
      <w:marRight w:val="0"/>
      <w:marTop w:val="0"/>
      <w:marBottom w:val="0"/>
      <w:divBdr>
        <w:top w:val="none" w:sz="0" w:space="0" w:color="auto"/>
        <w:left w:val="none" w:sz="0" w:space="0" w:color="auto"/>
        <w:bottom w:val="none" w:sz="0" w:space="0" w:color="auto"/>
        <w:right w:val="none" w:sz="0" w:space="0" w:color="auto"/>
      </w:divBdr>
      <w:divsChild>
        <w:div w:id="520826269">
          <w:marLeft w:val="-720"/>
          <w:marRight w:val="0"/>
          <w:marTop w:val="0"/>
          <w:marBottom w:val="0"/>
          <w:divBdr>
            <w:top w:val="none" w:sz="0" w:space="0" w:color="auto"/>
            <w:left w:val="none" w:sz="0" w:space="0" w:color="auto"/>
            <w:bottom w:val="none" w:sz="0" w:space="0" w:color="auto"/>
            <w:right w:val="none" w:sz="0" w:space="0" w:color="auto"/>
          </w:divBdr>
        </w:div>
      </w:divsChild>
    </w:div>
    <w:div w:id="75787561">
      <w:bodyDiv w:val="1"/>
      <w:marLeft w:val="0"/>
      <w:marRight w:val="0"/>
      <w:marTop w:val="0"/>
      <w:marBottom w:val="0"/>
      <w:divBdr>
        <w:top w:val="none" w:sz="0" w:space="0" w:color="auto"/>
        <w:left w:val="none" w:sz="0" w:space="0" w:color="auto"/>
        <w:bottom w:val="none" w:sz="0" w:space="0" w:color="auto"/>
        <w:right w:val="none" w:sz="0" w:space="0" w:color="auto"/>
      </w:divBdr>
    </w:div>
    <w:div w:id="78910205">
      <w:bodyDiv w:val="1"/>
      <w:marLeft w:val="0"/>
      <w:marRight w:val="0"/>
      <w:marTop w:val="0"/>
      <w:marBottom w:val="0"/>
      <w:divBdr>
        <w:top w:val="none" w:sz="0" w:space="0" w:color="auto"/>
        <w:left w:val="none" w:sz="0" w:space="0" w:color="auto"/>
        <w:bottom w:val="none" w:sz="0" w:space="0" w:color="auto"/>
        <w:right w:val="none" w:sz="0" w:space="0" w:color="auto"/>
      </w:divBdr>
    </w:div>
    <w:div w:id="231047157">
      <w:bodyDiv w:val="1"/>
      <w:marLeft w:val="0"/>
      <w:marRight w:val="0"/>
      <w:marTop w:val="0"/>
      <w:marBottom w:val="0"/>
      <w:divBdr>
        <w:top w:val="none" w:sz="0" w:space="0" w:color="auto"/>
        <w:left w:val="none" w:sz="0" w:space="0" w:color="auto"/>
        <w:bottom w:val="none" w:sz="0" w:space="0" w:color="auto"/>
        <w:right w:val="none" w:sz="0" w:space="0" w:color="auto"/>
      </w:divBdr>
      <w:divsChild>
        <w:div w:id="987904571">
          <w:marLeft w:val="-720"/>
          <w:marRight w:val="0"/>
          <w:marTop w:val="0"/>
          <w:marBottom w:val="0"/>
          <w:divBdr>
            <w:top w:val="none" w:sz="0" w:space="0" w:color="auto"/>
            <w:left w:val="none" w:sz="0" w:space="0" w:color="auto"/>
            <w:bottom w:val="none" w:sz="0" w:space="0" w:color="auto"/>
            <w:right w:val="none" w:sz="0" w:space="0" w:color="auto"/>
          </w:divBdr>
        </w:div>
      </w:divsChild>
    </w:div>
    <w:div w:id="280917638">
      <w:bodyDiv w:val="1"/>
      <w:marLeft w:val="0"/>
      <w:marRight w:val="0"/>
      <w:marTop w:val="0"/>
      <w:marBottom w:val="0"/>
      <w:divBdr>
        <w:top w:val="none" w:sz="0" w:space="0" w:color="auto"/>
        <w:left w:val="none" w:sz="0" w:space="0" w:color="auto"/>
        <w:bottom w:val="none" w:sz="0" w:space="0" w:color="auto"/>
        <w:right w:val="none" w:sz="0" w:space="0" w:color="auto"/>
      </w:divBdr>
    </w:div>
    <w:div w:id="362705872">
      <w:bodyDiv w:val="1"/>
      <w:marLeft w:val="0"/>
      <w:marRight w:val="0"/>
      <w:marTop w:val="0"/>
      <w:marBottom w:val="0"/>
      <w:divBdr>
        <w:top w:val="none" w:sz="0" w:space="0" w:color="auto"/>
        <w:left w:val="none" w:sz="0" w:space="0" w:color="auto"/>
        <w:bottom w:val="none" w:sz="0" w:space="0" w:color="auto"/>
        <w:right w:val="none" w:sz="0" w:space="0" w:color="auto"/>
      </w:divBdr>
    </w:div>
    <w:div w:id="558594516">
      <w:bodyDiv w:val="1"/>
      <w:marLeft w:val="0"/>
      <w:marRight w:val="0"/>
      <w:marTop w:val="0"/>
      <w:marBottom w:val="0"/>
      <w:divBdr>
        <w:top w:val="none" w:sz="0" w:space="0" w:color="auto"/>
        <w:left w:val="none" w:sz="0" w:space="0" w:color="auto"/>
        <w:bottom w:val="none" w:sz="0" w:space="0" w:color="auto"/>
        <w:right w:val="none" w:sz="0" w:space="0" w:color="auto"/>
      </w:divBdr>
      <w:divsChild>
        <w:div w:id="531724364">
          <w:marLeft w:val="-720"/>
          <w:marRight w:val="0"/>
          <w:marTop w:val="0"/>
          <w:marBottom w:val="0"/>
          <w:divBdr>
            <w:top w:val="none" w:sz="0" w:space="0" w:color="auto"/>
            <w:left w:val="none" w:sz="0" w:space="0" w:color="auto"/>
            <w:bottom w:val="none" w:sz="0" w:space="0" w:color="auto"/>
            <w:right w:val="none" w:sz="0" w:space="0" w:color="auto"/>
          </w:divBdr>
        </w:div>
      </w:divsChild>
    </w:div>
    <w:div w:id="606085128">
      <w:bodyDiv w:val="1"/>
      <w:marLeft w:val="0"/>
      <w:marRight w:val="0"/>
      <w:marTop w:val="0"/>
      <w:marBottom w:val="0"/>
      <w:divBdr>
        <w:top w:val="none" w:sz="0" w:space="0" w:color="auto"/>
        <w:left w:val="none" w:sz="0" w:space="0" w:color="auto"/>
        <w:bottom w:val="none" w:sz="0" w:space="0" w:color="auto"/>
        <w:right w:val="none" w:sz="0" w:space="0" w:color="auto"/>
      </w:divBdr>
      <w:divsChild>
        <w:div w:id="1322274525">
          <w:marLeft w:val="-720"/>
          <w:marRight w:val="0"/>
          <w:marTop w:val="0"/>
          <w:marBottom w:val="0"/>
          <w:divBdr>
            <w:top w:val="none" w:sz="0" w:space="0" w:color="auto"/>
            <w:left w:val="none" w:sz="0" w:space="0" w:color="auto"/>
            <w:bottom w:val="none" w:sz="0" w:space="0" w:color="auto"/>
            <w:right w:val="none" w:sz="0" w:space="0" w:color="auto"/>
          </w:divBdr>
        </w:div>
      </w:divsChild>
    </w:div>
    <w:div w:id="932664065">
      <w:bodyDiv w:val="1"/>
      <w:marLeft w:val="0"/>
      <w:marRight w:val="0"/>
      <w:marTop w:val="0"/>
      <w:marBottom w:val="0"/>
      <w:divBdr>
        <w:top w:val="none" w:sz="0" w:space="0" w:color="auto"/>
        <w:left w:val="none" w:sz="0" w:space="0" w:color="auto"/>
        <w:bottom w:val="none" w:sz="0" w:space="0" w:color="auto"/>
        <w:right w:val="none" w:sz="0" w:space="0" w:color="auto"/>
      </w:divBdr>
    </w:div>
    <w:div w:id="1033072333">
      <w:bodyDiv w:val="1"/>
      <w:marLeft w:val="0"/>
      <w:marRight w:val="0"/>
      <w:marTop w:val="0"/>
      <w:marBottom w:val="0"/>
      <w:divBdr>
        <w:top w:val="none" w:sz="0" w:space="0" w:color="auto"/>
        <w:left w:val="none" w:sz="0" w:space="0" w:color="auto"/>
        <w:bottom w:val="none" w:sz="0" w:space="0" w:color="auto"/>
        <w:right w:val="none" w:sz="0" w:space="0" w:color="auto"/>
      </w:divBdr>
    </w:div>
    <w:div w:id="1072436232">
      <w:bodyDiv w:val="1"/>
      <w:marLeft w:val="0"/>
      <w:marRight w:val="0"/>
      <w:marTop w:val="0"/>
      <w:marBottom w:val="0"/>
      <w:divBdr>
        <w:top w:val="none" w:sz="0" w:space="0" w:color="auto"/>
        <w:left w:val="none" w:sz="0" w:space="0" w:color="auto"/>
        <w:bottom w:val="none" w:sz="0" w:space="0" w:color="auto"/>
        <w:right w:val="none" w:sz="0" w:space="0" w:color="auto"/>
      </w:divBdr>
    </w:div>
    <w:div w:id="1481463378">
      <w:bodyDiv w:val="1"/>
      <w:marLeft w:val="0"/>
      <w:marRight w:val="0"/>
      <w:marTop w:val="0"/>
      <w:marBottom w:val="0"/>
      <w:divBdr>
        <w:top w:val="none" w:sz="0" w:space="0" w:color="auto"/>
        <w:left w:val="none" w:sz="0" w:space="0" w:color="auto"/>
        <w:bottom w:val="none" w:sz="0" w:space="0" w:color="auto"/>
        <w:right w:val="none" w:sz="0" w:space="0" w:color="auto"/>
      </w:divBdr>
      <w:divsChild>
        <w:div w:id="185605735">
          <w:marLeft w:val="-720"/>
          <w:marRight w:val="0"/>
          <w:marTop w:val="0"/>
          <w:marBottom w:val="0"/>
          <w:divBdr>
            <w:top w:val="none" w:sz="0" w:space="0" w:color="auto"/>
            <w:left w:val="none" w:sz="0" w:space="0" w:color="auto"/>
            <w:bottom w:val="none" w:sz="0" w:space="0" w:color="auto"/>
            <w:right w:val="none" w:sz="0" w:space="0" w:color="auto"/>
          </w:divBdr>
        </w:div>
      </w:divsChild>
    </w:div>
    <w:div w:id="1828205166">
      <w:bodyDiv w:val="1"/>
      <w:marLeft w:val="0"/>
      <w:marRight w:val="0"/>
      <w:marTop w:val="0"/>
      <w:marBottom w:val="0"/>
      <w:divBdr>
        <w:top w:val="none" w:sz="0" w:space="0" w:color="auto"/>
        <w:left w:val="none" w:sz="0" w:space="0" w:color="auto"/>
        <w:bottom w:val="none" w:sz="0" w:space="0" w:color="auto"/>
        <w:right w:val="none" w:sz="0" w:space="0" w:color="auto"/>
      </w:divBdr>
    </w:div>
    <w:div w:id="196499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3102/0013189x02900700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1542</TotalTime>
  <Pages>18</Pages>
  <Words>4885</Words>
  <Characters>27848</Characters>
  <Application>Microsoft Office Word</Application>
  <DocSecurity>0</DocSecurity>
  <Lines>232</Lines>
  <Paragraphs>65</Paragraphs>
  <ScaleCrop>false</ScaleCrop>
  <Company/>
  <LinksUpToDate>false</LinksUpToDate>
  <CharactersWithSpaces>32668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 S (FLSE)</dc:creator>
  <cp:keywords/>
  <dc:description/>
  <cp:lastModifiedBy>Baker S (FLSE)</cp:lastModifiedBy>
  <cp:revision>134</cp:revision>
  <dcterms:created xsi:type="dcterms:W3CDTF">2023-10-22T18:43:00Z</dcterms:created>
  <dcterms:modified xsi:type="dcterms:W3CDTF">2023-11-06T20:13:00Z</dcterms:modified>
</cp:coreProperties>
</file>