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00602F" wp14:paraId="4968A201" wp14:textId="5BD78521">
      <w:pPr>
        <w:pStyle w:val="ListParagraph"/>
        <w:spacing w:before="0" w:beforeAutospacing="off" w:after="0" w:afterAutospacing="off"/>
        <w:ind w:left="720" w:righ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24EE83E3">
        <w:drawing>
          <wp:inline xmlns:wp14="http://schemas.microsoft.com/office/word/2010/wordprocessingDrawing" wp14:editId="1A8E2B86" wp14:anchorId="12A559EB">
            <wp:extent cx="4112402" cy="1445616"/>
            <wp:effectExtent l="0" t="0" r="0" b="0"/>
            <wp:docPr id="1080739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0739324" name="Picture 1080739324"/>
                    <pic:cNvPicPr/>
                  </pic:nvPicPr>
                  <pic:blipFill>
                    <a:blip xmlns:r="http://schemas.openxmlformats.org/officeDocument/2006/relationships" r:embed="rId1640933305">
                      <a:extLst>
                        <a:ext uri="{28A0092B-C50C-407E-A947-70E740481C1C}">
                          <a14:useLocalDpi xmlns:a14="http://schemas.microsoft.com/office/drawing/2010/main"/>
                        </a:ext>
                      </a:extLst>
                    </a:blip>
                    <a:stretch>
                      <a:fillRect/>
                    </a:stretch>
                  </pic:blipFill>
                  <pic:spPr>
                    <a:xfrm rot="0">
                      <a:off x="0" y="0"/>
                      <a:ext cx="4112402" cy="1445616"/>
                    </a:xfrm>
                    <a:prstGeom prst="rect">
                      <a:avLst/>
                    </a:prstGeom>
                  </pic:spPr>
                </pic:pic>
              </a:graphicData>
            </a:graphic>
          </wp:inline>
        </w:drawing>
      </w:r>
    </w:p>
    <w:p xmlns:wp14="http://schemas.microsoft.com/office/word/2010/wordml" w:rsidP="3500602F" wp14:paraId="5915DB12" wp14:textId="682951A7">
      <w:pPr>
        <w:pStyle w:val="Normal"/>
        <w:spacing w:before="0" w:beforeAutospacing="off" w:after="0" w:afterAutospacing="off"/>
        <w:ind w:left="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500602F" w:rsidR="0FAB9A62">
        <w:rPr>
          <w:rFonts w:ascii="Arial" w:hAnsi="Arial" w:eastAsia="Arial" w:cs="Arial"/>
          <w:b w:val="1"/>
          <w:bCs w:val="1"/>
          <w:i w:val="0"/>
          <w:iCs w:val="0"/>
          <w:strike w:val="0"/>
          <w:dstrike w:val="0"/>
          <w:noProof w:val="0"/>
          <w:color w:val="000000" w:themeColor="text1" w:themeTint="FF" w:themeShade="FF"/>
          <w:sz w:val="36"/>
          <w:szCs w:val="36"/>
          <w:u w:val="none"/>
          <w:lang w:val="en-GB"/>
        </w:rPr>
        <w:t>P</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rogramme </w:t>
      </w:r>
      <w:r w:rsidRPr="3500602F" w:rsidR="34696913">
        <w:rPr>
          <w:rFonts w:ascii="Arial" w:hAnsi="Arial" w:eastAsia="Arial" w:cs="Arial"/>
          <w:b w:val="1"/>
          <w:bCs w:val="1"/>
          <w:i w:val="0"/>
          <w:iCs w:val="0"/>
          <w:strike w:val="0"/>
          <w:dstrike w:val="0"/>
          <w:noProof w:val="0"/>
          <w:color w:val="000000" w:themeColor="text1" w:themeTint="FF" w:themeShade="FF"/>
          <w:sz w:val="36"/>
          <w:szCs w:val="36"/>
          <w:u w:val="none"/>
          <w:lang w:val="en-GB"/>
        </w:rPr>
        <w:t>N</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ame</w:t>
      </w:r>
      <w:r w:rsidRPr="3500602F" w:rsidR="547A967F">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500602F" w:rsidR="153C0E3F">
        <w:rPr>
          <w:rFonts w:ascii="Arial" w:hAnsi="Arial" w:eastAsia="Arial" w:cs="Arial"/>
          <w:b w:val="1"/>
          <w:bCs w:val="1"/>
          <w:i w:val="0"/>
          <w:iCs w:val="0"/>
          <w:strike w:val="0"/>
          <w:dstrike w:val="0"/>
          <w:noProof w:val="0"/>
          <w:color w:val="000000" w:themeColor="text1" w:themeTint="FF" w:themeShade="FF"/>
          <w:sz w:val="36"/>
          <w:szCs w:val="36"/>
          <w:u w:val="none"/>
          <w:lang w:val="en-GB"/>
        </w:rPr>
        <w:t>Master of Business</w:t>
      </w:r>
      <w:r w:rsidRPr="3500602F" w:rsidR="547A967F">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tab/>
      </w:r>
      <w:r>
        <w:tab/>
      </w:r>
      <w:r w:rsidRPr="3500602F" w:rsidR="46C9BD1F">
        <w:rPr>
          <w:rFonts w:ascii="Arial" w:hAnsi="Arial" w:eastAsia="Arial" w:cs="Arial"/>
          <w:b w:val="1"/>
          <w:bCs w:val="1"/>
          <w:i w:val="0"/>
          <w:iCs w:val="0"/>
          <w:strike w:val="0"/>
          <w:dstrike w:val="0"/>
          <w:noProof w:val="0"/>
          <w:color w:val="000000" w:themeColor="text1" w:themeTint="FF" w:themeShade="FF"/>
          <w:sz w:val="36"/>
          <w:szCs w:val="36"/>
          <w:u w:val="none"/>
          <w:lang w:val="en-GB"/>
        </w:rPr>
        <w:t>Administration</w:t>
      </w:r>
    </w:p>
    <w:p xmlns:wp14="http://schemas.microsoft.com/office/word/2010/wordml" w:rsidP="3500602F" wp14:paraId="3FEA9355" wp14:textId="5C8D3392">
      <w:pPr>
        <w:pStyle w:val="Normal"/>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500602F" w:rsidR="63693ED4">
        <w:rPr>
          <w:rFonts w:ascii="Arial" w:hAnsi="Arial" w:eastAsia="Arial" w:cs="Arial"/>
          <w:b w:val="1"/>
          <w:bCs w:val="1"/>
          <w:i w:val="0"/>
          <w:iCs w:val="0"/>
          <w:strike w:val="0"/>
          <w:dstrike w:val="0"/>
          <w:noProof w:val="0"/>
          <w:color w:val="000000" w:themeColor="text1" w:themeTint="FF" w:themeShade="FF"/>
          <w:sz w:val="36"/>
          <w:szCs w:val="36"/>
          <w:u w:val="none"/>
          <w:lang w:val="en-GB"/>
        </w:rPr>
        <w:t>M</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odul</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e</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500602F" w:rsidR="1868BD0A">
        <w:rPr>
          <w:rFonts w:ascii="Arial" w:hAnsi="Arial" w:eastAsia="Arial" w:cs="Arial"/>
          <w:b w:val="1"/>
          <w:bCs w:val="1"/>
          <w:i w:val="0"/>
          <w:iCs w:val="0"/>
          <w:strike w:val="0"/>
          <w:dstrike w:val="0"/>
          <w:noProof w:val="0"/>
          <w:color w:val="000000" w:themeColor="text1" w:themeTint="FF" w:themeShade="FF"/>
          <w:sz w:val="36"/>
          <w:szCs w:val="36"/>
          <w:u w:val="none"/>
          <w:lang w:val="en-GB"/>
        </w:rPr>
        <w:t>N</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ame</w:t>
      </w:r>
      <w:r w:rsidRPr="3500602F" w:rsidR="3B3E8517">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500602F" w:rsidR="41743E7B">
        <w:rPr>
          <w:rFonts w:ascii="Arial" w:hAnsi="Arial" w:eastAsia="Arial" w:cs="Arial"/>
          <w:b w:val="1"/>
          <w:bCs w:val="1"/>
          <w:i w:val="0"/>
          <w:iCs w:val="0"/>
          <w:strike w:val="0"/>
          <w:dstrike w:val="0"/>
          <w:noProof w:val="0"/>
          <w:color w:val="000000" w:themeColor="text1" w:themeTint="FF" w:themeShade="FF"/>
          <w:sz w:val="36"/>
          <w:szCs w:val="36"/>
          <w:u w:val="none"/>
          <w:lang w:val="en-GB"/>
        </w:rPr>
        <w:t>Marketing Management</w:t>
      </w:r>
    </w:p>
    <w:p xmlns:wp14="http://schemas.microsoft.com/office/word/2010/wordml" w:rsidP="3500602F" wp14:paraId="73189419" wp14:textId="3EB52955">
      <w:pPr>
        <w:pStyle w:val="Normal"/>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500602F" w:rsidR="271FCCB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Module </w:t>
      </w:r>
      <w:r w:rsidRPr="3500602F" w:rsidR="5B6EF68C">
        <w:rPr>
          <w:rFonts w:ascii="Arial" w:hAnsi="Arial" w:eastAsia="Arial" w:cs="Arial"/>
          <w:b w:val="1"/>
          <w:bCs w:val="1"/>
          <w:i w:val="0"/>
          <w:iCs w:val="0"/>
          <w:strike w:val="0"/>
          <w:dstrike w:val="0"/>
          <w:noProof w:val="0"/>
          <w:color w:val="000000" w:themeColor="text1" w:themeTint="FF" w:themeShade="FF"/>
          <w:sz w:val="36"/>
          <w:szCs w:val="36"/>
          <w:u w:val="none"/>
          <w:lang w:val="en-GB"/>
        </w:rPr>
        <w:t>C</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ode</w:t>
      </w:r>
      <w:r w:rsidRPr="3500602F" w:rsidR="1BDA9BA2">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500602F" w:rsidR="7D296E6C">
        <w:rPr>
          <w:rFonts w:ascii="Arial" w:hAnsi="Arial" w:eastAsia="Arial" w:cs="Arial"/>
          <w:b w:val="1"/>
          <w:bCs w:val="1"/>
          <w:i w:val="0"/>
          <w:iCs w:val="0"/>
          <w:strike w:val="0"/>
          <w:dstrike w:val="0"/>
          <w:noProof w:val="0"/>
          <w:color w:val="000000" w:themeColor="text1" w:themeTint="FF" w:themeShade="FF"/>
          <w:sz w:val="36"/>
          <w:szCs w:val="36"/>
          <w:u w:val="none"/>
          <w:lang w:val="en-GB"/>
        </w:rPr>
        <w:t>LCMB7024</w:t>
      </w:r>
    </w:p>
    <w:p xmlns:wp14="http://schemas.microsoft.com/office/word/2010/wordml" w:rsidP="79408D6B" wp14:paraId="4E8512A7" wp14:textId="7DC5DAE1">
      <w:pPr>
        <w:pStyle w:val="ListParagraph"/>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79408D6B" w:rsidR="7E53E460">
        <w:rPr>
          <w:rFonts w:ascii="Arial" w:hAnsi="Arial" w:eastAsia="Arial" w:cs="Arial"/>
          <w:b w:val="1"/>
          <w:bCs w:val="1"/>
          <w:i w:val="0"/>
          <w:iCs w:val="0"/>
          <w:strike w:val="0"/>
          <w:dstrike w:val="0"/>
          <w:noProof w:val="0"/>
          <w:color w:val="000000" w:themeColor="text1" w:themeTint="FF" w:themeShade="FF"/>
          <w:sz w:val="36"/>
          <w:szCs w:val="36"/>
          <w:u w:val="none"/>
          <w:lang w:val="en-GB"/>
        </w:rPr>
        <w:t>T</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itle </w:t>
      </w:r>
      <w:r w:rsidRPr="79408D6B" w:rsidR="028705A1">
        <w:rPr>
          <w:rFonts w:ascii="Arial" w:hAnsi="Arial" w:eastAsia="Arial" w:cs="Arial"/>
          <w:b w:val="1"/>
          <w:bCs w:val="1"/>
          <w:i w:val="0"/>
          <w:iCs w:val="0"/>
          <w:strike w:val="0"/>
          <w:dstrike w:val="0"/>
          <w:noProof w:val="0"/>
          <w:color w:val="000000" w:themeColor="text1" w:themeTint="FF" w:themeShade="FF"/>
          <w:sz w:val="36"/>
          <w:szCs w:val="36"/>
          <w:u w:val="none"/>
          <w:lang w:val="en-GB"/>
        </w:rPr>
        <w:t>of Submission</w:t>
      </w:r>
      <w:r w:rsidRPr="79408D6B" w:rsidR="260CBFDE">
        <w:rPr>
          <w:rFonts w:ascii="Arial" w:hAnsi="Arial" w:eastAsia="Arial" w:cs="Arial"/>
          <w:b w:val="1"/>
          <w:bCs w:val="1"/>
          <w:i w:val="0"/>
          <w:iCs w:val="0"/>
          <w:strike w:val="0"/>
          <w:dstrike w:val="0"/>
          <w:noProof w:val="0"/>
          <w:color w:val="000000" w:themeColor="text1" w:themeTint="FF" w:themeShade="FF"/>
          <w:sz w:val="36"/>
          <w:szCs w:val="36"/>
          <w:u w:val="none"/>
          <w:lang w:val="en-GB"/>
        </w:rPr>
        <w:t>:</w:t>
      </w:r>
      <w:r w:rsidRPr="79408D6B" w:rsidR="4B144352">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Report</w:t>
      </w:r>
    </w:p>
    <w:p xmlns:wp14="http://schemas.microsoft.com/office/word/2010/wordml" w:rsidP="3500602F" wp14:paraId="1E1C377F" wp14:textId="622FF648">
      <w:pPr>
        <w:pStyle w:val="ListParagraph"/>
        <w:spacing w:before="120" w:beforeAutospacing="off" w:after="120" w:afterAutospacing="off" w:line="480" w:lineRule="auto"/>
        <w:ind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500602F" w:rsidR="794BE716">
        <w:rPr>
          <w:rFonts w:ascii="Arial" w:hAnsi="Arial" w:eastAsia="Arial" w:cs="Arial"/>
          <w:b w:val="1"/>
          <w:bCs w:val="1"/>
          <w:i w:val="0"/>
          <w:iCs w:val="0"/>
          <w:strike w:val="0"/>
          <w:dstrike w:val="0"/>
          <w:noProof w:val="0"/>
          <w:color w:val="000000" w:themeColor="text1" w:themeTint="FF" w:themeShade="FF"/>
          <w:sz w:val="36"/>
          <w:szCs w:val="36"/>
          <w:u w:val="none"/>
          <w:lang w:val="en-GB"/>
        </w:rPr>
        <w:t>L</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ecturer's </w:t>
      </w:r>
      <w:r w:rsidRPr="3500602F" w:rsidR="73F367F7">
        <w:rPr>
          <w:rFonts w:ascii="Arial" w:hAnsi="Arial" w:eastAsia="Arial" w:cs="Arial"/>
          <w:b w:val="1"/>
          <w:bCs w:val="1"/>
          <w:i w:val="0"/>
          <w:iCs w:val="0"/>
          <w:strike w:val="0"/>
          <w:dstrike w:val="0"/>
          <w:noProof w:val="0"/>
          <w:color w:val="000000" w:themeColor="text1" w:themeTint="FF" w:themeShade="FF"/>
          <w:sz w:val="36"/>
          <w:szCs w:val="36"/>
          <w:u w:val="none"/>
          <w:lang w:val="en-GB"/>
        </w:rPr>
        <w:t>N</w:t>
      </w:r>
      <w:r w:rsidRPr="3500602F"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ame</w:t>
      </w:r>
      <w:r w:rsidRPr="3500602F" w:rsidR="3032048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Taonga Kaonga </w:t>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Sobere-</w:t>
      </w:r>
      <w:r>
        <w:tab/>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S</w:t>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nithers</w:t>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(Birmingham</w:t>
      </w:r>
      <w:r w:rsidRPr="3500602F" w:rsidR="7EA552ED">
        <w:rPr>
          <w:rFonts w:ascii="Arial" w:hAnsi="Arial" w:eastAsia="Arial" w:cs="Arial"/>
          <w:b w:val="1"/>
          <w:bCs w:val="1"/>
          <w:i w:val="0"/>
          <w:iCs w:val="0"/>
          <w:strike w:val="0"/>
          <w:dstrike w:val="0"/>
          <w:noProof w:val="0"/>
          <w:color w:val="000000" w:themeColor="text1" w:themeTint="FF" w:themeShade="FF"/>
          <w:sz w:val="36"/>
          <w:szCs w:val="36"/>
          <w:u w:val="none"/>
          <w:lang w:val="en-GB"/>
        </w:rPr>
        <w:t>)</w:t>
      </w:r>
    </w:p>
    <w:p xmlns:wp14="http://schemas.microsoft.com/office/word/2010/wordml" w:rsidP="79408D6B" wp14:paraId="0C0D3126" wp14:textId="480D7021">
      <w:pPr>
        <w:pStyle w:val="ListParagraph"/>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79408D6B" w:rsidR="28B28A7B">
        <w:rPr>
          <w:rFonts w:ascii="Arial" w:hAnsi="Arial" w:eastAsia="Arial" w:cs="Arial"/>
          <w:b w:val="1"/>
          <w:bCs w:val="1"/>
          <w:i w:val="0"/>
          <w:iCs w:val="0"/>
          <w:strike w:val="0"/>
          <w:dstrike w:val="0"/>
          <w:noProof w:val="0"/>
          <w:color w:val="000000" w:themeColor="text1" w:themeTint="FF" w:themeShade="FF"/>
          <w:sz w:val="36"/>
          <w:szCs w:val="36"/>
          <w:u w:val="none"/>
          <w:lang w:val="en-GB"/>
        </w:rPr>
        <w:t>S</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tudent’s </w:t>
      </w:r>
      <w:r w:rsidRPr="79408D6B" w:rsidR="7068D14E">
        <w:rPr>
          <w:rFonts w:ascii="Arial" w:hAnsi="Arial" w:eastAsia="Arial" w:cs="Arial"/>
          <w:b w:val="1"/>
          <w:bCs w:val="1"/>
          <w:i w:val="0"/>
          <w:iCs w:val="0"/>
          <w:strike w:val="0"/>
          <w:dstrike w:val="0"/>
          <w:noProof w:val="0"/>
          <w:color w:val="000000" w:themeColor="text1" w:themeTint="FF" w:themeShade="FF"/>
          <w:sz w:val="36"/>
          <w:szCs w:val="36"/>
          <w:u w:val="none"/>
          <w:lang w:val="en-GB"/>
        </w:rPr>
        <w:t>N</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ame</w:t>
      </w:r>
      <w:r w:rsidRPr="79408D6B" w:rsidR="5F28990B">
        <w:rPr>
          <w:rFonts w:ascii="Arial" w:hAnsi="Arial" w:eastAsia="Arial" w:cs="Arial"/>
          <w:b w:val="1"/>
          <w:bCs w:val="1"/>
          <w:i w:val="0"/>
          <w:iCs w:val="0"/>
          <w:strike w:val="0"/>
          <w:dstrike w:val="0"/>
          <w:noProof w:val="0"/>
          <w:color w:val="000000" w:themeColor="text1" w:themeTint="FF" w:themeShade="FF"/>
          <w:sz w:val="36"/>
          <w:szCs w:val="36"/>
          <w:u w:val="none"/>
          <w:lang w:val="en-GB"/>
        </w:rPr>
        <w:t>:</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79408D6B" w:rsidR="3588B17F">
        <w:rPr>
          <w:rFonts w:ascii="Arial" w:hAnsi="Arial" w:eastAsia="Arial" w:cs="Arial"/>
          <w:b w:val="1"/>
          <w:bCs w:val="1"/>
          <w:i w:val="0"/>
          <w:iCs w:val="0"/>
          <w:strike w:val="0"/>
          <w:dstrike w:val="0"/>
          <w:noProof w:val="0"/>
          <w:color w:val="000000" w:themeColor="text1" w:themeTint="FF" w:themeShade="FF"/>
          <w:sz w:val="36"/>
          <w:szCs w:val="36"/>
          <w:u w:val="none"/>
          <w:lang w:val="en-GB"/>
        </w:rPr>
        <w:t>Abena Amankwaa Frempong</w:t>
      </w:r>
    </w:p>
    <w:p xmlns:wp14="http://schemas.microsoft.com/office/word/2010/wordml" w:rsidP="79408D6B" wp14:paraId="496E3C8F" wp14:textId="2B1A3047">
      <w:pPr>
        <w:pStyle w:val="ListParagraph"/>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79408D6B" w:rsidR="017FC61B">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Student </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ID</w:t>
      </w:r>
      <w:r w:rsidRPr="79408D6B" w:rsidR="6DFAC759">
        <w:rPr>
          <w:rFonts w:ascii="Arial" w:hAnsi="Arial" w:eastAsia="Arial" w:cs="Arial"/>
          <w:b w:val="1"/>
          <w:bCs w:val="1"/>
          <w:i w:val="0"/>
          <w:iCs w:val="0"/>
          <w:strike w:val="0"/>
          <w:dstrike w:val="0"/>
          <w:noProof w:val="0"/>
          <w:color w:val="000000" w:themeColor="text1" w:themeTint="FF" w:themeShade="FF"/>
          <w:sz w:val="36"/>
          <w:szCs w:val="36"/>
          <w:u w:val="none"/>
          <w:lang w:val="en-GB"/>
        </w:rPr>
        <w:t>:</w:t>
      </w:r>
      <w:r w:rsidRPr="79408D6B" w:rsidR="6D11EF2E">
        <w:rPr>
          <w:rFonts w:ascii="Arial" w:hAnsi="Arial" w:eastAsia="Arial" w:cs="Arial"/>
          <w:b w:val="1"/>
          <w:bCs w:val="1"/>
          <w:i w:val="0"/>
          <w:iCs w:val="0"/>
          <w:strike w:val="0"/>
          <w:dstrike w:val="0"/>
          <w:noProof w:val="0"/>
          <w:color w:val="000000" w:themeColor="text1" w:themeTint="FF" w:themeShade="FF"/>
          <w:sz w:val="36"/>
          <w:szCs w:val="36"/>
          <w:u w:val="none"/>
          <w:lang w:val="en-GB"/>
        </w:rPr>
        <w:t>2237667</w:t>
      </w:r>
    </w:p>
    <w:p xmlns:wp14="http://schemas.microsoft.com/office/word/2010/wordml" w:rsidP="6C7507EE" wp14:paraId="58BE7A70" wp14:textId="36990998">
      <w:pPr>
        <w:pStyle w:val="ListParagraph"/>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6C7507EE" w:rsidR="7C7D3EA0">
        <w:rPr>
          <w:rFonts w:ascii="Arial" w:hAnsi="Arial" w:eastAsia="Arial" w:cs="Arial"/>
          <w:b w:val="1"/>
          <w:bCs w:val="1"/>
          <w:i w:val="0"/>
          <w:iCs w:val="0"/>
          <w:strike w:val="0"/>
          <w:dstrike w:val="0"/>
          <w:noProof w:val="0"/>
          <w:color w:val="000000" w:themeColor="text1" w:themeTint="FF" w:themeShade="FF"/>
          <w:sz w:val="36"/>
          <w:szCs w:val="36"/>
          <w:u w:val="none"/>
          <w:lang w:val="en-GB"/>
        </w:rPr>
        <w:t>F</w:t>
      </w:r>
      <w:r w:rsidRPr="6C7507EE"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inal word </w:t>
      </w:r>
      <w:r w:rsidRPr="6C7507EE" w:rsidR="53CEC511">
        <w:rPr>
          <w:rFonts w:ascii="Arial" w:hAnsi="Arial" w:eastAsia="Arial" w:cs="Arial"/>
          <w:b w:val="1"/>
          <w:bCs w:val="1"/>
          <w:i w:val="0"/>
          <w:iCs w:val="0"/>
          <w:strike w:val="0"/>
          <w:dstrike w:val="0"/>
          <w:noProof w:val="0"/>
          <w:color w:val="000000" w:themeColor="text1" w:themeTint="FF" w:themeShade="FF"/>
          <w:sz w:val="36"/>
          <w:szCs w:val="36"/>
          <w:u w:val="none"/>
          <w:lang w:val="en-GB"/>
        </w:rPr>
        <w:t>C</w:t>
      </w:r>
      <w:r w:rsidRPr="6C7507EE"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ount</w:t>
      </w:r>
      <w:r w:rsidRPr="6C7507EE" w:rsidR="6B120972">
        <w:rPr>
          <w:rFonts w:ascii="Arial" w:hAnsi="Arial" w:eastAsia="Arial" w:cs="Arial"/>
          <w:b w:val="1"/>
          <w:bCs w:val="1"/>
          <w:i w:val="0"/>
          <w:iCs w:val="0"/>
          <w:strike w:val="0"/>
          <w:dstrike w:val="0"/>
          <w:noProof w:val="0"/>
          <w:color w:val="000000" w:themeColor="text1" w:themeTint="FF" w:themeShade="FF"/>
          <w:sz w:val="36"/>
          <w:szCs w:val="36"/>
          <w:u w:val="none"/>
          <w:lang w:val="en-GB"/>
        </w:rPr>
        <w:t>:</w:t>
      </w:r>
      <w:r w:rsidRPr="6C7507EE" w:rsidR="50832F49">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2,8</w:t>
      </w:r>
      <w:r w:rsidRPr="6C7507EE" w:rsidR="408DBFE6">
        <w:rPr>
          <w:rFonts w:ascii="Arial" w:hAnsi="Arial" w:eastAsia="Arial" w:cs="Arial"/>
          <w:b w:val="1"/>
          <w:bCs w:val="1"/>
          <w:i w:val="0"/>
          <w:iCs w:val="0"/>
          <w:strike w:val="0"/>
          <w:dstrike w:val="0"/>
          <w:noProof w:val="0"/>
          <w:color w:val="000000" w:themeColor="text1" w:themeTint="FF" w:themeShade="FF"/>
          <w:sz w:val="36"/>
          <w:szCs w:val="36"/>
          <w:u w:val="none"/>
          <w:lang w:val="en-GB"/>
        </w:rPr>
        <w:t>9</w:t>
      </w:r>
      <w:r w:rsidRPr="6C7507EE" w:rsidR="329B8206">
        <w:rPr>
          <w:rFonts w:ascii="Arial" w:hAnsi="Arial" w:eastAsia="Arial" w:cs="Arial"/>
          <w:b w:val="1"/>
          <w:bCs w:val="1"/>
          <w:i w:val="0"/>
          <w:iCs w:val="0"/>
          <w:strike w:val="0"/>
          <w:dstrike w:val="0"/>
          <w:noProof w:val="0"/>
          <w:color w:val="000000" w:themeColor="text1" w:themeTint="FF" w:themeShade="FF"/>
          <w:sz w:val="36"/>
          <w:szCs w:val="36"/>
          <w:u w:val="none"/>
          <w:lang w:val="en-GB"/>
        </w:rPr>
        <w:t>8</w:t>
      </w:r>
    </w:p>
    <w:p xmlns:wp14="http://schemas.microsoft.com/office/word/2010/wordml" w:rsidP="79408D6B" wp14:paraId="315B0CC9" wp14:textId="0EE60135">
      <w:pPr>
        <w:pStyle w:val="ListParagraph"/>
        <w:spacing w:before="0" w:beforeAutospacing="off" w:after="0" w:afterAutospacing="off" w:line="480" w:lineRule="auto"/>
        <w:ind w:left="720" w:right="0" w:firstLine="720"/>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79408D6B" w:rsidR="6B2FF8E1">
        <w:rPr>
          <w:rFonts w:ascii="Arial" w:hAnsi="Arial" w:eastAsia="Arial" w:cs="Arial"/>
          <w:b w:val="1"/>
          <w:bCs w:val="1"/>
          <w:i w:val="0"/>
          <w:iCs w:val="0"/>
          <w:strike w:val="0"/>
          <w:dstrike w:val="0"/>
          <w:noProof w:val="0"/>
          <w:color w:val="000000" w:themeColor="text1" w:themeTint="FF" w:themeShade="FF"/>
          <w:sz w:val="36"/>
          <w:szCs w:val="36"/>
          <w:u w:val="none"/>
          <w:lang w:val="en-GB"/>
        </w:rPr>
        <w:t>S</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ubmission </w:t>
      </w:r>
      <w:r w:rsidRPr="79408D6B" w:rsidR="2700FC78">
        <w:rPr>
          <w:rFonts w:ascii="Arial" w:hAnsi="Arial" w:eastAsia="Arial" w:cs="Arial"/>
          <w:b w:val="1"/>
          <w:bCs w:val="1"/>
          <w:i w:val="0"/>
          <w:iCs w:val="0"/>
          <w:strike w:val="0"/>
          <w:dstrike w:val="0"/>
          <w:noProof w:val="0"/>
          <w:color w:val="000000" w:themeColor="text1" w:themeTint="FF" w:themeShade="FF"/>
          <w:sz w:val="36"/>
          <w:szCs w:val="36"/>
          <w:u w:val="none"/>
          <w:lang w:val="en-GB"/>
        </w:rPr>
        <w:t>D</w:t>
      </w:r>
      <w:r w:rsidRPr="79408D6B" w:rsidR="50ACF1C8">
        <w:rPr>
          <w:rFonts w:ascii="Arial" w:hAnsi="Arial" w:eastAsia="Arial" w:cs="Arial"/>
          <w:b w:val="1"/>
          <w:bCs w:val="1"/>
          <w:i w:val="0"/>
          <w:iCs w:val="0"/>
          <w:strike w:val="0"/>
          <w:dstrike w:val="0"/>
          <w:noProof w:val="0"/>
          <w:color w:val="000000" w:themeColor="text1" w:themeTint="FF" w:themeShade="FF"/>
          <w:sz w:val="36"/>
          <w:szCs w:val="36"/>
          <w:u w:val="none"/>
          <w:lang w:val="en-GB"/>
        </w:rPr>
        <w:t>ate</w:t>
      </w:r>
      <w:r w:rsidRPr="79408D6B" w:rsidR="68EE7204">
        <w:rPr>
          <w:rFonts w:ascii="Arial" w:hAnsi="Arial" w:eastAsia="Arial" w:cs="Arial"/>
          <w:b w:val="1"/>
          <w:bCs w:val="1"/>
          <w:i w:val="0"/>
          <w:iCs w:val="0"/>
          <w:strike w:val="0"/>
          <w:dstrike w:val="0"/>
          <w:noProof w:val="0"/>
          <w:color w:val="000000" w:themeColor="text1" w:themeTint="FF" w:themeShade="FF"/>
          <w:sz w:val="36"/>
          <w:szCs w:val="36"/>
          <w:u w:val="none"/>
          <w:lang w:val="en-GB"/>
        </w:rPr>
        <w:t>:</w:t>
      </w:r>
      <w:r w:rsidRPr="79408D6B" w:rsidR="58ED239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22 October 2026</w:t>
      </w:r>
    </w:p>
    <w:p xmlns:wp14="http://schemas.microsoft.com/office/word/2010/wordml" w:rsidP="3500602F" wp14:paraId="0A126FA8" wp14:textId="5349FB4B">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36"/>
          <w:szCs w:val="36"/>
          <w:u w:val="none"/>
          <w:lang w:val="en-GB"/>
        </w:rPr>
      </w:pPr>
    </w:p>
    <w:p xmlns:wp14="http://schemas.microsoft.com/office/word/2010/wordml" w:rsidP="3500602F" wp14:paraId="241F9689" wp14:textId="2FA8E658">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500602F" wp14:paraId="7828ABAB" wp14:textId="1151DA49">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500602F" wp14:paraId="5A5048A5" wp14:textId="17BD8712">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500602F" wp14:paraId="2B63031E" wp14:textId="52298BFE">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E47262A" w:rsidP="0E47262A" w:rsidRDefault="0E47262A" w14:paraId="0C9FF796" w14:textId="441A4758">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6CDA924B" wp14:paraId="70853CD2" wp14:textId="0A90A07A">
      <w:pPr>
        <w:pStyle w:val="ListParagraph"/>
        <w:spacing w:before="0" w:beforeAutospacing="off" w:after="0" w:afterAutospacing="off"/>
        <w:ind w:left="720" w:right="0" w:firstLine="720"/>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70044760" w:rsidP="70044760" w:rsidRDefault="70044760" w14:paraId="53D44812" w14:textId="6EF40486">
      <w:pPr>
        <w:pStyle w:val="ListParagraph"/>
        <w:spacing w:before="0" w:beforeAutospacing="off" w:after="0" w:afterAutospacing="off"/>
        <w:ind w:left="720" w:right="0" w:firstLine="720"/>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p>
    <w:p xmlns:wp14="http://schemas.microsoft.com/office/word/2010/wordml" w:rsidP="6CDA924B" wp14:paraId="2288E7EA" wp14:textId="026919CA">
      <w:pPr>
        <w:pStyle w:val="ListParagraph"/>
        <w:spacing w:before="0" w:beforeAutospacing="off" w:after="0" w:afterAutospacing="off"/>
        <w:ind w:left="720" w:right="0" w:firstLine="720"/>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6CDA924B" w:rsidR="15245CC9">
        <w:rPr>
          <w:rFonts w:ascii="Arial" w:hAnsi="Arial" w:eastAsia="Arial" w:cs="Arial"/>
          <w:b w:val="1"/>
          <w:bCs w:val="1"/>
          <w:i w:val="0"/>
          <w:iCs w:val="0"/>
          <w:strike w:val="0"/>
          <w:dstrike w:val="0"/>
          <w:noProof w:val="0"/>
          <w:color w:val="000000" w:themeColor="text1" w:themeTint="FF" w:themeShade="FF"/>
          <w:sz w:val="28"/>
          <w:szCs w:val="28"/>
          <w:u w:val="none"/>
          <w:lang w:val="en-GB"/>
        </w:rPr>
        <w:t>Table of Content</w:t>
      </w:r>
    </w:p>
    <w:p xmlns:wp14="http://schemas.microsoft.com/office/word/2010/wordml" w:rsidP="3500602F" wp14:paraId="45EE0853" wp14:textId="6B2EDEC2">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3500602F" wp14:paraId="3B085549" wp14:textId="663B91E1">
      <w:pPr>
        <w:pStyle w:val="ListParagraph"/>
        <w:spacing w:before="0" w:beforeAutospacing="off" w:after="0" w:afterAutospacing="off"/>
        <w:ind w:left="720" w:right="0" w:firstLine="720"/>
        <w:rPr>
          <w:rFonts w:ascii="Arial" w:hAnsi="Arial" w:eastAsia="Arial" w:cs="Arial"/>
          <w:b w:val="0"/>
          <w:bCs w:val="0"/>
          <w:i w:val="0"/>
          <w:iCs w:val="0"/>
          <w:strike w:val="0"/>
          <w:dstrike w:val="0"/>
          <w:noProof w:val="0"/>
          <w:color w:val="000000" w:themeColor="text1" w:themeTint="FF" w:themeShade="FF"/>
          <w:sz w:val="22"/>
          <w:szCs w:val="22"/>
          <w:u w:val="none"/>
          <w:lang w:val="en-GB"/>
        </w:rPr>
      </w:pPr>
    </w:p>
    <w:sdt>
      <w:sdtPr>
        <w:id w:val="996771620"/>
        <w:docPartObj>
          <w:docPartGallery w:val="Table of Contents"/>
          <w:docPartUnique/>
        </w:docPartObj>
      </w:sdtPr>
      <w:sdtContent>
        <w:p xmlns:wp14="http://schemas.microsoft.com/office/word/2010/wordml" w:rsidP="70044760" wp14:paraId="3EC992C1" wp14:textId="50CFF7F7">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"_Toc901259055" </w:instrText>
          </w:r>
          <w:r>
            <w:fldChar w:fldCharType="separate"/>
          </w:r>
          <w:r w:rsidR="70044760">
            <w:rPr/>
            <w:t>Tasks 1: Marketing Environment Analysis For BHP</w:t>
          </w:r>
          <w:r>
            <w:tab/>
          </w:r>
          <w:r>
            <w:fldChar w:fldCharType="begin"/>
          </w:r>
          <w:r>
            <w:instrText xml:space="preserve">PAGEREF _Toc901259055 \h</w:instrText>
          </w:r>
          <w:r>
            <w:fldChar w:fldCharType="separate"/>
          </w:r>
          <w:r w:rsidR="70044760">
            <w:rPr/>
            <w:t>2</w:t>
          </w:r>
          <w:r>
            <w:fldChar w:fldCharType="end"/>
          </w:r>
          <w:r>
            <w:fldChar w:fldCharType="end"/>
          </w:r>
        </w:p>
        <w:p xmlns:wp14="http://schemas.microsoft.com/office/word/2010/wordml" w:rsidP="70044760" wp14:paraId="10F3E8CB" wp14:textId="7D146DE7">
          <w:pPr>
            <w:pStyle w:val="TOC2"/>
            <w:tabs>
              <w:tab w:val="right" w:leader="dot" w:pos="9015"/>
            </w:tabs>
          </w:pPr>
          <w:r>
            <w:fldChar w:fldCharType="begin"/>
          </w:r>
          <w:r>
            <w:instrText xml:space="preserve">HYPERLINK  \l  "_Toc129896069" </w:instrText>
          </w:r>
          <w:r>
            <w:fldChar w:fldCharType="separate"/>
          </w:r>
          <w:r w:rsidR="70044760">
            <w:rPr/>
            <w:t>Introduction</w:t>
          </w:r>
          <w:r>
            <w:tab/>
          </w:r>
          <w:r>
            <w:fldChar w:fldCharType="begin"/>
          </w:r>
          <w:r>
            <w:instrText xml:space="preserve">PAGEREF _Toc129896069 \h</w:instrText>
          </w:r>
          <w:r>
            <w:fldChar w:fldCharType="separate"/>
          </w:r>
          <w:r w:rsidR="70044760">
            <w:rPr/>
            <w:t>2</w:t>
          </w:r>
          <w:r>
            <w:fldChar w:fldCharType="end"/>
          </w:r>
          <w:r>
            <w:fldChar w:fldCharType="end"/>
          </w:r>
        </w:p>
        <w:p xmlns:wp14="http://schemas.microsoft.com/office/word/2010/wordml" w:rsidP="70044760" wp14:paraId="22F60D1A" wp14:textId="40C62BA0">
          <w:pPr>
            <w:pStyle w:val="TOC2"/>
            <w:tabs>
              <w:tab w:val="right" w:leader="dot" w:pos="9015"/>
            </w:tabs>
          </w:pPr>
          <w:r>
            <w:fldChar w:fldCharType="begin"/>
          </w:r>
          <w:r>
            <w:instrText xml:space="preserve">HYPERLINK  \l  "_Toc1312051275" </w:instrText>
          </w:r>
          <w:r>
            <w:fldChar w:fldCharType="separate"/>
          </w:r>
          <w:r w:rsidR="70044760">
            <w:rPr/>
            <w:t>Environmental</w:t>
          </w:r>
          <w:r>
            <w:tab/>
          </w:r>
          <w:r>
            <w:fldChar w:fldCharType="begin"/>
          </w:r>
          <w:r>
            <w:instrText xml:space="preserve">PAGEREF _Toc1312051275 \h</w:instrText>
          </w:r>
          <w:r>
            <w:fldChar w:fldCharType="separate"/>
          </w:r>
          <w:r w:rsidR="70044760">
            <w:rPr/>
            <w:t>2</w:t>
          </w:r>
          <w:r>
            <w:fldChar w:fldCharType="end"/>
          </w:r>
          <w:r>
            <w:fldChar w:fldCharType="end"/>
          </w:r>
        </w:p>
        <w:p xmlns:wp14="http://schemas.microsoft.com/office/word/2010/wordml" w:rsidP="70044760" wp14:paraId="14EA3009" wp14:textId="3D23FECC">
          <w:pPr>
            <w:pStyle w:val="TOC2"/>
            <w:tabs>
              <w:tab w:val="right" w:leader="dot" w:pos="9015"/>
            </w:tabs>
          </w:pPr>
          <w:r>
            <w:fldChar w:fldCharType="begin"/>
          </w:r>
          <w:r>
            <w:instrText xml:space="preserve">HYPERLINK  \l  "_Toc683851430" </w:instrText>
          </w:r>
          <w:r>
            <w:fldChar w:fldCharType="separate"/>
          </w:r>
          <w:r w:rsidR="70044760">
            <w:rPr/>
            <w:t>Social</w:t>
          </w:r>
          <w:r>
            <w:tab/>
          </w:r>
          <w:r>
            <w:fldChar w:fldCharType="begin"/>
          </w:r>
          <w:r>
            <w:instrText xml:space="preserve">PAGEREF _Toc683851430 \h</w:instrText>
          </w:r>
          <w:r>
            <w:fldChar w:fldCharType="separate"/>
          </w:r>
          <w:r w:rsidR="70044760">
            <w:rPr/>
            <w:t>4</w:t>
          </w:r>
          <w:r>
            <w:fldChar w:fldCharType="end"/>
          </w:r>
          <w:r>
            <w:fldChar w:fldCharType="end"/>
          </w:r>
        </w:p>
        <w:p xmlns:wp14="http://schemas.microsoft.com/office/word/2010/wordml" w:rsidP="70044760" wp14:paraId="64BD73AE" wp14:textId="75C71605">
          <w:pPr>
            <w:pStyle w:val="TOC2"/>
            <w:tabs>
              <w:tab w:val="right" w:leader="dot" w:pos="9015"/>
            </w:tabs>
          </w:pPr>
          <w:r>
            <w:fldChar w:fldCharType="begin"/>
          </w:r>
          <w:r>
            <w:instrText xml:space="preserve">HYPERLINK  \l  "_Toc771283968" </w:instrText>
          </w:r>
          <w:r>
            <w:fldChar w:fldCharType="separate"/>
          </w:r>
          <w:r w:rsidR="70044760">
            <w:rPr/>
            <w:t>Political and Legal</w:t>
          </w:r>
          <w:r>
            <w:tab/>
          </w:r>
          <w:r>
            <w:fldChar w:fldCharType="begin"/>
          </w:r>
          <w:r>
            <w:instrText xml:space="preserve">PAGEREF _Toc771283968 \h</w:instrText>
          </w:r>
          <w:r>
            <w:fldChar w:fldCharType="separate"/>
          </w:r>
          <w:r w:rsidR="70044760">
            <w:rPr/>
            <w:t>5</w:t>
          </w:r>
          <w:r>
            <w:fldChar w:fldCharType="end"/>
          </w:r>
          <w:r>
            <w:fldChar w:fldCharType="end"/>
          </w:r>
        </w:p>
        <w:p xmlns:wp14="http://schemas.microsoft.com/office/word/2010/wordml" w:rsidP="70044760" wp14:paraId="3AA45F80" wp14:textId="351BAE79">
          <w:pPr>
            <w:pStyle w:val="TOC2"/>
            <w:tabs>
              <w:tab w:val="right" w:leader="dot" w:pos="9015"/>
            </w:tabs>
          </w:pPr>
          <w:r>
            <w:fldChar w:fldCharType="begin"/>
          </w:r>
          <w:r>
            <w:instrText xml:space="preserve">HYPERLINK  \l  "_Toc600176898" </w:instrText>
          </w:r>
          <w:r>
            <w:fldChar w:fldCharType="separate"/>
          </w:r>
          <w:r w:rsidR="70044760">
            <w:rPr/>
            <w:t>Tasks 2: Strategic Growth Using the Ansoff Matrix</w:t>
          </w:r>
          <w:r>
            <w:tab/>
          </w:r>
          <w:r>
            <w:fldChar w:fldCharType="begin"/>
          </w:r>
          <w:r>
            <w:instrText xml:space="preserve">PAGEREF _Toc600176898 \h</w:instrText>
          </w:r>
          <w:r>
            <w:fldChar w:fldCharType="separate"/>
          </w:r>
          <w:r w:rsidR="70044760">
            <w:rPr/>
            <w:t>6</w:t>
          </w:r>
          <w:r>
            <w:fldChar w:fldCharType="end"/>
          </w:r>
          <w:r>
            <w:fldChar w:fldCharType="end"/>
          </w:r>
        </w:p>
        <w:p xmlns:wp14="http://schemas.microsoft.com/office/word/2010/wordml" w:rsidP="70044760" wp14:paraId="6D662BF3" wp14:textId="0C1208FA">
          <w:pPr>
            <w:pStyle w:val="TOC3"/>
            <w:tabs>
              <w:tab w:val="right" w:leader="dot" w:pos="9015"/>
            </w:tabs>
          </w:pPr>
          <w:r>
            <w:fldChar w:fldCharType="begin"/>
          </w:r>
          <w:r>
            <w:instrText xml:space="preserve">HYPERLINK  \l  "_Toc915082113" </w:instrText>
          </w:r>
          <w:r>
            <w:fldChar w:fldCharType="separate"/>
          </w:r>
          <w:r w:rsidR="70044760">
            <w:rPr/>
            <w:t>Product Development</w:t>
          </w:r>
          <w:r>
            <w:tab/>
          </w:r>
          <w:r>
            <w:fldChar w:fldCharType="begin"/>
          </w:r>
          <w:r>
            <w:instrText xml:space="preserve">PAGEREF _Toc915082113 \h</w:instrText>
          </w:r>
          <w:r>
            <w:fldChar w:fldCharType="separate"/>
          </w:r>
          <w:r w:rsidR="70044760">
            <w:rPr/>
            <w:t>6</w:t>
          </w:r>
          <w:r>
            <w:fldChar w:fldCharType="end"/>
          </w:r>
          <w:r>
            <w:fldChar w:fldCharType="end"/>
          </w:r>
        </w:p>
        <w:p xmlns:wp14="http://schemas.microsoft.com/office/word/2010/wordml" w:rsidP="70044760" wp14:paraId="042455D6" wp14:textId="5779B5C4">
          <w:pPr>
            <w:pStyle w:val="TOC3"/>
            <w:tabs>
              <w:tab w:val="right" w:leader="dot" w:pos="9015"/>
            </w:tabs>
          </w:pPr>
          <w:r>
            <w:fldChar w:fldCharType="begin"/>
          </w:r>
          <w:r>
            <w:instrText xml:space="preserve">HYPERLINK  \l  "_Toc131303530" </w:instrText>
          </w:r>
          <w:r>
            <w:fldChar w:fldCharType="separate"/>
          </w:r>
          <w:r w:rsidR="70044760">
            <w:rPr/>
            <w:t>Market Development</w:t>
          </w:r>
          <w:r>
            <w:tab/>
          </w:r>
          <w:r>
            <w:fldChar w:fldCharType="begin"/>
          </w:r>
          <w:r>
            <w:instrText xml:space="preserve">PAGEREF _Toc131303530 \h</w:instrText>
          </w:r>
          <w:r>
            <w:fldChar w:fldCharType="separate"/>
          </w:r>
          <w:r w:rsidR="70044760">
            <w:rPr/>
            <w:t>7</w:t>
          </w:r>
          <w:r>
            <w:fldChar w:fldCharType="end"/>
          </w:r>
          <w:r>
            <w:fldChar w:fldCharType="end"/>
          </w:r>
        </w:p>
        <w:p xmlns:wp14="http://schemas.microsoft.com/office/word/2010/wordml" w:rsidP="70044760" wp14:paraId="0C099CB7" wp14:textId="52CF4516">
          <w:pPr>
            <w:pStyle w:val="TOC2"/>
            <w:tabs>
              <w:tab w:val="right" w:leader="dot" w:pos="9015"/>
            </w:tabs>
          </w:pPr>
          <w:r>
            <w:fldChar w:fldCharType="begin"/>
          </w:r>
          <w:r>
            <w:instrText xml:space="preserve">HYPERLINK  \l  "_Toc916155296" </w:instrText>
          </w:r>
          <w:r>
            <w:fldChar w:fldCharType="separate"/>
          </w:r>
          <w:r w:rsidR="70044760">
            <w:rPr/>
            <w:t>Competitive Advantage Through Porter's Generic Strategies</w:t>
          </w:r>
          <w:r>
            <w:tab/>
          </w:r>
          <w:r>
            <w:fldChar w:fldCharType="begin"/>
          </w:r>
          <w:r>
            <w:instrText xml:space="preserve">PAGEREF _Toc916155296 \h</w:instrText>
          </w:r>
          <w:r>
            <w:fldChar w:fldCharType="separate"/>
          </w:r>
          <w:r w:rsidR="70044760">
            <w:rPr/>
            <w:t>7</w:t>
          </w:r>
          <w:r>
            <w:fldChar w:fldCharType="end"/>
          </w:r>
          <w:r>
            <w:fldChar w:fldCharType="end"/>
          </w:r>
        </w:p>
        <w:p xmlns:wp14="http://schemas.microsoft.com/office/word/2010/wordml" w:rsidP="70044760" wp14:paraId="1349FD8A" wp14:textId="28946FDF">
          <w:pPr>
            <w:pStyle w:val="TOC3"/>
            <w:tabs>
              <w:tab w:val="right" w:leader="dot" w:pos="9015"/>
            </w:tabs>
          </w:pPr>
          <w:r>
            <w:fldChar w:fldCharType="begin"/>
          </w:r>
          <w:r>
            <w:instrText xml:space="preserve">HYPERLINK  \l  "_Toc753736228" </w:instrText>
          </w:r>
          <w:r>
            <w:fldChar w:fldCharType="separate"/>
          </w:r>
          <w:r w:rsidR="70044760">
            <w:rPr/>
            <w:t>Differentiation Strategy</w:t>
          </w:r>
          <w:r>
            <w:tab/>
          </w:r>
          <w:r>
            <w:fldChar w:fldCharType="begin"/>
          </w:r>
          <w:r>
            <w:instrText xml:space="preserve">PAGEREF _Toc753736228 \h</w:instrText>
          </w:r>
          <w:r>
            <w:fldChar w:fldCharType="separate"/>
          </w:r>
          <w:r w:rsidR="70044760">
            <w:rPr/>
            <w:t>7</w:t>
          </w:r>
          <w:r>
            <w:fldChar w:fldCharType="end"/>
          </w:r>
          <w:r>
            <w:fldChar w:fldCharType="end"/>
          </w:r>
        </w:p>
        <w:p xmlns:wp14="http://schemas.microsoft.com/office/word/2010/wordml" w:rsidP="70044760" wp14:paraId="5EF21BFB" wp14:textId="689613DA">
          <w:pPr>
            <w:pStyle w:val="TOC3"/>
            <w:tabs>
              <w:tab w:val="right" w:leader="dot" w:pos="9015"/>
            </w:tabs>
          </w:pPr>
          <w:r>
            <w:fldChar w:fldCharType="begin"/>
          </w:r>
          <w:r>
            <w:instrText xml:space="preserve">HYPERLINK  \l  "_Toc1337734072" </w:instrText>
          </w:r>
          <w:r>
            <w:fldChar w:fldCharType="separate"/>
          </w:r>
          <w:r w:rsidR="70044760">
            <w:rPr/>
            <w:t>Cost Leadership and Competitive Limitations</w:t>
          </w:r>
          <w:r>
            <w:tab/>
          </w:r>
          <w:r>
            <w:fldChar w:fldCharType="begin"/>
          </w:r>
          <w:r>
            <w:instrText xml:space="preserve">PAGEREF _Toc1337734072 \h</w:instrText>
          </w:r>
          <w:r>
            <w:fldChar w:fldCharType="separate"/>
          </w:r>
          <w:r w:rsidR="70044760">
            <w:rPr/>
            <w:t>8</w:t>
          </w:r>
          <w:r>
            <w:fldChar w:fldCharType="end"/>
          </w:r>
          <w:r>
            <w:fldChar w:fldCharType="end"/>
          </w:r>
        </w:p>
        <w:p xmlns:wp14="http://schemas.microsoft.com/office/word/2010/wordml" w:rsidP="70044760" wp14:paraId="59E1286C" wp14:textId="65D36045">
          <w:pPr>
            <w:pStyle w:val="TOC1"/>
            <w:tabs>
              <w:tab w:val="right" w:leader="dot" w:pos="9015"/>
            </w:tabs>
          </w:pPr>
          <w:r>
            <w:fldChar w:fldCharType="begin"/>
          </w:r>
          <w:r>
            <w:instrText xml:space="preserve">HYPERLINK  \l  "_Toc1723235973" </w:instrText>
          </w:r>
          <w:r>
            <w:fldChar w:fldCharType="separate"/>
          </w:r>
          <w:r w:rsidR="70044760">
            <w:rPr/>
            <w:t>Task 3: Managerial and Professional Reflection</w:t>
          </w:r>
          <w:r>
            <w:tab/>
          </w:r>
          <w:r>
            <w:fldChar w:fldCharType="begin"/>
          </w:r>
          <w:r>
            <w:instrText xml:space="preserve">PAGEREF _Toc1723235973 \h</w:instrText>
          </w:r>
          <w:r>
            <w:fldChar w:fldCharType="separate"/>
          </w:r>
          <w:r w:rsidR="70044760">
            <w:rPr/>
            <w:t>8</w:t>
          </w:r>
          <w:r>
            <w:fldChar w:fldCharType="end"/>
          </w:r>
          <w:r>
            <w:fldChar w:fldCharType="end"/>
          </w:r>
        </w:p>
        <w:p xmlns:wp14="http://schemas.microsoft.com/office/word/2010/wordml" w:rsidP="70044760" wp14:paraId="411DC978" wp14:textId="2FA0EC82">
          <w:pPr>
            <w:pStyle w:val="TOC2"/>
            <w:tabs>
              <w:tab w:val="right" w:leader="dot" w:pos="9015"/>
            </w:tabs>
          </w:pPr>
          <w:r>
            <w:fldChar w:fldCharType="begin"/>
          </w:r>
          <w:r>
            <w:instrText xml:space="preserve">HYPERLINK  \l  "_Toc1894544375" </w:instrText>
          </w:r>
          <w:r>
            <w:fldChar w:fldCharType="separate"/>
          </w:r>
          <w:r w:rsidR="70044760">
            <w:rPr/>
            <w:t>Conclusion</w:t>
          </w:r>
          <w:r>
            <w:tab/>
          </w:r>
          <w:r>
            <w:fldChar w:fldCharType="begin"/>
          </w:r>
          <w:r>
            <w:instrText xml:space="preserve">PAGEREF _Toc1894544375 \h</w:instrText>
          </w:r>
          <w:r>
            <w:fldChar w:fldCharType="separate"/>
          </w:r>
          <w:r w:rsidR="70044760">
            <w:rPr/>
            <w:t>10</w:t>
          </w:r>
          <w:r>
            <w:fldChar w:fldCharType="end"/>
          </w:r>
          <w:r>
            <w:fldChar w:fldCharType="end"/>
          </w:r>
        </w:p>
        <w:p xmlns:wp14="http://schemas.microsoft.com/office/word/2010/wordml" wp14:paraId="7ACF115B" wp14:textId="7FBAEC3B">
          <w:r>
            <w:fldChar w:fldCharType="end"/>
          </w:r>
        </w:p>
      </w:sdtContent>
    </w:sdt>
    <w:p xmlns:wp14="http://schemas.microsoft.com/office/word/2010/wordml" w:rsidP="3500602F" wp14:paraId="759661A9" wp14:textId="1B1D228A">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68643774" w14:textId="773DAFF3">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5D50E7B6" w14:textId="3F291FAB">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458FBE6E" w14:textId="03494446">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2C12DBBF" w14:textId="35184B03">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4867FCB1" w14:textId="656BCF8C">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13D7474E" w14:textId="75BB7734">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576A3AFD" w14:textId="1E513009">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6736E8F4" w14:textId="69FCD391">
      <w:pPr>
        <w:pStyle w:val="Heading1"/>
        <w:spacing w:before="0" w:beforeAutospacing="off" w:after="0" w:afterAutospacing="off"/>
        <w:ind w:left="0" w:right="0" w:firstLine="0"/>
        <w:rPr>
          <w:rFonts w:ascii="Arial" w:hAnsi="Arial" w:eastAsia="Arial" w:cs="Arial"/>
          <w:b w:val="1"/>
          <w:bCs w:val="1"/>
          <w:noProof w:val="0"/>
          <w:color w:val="auto"/>
          <w:sz w:val="32"/>
          <w:szCs w:val="32"/>
          <w:lang w:val="en-GB"/>
        </w:rPr>
      </w:pPr>
    </w:p>
    <w:p w:rsidR="0E47262A" w:rsidP="0E47262A" w:rsidRDefault="0E47262A" w14:paraId="286ECC4D" w14:textId="1512A3AA">
      <w:pPr>
        <w:spacing w:before="240" w:beforeAutospacing="off" w:after="240" w:afterAutospacing="off" w:line="360" w:lineRule="auto"/>
        <w:jc w:val="both"/>
        <w:rPr>
          <w:rFonts w:ascii="Arial" w:hAnsi="Arial" w:eastAsia="Arial" w:cs="Arial"/>
          <w:noProof w:val="0"/>
          <w:sz w:val="22"/>
          <w:szCs w:val="22"/>
          <w:lang w:val="en-GB"/>
        </w:rPr>
      </w:pPr>
    </w:p>
    <w:p w:rsidR="6B847B03" w:rsidP="0E47262A" w:rsidRDefault="6B847B03" w14:paraId="3FAD7E40" w14:textId="68972B47">
      <w:pPr>
        <w:pStyle w:val="Heading1"/>
        <w:spacing w:before="0" w:beforeAutospacing="off" w:after="0" w:afterAutospacing="off"/>
        <w:ind w:left="0" w:right="0" w:firstLine="0"/>
        <w:rPr>
          <w:rFonts w:ascii="Arial" w:hAnsi="Arial" w:eastAsia="Arial" w:cs="Arial"/>
          <w:b w:val="1"/>
          <w:bCs w:val="1"/>
          <w:noProof w:val="0"/>
          <w:color w:val="auto"/>
          <w:sz w:val="48"/>
          <w:szCs w:val="48"/>
          <w:lang w:val="en-GB"/>
        </w:rPr>
      </w:pPr>
      <w:bookmarkStart w:name="_Toc901259055" w:id="653581171"/>
      <w:r w:rsidRPr="70044760" w:rsidR="6B847B03">
        <w:rPr>
          <w:rFonts w:ascii="Arial" w:hAnsi="Arial" w:eastAsia="Arial" w:cs="Arial"/>
          <w:b w:val="1"/>
          <w:bCs w:val="1"/>
          <w:noProof w:val="0"/>
          <w:color w:val="auto"/>
          <w:sz w:val="32"/>
          <w:szCs w:val="32"/>
          <w:lang w:val="en-GB"/>
        </w:rPr>
        <w:t>Tasks 1: Marketing Environment Analysis For BHP</w:t>
      </w:r>
      <w:bookmarkEnd w:id="653581171"/>
    </w:p>
    <w:p w:rsidR="6B847B03" w:rsidP="0E47262A" w:rsidRDefault="6B847B03" w14:paraId="0E1AEDC1" w14:textId="07D5ED84">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129896069" w:id="410237806"/>
      <w:r w:rsidRPr="70044760" w:rsidR="6B847B03">
        <w:rPr>
          <w:rFonts w:ascii="Arial" w:hAnsi="Arial" w:eastAsia="Arial" w:cs="Arial"/>
          <w:b w:val="1"/>
          <w:bCs w:val="1"/>
          <w:noProof w:val="0"/>
          <w:color w:val="auto"/>
          <w:sz w:val="28"/>
          <w:szCs w:val="28"/>
          <w:lang w:val="en-GB"/>
        </w:rPr>
        <w:t>Introduction</w:t>
      </w:r>
      <w:bookmarkEnd w:id="410237806"/>
    </w:p>
    <w:p xmlns:wp14="http://schemas.microsoft.com/office/word/2010/wordml" w:rsidP="6CDA924B" wp14:paraId="096A7B42" wp14:textId="1C79EC94">
      <w:pPr>
        <w:pStyle w:val="Normal"/>
        <w:spacing w:before="240" w:beforeAutospacing="off" w:after="240" w:afterAutospacing="off" w:line="360" w:lineRule="auto"/>
        <w:jc w:val="both"/>
        <w:rPr>
          <w:rFonts w:ascii="Arial" w:hAnsi="Arial" w:eastAsia="Arial" w:cs="Arial"/>
          <w:noProof w:val="0"/>
          <w:sz w:val="22"/>
          <w:szCs w:val="22"/>
          <w:lang w:val="en-GB"/>
        </w:rPr>
      </w:pPr>
      <w:r w:rsidRPr="6C7507EE" w:rsidR="09DBBAE0">
        <w:rPr>
          <w:rFonts w:ascii="Arial" w:hAnsi="Arial" w:eastAsia="Arial" w:cs="Arial"/>
          <w:noProof w:val="0"/>
          <w:sz w:val="22"/>
          <w:szCs w:val="22"/>
          <w:lang w:val="en-GB"/>
        </w:rPr>
        <w:t>The company was originally known as Broken Hill Proprietary</w:t>
      </w:r>
      <w:r w:rsidRPr="6C7507EE" w:rsidR="2E02651B">
        <w:rPr>
          <w:rFonts w:ascii="Arial" w:hAnsi="Arial" w:eastAsia="Arial" w:cs="Arial"/>
          <w:noProof w:val="0"/>
          <w:sz w:val="22"/>
          <w:szCs w:val="22"/>
          <w:lang w:val="en-GB"/>
        </w:rPr>
        <w:t xml:space="preserve"> (BHP)</w:t>
      </w:r>
      <w:r w:rsidRPr="6C7507EE" w:rsidR="09DBBAE0">
        <w:rPr>
          <w:rFonts w:ascii="Arial" w:hAnsi="Arial" w:eastAsia="Arial" w:cs="Arial"/>
          <w:noProof w:val="0"/>
          <w:sz w:val="22"/>
          <w:szCs w:val="22"/>
          <w:lang w:val="en-GB"/>
        </w:rPr>
        <w:t xml:space="preserve"> Company Limited, founded in Australia in 1885. </w:t>
      </w:r>
      <w:r w:rsidRPr="6C7507EE" w:rsidR="689697FD">
        <w:rPr>
          <w:rFonts w:ascii="Arial" w:hAnsi="Arial" w:eastAsia="Arial" w:cs="Arial"/>
          <w:noProof w:val="0"/>
          <w:sz w:val="22"/>
          <w:szCs w:val="22"/>
          <w:lang w:val="en-GB"/>
        </w:rPr>
        <w:t xml:space="preserve">The global metals and mining industry faces increasing pressure to reduce carbon emissions while </w:t>
      </w:r>
      <w:r w:rsidRPr="6C7507EE" w:rsidR="689697FD">
        <w:rPr>
          <w:rFonts w:ascii="Arial" w:hAnsi="Arial" w:eastAsia="Arial" w:cs="Arial"/>
          <w:noProof w:val="0"/>
          <w:sz w:val="22"/>
          <w:szCs w:val="22"/>
          <w:lang w:val="en-GB"/>
        </w:rPr>
        <w:t>maintaining</w:t>
      </w:r>
      <w:r w:rsidRPr="6C7507EE" w:rsidR="689697FD">
        <w:rPr>
          <w:rFonts w:ascii="Arial" w:hAnsi="Arial" w:eastAsia="Arial" w:cs="Arial"/>
          <w:noProof w:val="0"/>
          <w:sz w:val="22"/>
          <w:szCs w:val="22"/>
          <w:lang w:val="en-GB"/>
        </w:rPr>
        <w:t xml:space="preserve"> competitiveness and sustainable growth. This report examines BHP's transition towards a lower-carbon business model through three key areas. PESTEL analysis evaluates the environmental, </w:t>
      </w:r>
      <w:r w:rsidRPr="6C7507EE" w:rsidR="689697FD">
        <w:rPr>
          <w:rFonts w:ascii="Arial" w:hAnsi="Arial" w:eastAsia="Arial" w:cs="Arial"/>
          <w:noProof w:val="0"/>
          <w:sz w:val="22"/>
          <w:szCs w:val="22"/>
          <w:lang w:val="en-GB"/>
        </w:rPr>
        <w:t>social</w:t>
      </w:r>
      <w:r w:rsidRPr="6C7507EE" w:rsidR="689697FD">
        <w:rPr>
          <w:rFonts w:ascii="Arial" w:hAnsi="Arial" w:eastAsia="Arial" w:cs="Arial"/>
          <w:noProof w:val="0"/>
          <w:sz w:val="22"/>
          <w:szCs w:val="22"/>
          <w:lang w:val="en-GB"/>
        </w:rPr>
        <w:t xml:space="preserve"> and</w:t>
      </w:r>
      <w:r w:rsidRPr="6C7507EE" w:rsidR="5E6F42BC">
        <w:rPr>
          <w:rFonts w:ascii="Arial" w:hAnsi="Arial" w:eastAsia="Arial" w:cs="Arial"/>
          <w:noProof w:val="0"/>
          <w:sz w:val="22"/>
          <w:szCs w:val="22"/>
          <w:lang w:val="en-GB"/>
        </w:rPr>
        <w:t xml:space="preserve"> political and</w:t>
      </w:r>
      <w:r w:rsidRPr="6C7507EE" w:rsidR="689697FD">
        <w:rPr>
          <w:rFonts w:ascii="Arial" w:hAnsi="Arial" w:eastAsia="Arial" w:cs="Arial"/>
          <w:noProof w:val="0"/>
          <w:sz w:val="22"/>
          <w:szCs w:val="22"/>
          <w:lang w:val="en-GB"/>
        </w:rPr>
        <w:t xml:space="preserve"> </w:t>
      </w:r>
      <w:r w:rsidRPr="6C7507EE" w:rsidR="638908AE">
        <w:rPr>
          <w:rFonts w:ascii="Arial" w:hAnsi="Arial" w:eastAsia="Arial" w:cs="Arial"/>
          <w:noProof w:val="0"/>
          <w:sz w:val="22"/>
          <w:szCs w:val="22"/>
          <w:lang w:val="en-GB"/>
        </w:rPr>
        <w:t>Legal</w:t>
      </w:r>
      <w:r w:rsidRPr="6C7507EE" w:rsidR="689697FD">
        <w:rPr>
          <w:rFonts w:ascii="Arial" w:hAnsi="Arial" w:eastAsia="Arial" w:cs="Arial"/>
          <w:noProof w:val="0"/>
          <w:sz w:val="22"/>
          <w:szCs w:val="22"/>
          <w:lang w:val="en-GB"/>
        </w:rPr>
        <w:t xml:space="preserve"> factors influencing the organisation</w:t>
      </w:r>
      <w:r w:rsidRPr="6C7507EE" w:rsidR="689697FD">
        <w:rPr>
          <w:rFonts w:ascii="Arial" w:hAnsi="Arial" w:eastAsia="Arial" w:cs="Arial"/>
          <w:noProof w:val="0"/>
          <w:sz w:val="22"/>
          <w:szCs w:val="22"/>
          <w:lang w:val="en-GB"/>
        </w:rPr>
        <w:t>.</w:t>
      </w:r>
      <w:r w:rsidRPr="6C7507EE" w:rsidR="67F5ECB9">
        <w:rPr>
          <w:rFonts w:ascii="Arial" w:hAnsi="Arial" w:eastAsia="Arial" w:cs="Arial"/>
          <w:noProof w:val="0"/>
          <w:sz w:val="22"/>
          <w:szCs w:val="22"/>
          <w:lang w:val="en-GB"/>
        </w:rPr>
        <w:t xml:space="preserve"> </w:t>
      </w:r>
      <w:r w:rsidRPr="6C7507EE" w:rsidR="689697FD">
        <w:rPr>
          <w:rFonts w:ascii="Arial" w:hAnsi="Arial" w:eastAsia="Arial" w:cs="Arial"/>
          <w:noProof w:val="0"/>
          <w:sz w:val="22"/>
          <w:szCs w:val="22"/>
          <w:lang w:val="en-GB"/>
        </w:rPr>
        <w:t xml:space="preserve"> </w:t>
      </w:r>
      <w:r w:rsidRPr="6C7507EE" w:rsidR="689697FD">
        <w:rPr>
          <w:rFonts w:ascii="Arial" w:hAnsi="Arial" w:eastAsia="Arial" w:cs="Arial"/>
          <w:noProof w:val="0"/>
          <w:sz w:val="22"/>
          <w:szCs w:val="22"/>
          <w:lang w:val="en-GB"/>
        </w:rPr>
        <w:t xml:space="preserve">Ansoff's Matrix and Porter's Generic Strategies are applied to </w:t>
      </w:r>
      <w:r w:rsidRPr="6C7507EE" w:rsidR="689697FD">
        <w:rPr>
          <w:rFonts w:ascii="Arial" w:hAnsi="Arial" w:eastAsia="Arial" w:cs="Arial"/>
          <w:noProof w:val="0"/>
          <w:sz w:val="22"/>
          <w:szCs w:val="22"/>
          <w:lang w:val="en-GB"/>
        </w:rPr>
        <w:t>identify</w:t>
      </w:r>
      <w:r w:rsidRPr="6C7507EE" w:rsidR="689697FD">
        <w:rPr>
          <w:rFonts w:ascii="Arial" w:hAnsi="Arial" w:eastAsia="Arial" w:cs="Arial"/>
          <w:noProof w:val="0"/>
          <w:sz w:val="22"/>
          <w:szCs w:val="22"/>
          <w:lang w:val="en-GB"/>
        </w:rPr>
        <w:t xml:space="preserve"> growth opportunities and competitive advantages (Ansoff, 1957; Porter, 1985). Finally, Gibbs' Reflective Cycle is used to critically evaluate the strategic decisions, limitations and professional learning arising from the analysis (Gibbs, 1988).</w:t>
      </w:r>
    </w:p>
    <w:p xmlns:wp14="http://schemas.microsoft.com/office/word/2010/wordml" w:rsidP="3500602F" wp14:paraId="6EF9C838" wp14:textId="2AD3F0A3">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1312051275" w:id="1533310081"/>
      <w:r w:rsidRPr="70044760" w:rsidR="635DC590">
        <w:rPr>
          <w:rFonts w:ascii="Arial" w:hAnsi="Arial" w:eastAsia="Arial" w:cs="Arial"/>
          <w:b w:val="1"/>
          <w:bCs w:val="1"/>
          <w:noProof w:val="0"/>
          <w:color w:val="auto"/>
          <w:sz w:val="28"/>
          <w:szCs w:val="28"/>
          <w:lang w:val="en-GB"/>
        </w:rPr>
        <w:t>Environment</w:t>
      </w:r>
      <w:r w:rsidRPr="70044760" w:rsidR="156DA244">
        <w:rPr>
          <w:rFonts w:ascii="Arial" w:hAnsi="Arial" w:eastAsia="Arial" w:cs="Arial"/>
          <w:b w:val="1"/>
          <w:bCs w:val="1"/>
          <w:noProof w:val="0"/>
          <w:color w:val="auto"/>
          <w:sz w:val="28"/>
          <w:szCs w:val="28"/>
          <w:lang w:val="en-GB"/>
        </w:rPr>
        <w:t>al</w:t>
      </w:r>
      <w:bookmarkEnd w:id="1533310081"/>
    </w:p>
    <w:p xmlns:wp14="http://schemas.microsoft.com/office/word/2010/wordml" w:rsidP="3500602F" wp14:paraId="25CDA5E2" wp14:textId="4540B5EC">
      <w:pPr>
        <w:spacing w:before="240" w:beforeAutospacing="off" w:after="240" w:afterAutospacing="off" w:line="360" w:lineRule="auto"/>
        <w:jc w:val="both"/>
      </w:pPr>
      <w:r w:rsidRPr="6CDA924B" w:rsidR="635DC590">
        <w:rPr>
          <w:rFonts w:ascii="Arial" w:hAnsi="Arial" w:eastAsia="Arial" w:cs="Arial"/>
          <w:noProof w:val="0"/>
          <w:sz w:val="22"/>
          <w:szCs w:val="22"/>
          <w:lang w:val="en-GB"/>
        </w:rPr>
        <w:t xml:space="preserve">The natural environment is arguably the most significant external actor influencing BHP's transition towards lower-carbon operations and products. Mining is highly dependent on natural resources, including land, </w:t>
      </w:r>
      <w:r w:rsidRPr="6CDA924B" w:rsidR="635DC590">
        <w:rPr>
          <w:rFonts w:ascii="Arial" w:hAnsi="Arial" w:eastAsia="Arial" w:cs="Arial"/>
          <w:noProof w:val="0"/>
          <w:sz w:val="22"/>
          <w:szCs w:val="22"/>
          <w:lang w:val="en-GB"/>
        </w:rPr>
        <w:t>water</w:t>
      </w:r>
      <w:r w:rsidRPr="6CDA924B" w:rsidR="635DC590">
        <w:rPr>
          <w:rFonts w:ascii="Arial" w:hAnsi="Arial" w:eastAsia="Arial" w:cs="Arial"/>
          <w:noProof w:val="0"/>
          <w:sz w:val="22"/>
          <w:szCs w:val="22"/>
          <w:lang w:val="en-GB"/>
        </w:rPr>
        <w:t xml:space="preserve"> and energy, while extraction, transportation and processing activities generate GHG emissions. Climate change therefore presents both </w:t>
      </w:r>
      <w:r w:rsidRPr="6CDA924B" w:rsidR="635DC590">
        <w:rPr>
          <w:rFonts w:ascii="Arial" w:hAnsi="Arial" w:eastAsia="Arial" w:cs="Arial"/>
          <w:b w:val="0"/>
          <w:bCs w:val="0"/>
          <w:noProof w:val="0"/>
          <w:sz w:val="22"/>
          <w:szCs w:val="22"/>
          <w:lang w:val="en-GB"/>
        </w:rPr>
        <w:t>physical risks and transition risks f</w:t>
      </w:r>
      <w:r w:rsidRPr="6CDA924B" w:rsidR="635DC590">
        <w:rPr>
          <w:rFonts w:ascii="Arial" w:hAnsi="Arial" w:eastAsia="Arial" w:cs="Arial"/>
          <w:noProof w:val="0"/>
          <w:sz w:val="22"/>
          <w:szCs w:val="22"/>
          <w:lang w:val="en-GB"/>
        </w:rPr>
        <w:t xml:space="preserve">or BHP. The company itself recognises that global warming creates risks across its operations, value </w:t>
      </w:r>
      <w:r w:rsidRPr="6CDA924B" w:rsidR="635DC590">
        <w:rPr>
          <w:rFonts w:ascii="Arial" w:hAnsi="Arial" w:eastAsia="Arial" w:cs="Arial"/>
          <w:noProof w:val="0"/>
          <w:sz w:val="22"/>
          <w:szCs w:val="22"/>
          <w:lang w:val="en-GB"/>
        </w:rPr>
        <w:t>chain</w:t>
      </w:r>
      <w:r w:rsidRPr="6CDA924B" w:rsidR="635DC590">
        <w:rPr>
          <w:rFonts w:ascii="Arial" w:hAnsi="Arial" w:eastAsia="Arial" w:cs="Arial"/>
          <w:noProof w:val="0"/>
          <w:sz w:val="22"/>
          <w:szCs w:val="22"/>
          <w:lang w:val="en-GB"/>
        </w:rPr>
        <w:t xml:space="preserve"> and surrounding communities (BHP, 2026a).</w:t>
      </w:r>
      <w:r w:rsidRPr="6CDA924B" w:rsidR="13FB4FCA">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 xml:space="preserve">Increasing climate-related pressures mean that continuing traditional carbon-intensive mining practices could create significant marketing challenges. </w:t>
      </w:r>
    </w:p>
    <w:p xmlns:wp14="http://schemas.microsoft.com/office/word/2010/wordml" w:rsidP="3500602F" wp14:paraId="285BF198" wp14:textId="3FC707BE">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6CDA924B" w:rsidR="635DC590">
        <w:rPr>
          <w:rFonts w:ascii="Arial" w:hAnsi="Arial" w:eastAsia="Arial" w:cs="Arial"/>
          <w:noProof w:val="0"/>
          <w:sz w:val="22"/>
          <w:szCs w:val="22"/>
          <w:lang w:val="en-GB"/>
        </w:rPr>
        <w:t xml:space="preserve">Organisations </w:t>
      </w:r>
      <w:r w:rsidRPr="6CDA924B" w:rsidR="635DC590">
        <w:rPr>
          <w:rFonts w:ascii="Arial" w:hAnsi="Arial" w:eastAsia="Arial" w:cs="Arial"/>
          <w:noProof w:val="0"/>
          <w:sz w:val="22"/>
          <w:szCs w:val="22"/>
          <w:lang w:val="en-GB"/>
        </w:rPr>
        <w:t>purchasing</w:t>
      </w:r>
      <w:r w:rsidRPr="6CDA924B" w:rsidR="635DC590">
        <w:rPr>
          <w:rFonts w:ascii="Arial" w:hAnsi="Arial" w:eastAsia="Arial" w:cs="Arial"/>
          <w:noProof w:val="0"/>
          <w:sz w:val="22"/>
          <w:szCs w:val="22"/>
          <w:lang w:val="en-GB"/>
        </w:rPr>
        <w:t xml:space="preserve"> raw materials increasingly </w:t>
      </w:r>
      <w:r w:rsidRPr="6CDA924B" w:rsidR="635DC590">
        <w:rPr>
          <w:rFonts w:ascii="Arial" w:hAnsi="Arial" w:eastAsia="Arial" w:cs="Arial"/>
          <w:noProof w:val="0"/>
          <w:sz w:val="22"/>
          <w:szCs w:val="22"/>
          <w:lang w:val="en-GB"/>
        </w:rPr>
        <w:t>operate</w:t>
      </w:r>
      <w:r w:rsidRPr="6CDA924B" w:rsidR="635DC590">
        <w:rPr>
          <w:rFonts w:ascii="Arial" w:hAnsi="Arial" w:eastAsia="Arial" w:cs="Arial"/>
          <w:noProof w:val="0"/>
          <w:sz w:val="22"/>
          <w:szCs w:val="22"/>
          <w:lang w:val="en-GB"/>
        </w:rPr>
        <w:t xml:space="preserve"> within supply chains in which environmental performance is scrutinised. Consequently, BHP's environmental performance can influence its corporate reputation and its ability to position its commodities as </w:t>
      </w:r>
      <w:r w:rsidRPr="6CDA924B" w:rsidR="635DC590">
        <w:rPr>
          <w:rFonts w:ascii="Arial" w:hAnsi="Arial" w:eastAsia="Arial" w:cs="Arial"/>
          <w:noProof w:val="0"/>
          <w:sz w:val="22"/>
          <w:szCs w:val="22"/>
          <w:lang w:val="en-GB"/>
        </w:rPr>
        <w:t>appropriate for</w:t>
      </w:r>
      <w:r w:rsidRPr="6CDA924B" w:rsidR="635DC590">
        <w:rPr>
          <w:rFonts w:ascii="Arial" w:hAnsi="Arial" w:eastAsia="Arial" w:cs="Arial"/>
          <w:noProof w:val="0"/>
          <w:sz w:val="22"/>
          <w:szCs w:val="22"/>
          <w:lang w:val="en-GB"/>
        </w:rPr>
        <w:t xml:space="preserve"> a lower-carbon economy. Environmental performance is therefore becoming part of the </w:t>
      </w:r>
      <w:r w:rsidRPr="6CDA924B" w:rsidR="635DC590">
        <w:rPr>
          <w:rFonts w:ascii="Arial" w:hAnsi="Arial" w:eastAsia="Arial" w:cs="Arial"/>
          <w:b w:val="0"/>
          <w:bCs w:val="0"/>
          <w:noProof w:val="0"/>
          <w:color w:val="auto"/>
          <w:sz w:val="22"/>
          <w:szCs w:val="22"/>
          <w:lang w:val="en-GB"/>
        </w:rPr>
        <w:t>value proposition surrounding mining products rather than simply an operational issue.</w:t>
      </w:r>
    </w:p>
    <w:p xmlns:wp14="http://schemas.microsoft.com/office/word/2010/wordml" w:rsidP="3500602F" wp14:paraId="2FF8110C" wp14:textId="74C126BD">
      <w:pPr>
        <w:spacing w:before="240" w:beforeAutospacing="off" w:after="240" w:afterAutospacing="off" w:line="360" w:lineRule="auto"/>
        <w:jc w:val="both"/>
      </w:pPr>
      <w:r w:rsidRPr="6CDA924B" w:rsidR="635DC590">
        <w:rPr>
          <w:rFonts w:ascii="Arial" w:hAnsi="Arial" w:eastAsia="Arial" w:cs="Arial"/>
          <w:b w:val="0"/>
          <w:bCs w:val="0"/>
          <w:noProof w:val="0"/>
          <w:color w:val="auto"/>
          <w:sz w:val="22"/>
          <w:szCs w:val="22"/>
          <w:lang w:val="en-GB"/>
        </w:rPr>
        <w:t xml:space="preserve">BHP has responded by </w:t>
      </w:r>
      <w:r w:rsidRPr="6CDA924B" w:rsidR="635DC590">
        <w:rPr>
          <w:rFonts w:ascii="Arial" w:hAnsi="Arial" w:eastAsia="Arial" w:cs="Arial"/>
          <w:b w:val="0"/>
          <w:bCs w:val="0"/>
          <w:noProof w:val="0"/>
          <w:color w:val="auto"/>
          <w:sz w:val="22"/>
          <w:szCs w:val="22"/>
          <w:lang w:val="en-GB"/>
        </w:rPr>
        <w:t>establishing</w:t>
      </w:r>
      <w:r w:rsidRPr="6CDA924B" w:rsidR="635DC590">
        <w:rPr>
          <w:rFonts w:ascii="Arial" w:hAnsi="Arial" w:eastAsia="Arial" w:cs="Arial"/>
          <w:b w:val="0"/>
          <w:bCs w:val="0"/>
          <w:noProof w:val="0"/>
          <w:color w:val="auto"/>
          <w:sz w:val="22"/>
          <w:szCs w:val="22"/>
          <w:lang w:val="en-GB"/>
        </w:rPr>
        <w:t xml:space="preserve"> a medium-term target of reducing operational Scope 1 and Scope 2 GHG emissions by at least 30% by </w:t>
      </w:r>
      <w:r w:rsidRPr="6CDA924B" w:rsidR="5DBFCEC6">
        <w:rPr>
          <w:rFonts w:ascii="Arial" w:hAnsi="Arial" w:eastAsia="Arial" w:cs="Arial"/>
          <w:b w:val="1"/>
          <w:bCs w:val="1"/>
          <w:noProof w:val="0"/>
          <w:color w:val="auto"/>
          <w:sz w:val="22"/>
          <w:szCs w:val="22"/>
          <w:lang w:val="en-GB"/>
        </w:rPr>
        <w:t>financial year</w:t>
      </w:r>
      <w:r w:rsidRPr="6CDA924B" w:rsidR="5DBFCEC6">
        <w:rPr>
          <w:rFonts w:ascii="Arial" w:hAnsi="Arial" w:eastAsia="Arial" w:cs="Arial"/>
          <w:b w:val="0"/>
          <w:bCs w:val="0"/>
          <w:noProof w:val="0"/>
          <w:color w:val="auto"/>
          <w:sz w:val="22"/>
          <w:szCs w:val="22"/>
          <w:lang w:val="en-GB"/>
        </w:rPr>
        <w:t xml:space="preserve"> </w:t>
      </w:r>
      <w:r w:rsidRPr="6CDA924B" w:rsidR="377046C3">
        <w:rPr>
          <w:rFonts w:ascii="Arial" w:hAnsi="Arial" w:eastAsia="Arial" w:cs="Arial"/>
          <w:b w:val="0"/>
          <w:bCs w:val="0"/>
          <w:noProof w:val="0"/>
          <w:color w:val="auto"/>
          <w:sz w:val="22"/>
          <w:szCs w:val="22"/>
          <w:lang w:val="en-GB"/>
        </w:rPr>
        <w:t>(</w:t>
      </w:r>
      <w:r w:rsidRPr="6CDA924B" w:rsidR="635DC590">
        <w:rPr>
          <w:rFonts w:ascii="Arial" w:hAnsi="Arial" w:eastAsia="Arial" w:cs="Arial"/>
          <w:b w:val="0"/>
          <w:bCs w:val="0"/>
          <w:noProof w:val="0"/>
          <w:color w:val="auto"/>
          <w:sz w:val="22"/>
          <w:szCs w:val="22"/>
          <w:lang w:val="en-GB"/>
        </w:rPr>
        <w:t>FY2030</w:t>
      </w:r>
      <w:r w:rsidRPr="6CDA924B" w:rsidR="04B31B39">
        <w:rPr>
          <w:rFonts w:ascii="Arial" w:hAnsi="Arial" w:eastAsia="Arial" w:cs="Arial"/>
          <w:b w:val="0"/>
          <w:bCs w:val="0"/>
          <w:noProof w:val="0"/>
          <w:color w:val="auto"/>
          <w:sz w:val="22"/>
          <w:szCs w:val="22"/>
          <w:lang w:val="en-GB"/>
        </w:rPr>
        <w:t>)</w:t>
      </w:r>
      <w:r w:rsidRPr="6CDA924B" w:rsidR="635DC590">
        <w:rPr>
          <w:rFonts w:ascii="Arial" w:hAnsi="Arial" w:eastAsia="Arial" w:cs="Arial"/>
          <w:b w:val="0"/>
          <w:bCs w:val="0"/>
          <w:noProof w:val="0"/>
          <w:color w:val="auto"/>
          <w:sz w:val="22"/>
          <w:szCs w:val="22"/>
          <w:lang w:val="en-GB"/>
        </w:rPr>
        <w:t xml:space="preserve"> compared with its FY2020 baseline, alongside a long-term goal of achieving net-zero operational GHG emissions by 2050 (BHP, 2026b). Progress has already been reported. BHP </w:t>
      </w:r>
      <w:r w:rsidRPr="6CDA924B" w:rsidR="635DC590">
        <w:rPr>
          <w:rFonts w:ascii="Arial" w:hAnsi="Arial" w:eastAsia="Arial" w:cs="Arial"/>
          <w:b w:val="0"/>
          <w:bCs w:val="0"/>
          <w:noProof w:val="0"/>
          <w:color w:val="auto"/>
          <w:sz w:val="22"/>
          <w:szCs w:val="22"/>
          <w:lang w:val="en-GB"/>
        </w:rPr>
        <w:t>stated</w:t>
      </w:r>
      <w:r w:rsidRPr="6CDA924B" w:rsidR="635DC590">
        <w:rPr>
          <w:rFonts w:ascii="Arial" w:hAnsi="Arial" w:eastAsia="Arial" w:cs="Arial"/>
          <w:b w:val="0"/>
          <w:bCs w:val="0"/>
          <w:noProof w:val="0"/>
          <w:color w:val="auto"/>
          <w:sz w:val="22"/>
          <w:szCs w:val="22"/>
          <w:lang w:val="en-GB"/>
        </w:rPr>
        <w:t xml:space="preserve"> that its FY2025 operational emissions were approximately 36% below its adjusted FY2020 baseline,</w:t>
      </w:r>
      <w:r w:rsidRPr="6CDA924B" w:rsidR="635DC590">
        <w:rPr>
          <w:rFonts w:ascii="Arial" w:hAnsi="Arial" w:eastAsia="Arial" w:cs="Arial"/>
          <w:noProof w:val="0"/>
          <w:sz w:val="22"/>
          <w:szCs w:val="22"/>
          <w:lang w:val="en-GB"/>
        </w:rPr>
        <w:t xml:space="preserve"> while more than 70% of its electricity use globally had shifted to renewable sources (BHP, 2026c).</w:t>
      </w:r>
      <w:r w:rsidRPr="6CDA924B" w:rsidR="213109C8">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 xml:space="preserve">Renewable electricity therefore </w:t>
      </w:r>
      <w:r w:rsidRPr="6CDA924B" w:rsidR="635DC590">
        <w:rPr>
          <w:rFonts w:ascii="Arial" w:hAnsi="Arial" w:eastAsia="Arial" w:cs="Arial"/>
          <w:noProof w:val="0"/>
          <w:sz w:val="22"/>
          <w:szCs w:val="22"/>
          <w:lang w:val="en-GB"/>
        </w:rPr>
        <w:t>represents</w:t>
      </w:r>
      <w:r w:rsidRPr="6CDA924B" w:rsidR="635DC590">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an important component</w:t>
      </w:r>
      <w:r w:rsidRPr="6CDA924B" w:rsidR="635DC590">
        <w:rPr>
          <w:rFonts w:ascii="Arial" w:hAnsi="Arial" w:eastAsia="Arial" w:cs="Arial"/>
          <w:noProof w:val="0"/>
          <w:sz w:val="22"/>
          <w:szCs w:val="22"/>
          <w:lang w:val="en-GB"/>
        </w:rPr>
        <w:t xml:space="preserve"> of BHP's environmental response. For example, in 2026 BHP Mitsubishi Alliance became BHP's first Australian operation to have 100% of its forecast electricity demand matched through renewable Power Purchase Agreements, drawing upon sources including solar, wind and pumped hydro (BHP, 2026d). Such initiatives can strengthen BHP's sustainability positioning by providing tangible evidence behind environmental marketing communications.</w:t>
      </w:r>
    </w:p>
    <w:p xmlns:wp14="http://schemas.microsoft.com/office/word/2010/wordml" w:rsidP="3500602F" wp14:paraId="3A0973A0" wp14:textId="1112C111">
      <w:pPr>
        <w:spacing w:before="240" w:beforeAutospacing="off" w:after="240" w:afterAutospacing="off" w:line="360" w:lineRule="auto"/>
        <w:jc w:val="both"/>
      </w:pPr>
      <w:r w:rsidRPr="6CDA924B" w:rsidR="635DC590">
        <w:rPr>
          <w:rFonts w:ascii="Arial" w:hAnsi="Arial" w:eastAsia="Arial" w:cs="Arial"/>
          <w:noProof w:val="0"/>
          <w:sz w:val="22"/>
          <w:szCs w:val="22"/>
          <w:lang w:val="en-GB"/>
        </w:rPr>
        <w:t xml:space="preserve">BHP is also experimenting with battery-electric mining equipment to reduce its dependence on diesel. The company is trialling two 240-tonne battery-electric haul trucks at Jimblebar and battery-electric locomotives at Port Hedland (BHP, 2026c). This creates a potential opportunity to differentiate BHP through lower-emission production processes. However, there are limitations. BHP acknowledges that electrification of heavy haul trucks and locomotives is progressing more slowly than originally </w:t>
      </w:r>
      <w:r w:rsidRPr="6CDA924B" w:rsidR="635DC590">
        <w:rPr>
          <w:rFonts w:ascii="Arial" w:hAnsi="Arial" w:eastAsia="Arial" w:cs="Arial"/>
          <w:noProof w:val="0"/>
          <w:sz w:val="22"/>
          <w:szCs w:val="22"/>
          <w:lang w:val="en-GB"/>
        </w:rPr>
        <w:t>anticipated</w:t>
      </w:r>
      <w:r w:rsidRPr="6CDA924B" w:rsidR="635DC590">
        <w:rPr>
          <w:rFonts w:ascii="Arial" w:hAnsi="Arial" w:eastAsia="Arial" w:cs="Arial"/>
          <w:noProof w:val="0"/>
          <w:sz w:val="22"/>
          <w:szCs w:val="22"/>
          <w:lang w:val="en-GB"/>
        </w:rPr>
        <w:t xml:space="preserve"> because of technology development and equipment-delivery constraints (BHP, 2026c). Therefore, environmental ambitions cannot automatically be translated into immediate emissions reductions.</w:t>
      </w:r>
      <w:r w:rsidRPr="6CDA924B" w:rsidR="3CD16F33">
        <w:rPr>
          <w:rFonts w:ascii="Arial" w:hAnsi="Arial" w:eastAsia="Arial" w:cs="Arial"/>
          <w:noProof w:val="0"/>
          <w:sz w:val="22"/>
          <w:szCs w:val="22"/>
          <w:lang w:val="en-GB"/>
        </w:rPr>
        <w:t xml:space="preserve"> </w:t>
      </w:r>
    </w:p>
    <w:p xmlns:wp14="http://schemas.microsoft.com/office/word/2010/wordml" w:rsidP="3500602F" wp14:paraId="5E93E965" wp14:textId="40A3F2E9">
      <w:pPr>
        <w:spacing w:before="240" w:beforeAutospacing="off" w:after="240" w:afterAutospacing="off" w:line="360" w:lineRule="auto"/>
        <w:jc w:val="both"/>
      </w:pPr>
      <w:r w:rsidRPr="6CDA924B" w:rsidR="635DC590">
        <w:rPr>
          <w:rFonts w:ascii="Arial" w:hAnsi="Arial" w:eastAsia="Arial" w:cs="Arial"/>
          <w:noProof w:val="0"/>
          <w:sz w:val="22"/>
          <w:szCs w:val="22"/>
          <w:lang w:val="en-GB"/>
        </w:rPr>
        <w:t xml:space="preserve">An additional environmental opportunity comes from increasing global demand for minerals needed for the energy transition. The International Energy Agency (IEA, 2025) reports </w:t>
      </w:r>
      <w:r w:rsidRPr="6CDA924B" w:rsidR="635DC590">
        <w:rPr>
          <w:rFonts w:ascii="Arial" w:hAnsi="Arial" w:eastAsia="Arial" w:cs="Arial"/>
          <w:noProof w:val="0"/>
          <w:sz w:val="22"/>
          <w:szCs w:val="22"/>
          <w:lang w:val="en-GB"/>
        </w:rPr>
        <w:t>strong growth</w:t>
      </w:r>
      <w:r w:rsidRPr="6CDA924B" w:rsidR="635DC590">
        <w:rPr>
          <w:rFonts w:ascii="Arial" w:hAnsi="Arial" w:eastAsia="Arial" w:cs="Arial"/>
          <w:noProof w:val="0"/>
          <w:sz w:val="22"/>
          <w:szCs w:val="22"/>
          <w:lang w:val="en-GB"/>
        </w:rPr>
        <w:t xml:space="preserve"> in demand for energy-transition minerals driven by technologies including electric vehicles, renewable energy, battery </w:t>
      </w:r>
      <w:r w:rsidRPr="6CDA924B" w:rsidR="635DC590">
        <w:rPr>
          <w:rFonts w:ascii="Arial" w:hAnsi="Arial" w:eastAsia="Arial" w:cs="Arial"/>
          <w:noProof w:val="0"/>
          <w:sz w:val="22"/>
          <w:szCs w:val="22"/>
          <w:lang w:val="en-GB"/>
        </w:rPr>
        <w:t>storage</w:t>
      </w:r>
      <w:r w:rsidRPr="6CDA924B" w:rsidR="635DC590">
        <w:rPr>
          <w:rFonts w:ascii="Arial" w:hAnsi="Arial" w:eastAsia="Arial" w:cs="Arial"/>
          <w:noProof w:val="0"/>
          <w:sz w:val="22"/>
          <w:szCs w:val="22"/>
          <w:lang w:val="en-GB"/>
        </w:rPr>
        <w:t xml:space="preserve"> and electricity grids. Copper is particularly important because of its extensive application within electrical infrastructure. Under the IEA's Stated Policies Scenario, total global copper demand is projected to increase from approximately 26.7 million tonnes in 2024 to 31.3 million tonnes by 2030 (IEA, 2025). As a major copper producer, BHP could therefore </w:t>
      </w:r>
      <w:r w:rsidRPr="6CDA924B" w:rsidR="635DC590">
        <w:rPr>
          <w:rFonts w:ascii="Arial" w:hAnsi="Arial" w:eastAsia="Arial" w:cs="Arial"/>
          <w:noProof w:val="0"/>
          <w:sz w:val="22"/>
          <w:szCs w:val="22"/>
          <w:lang w:val="en-GB"/>
        </w:rPr>
        <w:t>benefit</w:t>
      </w:r>
      <w:r w:rsidRPr="6CDA924B" w:rsidR="635DC590">
        <w:rPr>
          <w:rFonts w:ascii="Arial" w:hAnsi="Arial" w:eastAsia="Arial" w:cs="Arial"/>
          <w:noProof w:val="0"/>
          <w:sz w:val="22"/>
          <w:szCs w:val="22"/>
          <w:lang w:val="en-GB"/>
        </w:rPr>
        <w:t xml:space="preserve"> from positioning copper as an essential material supporting electrification and decarbonisation.</w:t>
      </w:r>
    </w:p>
    <w:p xmlns:wp14="http://schemas.microsoft.com/office/word/2010/wordml" w:rsidP="3500602F" wp14:paraId="7A082A33" wp14:textId="2C3831F6">
      <w:pPr>
        <w:spacing w:before="240" w:beforeAutospacing="off" w:after="240" w:afterAutospacing="off" w:line="360" w:lineRule="auto"/>
        <w:jc w:val="both"/>
      </w:pPr>
      <w:r w:rsidRPr="6CDA924B" w:rsidR="0AAA3C31">
        <w:rPr>
          <w:rFonts w:ascii="Arial" w:hAnsi="Arial" w:eastAsia="Arial" w:cs="Arial"/>
          <w:noProof w:val="0"/>
          <w:sz w:val="22"/>
          <w:szCs w:val="22"/>
          <w:lang w:val="en-GB"/>
        </w:rPr>
        <w:t>T</w:t>
      </w:r>
      <w:r w:rsidRPr="6CDA924B" w:rsidR="635DC590">
        <w:rPr>
          <w:rFonts w:ascii="Arial" w:hAnsi="Arial" w:eastAsia="Arial" w:cs="Arial"/>
          <w:noProof w:val="0"/>
          <w:sz w:val="22"/>
          <w:szCs w:val="22"/>
          <w:lang w:val="en-GB"/>
        </w:rPr>
        <w:t xml:space="preserve">his creates a contradiction. Greater global decarbonisation can increase demand for BHP's minerals while simultaneously requiring </w:t>
      </w:r>
      <w:r w:rsidRPr="6CDA924B" w:rsidR="635DC590">
        <w:rPr>
          <w:rFonts w:ascii="Arial" w:hAnsi="Arial" w:eastAsia="Arial" w:cs="Arial"/>
          <w:noProof w:val="0"/>
          <w:sz w:val="22"/>
          <w:szCs w:val="22"/>
          <w:lang w:val="en-GB"/>
        </w:rPr>
        <w:t>additional</w:t>
      </w:r>
      <w:r w:rsidRPr="6CDA924B" w:rsidR="635DC590">
        <w:rPr>
          <w:rFonts w:ascii="Arial" w:hAnsi="Arial" w:eastAsia="Arial" w:cs="Arial"/>
          <w:noProof w:val="0"/>
          <w:sz w:val="22"/>
          <w:szCs w:val="22"/>
          <w:lang w:val="en-GB"/>
        </w:rPr>
        <w:t xml:space="preserve"> mining activity, which itself creates emissions and environmental impacts. BHP must therefore avoid communicating the benefits of transition minerals without acknowledging the environmental costs associated with extracting them. Transparent evidence of emissions reductions is important because exaggerated environmental claims could damage stakeholder trust.</w:t>
      </w:r>
      <w:r w:rsidRPr="6CDA924B" w:rsidR="06849333">
        <w:rPr>
          <w:rFonts w:ascii="Arial" w:hAnsi="Arial" w:eastAsia="Arial" w:cs="Arial"/>
          <w:noProof w:val="0"/>
          <w:sz w:val="22"/>
          <w:szCs w:val="22"/>
          <w:lang w:val="en-GB"/>
        </w:rPr>
        <w:t xml:space="preserve"> </w:t>
      </w:r>
    </w:p>
    <w:p xmlns:wp14="http://schemas.microsoft.com/office/word/2010/wordml" w:rsidP="3500602F" wp14:paraId="1D01850B" wp14:textId="28168724">
      <w:pPr>
        <w:spacing w:before="240" w:beforeAutospacing="off" w:after="240" w:afterAutospacing="off" w:line="360" w:lineRule="auto"/>
        <w:jc w:val="both"/>
        <w:rPr>
          <w:rFonts w:ascii="Arial" w:hAnsi="Arial" w:eastAsia="Arial" w:cs="Arial"/>
          <w:b w:val="0"/>
          <w:bCs w:val="0"/>
          <w:noProof w:val="0"/>
          <w:sz w:val="22"/>
          <w:szCs w:val="22"/>
          <w:lang w:val="en-GB"/>
        </w:rPr>
      </w:pPr>
      <w:r w:rsidRPr="6CDA924B" w:rsidR="635DC590">
        <w:rPr>
          <w:rFonts w:ascii="Arial" w:hAnsi="Arial" w:eastAsia="Arial" w:cs="Arial"/>
          <w:noProof w:val="0"/>
          <w:sz w:val="22"/>
          <w:szCs w:val="22"/>
          <w:lang w:val="en-GB"/>
        </w:rPr>
        <w:t xml:space="preserve">Environmental pressures extend beyond BHP's direct operations. The use of its commodities, particularly iron ore in steelmaking, contributes to value-chain emissions. BHP has </w:t>
      </w:r>
      <w:r w:rsidRPr="6CDA924B" w:rsidR="635DC590">
        <w:rPr>
          <w:rFonts w:ascii="Arial" w:hAnsi="Arial" w:eastAsia="Arial" w:cs="Arial"/>
          <w:noProof w:val="0"/>
          <w:sz w:val="22"/>
          <w:szCs w:val="22"/>
          <w:lang w:val="en-GB"/>
        </w:rPr>
        <w:t>consequently</w:t>
      </w:r>
      <w:r w:rsidRPr="6CDA924B" w:rsidR="635DC590">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established</w:t>
      </w:r>
      <w:r w:rsidRPr="6CDA924B" w:rsidR="635DC590">
        <w:rPr>
          <w:rFonts w:ascii="Arial" w:hAnsi="Arial" w:eastAsia="Arial" w:cs="Arial"/>
          <w:noProof w:val="0"/>
          <w:sz w:val="22"/>
          <w:szCs w:val="22"/>
          <w:lang w:val="en-GB"/>
        </w:rPr>
        <w:t xml:space="preserve"> a goal of supporting the steel industry to develop technologies capable of producing steel with</w:t>
      </w:r>
      <w:r w:rsidRPr="6CDA924B" w:rsidR="635DC590">
        <w:rPr>
          <w:rFonts w:ascii="Arial" w:hAnsi="Arial" w:eastAsia="Arial" w:cs="Arial"/>
          <w:b w:val="0"/>
          <w:bCs w:val="0"/>
          <w:noProof w:val="0"/>
          <w:sz w:val="22"/>
          <w:szCs w:val="22"/>
          <w:lang w:val="en-GB"/>
        </w:rPr>
        <w:t xml:space="preserve"> 30% lower GHG emissions intensity than conventional blast-furnace steelmaking, with widespread adoption expected after 2030 (BHP, 2026e). The company is working with steelmakers on technologies including carbon capture and modified blast furnaces. In September 2026, for example, BHP renewed its partnership with China Baowu to explore lower-emission steelmaking technologies using BHP's Pilbara iron ores (BHP, 2026f).</w:t>
      </w:r>
    </w:p>
    <w:p xmlns:wp14="http://schemas.microsoft.com/office/word/2010/wordml" w:rsidP="3500602F" wp14:paraId="0FCF1696" wp14:textId="014B07EB">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683851430" w:id="169906556"/>
      <w:r w:rsidRPr="70044760" w:rsidR="635DC590">
        <w:rPr>
          <w:rFonts w:ascii="Arial" w:hAnsi="Arial" w:eastAsia="Arial" w:cs="Arial"/>
          <w:b w:val="1"/>
          <w:bCs w:val="1"/>
          <w:noProof w:val="0"/>
          <w:color w:val="auto"/>
          <w:sz w:val="28"/>
          <w:szCs w:val="28"/>
          <w:lang w:val="en-GB"/>
        </w:rPr>
        <w:t>Social</w:t>
      </w:r>
      <w:bookmarkEnd w:id="169906556"/>
    </w:p>
    <w:p xmlns:wp14="http://schemas.microsoft.com/office/word/2010/wordml" w:rsidP="79408D6B" wp14:paraId="285530B4" wp14:textId="1B258332">
      <w:pPr>
        <w:spacing w:before="240" w:beforeAutospacing="off" w:after="240" w:afterAutospacing="off" w:line="360" w:lineRule="auto"/>
        <w:jc w:val="both"/>
      </w:pPr>
      <w:r w:rsidRPr="79408D6B" w:rsidR="635DC590">
        <w:rPr>
          <w:rFonts w:ascii="Arial" w:hAnsi="Arial" w:eastAsia="Arial" w:cs="Arial"/>
          <w:noProof w:val="0"/>
          <w:sz w:val="22"/>
          <w:szCs w:val="22"/>
          <w:lang w:val="en-GB"/>
        </w:rPr>
        <w:t xml:space="preserve">The social environment is another important external actor because societal expectations concerning corporate environmental responsibility have increased. Communities, investors, employees, Indigenous </w:t>
      </w:r>
      <w:r w:rsidRPr="79408D6B" w:rsidR="635DC590">
        <w:rPr>
          <w:rFonts w:ascii="Arial" w:hAnsi="Arial" w:eastAsia="Arial" w:cs="Arial"/>
          <w:noProof w:val="0"/>
          <w:sz w:val="22"/>
          <w:szCs w:val="22"/>
          <w:lang w:val="en-GB"/>
        </w:rPr>
        <w:t>peoples</w:t>
      </w:r>
      <w:r w:rsidRPr="79408D6B" w:rsidR="635DC590">
        <w:rPr>
          <w:rFonts w:ascii="Arial" w:hAnsi="Arial" w:eastAsia="Arial" w:cs="Arial"/>
          <w:noProof w:val="0"/>
          <w:sz w:val="22"/>
          <w:szCs w:val="22"/>
          <w:lang w:val="en-GB"/>
        </w:rPr>
        <w:t xml:space="preserve"> and wider society increasingly expect mining organisations to </w:t>
      </w:r>
      <w:r w:rsidRPr="79408D6B" w:rsidR="635DC590">
        <w:rPr>
          <w:rFonts w:ascii="Arial" w:hAnsi="Arial" w:eastAsia="Arial" w:cs="Arial"/>
          <w:noProof w:val="0"/>
          <w:sz w:val="22"/>
          <w:szCs w:val="22"/>
          <w:lang w:val="en-GB"/>
        </w:rPr>
        <w:t>demonstrate</w:t>
      </w:r>
      <w:r w:rsidRPr="79408D6B" w:rsidR="635DC590">
        <w:rPr>
          <w:rFonts w:ascii="Arial" w:hAnsi="Arial" w:eastAsia="Arial" w:cs="Arial"/>
          <w:noProof w:val="0"/>
          <w:sz w:val="22"/>
          <w:szCs w:val="22"/>
          <w:lang w:val="en-GB"/>
        </w:rPr>
        <w:t xml:space="preserve"> responsible</w:t>
      </w:r>
      <w:r w:rsidRPr="79408D6B" w:rsidR="519B4257">
        <w:rPr>
          <w:rFonts w:ascii="Arial" w:hAnsi="Arial" w:eastAsia="Arial" w:cs="Arial"/>
          <w:noProof w:val="0"/>
          <w:sz w:val="22"/>
          <w:szCs w:val="22"/>
          <w:lang w:val="en-GB"/>
        </w:rPr>
        <w:t xml:space="preserve"> </w:t>
      </w:r>
      <w:r w:rsidRPr="79408D6B" w:rsidR="635DC590">
        <w:rPr>
          <w:rFonts w:ascii="Arial" w:hAnsi="Arial" w:eastAsia="Arial" w:cs="Arial"/>
          <w:noProof w:val="0"/>
          <w:sz w:val="22"/>
          <w:szCs w:val="22"/>
          <w:lang w:val="en-GB"/>
        </w:rPr>
        <w:t>social behaviour. Consequently, sustainability influences not only operational decisions but also BHP's reputation and its broader corporate brand.</w:t>
      </w:r>
    </w:p>
    <w:p xmlns:wp14="http://schemas.microsoft.com/office/word/2010/wordml" w:rsidP="3500602F" wp14:paraId="3E8D55E6" wp14:textId="17994969">
      <w:pPr>
        <w:spacing w:before="240" w:beforeAutospacing="off" w:after="240" w:afterAutospacing="off" w:line="360" w:lineRule="auto"/>
        <w:jc w:val="both"/>
      </w:pPr>
      <w:r w:rsidRPr="3500602F" w:rsidR="635DC590">
        <w:rPr>
          <w:rFonts w:ascii="Arial" w:hAnsi="Arial" w:eastAsia="Arial" w:cs="Arial"/>
          <w:noProof w:val="0"/>
          <w:sz w:val="22"/>
          <w:szCs w:val="22"/>
          <w:lang w:val="en-GB"/>
        </w:rPr>
        <w:t xml:space="preserve">BHP recognises the importance of </w:t>
      </w:r>
      <w:r w:rsidRPr="3500602F" w:rsidR="635DC590">
        <w:rPr>
          <w:rFonts w:ascii="Arial" w:hAnsi="Arial" w:eastAsia="Arial" w:cs="Arial"/>
          <w:noProof w:val="0"/>
          <w:sz w:val="22"/>
          <w:szCs w:val="22"/>
          <w:lang w:val="en-GB"/>
        </w:rPr>
        <w:t>maintaining</w:t>
      </w:r>
      <w:r w:rsidRPr="3500602F" w:rsidR="635DC590">
        <w:rPr>
          <w:rFonts w:ascii="Arial" w:hAnsi="Arial" w:eastAsia="Arial" w:cs="Arial"/>
          <w:noProof w:val="0"/>
          <w:sz w:val="22"/>
          <w:szCs w:val="22"/>
          <w:lang w:val="en-GB"/>
        </w:rPr>
        <w:t xml:space="preserve"> community trust and describes strong and resilient communities as essential to the long-term success of its business (BHP, 2026g). Its social-value framework includes six areas: decarbonisation, healthy environment, Indigenous partnerships, workforce, </w:t>
      </w:r>
      <w:r w:rsidRPr="3500602F" w:rsidR="635DC590">
        <w:rPr>
          <w:rFonts w:ascii="Arial" w:hAnsi="Arial" w:eastAsia="Arial" w:cs="Arial"/>
          <w:noProof w:val="0"/>
          <w:sz w:val="22"/>
          <w:szCs w:val="22"/>
          <w:lang w:val="en-GB"/>
        </w:rPr>
        <w:t>communities</w:t>
      </w:r>
      <w:r w:rsidRPr="3500602F" w:rsidR="635DC590">
        <w:rPr>
          <w:rFonts w:ascii="Arial" w:hAnsi="Arial" w:eastAsia="Arial" w:cs="Arial"/>
          <w:noProof w:val="0"/>
          <w:sz w:val="22"/>
          <w:szCs w:val="22"/>
          <w:lang w:val="en-GB"/>
        </w:rPr>
        <w:t xml:space="preserve"> and responsible supply chains (BHP, 2026h).</w:t>
      </w:r>
      <w:r w:rsidRPr="3500602F" w:rsidR="6450A837">
        <w:rPr>
          <w:rFonts w:ascii="Arial" w:hAnsi="Arial" w:eastAsia="Arial" w:cs="Arial"/>
          <w:noProof w:val="0"/>
          <w:sz w:val="22"/>
          <w:szCs w:val="22"/>
          <w:lang w:val="en-GB"/>
        </w:rPr>
        <w:t xml:space="preserve"> </w:t>
      </w:r>
      <w:r w:rsidRPr="3500602F" w:rsidR="635DC590">
        <w:rPr>
          <w:rFonts w:ascii="Arial" w:hAnsi="Arial" w:eastAsia="Arial" w:cs="Arial"/>
          <w:noProof w:val="0"/>
          <w:sz w:val="22"/>
          <w:szCs w:val="22"/>
          <w:lang w:val="en-GB"/>
        </w:rPr>
        <w:t xml:space="preserve">Integrating environmental and social </w:t>
      </w:r>
      <w:r w:rsidRPr="3500602F" w:rsidR="635DC590">
        <w:rPr>
          <w:rFonts w:ascii="Arial" w:hAnsi="Arial" w:eastAsia="Arial" w:cs="Arial"/>
          <w:noProof w:val="0"/>
          <w:sz w:val="22"/>
          <w:szCs w:val="22"/>
          <w:lang w:val="en-GB"/>
        </w:rPr>
        <w:t>objectives</w:t>
      </w:r>
      <w:r w:rsidRPr="3500602F" w:rsidR="635DC590">
        <w:rPr>
          <w:rFonts w:ascii="Arial" w:hAnsi="Arial" w:eastAsia="Arial" w:cs="Arial"/>
          <w:noProof w:val="0"/>
          <w:sz w:val="22"/>
          <w:szCs w:val="22"/>
          <w:lang w:val="en-GB"/>
        </w:rPr>
        <w:t xml:space="preserve"> enables BHP to communicate sustainability as part of its wider corporate identity rather than presenting decarbonisation as an isolated initiative</w:t>
      </w:r>
      <w:r w:rsidRPr="3500602F" w:rsidR="44C5A3D0">
        <w:rPr>
          <w:rFonts w:ascii="Arial" w:hAnsi="Arial" w:eastAsia="Arial" w:cs="Arial"/>
          <w:noProof w:val="0"/>
          <w:sz w:val="22"/>
          <w:szCs w:val="22"/>
          <w:lang w:val="en-GB"/>
        </w:rPr>
        <w:t xml:space="preserve">. </w:t>
      </w:r>
      <w:r w:rsidRPr="3500602F" w:rsidR="635DC590">
        <w:rPr>
          <w:rFonts w:ascii="Arial" w:hAnsi="Arial" w:eastAsia="Arial" w:cs="Arial"/>
          <w:noProof w:val="0"/>
          <w:sz w:val="22"/>
          <w:szCs w:val="22"/>
          <w:lang w:val="en-GB"/>
        </w:rPr>
        <w:t xml:space="preserve">This has important marketing implications. Demonstrating investments in renewable electricity, cleaner technologies and community development can improve stakeholder </w:t>
      </w:r>
      <w:r w:rsidRPr="3500602F" w:rsidR="635DC590">
        <w:rPr>
          <w:rFonts w:ascii="Arial" w:hAnsi="Arial" w:eastAsia="Arial" w:cs="Arial"/>
          <w:noProof w:val="0"/>
          <w:sz w:val="22"/>
          <w:szCs w:val="22"/>
          <w:lang w:val="en-GB"/>
        </w:rPr>
        <w:t>perceptions</w:t>
      </w:r>
      <w:r w:rsidRPr="3500602F" w:rsidR="635DC590">
        <w:rPr>
          <w:rFonts w:ascii="Arial" w:hAnsi="Arial" w:eastAsia="Arial" w:cs="Arial"/>
          <w:noProof w:val="0"/>
          <w:sz w:val="22"/>
          <w:szCs w:val="22"/>
          <w:lang w:val="en-GB"/>
        </w:rPr>
        <w:t xml:space="preserve"> and strengthen BHP's</w:t>
      </w:r>
      <w:r w:rsidRPr="3500602F" w:rsidR="635DC590">
        <w:rPr>
          <w:rFonts w:ascii="Arial" w:hAnsi="Arial" w:eastAsia="Arial" w:cs="Arial"/>
          <w:b w:val="0"/>
          <w:bCs w:val="0"/>
          <w:noProof w:val="0"/>
          <w:sz w:val="22"/>
          <w:szCs w:val="22"/>
          <w:lang w:val="en-GB"/>
        </w:rPr>
        <w:t xml:space="preserve"> social licence to </w:t>
      </w:r>
      <w:r w:rsidRPr="3500602F" w:rsidR="635DC590">
        <w:rPr>
          <w:rFonts w:ascii="Arial" w:hAnsi="Arial" w:eastAsia="Arial" w:cs="Arial"/>
          <w:b w:val="0"/>
          <w:bCs w:val="0"/>
          <w:noProof w:val="0"/>
          <w:sz w:val="22"/>
          <w:szCs w:val="22"/>
          <w:lang w:val="en-GB"/>
        </w:rPr>
        <w:t>operate</w:t>
      </w:r>
      <w:r w:rsidRPr="3500602F" w:rsidR="635DC590">
        <w:rPr>
          <w:rFonts w:ascii="Arial" w:hAnsi="Arial" w:eastAsia="Arial" w:cs="Arial"/>
          <w:b w:val="0"/>
          <w:bCs w:val="0"/>
          <w:noProof w:val="0"/>
          <w:sz w:val="22"/>
          <w:szCs w:val="22"/>
          <w:lang w:val="en-GB"/>
        </w:rPr>
        <w:t xml:space="preserve">. </w:t>
      </w:r>
      <w:r w:rsidRPr="3500602F" w:rsidR="635DC590">
        <w:rPr>
          <w:rFonts w:ascii="Arial" w:hAnsi="Arial" w:eastAsia="Arial" w:cs="Arial"/>
          <w:noProof w:val="0"/>
          <w:sz w:val="22"/>
          <w:szCs w:val="22"/>
          <w:lang w:val="en-GB"/>
        </w:rPr>
        <w:t xml:space="preserve">BHP reported a total economic contribution of US$50.8 billion in FY2026, including US$108 million in social investments (BHP, 2026i). Communicating such contributions can help </w:t>
      </w:r>
      <w:r w:rsidRPr="3500602F" w:rsidR="635DC590">
        <w:rPr>
          <w:rFonts w:ascii="Arial" w:hAnsi="Arial" w:eastAsia="Arial" w:cs="Arial"/>
          <w:noProof w:val="0"/>
          <w:sz w:val="22"/>
          <w:szCs w:val="22"/>
          <w:lang w:val="en-GB"/>
        </w:rPr>
        <w:t>demonstrate</w:t>
      </w:r>
      <w:r w:rsidRPr="3500602F" w:rsidR="635DC590">
        <w:rPr>
          <w:rFonts w:ascii="Arial" w:hAnsi="Arial" w:eastAsia="Arial" w:cs="Arial"/>
          <w:noProof w:val="0"/>
          <w:sz w:val="22"/>
          <w:szCs w:val="22"/>
          <w:lang w:val="en-GB"/>
        </w:rPr>
        <w:t xml:space="preserve"> that communities receive economic and social benefits from mining activities.</w:t>
      </w:r>
    </w:p>
    <w:p xmlns:wp14="http://schemas.microsoft.com/office/word/2010/wordml" w:rsidP="70044760" wp14:paraId="4DDD7FAC" wp14:textId="12850D75">
      <w:pPr>
        <w:spacing w:before="240" w:beforeAutospacing="off" w:after="240" w:afterAutospacing="off" w:line="360" w:lineRule="auto"/>
        <w:jc w:val="both"/>
      </w:pPr>
      <w:r w:rsidRPr="70044760" w:rsidR="635DC590">
        <w:rPr>
          <w:rFonts w:ascii="Arial" w:hAnsi="Arial" w:eastAsia="Arial" w:cs="Arial"/>
          <w:noProof w:val="0"/>
          <w:sz w:val="22"/>
          <w:szCs w:val="22"/>
          <w:lang w:val="en-GB"/>
        </w:rPr>
        <w:t xml:space="preserve">However, social expectations also create reputational risks. Mining companies operate under substantial scrutiny because environmental communication may be challenged if stakeholders believe that corporate sustainability claims do not reflect actual environmental performance. BHP must therefore ensure that claims concerning lower-carbon production are transparent, </w:t>
      </w:r>
      <w:r w:rsidRPr="70044760" w:rsidR="635DC590">
        <w:rPr>
          <w:rFonts w:ascii="Arial" w:hAnsi="Arial" w:eastAsia="Arial" w:cs="Arial"/>
          <w:noProof w:val="0"/>
          <w:sz w:val="22"/>
          <w:szCs w:val="22"/>
          <w:lang w:val="en-GB"/>
        </w:rPr>
        <w:t>measurable</w:t>
      </w:r>
      <w:r w:rsidRPr="70044760" w:rsidR="635DC590">
        <w:rPr>
          <w:rFonts w:ascii="Arial" w:hAnsi="Arial" w:eastAsia="Arial" w:cs="Arial"/>
          <w:noProof w:val="0"/>
          <w:sz w:val="22"/>
          <w:szCs w:val="22"/>
          <w:lang w:val="en-GB"/>
        </w:rPr>
        <w:t xml:space="preserve"> and supported by evidence. This is particularly important because some technologies needed for deep industrial decarbonisation remain technically complex, expensive or commercially immature. </w:t>
      </w:r>
    </w:p>
    <w:p xmlns:wp14="http://schemas.microsoft.com/office/word/2010/wordml" w:rsidP="70044760" wp14:paraId="63FBC636" wp14:textId="2B69DB20">
      <w:pPr>
        <w:spacing w:before="240" w:beforeAutospacing="off" w:after="240" w:afterAutospacing="off" w:line="360" w:lineRule="auto"/>
        <w:jc w:val="both"/>
      </w:pPr>
      <w:r w:rsidRPr="70044760" w:rsidR="635DC590">
        <w:rPr>
          <w:rFonts w:ascii="Arial" w:hAnsi="Arial" w:eastAsia="Arial" w:cs="Arial"/>
          <w:noProof w:val="0"/>
          <w:sz w:val="22"/>
          <w:szCs w:val="22"/>
          <w:lang w:val="en-GB"/>
        </w:rPr>
        <w:t>Marketing communications that present long-term ambitions as current achievements could reduce credibility.</w:t>
      </w:r>
      <w:r w:rsidRPr="70044760" w:rsidR="397F9DA0">
        <w:rPr>
          <w:rFonts w:ascii="Arial" w:hAnsi="Arial" w:eastAsia="Arial" w:cs="Arial"/>
          <w:noProof w:val="0"/>
          <w:sz w:val="22"/>
          <w:szCs w:val="22"/>
          <w:lang w:val="en-GB"/>
        </w:rPr>
        <w:t xml:space="preserve"> </w:t>
      </w:r>
      <w:r w:rsidRPr="70044760" w:rsidR="635DC590">
        <w:rPr>
          <w:rFonts w:ascii="Arial" w:hAnsi="Arial" w:eastAsia="Arial" w:cs="Arial"/>
          <w:noProof w:val="0"/>
          <w:sz w:val="22"/>
          <w:szCs w:val="22"/>
          <w:lang w:val="en-GB"/>
        </w:rPr>
        <w:t xml:space="preserve">Therefore, the social environment creates pressure for BHP to move beyond promotional sustainability messaging towards </w:t>
      </w:r>
      <w:r w:rsidRPr="70044760" w:rsidR="635DC590">
        <w:rPr>
          <w:rFonts w:ascii="Arial" w:hAnsi="Arial" w:eastAsia="Arial" w:cs="Arial"/>
          <w:b w:val="0"/>
          <w:bCs w:val="0"/>
          <w:noProof w:val="0"/>
          <w:sz w:val="22"/>
          <w:szCs w:val="22"/>
          <w:lang w:val="en-GB"/>
        </w:rPr>
        <w:t>evidence-based stakeholder communication.</w:t>
      </w:r>
      <w:r w:rsidRPr="70044760" w:rsidR="635DC590">
        <w:rPr>
          <w:rFonts w:ascii="Arial" w:hAnsi="Arial" w:eastAsia="Arial" w:cs="Arial"/>
          <w:noProof w:val="0"/>
          <w:sz w:val="22"/>
          <w:szCs w:val="22"/>
          <w:lang w:val="en-GB"/>
        </w:rPr>
        <w:t xml:space="preserve"> Regular reporting of targets, progress and limitations can help </w:t>
      </w:r>
      <w:r w:rsidRPr="70044760" w:rsidR="635DC590">
        <w:rPr>
          <w:rFonts w:ascii="Arial" w:hAnsi="Arial" w:eastAsia="Arial" w:cs="Arial"/>
          <w:noProof w:val="0"/>
          <w:sz w:val="22"/>
          <w:szCs w:val="22"/>
          <w:lang w:val="en-GB"/>
        </w:rPr>
        <w:t>establish</w:t>
      </w:r>
      <w:r w:rsidRPr="70044760" w:rsidR="635DC590">
        <w:rPr>
          <w:rFonts w:ascii="Arial" w:hAnsi="Arial" w:eastAsia="Arial" w:cs="Arial"/>
          <w:noProof w:val="0"/>
          <w:sz w:val="22"/>
          <w:szCs w:val="22"/>
          <w:lang w:val="en-GB"/>
        </w:rPr>
        <w:t xml:space="preserve"> trust, while partnerships with communities and other stakeholders may strengthen the legitimacy of BHP's transition.</w:t>
      </w:r>
    </w:p>
    <w:p xmlns:wp14="http://schemas.microsoft.com/office/word/2010/wordml" w:rsidP="3500602F" wp14:paraId="47B701C6" wp14:textId="36720E4B">
      <w:pPr>
        <w:pStyle w:val="Heading2"/>
        <w:spacing w:before="299" w:beforeAutospacing="off" w:after="299" w:afterAutospacing="off"/>
        <w:rPr>
          <w:rFonts w:ascii="Arial" w:hAnsi="Arial" w:eastAsia="Arial" w:cs="Arial"/>
          <w:b w:val="1"/>
          <w:bCs w:val="1"/>
          <w:noProof w:val="0"/>
          <w:color w:val="auto"/>
          <w:sz w:val="28"/>
          <w:szCs w:val="28"/>
          <w:lang w:val="en-GB"/>
        </w:rPr>
      </w:pPr>
      <w:bookmarkStart w:name="_Toc771283968" w:id="1372649210"/>
      <w:r w:rsidRPr="70044760" w:rsidR="186DC8AB">
        <w:rPr>
          <w:rFonts w:ascii="Arial" w:hAnsi="Arial" w:eastAsia="Arial" w:cs="Arial"/>
          <w:b w:val="1"/>
          <w:bCs w:val="1"/>
          <w:noProof w:val="0"/>
          <w:color w:val="auto"/>
          <w:sz w:val="28"/>
          <w:szCs w:val="28"/>
          <w:lang w:val="en-GB"/>
        </w:rPr>
        <w:t>Political and Legal</w:t>
      </w:r>
      <w:bookmarkEnd w:id="1372649210"/>
    </w:p>
    <w:p xmlns:wp14="http://schemas.microsoft.com/office/word/2010/wordml" w:rsidP="3500602F" wp14:paraId="25A0B47F" wp14:textId="6A0E5DD8">
      <w:pPr>
        <w:spacing w:before="240" w:beforeAutospacing="off" w:after="240" w:afterAutospacing="off" w:line="360" w:lineRule="auto"/>
        <w:jc w:val="both"/>
      </w:pPr>
      <w:r w:rsidRPr="3500602F" w:rsidR="635DC590">
        <w:rPr>
          <w:rFonts w:ascii="Arial" w:hAnsi="Arial" w:eastAsia="Arial" w:cs="Arial"/>
          <w:noProof w:val="0"/>
          <w:sz w:val="22"/>
          <w:szCs w:val="22"/>
          <w:lang w:val="en-GB"/>
        </w:rPr>
        <w:t xml:space="preserve">Governments and regulators </w:t>
      </w:r>
      <w:r w:rsidRPr="3500602F" w:rsidR="635DC590">
        <w:rPr>
          <w:rFonts w:ascii="Arial" w:hAnsi="Arial" w:eastAsia="Arial" w:cs="Arial"/>
          <w:noProof w:val="0"/>
          <w:sz w:val="22"/>
          <w:szCs w:val="22"/>
          <w:lang w:val="en-GB"/>
        </w:rPr>
        <w:t>represent</w:t>
      </w:r>
      <w:r w:rsidRPr="3500602F" w:rsidR="635DC590">
        <w:rPr>
          <w:rFonts w:ascii="Arial" w:hAnsi="Arial" w:eastAsia="Arial" w:cs="Arial"/>
          <w:noProof w:val="0"/>
          <w:sz w:val="22"/>
          <w:szCs w:val="22"/>
          <w:lang w:val="en-GB"/>
        </w:rPr>
        <w:t xml:space="preserve"> the third major external actor influencing BHP's transition. Climate policies can directly alter the costs associated with carbon-intensive production and create incentives for businesses to invest in lower-emission technologies.</w:t>
      </w:r>
      <w:r w:rsidRPr="3500602F" w:rsidR="2965890E">
        <w:rPr>
          <w:rFonts w:ascii="Arial" w:hAnsi="Arial" w:eastAsia="Arial" w:cs="Arial"/>
          <w:noProof w:val="0"/>
          <w:sz w:val="22"/>
          <w:szCs w:val="22"/>
          <w:lang w:val="en-GB"/>
        </w:rPr>
        <w:t xml:space="preserve"> </w:t>
      </w:r>
      <w:r w:rsidRPr="3500602F" w:rsidR="635DC590">
        <w:rPr>
          <w:rFonts w:ascii="Arial" w:hAnsi="Arial" w:eastAsia="Arial" w:cs="Arial"/>
          <w:noProof w:val="0"/>
          <w:sz w:val="22"/>
          <w:szCs w:val="22"/>
          <w:lang w:val="en-GB"/>
        </w:rPr>
        <w:t xml:space="preserve">Australia's reformed </w:t>
      </w:r>
      <w:r w:rsidRPr="3500602F" w:rsidR="635DC590">
        <w:rPr>
          <w:rFonts w:ascii="Arial" w:hAnsi="Arial" w:eastAsia="Arial" w:cs="Arial"/>
          <w:b w:val="0"/>
          <w:bCs w:val="0"/>
          <w:noProof w:val="0"/>
          <w:sz w:val="22"/>
          <w:szCs w:val="22"/>
          <w:lang w:val="en-GB"/>
        </w:rPr>
        <w:t>Safeguard Mechanism, w</w:t>
      </w:r>
      <w:r w:rsidRPr="3500602F" w:rsidR="635DC590">
        <w:rPr>
          <w:rFonts w:ascii="Arial" w:hAnsi="Arial" w:eastAsia="Arial" w:cs="Arial"/>
          <w:noProof w:val="0"/>
          <w:sz w:val="22"/>
          <w:szCs w:val="22"/>
          <w:lang w:val="en-GB"/>
        </w:rPr>
        <w:t xml:space="preserve">hich </w:t>
      </w:r>
      <w:r w:rsidRPr="3500602F" w:rsidR="635DC590">
        <w:rPr>
          <w:rFonts w:ascii="Arial" w:hAnsi="Arial" w:eastAsia="Arial" w:cs="Arial"/>
          <w:noProof w:val="0"/>
          <w:sz w:val="22"/>
          <w:szCs w:val="22"/>
          <w:lang w:val="en-GB"/>
        </w:rPr>
        <w:t>commenced</w:t>
      </w:r>
      <w:r w:rsidRPr="3500602F" w:rsidR="635DC590">
        <w:rPr>
          <w:rFonts w:ascii="Arial" w:hAnsi="Arial" w:eastAsia="Arial" w:cs="Arial"/>
          <w:noProof w:val="0"/>
          <w:sz w:val="22"/>
          <w:szCs w:val="22"/>
          <w:lang w:val="en-GB"/>
        </w:rPr>
        <w:t xml:space="preserve"> in July 2023, illustrates this pressure. It applies to industrial facilities emitting more than 100,000 tonnes of carbon dioxide equivalent annually and </w:t>
      </w:r>
      <w:r w:rsidRPr="3500602F" w:rsidR="635DC590">
        <w:rPr>
          <w:rFonts w:ascii="Arial" w:hAnsi="Arial" w:eastAsia="Arial" w:cs="Arial"/>
          <w:noProof w:val="0"/>
          <w:sz w:val="22"/>
          <w:szCs w:val="22"/>
          <w:lang w:val="en-GB"/>
        </w:rPr>
        <w:t>establishes</w:t>
      </w:r>
      <w:r w:rsidRPr="3500602F" w:rsidR="635DC590">
        <w:rPr>
          <w:rFonts w:ascii="Arial" w:hAnsi="Arial" w:eastAsia="Arial" w:cs="Arial"/>
          <w:noProof w:val="0"/>
          <w:sz w:val="22"/>
          <w:szCs w:val="22"/>
          <w:lang w:val="en-GB"/>
        </w:rPr>
        <w:t xml:space="preserve"> emissions baselines that progressively decline. The reforms are intended to contribute towards Australia's target of reducing emissions by 43% below 2005 levels by 2030 and achieving net zero by 2050 (Australian Government, 2024). For mining organisations such as BHP, increasingly restrictive emissions requirements strengthen the commercial rationale for renewable electricity, </w:t>
      </w:r>
      <w:r w:rsidRPr="3500602F" w:rsidR="635DC590">
        <w:rPr>
          <w:rFonts w:ascii="Arial" w:hAnsi="Arial" w:eastAsia="Arial" w:cs="Arial"/>
          <w:noProof w:val="0"/>
          <w:sz w:val="22"/>
          <w:szCs w:val="22"/>
          <w:lang w:val="en-GB"/>
        </w:rPr>
        <w:t>electrification</w:t>
      </w:r>
      <w:r w:rsidRPr="3500602F" w:rsidR="635DC590">
        <w:rPr>
          <w:rFonts w:ascii="Arial" w:hAnsi="Arial" w:eastAsia="Arial" w:cs="Arial"/>
          <w:noProof w:val="0"/>
          <w:sz w:val="22"/>
          <w:szCs w:val="22"/>
          <w:lang w:val="en-GB"/>
        </w:rPr>
        <w:t xml:space="preserve"> and other emissions-reduction technologies.</w:t>
      </w:r>
    </w:p>
    <w:p xmlns:wp14="http://schemas.microsoft.com/office/word/2010/wordml" w:rsidP="3500602F" wp14:paraId="2841AF32" wp14:textId="62325418">
      <w:pPr>
        <w:spacing w:before="240" w:beforeAutospacing="off" w:after="240" w:afterAutospacing="off" w:line="360" w:lineRule="auto"/>
        <w:jc w:val="both"/>
      </w:pPr>
      <w:r w:rsidRPr="6CDA924B" w:rsidR="635DC590">
        <w:rPr>
          <w:rFonts w:ascii="Arial" w:hAnsi="Arial" w:eastAsia="Arial" w:cs="Arial"/>
          <w:noProof w:val="0"/>
          <w:sz w:val="22"/>
          <w:szCs w:val="22"/>
          <w:lang w:val="en-GB"/>
        </w:rPr>
        <w:t>From a marketing perspective, regulation creates both</w:t>
      </w:r>
      <w:r w:rsidRPr="6CDA924B" w:rsidR="635DC590">
        <w:rPr>
          <w:rFonts w:ascii="Arial" w:hAnsi="Arial" w:eastAsia="Arial" w:cs="Arial"/>
          <w:b w:val="0"/>
          <w:bCs w:val="0"/>
          <w:noProof w:val="0"/>
          <w:sz w:val="22"/>
          <w:szCs w:val="22"/>
          <w:lang w:val="en-GB"/>
        </w:rPr>
        <w:t xml:space="preserve"> challenges and opportunities.</w:t>
      </w:r>
      <w:r w:rsidRPr="6CDA924B" w:rsidR="635DC590">
        <w:rPr>
          <w:rFonts w:ascii="Arial" w:hAnsi="Arial" w:eastAsia="Arial" w:cs="Arial"/>
          <w:noProof w:val="0"/>
          <w:sz w:val="22"/>
          <w:szCs w:val="22"/>
          <w:lang w:val="en-GB"/>
        </w:rPr>
        <w:t xml:space="preserve"> Compliance may increase operating and capital costs, particularly where expensive technologies are </w:t>
      </w:r>
      <w:r w:rsidRPr="6CDA924B" w:rsidR="635DC590">
        <w:rPr>
          <w:rFonts w:ascii="Arial" w:hAnsi="Arial" w:eastAsia="Arial" w:cs="Arial"/>
          <w:noProof w:val="0"/>
          <w:sz w:val="22"/>
          <w:szCs w:val="22"/>
          <w:lang w:val="en-GB"/>
        </w:rPr>
        <w:t>required</w:t>
      </w:r>
      <w:r w:rsidRPr="6CDA924B" w:rsidR="635DC590">
        <w:rPr>
          <w:rFonts w:ascii="Arial" w:hAnsi="Arial" w:eastAsia="Arial" w:cs="Arial"/>
          <w:noProof w:val="0"/>
          <w:sz w:val="22"/>
          <w:szCs w:val="22"/>
          <w:lang w:val="en-GB"/>
        </w:rPr>
        <w:t>. However, early investment in decarbonisation could help BHP adapt to stricter future regulations and strengthen its position within markets increasingly influenced by carbon performance. Regulatory pressure can therefore stimulate innovation rather than functioning solely as a constraint.</w:t>
      </w:r>
      <w:r w:rsidRPr="6CDA924B" w:rsidR="5C74726B">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 xml:space="preserve">BHP </w:t>
      </w:r>
      <w:r w:rsidRPr="6CDA924B" w:rsidR="635DC590">
        <w:rPr>
          <w:rFonts w:ascii="Arial" w:hAnsi="Arial" w:eastAsia="Arial" w:cs="Arial"/>
          <w:noProof w:val="0"/>
          <w:sz w:val="22"/>
          <w:szCs w:val="22"/>
          <w:lang w:val="en-GB"/>
        </w:rPr>
        <w:t>operates</w:t>
      </w:r>
      <w:r w:rsidRPr="6CDA924B" w:rsidR="635DC590">
        <w:rPr>
          <w:rFonts w:ascii="Arial" w:hAnsi="Arial" w:eastAsia="Arial" w:cs="Arial"/>
          <w:noProof w:val="0"/>
          <w:sz w:val="22"/>
          <w:szCs w:val="22"/>
          <w:lang w:val="en-GB"/>
        </w:rPr>
        <w:t xml:space="preserve"> internationally, meaning that differences between national environmental regulations create complexity. </w:t>
      </w:r>
    </w:p>
    <w:p xmlns:wp14="http://schemas.microsoft.com/office/word/2010/wordml" w:rsidP="3500602F" wp14:paraId="641AA15C" wp14:textId="48AC011D">
      <w:pPr>
        <w:spacing w:before="240" w:beforeAutospacing="off" w:after="240" w:afterAutospacing="off" w:line="360" w:lineRule="auto"/>
        <w:jc w:val="both"/>
      </w:pPr>
      <w:r w:rsidRPr="6CDA924B" w:rsidR="635DC590">
        <w:rPr>
          <w:rFonts w:ascii="Arial" w:hAnsi="Arial" w:eastAsia="Arial" w:cs="Arial"/>
          <w:noProof w:val="0"/>
          <w:sz w:val="22"/>
          <w:szCs w:val="22"/>
          <w:lang w:val="en-GB"/>
        </w:rPr>
        <w:t xml:space="preserve">Policies, carbon </w:t>
      </w:r>
      <w:r w:rsidRPr="6CDA924B" w:rsidR="635DC590">
        <w:rPr>
          <w:rFonts w:ascii="Arial" w:hAnsi="Arial" w:eastAsia="Arial" w:cs="Arial"/>
          <w:noProof w:val="0"/>
          <w:sz w:val="22"/>
          <w:szCs w:val="22"/>
          <w:lang w:val="en-GB"/>
        </w:rPr>
        <w:t>prices</w:t>
      </w:r>
      <w:r w:rsidRPr="6CDA924B" w:rsidR="635DC590">
        <w:rPr>
          <w:rFonts w:ascii="Arial" w:hAnsi="Arial" w:eastAsia="Arial" w:cs="Arial"/>
          <w:noProof w:val="0"/>
          <w:sz w:val="22"/>
          <w:szCs w:val="22"/>
          <w:lang w:val="en-GB"/>
        </w:rPr>
        <w:t xml:space="preserve"> and reporting requirements can vary </w:t>
      </w:r>
      <w:r w:rsidRPr="6CDA924B" w:rsidR="635DC590">
        <w:rPr>
          <w:rFonts w:ascii="Arial" w:hAnsi="Arial" w:eastAsia="Arial" w:cs="Arial"/>
          <w:noProof w:val="0"/>
          <w:sz w:val="22"/>
          <w:szCs w:val="22"/>
          <w:lang w:val="en-GB"/>
        </w:rPr>
        <w:t>substantially across</w:t>
      </w:r>
      <w:r w:rsidRPr="6CDA924B" w:rsidR="635DC590">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jurisdictions</w:t>
      </w:r>
      <w:r w:rsidRPr="6CDA924B" w:rsidR="635DC590">
        <w:rPr>
          <w:rFonts w:ascii="Arial" w:hAnsi="Arial" w:eastAsia="Arial" w:cs="Arial"/>
          <w:noProof w:val="0"/>
          <w:sz w:val="22"/>
          <w:szCs w:val="22"/>
          <w:lang w:val="en-GB"/>
        </w:rPr>
        <w:t xml:space="preserve">. BHP must </w:t>
      </w:r>
      <w:r w:rsidRPr="6CDA924B" w:rsidR="635DC590">
        <w:rPr>
          <w:rFonts w:ascii="Arial" w:hAnsi="Arial" w:eastAsia="Arial" w:cs="Arial"/>
          <w:noProof w:val="0"/>
          <w:sz w:val="22"/>
          <w:szCs w:val="22"/>
          <w:lang w:val="en-GB"/>
        </w:rPr>
        <w:t>consequently</w:t>
      </w:r>
      <w:r w:rsidRPr="6CDA924B" w:rsidR="635DC590">
        <w:rPr>
          <w:rFonts w:ascii="Arial" w:hAnsi="Arial" w:eastAsia="Arial" w:cs="Arial"/>
          <w:noProof w:val="0"/>
          <w:sz w:val="22"/>
          <w:szCs w:val="22"/>
          <w:lang w:val="en-GB"/>
        </w:rPr>
        <w:t xml:space="preserve"> adapt its sustainability strategy and communications to different regulatory environments while </w:t>
      </w:r>
      <w:r w:rsidRPr="6CDA924B" w:rsidR="635DC590">
        <w:rPr>
          <w:rFonts w:ascii="Arial" w:hAnsi="Arial" w:eastAsia="Arial" w:cs="Arial"/>
          <w:noProof w:val="0"/>
          <w:sz w:val="22"/>
          <w:szCs w:val="22"/>
          <w:lang w:val="en-GB"/>
        </w:rPr>
        <w:t>maintaining</w:t>
      </w:r>
      <w:r w:rsidRPr="6CDA924B" w:rsidR="635DC590">
        <w:rPr>
          <w:rFonts w:ascii="Arial" w:hAnsi="Arial" w:eastAsia="Arial" w:cs="Arial"/>
          <w:noProof w:val="0"/>
          <w:sz w:val="22"/>
          <w:szCs w:val="22"/>
          <w:lang w:val="en-GB"/>
        </w:rPr>
        <w:t xml:space="preserve"> consistent global environmental commitments.</w:t>
      </w:r>
      <w:r w:rsidRPr="6CDA924B" w:rsidR="49B14507">
        <w:rPr>
          <w:rFonts w:ascii="Arial" w:hAnsi="Arial" w:eastAsia="Arial" w:cs="Arial"/>
          <w:noProof w:val="0"/>
          <w:sz w:val="22"/>
          <w:szCs w:val="22"/>
          <w:lang w:val="en-GB"/>
        </w:rPr>
        <w:t xml:space="preserve"> </w:t>
      </w:r>
      <w:r w:rsidRPr="6CDA924B" w:rsidR="635DC590">
        <w:rPr>
          <w:rFonts w:ascii="Arial" w:hAnsi="Arial" w:eastAsia="Arial" w:cs="Arial"/>
          <w:noProof w:val="0"/>
          <w:sz w:val="22"/>
          <w:szCs w:val="22"/>
          <w:lang w:val="en-GB"/>
        </w:rPr>
        <w:t xml:space="preserve">Government policy can also indirectly create opportunities. Policies encouraging renewable energy, electric vehicles and electricity-grid expansion increase demand for commodities such as copper. Therefore, regulation has a dual effect: it places pressure on BHP to reduce the environmental impact of mining while simultaneously stimulating markets for minerals </w:t>
      </w:r>
      <w:r w:rsidRPr="6CDA924B" w:rsidR="635DC590">
        <w:rPr>
          <w:rFonts w:ascii="Arial" w:hAnsi="Arial" w:eastAsia="Arial" w:cs="Arial"/>
          <w:noProof w:val="0"/>
          <w:sz w:val="22"/>
          <w:szCs w:val="22"/>
          <w:lang w:val="en-GB"/>
        </w:rPr>
        <w:t>required</w:t>
      </w:r>
      <w:r w:rsidRPr="6CDA924B" w:rsidR="635DC590">
        <w:rPr>
          <w:rFonts w:ascii="Arial" w:hAnsi="Arial" w:eastAsia="Arial" w:cs="Arial"/>
          <w:noProof w:val="0"/>
          <w:sz w:val="22"/>
          <w:szCs w:val="22"/>
          <w:lang w:val="en-GB"/>
        </w:rPr>
        <w:t xml:space="preserve"> for the low-carbon transition.</w:t>
      </w:r>
    </w:p>
    <w:p xmlns:wp14="http://schemas.microsoft.com/office/word/2010/wordml" w:rsidP="3500602F" wp14:paraId="1CE2CF14" wp14:textId="14C884D1">
      <w:pPr>
        <w:pStyle w:val="Heading2"/>
        <w:spacing w:before="299" w:beforeAutospacing="off" w:after="299" w:afterAutospacing="off"/>
        <w:rPr>
          <w:rFonts w:ascii="Arial" w:hAnsi="Arial" w:eastAsia="Arial" w:cs="Arial"/>
          <w:b w:val="1"/>
          <w:bCs w:val="1"/>
          <w:noProof w:val="0"/>
          <w:color w:val="auto"/>
          <w:sz w:val="32"/>
          <w:szCs w:val="32"/>
          <w:lang w:val="en-GB"/>
        </w:rPr>
      </w:pPr>
      <w:bookmarkStart w:name="_Toc600176898" w:id="1427726743"/>
      <w:r w:rsidRPr="70044760" w:rsidR="5520378B">
        <w:rPr>
          <w:rFonts w:ascii="Arial" w:hAnsi="Arial" w:eastAsia="Arial" w:cs="Arial"/>
          <w:b w:val="1"/>
          <w:bCs w:val="1"/>
          <w:noProof w:val="0"/>
          <w:color w:val="auto"/>
          <w:sz w:val="32"/>
          <w:szCs w:val="32"/>
          <w:lang w:val="en-GB"/>
        </w:rPr>
        <w:t xml:space="preserve">Tasks 2: </w:t>
      </w:r>
      <w:r w:rsidRPr="70044760" w:rsidR="23A76D49">
        <w:rPr>
          <w:rFonts w:ascii="Arial" w:hAnsi="Arial" w:eastAsia="Arial" w:cs="Arial"/>
          <w:b w:val="1"/>
          <w:bCs w:val="1"/>
          <w:noProof w:val="0"/>
          <w:color w:val="auto"/>
          <w:sz w:val="32"/>
          <w:szCs w:val="32"/>
          <w:lang w:val="en-GB"/>
        </w:rPr>
        <w:t>Strategic Growth Using the Ansoff Matrix</w:t>
      </w:r>
      <w:bookmarkEnd w:id="1427726743"/>
    </w:p>
    <w:p xmlns:wp14="http://schemas.microsoft.com/office/word/2010/wordml" w:rsidP="3500602F" wp14:paraId="0D5E8E23" wp14:textId="76B680BB">
      <w:pPr>
        <w:spacing w:before="240" w:beforeAutospacing="off" w:after="240" w:afterAutospacing="off" w:line="360" w:lineRule="auto"/>
        <w:jc w:val="both"/>
      </w:pPr>
      <w:r w:rsidRPr="3500602F" w:rsidR="23A76D49">
        <w:rPr>
          <w:rFonts w:ascii="Arial" w:hAnsi="Arial" w:eastAsia="Arial" w:cs="Arial"/>
          <w:noProof w:val="0"/>
          <w:sz w:val="22"/>
          <w:szCs w:val="22"/>
          <w:lang w:val="en-GB"/>
        </w:rPr>
        <w:t>Ansoff (1957) identifies four strategic growth options based on whether an organisation targets existing or new markets with existing or new products. For BHP, environmental pressures create opportunities to expand its portfolio of transition-related minerals and invest in cleaner production technologies.</w:t>
      </w:r>
    </w:p>
    <w:p xmlns:wp14="http://schemas.microsoft.com/office/word/2010/wordml" w:rsidP="3500602F" wp14:paraId="248EF257" wp14:textId="0A1AB8E2">
      <w:pPr>
        <w:spacing w:before="281" w:beforeAutospacing="off" w:after="281" w:afterAutospacing="off"/>
        <w:rPr>
          <w:rFonts w:ascii="Arial" w:hAnsi="Arial" w:eastAsia="Arial" w:cs="Arial"/>
          <w:b w:val="1"/>
          <w:bCs w:val="1"/>
          <w:noProof w:val="0"/>
          <w:sz w:val="24"/>
          <w:szCs w:val="24"/>
          <w:lang w:val="en-GB"/>
        </w:rPr>
      </w:pPr>
      <w:r w:rsidRPr="79408D6B" w:rsidR="4F8DC78C">
        <w:rPr>
          <w:rFonts w:ascii="Arial" w:hAnsi="Arial" w:eastAsia="Arial" w:cs="Arial"/>
          <w:b w:val="1"/>
          <w:bCs w:val="1"/>
          <w:noProof w:val="0"/>
          <w:sz w:val="28"/>
          <w:szCs w:val="28"/>
          <w:lang w:val="en-GB"/>
        </w:rPr>
        <w:t xml:space="preserve">Table </w:t>
      </w:r>
      <w:r w:rsidRPr="79408D6B" w:rsidR="23A76D49">
        <w:rPr>
          <w:rFonts w:ascii="Arial" w:hAnsi="Arial" w:eastAsia="Arial" w:cs="Arial"/>
          <w:b w:val="1"/>
          <w:bCs w:val="1"/>
          <w:noProof w:val="0"/>
          <w:sz w:val="28"/>
          <w:szCs w:val="28"/>
          <w:lang w:val="en-GB"/>
        </w:rPr>
        <w:t>1</w:t>
      </w:r>
      <w:r w:rsidRPr="79408D6B" w:rsidR="22EDFD24">
        <w:rPr>
          <w:rFonts w:ascii="Arial" w:hAnsi="Arial" w:eastAsia="Arial" w:cs="Arial"/>
          <w:b w:val="1"/>
          <w:bCs w:val="1"/>
          <w:noProof w:val="0"/>
          <w:sz w:val="28"/>
          <w:szCs w:val="28"/>
          <w:lang w:val="en-GB"/>
        </w:rPr>
        <w:t>:</w:t>
      </w:r>
      <w:r w:rsidRPr="79408D6B" w:rsidR="23A76D49">
        <w:rPr>
          <w:rFonts w:ascii="Arial" w:hAnsi="Arial" w:eastAsia="Arial" w:cs="Arial"/>
          <w:noProof w:val="0"/>
          <w:sz w:val="22"/>
          <w:szCs w:val="22"/>
          <w:lang w:val="en-GB"/>
        </w:rPr>
        <w:t xml:space="preserve"> </w:t>
      </w:r>
      <w:r w:rsidRPr="79408D6B" w:rsidR="23A76D49">
        <w:rPr>
          <w:rFonts w:ascii="Arial" w:hAnsi="Arial" w:eastAsia="Arial" w:cs="Arial"/>
          <w:b w:val="1"/>
          <w:bCs w:val="1"/>
          <w:noProof w:val="0"/>
          <w:sz w:val="24"/>
          <w:szCs w:val="24"/>
          <w:lang w:val="en-GB"/>
        </w:rPr>
        <w:t>Ansoff Matrix Applied to BHP</w:t>
      </w:r>
    </w:p>
    <w:tbl>
      <w:tblPr>
        <w:tblStyle w:val="GridTable5Dark-Accent1"/>
        <w:bidiVisual w:val="0"/>
        <w:tblW w:w="9014" w:type="dxa"/>
        <w:tblLook w:val="06A0" w:firstRow="1" w:lastRow="0" w:firstColumn="1" w:lastColumn="0" w:noHBand="1" w:noVBand="1"/>
      </w:tblPr>
      <w:tblGrid>
        <w:gridCol w:w="1155"/>
        <w:gridCol w:w="3658"/>
        <w:gridCol w:w="4201"/>
      </w:tblGrid>
      <w:tr w:rsidR="3500602F" w:rsidTr="0E47262A" w14:paraId="0A2630AC">
        <w:trPr>
          <w:trHeight w:val="300"/>
        </w:trPr>
        <w:tc>
          <w:tcPr>
            <w:cnfStyle w:val="001000000000" w:firstRow="0" w:lastRow="0" w:firstColumn="1" w:lastColumn="0" w:oddVBand="0" w:evenVBand="0" w:oddHBand="0" w:evenHBand="0" w:firstRowFirstColumn="0" w:firstRowLastColumn="0" w:lastRowFirstColumn="0" w:lastRowLastColumn="0"/>
            <w:tcW w:w="1155" w:type="dxa"/>
            <w:tcMar/>
          </w:tcPr>
          <w:p w:rsidR="3500602F" w:rsidRDefault="3500602F" w14:paraId="56B0FEDF" w14:textId="667E2C7F"/>
        </w:tc>
        <w:tc>
          <w:tcPr>
            <w:cnfStyle w:val="000000000000" w:firstRow="0" w:lastRow="0" w:firstColumn="0" w:lastColumn="0" w:oddVBand="0" w:evenVBand="0" w:oddHBand="0" w:evenHBand="0" w:firstRowFirstColumn="0" w:firstRowLastColumn="0" w:lastRowFirstColumn="0" w:lastRowLastColumn="0"/>
            <w:tcW w:w="3658" w:type="dxa"/>
            <w:tcMar/>
          </w:tcPr>
          <w:p w:rsidR="3500602F" w:rsidP="3500602F" w:rsidRDefault="3500602F" w14:paraId="58DE8196" w14:textId="511B2A45">
            <w:pPr>
              <w:bidi w:val="0"/>
              <w:spacing w:before="0" w:beforeAutospacing="off" w:after="0" w:afterAutospacing="off"/>
              <w:jc w:val="center"/>
            </w:pPr>
            <w:r w:rsidRPr="3500602F" w:rsidR="3500602F">
              <w:rPr>
                <w:b w:val="1"/>
                <w:bCs w:val="1"/>
              </w:rPr>
              <w:t>Existing products</w:t>
            </w:r>
          </w:p>
        </w:tc>
        <w:tc>
          <w:tcPr>
            <w:cnfStyle w:val="000000000000" w:firstRow="0" w:lastRow="0" w:firstColumn="0" w:lastColumn="0" w:oddVBand="0" w:evenVBand="0" w:oddHBand="0" w:evenHBand="0" w:firstRowFirstColumn="0" w:firstRowLastColumn="0" w:lastRowFirstColumn="0" w:lastRowLastColumn="0"/>
            <w:tcW w:w="4201" w:type="dxa"/>
            <w:tcMar/>
          </w:tcPr>
          <w:p w:rsidR="3500602F" w:rsidP="3500602F" w:rsidRDefault="3500602F" w14:paraId="2A54DADB" w14:textId="35829BD7">
            <w:pPr>
              <w:bidi w:val="0"/>
              <w:spacing w:before="0" w:beforeAutospacing="off" w:after="0" w:afterAutospacing="off"/>
              <w:jc w:val="center"/>
            </w:pPr>
            <w:r w:rsidRPr="3500602F" w:rsidR="3500602F">
              <w:rPr>
                <w:b w:val="1"/>
                <w:bCs w:val="1"/>
              </w:rPr>
              <w:t>New products</w:t>
            </w:r>
          </w:p>
        </w:tc>
      </w:tr>
      <w:tr w:rsidR="3500602F" w:rsidTr="0E47262A" w14:paraId="229FE18A">
        <w:trPr>
          <w:trHeight w:val="300"/>
        </w:trPr>
        <w:tc>
          <w:tcPr>
            <w:cnfStyle w:val="001000000000" w:firstRow="0" w:lastRow="0" w:firstColumn="1" w:lastColumn="0" w:oddVBand="0" w:evenVBand="0" w:oddHBand="0" w:evenHBand="0" w:firstRowFirstColumn="0" w:firstRowLastColumn="0" w:lastRowFirstColumn="0" w:lastRowLastColumn="0"/>
            <w:tcW w:w="1155" w:type="dxa"/>
            <w:tcMar/>
          </w:tcPr>
          <w:p w:rsidR="3500602F" w:rsidP="3500602F" w:rsidRDefault="3500602F" w14:paraId="4CA26E4C" w14:textId="77F9B3B3">
            <w:pPr>
              <w:bidi w:val="0"/>
              <w:spacing w:before="0" w:beforeAutospacing="off" w:after="0" w:afterAutospacing="off"/>
            </w:pPr>
            <w:r w:rsidRPr="3500602F" w:rsidR="3500602F">
              <w:rPr>
                <w:b w:val="1"/>
                <w:bCs w:val="1"/>
              </w:rPr>
              <w:t>Existing markets</w:t>
            </w:r>
          </w:p>
        </w:tc>
        <w:tc>
          <w:tcPr>
            <w:cnfStyle w:val="000000000000" w:firstRow="0" w:lastRow="0" w:firstColumn="0" w:lastColumn="0" w:oddVBand="0" w:evenVBand="0" w:oddHBand="0" w:evenHBand="0" w:firstRowFirstColumn="0" w:firstRowLastColumn="0" w:lastRowFirstColumn="0" w:lastRowLastColumn="0"/>
            <w:tcW w:w="3658" w:type="dxa"/>
            <w:tcMar/>
          </w:tcPr>
          <w:p w:rsidR="3500602F" w:rsidP="3500602F" w:rsidRDefault="3500602F" w14:paraId="0880F559" w14:textId="6FA6C819">
            <w:pPr>
              <w:bidi w:val="0"/>
              <w:spacing w:before="0" w:beforeAutospacing="off" w:after="0" w:afterAutospacing="off"/>
            </w:pPr>
            <w:r w:rsidRPr="3500602F" w:rsidR="3500602F">
              <w:rPr>
                <w:b w:val="1"/>
                <w:bCs w:val="1"/>
              </w:rPr>
              <w:t>Market penetration:</w:t>
            </w:r>
            <w:r w:rsidR="3500602F">
              <w:rPr/>
              <w:t xml:space="preserve"> Strengthen existing industrial relationships through improved sustainability performance.</w:t>
            </w:r>
          </w:p>
        </w:tc>
        <w:tc>
          <w:tcPr>
            <w:cnfStyle w:val="000000000000" w:firstRow="0" w:lastRow="0" w:firstColumn="0" w:lastColumn="0" w:oddVBand="0" w:evenVBand="0" w:oddHBand="0" w:evenHBand="0" w:firstRowFirstColumn="0" w:firstRowLastColumn="0" w:lastRowFirstColumn="0" w:lastRowLastColumn="0"/>
            <w:tcW w:w="4201" w:type="dxa"/>
            <w:tcMar/>
          </w:tcPr>
          <w:p w:rsidR="3500602F" w:rsidP="3500602F" w:rsidRDefault="3500602F" w14:paraId="62EB1D1D" w14:textId="0550ED15">
            <w:pPr>
              <w:bidi w:val="0"/>
              <w:spacing w:before="0" w:beforeAutospacing="off" w:after="0" w:afterAutospacing="off"/>
            </w:pPr>
            <w:r w:rsidRPr="3500602F" w:rsidR="3500602F">
              <w:rPr>
                <w:b w:val="1"/>
                <w:bCs w:val="1"/>
              </w:rPr>
              <w:t>Product development:</w:t>
            </w:r>
            <w:r w:rsidR="3500602F">
              <w:rPr/>
              <w:t xml:space="preserve"> Introduce independently verified low-emission mineral offerings and emissions-traceability services.</w:t>
            </w:r>
          </w:p>
        </w:tc>
      </w:tr>
      <w:tr w:rsidR="3500602F" w:rsidTr="0E47262A" w14:paraId="3E768064">
        <w:trPr>
          <w:trHeight w:val="300"/>
        </w:trPr>
        <w:tc>
          <w:tcPr>
            <w:cnfStyle w:val="001000000000" w:firstRow="0" w:lastRow="0" w:firstColumn="1" w:lastColumn="0" w:oddVBand="0" w:evenVBand="0" w:oddHBand="0" w:evenHBand="0" w:firstRowFirstColumn="0" w:firstRowLastColumn="0" w:lastRowFirstColumn="0" w:lastRowLastColumn="0"/>
            <w:tcW w:w="1155" w:type="dxa"/>
            <w:tcMar/>
          </w:tcPr>
          <w:p w:rsidR="3500602F" w:rsidP="3500602F" w:rsidRDefault="3500602F" w14:paraId="0CA79BEC" w14:textId="285CEA7E">
            <w:pPr>
              <w:bidi w:val="0"/>
              <w:spacing w:before="0" w:beforeAutospacing="off" w:after="0" w:afterAutospacing="off"/>
            </w:pPr>
            <w:r w:rsidRPr="3500602F" w:rsidR="3500602F">
              <w:rPr>
                <w:b w:val="1"/>
                <w:bCs w:val="1"/>
              </w:rPr>
              <w:t>New markets</w:t>
            </w:r>
          </w:p>
        </w:tc>
        <w:tc>
          <w:tcPr>
            <w:cnfStyle w:val="000000000000" w:firstRow="0" w:lastRow="0" w:firstColumn="0" w:lastColumn="0" w:oddVBand="0" w:evenVBand="0" w:oddHBand="0" w:evenHBand="0" w:firstRowFirstColumn="0" w:firstRowLastColumn="0" w:lastRowFirstColumn="0" w:lastRowLastColumn="0"/>
            <w:tcW w:w="3658" w:type="dxa"/>
            <w:tcMar/>
          </w:tcPr>
          <w:p w:rsidR="3500602F" w:rsidP="3500602F" w:rsidRDefault="3500602F" w14:paraId="670C5ACD" w14:textId="4E63B8E4">
            <w:pPr>
              <w:bidi w:val="0"/>
              <w:spacing w:before="0" w:beforeAutospacing="off" w:after="0" w:afterAutospacing="off"/>
            </w:pPr>
            <w:r w:rsidRPr="3500602F" w:rsidR="3500602F">
              <w:rPr>
                <w:b w:val="1"/>
                <w:bCs w:val="1"/>
              </w:rPr>
              <w:t>Market development:</w:t>
            </w:r>
            <w:r w:rsidR="3500602F">
              <w:rPr/>
              <w:t xml:space="preserve"> Expand existing copper sales into new geographical or industrial markets supporting electrification.</w:t>
            </w:r>
          </w:p>
        </w:tc>
        <w:tc>
          <w:tcPr>
            <w:cnfStyle w:val="000000000000" w:firstRow="0" w:lastRow="0" w:firstColumn="0" w:lastColumn="0" w:oddVBand="0" w:evenVBand="0" w:oddHBand="0" w:evenHBand="0" w:firstRowFirstColumn="0" w:firstRowLastColumn="0" w:lastRowFirstColumn="0" w:lastRowLastColumn="0"/>
            <w:tcW w:w="4201" w:type="dxa"/>
            <w:tcMar/>
          </w:tcPr>
          <w:p w:rsidR="3500602F" w:rsidP="3500602F" w:rsidRDefault="3500602F" w14:paraId="762B52A6" w14:textId="69DE6BE3">
            <w:pPr>
              <w:bidi w:val="0"/>
              <w:spacing w:before="0" w:beforeAutospacing="off" w:after="0" w:afterAutospacing="off"/>
            </w:pPr>
            <w:r w:rsidRPr="3500602F" w:rsidR="3500602F">
              <w:rPr>
                <w:b w:val="1"/>
                <w:bCs w:val="1"/>
              </w:rPr>
              <w:t>Diversification:</w:t>
            </w:r>
            <w:r w:rsidR="3500602F">
              <w:rPr/>
              <w:t xml:space="preserve"> Enter related recycling or low-carbon mineral-processing businesses.</w:t>
            </w:r>
          </w:p>
        </w:tc>
      </w:tr>
    </w:tbl>
    <w:p xmlns:wp14="http://schemas.microsoft.com/office/word/2010/wordml" w:rsidP="3500602F" wp14:paraId="187E0EA4" wp14:textId="6ECF12C1">
      <w:pPr>
        <w:pStyle w:val="Normal"/>
        <w:suppressLineNumbers w:val="0"/>
        <w:bidi w:val="0"/>
        <w:spacing w:before="240" w:beforeAutospacing="off" w:after="240" w:afterAutospacing="off" w:line="279" w:lineRule="auto"/>
        <w:ind w:left="0" w:right="0"/>
        <w:jc w:val="left"/>
      </w:pPr>
      <w:r w:rsidRPr="3500602F" w:rsidR="4429913B">
        <w:rPr>
          <w:i w:val="0"/>
          <w:iCs w:val="0"/>
          <w:noProof w:val="0"/>
          <w:lang w:val="en-GB"/>
        </w:rPr>
        <w:t>Source: Adapted from Ansoff (1957).</w:t>
      </w:r>
    </w:p>
    <w:p xmlns:wp14="http://schemas.microsoft.com/office/word/2010/wordml" w:rsidP="3500602F" wp14:paraId="3B1B2461" wp14:textId="1D8543A8">
      <w:pPr>
        <w:pStyle w:val="Heading3"/>
        <w:bidi w:val="0"/>
        <w:rPr>
          <w:rFonts w:ascii="Arial" w:hAnsi="Arial" w:eastAsia="Arial" w:cs="Arial"/>
          <w:b w:val="1"/>
          <w:bCs w:val="1"/>
          <w:noProof w:val="0"/>
          <w:color w:val="auto"/>
          <w:sz w:val="28"/>
          <w:szCs w:val="28"/>
          <w:lang w:val="en-GB"/>
        </w:rPr>
      </w:pPr>
      <w:bookmarkStart w:name="_Toc915082113" w:id="2108297982"/>
      <w:r w:rsidRPr="70044760" w:rsidR="4429913B">
        <w:rPr>
          <w:rFonts w:ascii="Arial" w:hAnsi="Arial" w:eastAsia="Arial" w:cs="Arial"/>
          <w:b w:val="1"/>
          <w:bCs w:val="1"/>
          <w:noProof w:val="0"/>
          <w:color w:val="auto"/>
          <w:sz w:val="28"/>
          <w:szCs w:val="28"/>
          <w:lang w:val="en-GB"/>
        </w:rPr>
        <w:t>Product Development</w:t>
      </w:r>
      <w:bookmarkEnd w:id="2108297982"/>
    </w:p>
    <w:p xmlns:wp14="http://schemas.microsoft.com/office/word/2010/wordml" w:rsidP="3500602F" wp14:paraId="07EE21CB" wp14:textId="7725DD74">
      <w:pPr>
        <w:bidi w:val="0"/>
        <w:spacing w:before="240" w:beforeAutospacing="off" w:after="240" w:afterAutospacing="off" w:line="360" w:lineRule="auto"/>
        <w:jc w:val="both"/>
      </w:pPr>
      <w:r w:rsidRPr="3500602F" w:rsidR="4429913B">
        <w:rPr>
          <w:rFonts w:ascii="Arial" w:hAnsi="Arial" w:eastAsia="Arial" w:cs="Arial"/>
          <w:noProof w:val="0"/>
          <w:sz w:val="22"/>
          <w:szCs w:val="22"/>
          <w:lang w:val="en-GB"/>
        </w:rPr>
        <w:t>Product development is recommended as BHP's primary growth strategy because it enables the organisation to introduce enhanced products and services to established industrial markets. Increasing environmental concerns have created opportunities for mining companies to distinguish commodities through their production emissions and environmental credentials.</w:t>
      </w:r>
    </w:p>
    <w:p xmlns:wp14="http://schemas.microsoft.com/office/word/2010/wordml" w:rsidP="3500602F" wp14:paraId="4078CB48" wp14:textId="106BCF0B">
      <w:pPr>
        <w:bidi w:val="0"/>
        <w:spacing w:before="240" w:beforeAutospacing="off" w:after="240" w:afterAutospacing="off" w:line="360" w:lineRule="auto"/>
        <w:jc w:val="both"/>
      </w:pPr>
      <w:r w:rsidRPr="3500602F" w:rsidR="4429913B">
        <w:rPr>
          <w:rFonts w:ascii="Arial" w:hAnsi="Arial" w:eastAsia="Arial" w:cs="Arial"/>
          <w:noProof w:val="0"/>
          <w:sz w:val="22"/>
          <w:szCs w:val="22"/>
          <w:lang w:val="en-GB"/>
        </w:rPr>
        <w:t xml:space="preserve">BHP should develop independently verified lower-emission mineral offerings, particularly copper, supported by renewable electricity, equipment </w:t>
      </w:r>
      <w:r w:rsidRPr="3500602F" w:rsidR="4429913B">
        <w:rPr>
          <w:rFonts w:ascii="Arial" w:hAnsi="Arial" w:eastAsia="Arial" w:cs="Arial"/>
          <w:noProof w:val="0"/>
          <w:sz w:val="22"/>
          <w:szCs w:val="22"/>
          <w:lang w:val="en-GB"/>
        </w:rPr>
        <w:t>electrification</w:t>
      </w:r>
      <w:r w:rsidRPr="3500602F" w:rsidR="4429913B">
        <w:rPr>
          <w:rFonts w:ascii="Arial" w:hAnsi="Arial" w:eastAsia="Arial" w:cs="Arial"/>
          <w:noProof w:val="0"/>
          <w:sz w:val="22"/>
          <w:szCs w:val="22"/>
          <w:lang w:val="en-GB"/>
        </w:rPr>
        <w:t xml:space="preserve"> and transparent emissions reporting. The International Energy Agency (IEA, 2025) </w:t>
      </w:r>
      <w:r w:rsidRPr="3500602F" w:rsidR="4429913B">
        <w:rPr>
          <w:rFonts w:ascii="Arial" w:hAnsi="Arial" w:eastAsia="Arial" w:cs="Arial"/>
          <w:noProof w:val="0"/>
          <w:sz w:val="22"/>
          <w:szCs w:val="22"/>
          <w:lang w:val="en-GB"/>
        </w:rPr>
        <w:t>identifies</w:t>
      </w:r>
      <w:r w:rsidRPr="3500602F" w:rsidR="4429913B">
        <w:rPr>
          <w:rFonts w:ascii="Arial" w:hAnsi="Arial" w:eastAsia="Arial" w:cs="Arial"/>
          <w:noProof w:val="0"/>
          <w:sz w:val="22"/>
          <w:szCs w:val="22"/>
          <w:lang w:val="en-GB"/>
        </w:rPr>
        <w:t xml:space="preserve"> copper as an essential material for electric vehicles, electricity networks and renewable-energy infrastructure. BHP could therefore strengthen its existing industrial relationships by offering products accompanied by reliable carbon-footprint information.</w:t>
      </w:r>
      <w:r w:rsidRPr="3500602F" w:rsidR="4429913B">
        <w:rPr>
          <w:rFonts w:ascii="Arial" w:hAnsi="Arial" w:eastAsia="Arial" w:cs="Arial"/>
          <w:noProof w:val="0"/>
          <w:sz w:val="22"/>
          <w:szCs w:val="22"/>
          <w:lang w:val="en-GB"/>
        </w:rPr>
        <w:t xml:space="preserve"> BHP's collaboration with steel manufacturers on lower-emission production technologies </w:t>
      </w:r>
      <w:r w:rsidRPr="3500602F" w:rsidR="4429913B">
        <w:rPr>
          <w:rFonts w:ascii="Arial" w:hAnsi="Arial" w:eastAsia="Arial" w:cs="Arial"/>
          <w:noProof w:val="0"/>
          <w:sz w:val="22"/>
          <w:szCs w:val="22"/>
          <w:lang w:val="en-GB"/>
        </w:rPr>
        <w:t>demonstrates</w:t>
      </w:r>
      <w:r w:rsidRPr="3500602F" w:rsidR="4429913B">
        <w:rPr>
          <w:rFonts w:ascii="Arial" w:hAnsi="Arial" w:eastAsia="Arial" w:cs="Arial"/>
          <w:noProof w:val="0"/>
          <w:sz w:val="22"/>
          <w:szCs w:val="22"/>
          <w:lang w:val="en-GB"/>
        </w:rPr>
        <w:t xml:space="preserve"> its potential to support industrial decarbonisation beyond its own operations (BHP, 2024). Developing verified environmental product information and technical support could create additional value for existing customers.</w:t>
      </w:r>
    </w:p>
    <w:p xmlns:wp14="http://schemas.microsoft.com/office/word/2010/wordml" w:rsidP="3500602F" wp14:paraId="2AE2CAD9" wp14:textId="634F8E05">
      <w:pPr>
        <w:bidi w:val="0"/>
        <w:spacing w:before="240" w:beforeAutospacing="off" w:after="240" w:afterAutospacing="off" w:line="360" w:lineRule="auto"/>
        <w:jc w:val="both"/>
      </w:pPr>
      <w:r w:rsidRPr="3500602F" w:rsidR="4429913B">
        <w:rPr>
          <w:rFonts w:ascii="Arial" w:hAnsi="Arial" w:eastAsia="Arial" w:cs="Arial"/>
          <w:noProof w:val="0"/>
          <w:sz w:val="22"/>
          <w:szCs w:val="22"/>
          <w:lang w:val="en-GB"/>
        </w:rPr>
        <w:t>However, product development carries financial and technological risks. Electrification and cleaner processing technologies require substantial investment, while industrial buyers may be unwilling to pay premiums for lower-emission commodities. Consequently, BHP should initially introduce these offerings through pilot programmes, evaluating customer demand, emissions performance and financial feasibility before expanding.</w:t>
      </w:r>
    </w:p>
    <w:p xmlns:wp14="http://schemas.microsoft.com/office/word/2010/wordml" w:rsidP="3500602F" wp14:paraId="581B6B8F" wp14:textId="772ACAE0">
      <w:pPr>
        <w:pStyle w:val="Heading3"/>
        <w:bidi w:val="0"/>
        <w:spacing w:before="281" w:beforeAutospacing="off" w:after="281" w:afterAutospacing="off"/>
        <w:jc w:val="left"/>
        <w:rPr>
          <w:rFonts w:ascii="Arial" w:hAnsi="Arial" w:eastAsia="Arial" w:cs="Arial"/>
          <w:b w:val="1"/>
          <w:bCs w:val="1"/>
          <w:noProof w:val="0"/>
          <w:color w:val="auto"/>
          <w:sz w:val="28"/>
          <w:szCs w:val="28"/>
          <w:lang w:val="en-GB"/>
        </w:rPr>
      </w:pPr>
      <w:bookmarkStart w:name="_Toc131303530" w:id="157835091"/>
      <w:r w:rsidRPr="70044760" w:rsidR="4429913B">
        <w:rPr>
          <w:rFonts w:ascii="Arial" w:hAnsi="Arial" w:eastAsia="Arial" w:cs="Arial"/>
          <w:b w:val="1"/>
          <w:bCs w:val="1"/>
          <w:noProof w:val="0"/>
          <w:color w:val="auto"/>
          <w:sz w:val="28"/>
          <w:szCs w:val="28"/>
          <w:lang w:val="en-GB"/>
        </w:rPr>
        <w:t>Market Development</w:t>
      </w:r>
      <w:bookmarkEnd w:id="157835091"/>
    </w:p>
    <w:p xmlns:wp14="http://schemas.microsoft.com/office/word/2010/wordml" w:rsidP="3500602F" wp14:paraId="09277F56" wp14:textId="493C3FB9">
      <w:pPr>
        <w:bidi w:val="0"/>
        <w:spacing w:before="240" w:beforeAutospacing="off" w:after="240" w:afterAutospacing="off" w:line="360" w:lineRule="auto"/>
        <w:jc w:val="both"/>
      </w:pPr>
      <w:r w:rsidRPr="3500602F" w:rsidR="4429913B">
        <w:rPr>
          <w:rFonts w:ascii="Arial" w:hAnsi="Arial" w:eastAsia="Arial" w:cs="Arial"/>
          <w:noProof w:val="0"/>
          <w:sz w:val="22"/>
          <w:szCs w:val="22"/>
          <w:lang w:val="en-GB"/>
        </w:rPr>
        <w:t xml:space="preserve">Market development </w:t>
      </w:r>
      <w:r w:rsidRPr="3500602F" w:rsidR="4429913B">
        <w:rPr>
          <w:rFonts w:ascii="Arial" w:hAnsi="Arial" w:eastAsia="Arial" w:cs="Arial"/>
          <w:noProof w:val="0"/>
          <w:sz w:val="22"/>
          <w:szCs w:val="22"/>
          <w:lang w:val="en-GB"/>
        </w:rPr>
        <w:t>represents</w:t>
      </w:r>
      <w:r w:rsidRPr="3500602F" w:rsidR="4429913B">
        <w:rPr>
          <w:rFonts w:ascii="Arial" w:hAnsi="Arial" w:eastAsia="Arial" w:cs="Arial"/>
          <w:noProof w:val="0"/>
          <w:sz w:val="22"/>
          <w:szCs w:val="22"/>
          <w:lang w:val="en-GB"/>
        </w:rPr>
        <w:t xml:space="preserve"> a complementary growth strategy because BHP can use existing mineral products to enter </w:t>
      </w:r>
      <w:r w:rsidRPr="3500602F" w:rsidR="4429913B">
        <w:rPr>
          <w:rFonts w:ascii="Arial" w:hAnsi="Arial" w:eastAsia="Arial" w:cs="Arial"/>
          <w:noProof w:val="0"/>
          <w:sz w:val="22"/>
          <w:szCs w:val="22"/>
          <w:lang w:val="en-GB"/>
        </w:rPr>
        <w:t>additional</w:t>
      </w:r>
      <w:r w:rsidRPr="3500602F" w:rsidR="4429913B">
        <w:rPr>
          <w:rFonts w:ascii="Arial" w:hAnsi="Arial" w:eastAsia="Arial" w:cs="Arial"/>
          <w:noProof w:val="0"/>
          <w:sz w:val="22"/>
          <w:szCs w:val="22"/>
          <w:lang w:val="en-GB"/>
        </w:rPr>
        <w:t xml:space="preserve"> markets. Global investment in renewable energy, electric vehicles and electricity infrastructure is increasing demand for copper and other transition minerals (IEA, 2025).</w:t>
      </w:r>
      <w:r w:rsidRPr="3500602F" w:rsidR="1FCA2A46">
        <w:rPr>
          <w:rFonts w:ascii="Arial" w:hAnsi="Arial" w:eastAsia="Arial" w:cs="Arial"/>
          <w:noProof w:val="0"/>
          <w:sz w:val="22"/>
          <w:szCs w:val="22"/>
          <w:lang w:val="en-GB"/>
        </w:rPr>
        <w:t xml:space="preserve"> </w:t>
      </w:r>
      <w:r w:rsidRPr="3500602F" w:rsidR="4429913B">
        <w:rPr>
          <w:rFonts w:ascii="Arial" w:hAnsi="Arial" w:eastAsia="Arial" w:cs="Arial"/>
          <w:noProof w:val="0"/>
          <w:sz w:val="22"/>
          <w:szCs w:val="22"/>
          <w:lang w:val="en-GB"/>
        </w:rPr>
        <w:t xml:space="preserve">BHP should therefore explore opportunities to expand its copper sales into new geographical markets or industrial segments investing heavily in electrification. This would allow the company to capitalise on growing demand without </w:t>
      </w:r>
      <w:r w:rsidRPr="3500602F" w:rsidR="4429913B">
        <w:rPr>
          <w:rFonts w:ascii="Arial" w:hAnsi="Arial" w:eastAsia="Arial" w:cs="Arial"/>
          <w:noProof w:val="0"/>
          <w:sz w:val="22"/>
          <w:szCs w:val="22"/>
          <w:lang w:val="en-GB"/>
        </w:rPr>
        <w:t>immediately</w:t>
      </w:r>
      <w:r w:rsidRPr="3500602F" w:rsidR="4429913B">
        <w:rPr>
          <w:rFonts w:ascii="Arial" w:hAnsi="Arial" w:eastAsia="Arial" w:cs="Arial"/>
          <w:noProof w:val="0"/>
          <w:sz w:val="22"/>
          <w:szCs w:val="22"/>
          <w:lang w:val="en-GB"/>
        </w:rPr>
        <w:t xml:space="preserve"> entering unfamiliar product categories.</w:t>
      </w:r>
      <w:r w:rsidRPr="3500602F" w:rsidR="5AAF905C">
        <w:rPr>
          <w:rFonts w:ascii="Arial" w:hAnsi="Arial" w:eastAsia="Arial" w:cs="Arial"/>
          <w:noProof w:val="0"/>
          <w:sz w:val="22"/>
          <w:szCs w:val="22"/>
          <w:lang w:val="en-GB"/>
        </w:rPr>
        <w:t xml:space="preserve"> </w:t>
      </w:r>
      <w:r w:rsidRPr="3500602F" w:rsidR="4429913B">
        <w:rPr>
          <w:rFonts w:ascii="Arial" w:hAnsi="Arial" w:eastAsia="Arial" w:cs="Arial"/>
          <w:noProof w:val="0"/>
          <w:sz w:val="22"/>
          <w:szCs w:val="22"/>
          <w:lang w:val="en-GB"/>
        </w:rPr>
        <w:t>Nevertheless, market development involves risks, including international competition, changing trade regulations and commodity-price volatility. Expanding into new markets may also increase transportation-related emissions. BHP must therefore assess whether expansion delivers sustainable commercial returns without undermining its environmental commitments.</w:t>
      </w:r>
    </w:p>
    <w:p xmlns:wp14="http://schemas.microsoft.com/office/word/2010/wordml" w:rsidP="3500602F" wp14:paraId="34D9D574" wp14:textId="091082FD">
      <w:pPr>
        <w:pStyle w:val="Heading2"/>
        <w:bidi w:val="0"/>
        <w:spacing w:before="299" w:beforeAutospacing="off" w:after="299" w:afterAutospacing="off"/>
        <w:jc w:val="left"/>
        <w:rPr>
          <w:rFonts w:ascii="Arial" w:hAnsi="Arial" w:eastAsia="Arial" w:cs="Arial"/>
          <w:b w:val="1"/>
          <w:bCs w:val="1"/>
          <w:noProof w:val="0"/>
          <w:color w:val="auto"/>
          <w:sz w:val="32"/>
          <w:szCs w:val="32"/>
          <w:lang w:val="en-GB"/>
        </w:rPr>
      </w:pPr>
      <w:bookmarkStart w:name="_Toc916155296" w:id="320753390"/>
      <w:r w:rsidRPr="70044760" w:rsidR="4429913B">
        <w:rPr>
          <w:rFonts w:ascii="Arial" w:hAnsi="Arial" w:eastAsia="Arial" w:cs="Arial"/>
          <w:b w:val="1"/>
          <w:bCs w:val="1"/>
          <w:noProof w:val="0"/>
          <w:color w:val="auto"/>
          <w:sz w:val="32"/>
          <w:szCs w:val="32"/>
          <w:lang w:val="en-GB"/>
        </w:rPr>
        <w:t>Competitive Advantage Through Porter's Generic Strategies</w:t>
      </w:r>
      <w:bookmarkEnd w:id="320753390"/>
    </w:p>
    <w:p xmlns:wp14="http://schemas.microsoft.com/office/word/2010/wordml" w:rsidP="3500602F" wp14:paraId="4C709889" wp14:textId="1F7FE2BF">
      <w:pPr>
        <w:bidi w:val="0"/>
        <w:spacing w:before="240" w:beforeAutospacing="off" w:after="240" w:afterAutospacing="off" w:line="360" w:lineRule="auto"/>
        <w:jc w:val="both"/>
        <w:rPr>
          <w:rFonts w:ascii="Arial" w:hAnsi="Arial" w:eastAsia="Arial" w:cs="Arial"/>
          <w:b w:val="0"/>
          <w:bCs w:val="0"/>
          <w:noProof w:val="0"/>
          <w:sz w:val="22"/>
          <w:szCs w:val="22"/>
          <w:lang w:val="en-GB"/>
        </w:rPr>
      </w:pPr>
      <w:r w:rsidRPr="3500602F" w:rsidR="4429913B">
        <w:rPr>
          <w:rFonts w:ascii="Arial" w:hAnsi="Arial" w:eastAsia="Arial" w:cs="Arial"/>
          <w:b w:val="0"/>
          <w:bCs w:val="0"/>
          <w:noProof w:val="0"/>
          <w:sz w:val="22"/>
          <w:szCs w:val="22"/>
          <w:lang w:val="en-GB"/>
        </w:rPr>
        <w:t xml:space="preserve">Porter (1985) identifies cost leadership, differentiation and focus as three approaches to competitive advantage. For BHP, </w:t>
      </w:r>
      <w:r w:rsidRPr="3500602F" w:rsidR="4429913B">
        <w:rPr>
          <w:rFonts w:ascii="Arial" w:hAnsi="Arial" w:eastAsia="Arial" w:cs="Arial"/>
          <w:b w:val="0"/>
          <w:bCs w:val="0"/>
          <w:noProof w:val="0"/>
          <w:sz w:val="22"/>
          <w:szCs w:val="22"/>
          <w:lang w:val="en-GB"/>
        </w:rPr>
        <w:t>differentiation is the most appropriate strategy</w:t>
      </w:r>
      <w:r w:rsidRPr="3500602F" w:rsidR="4429913B">
        <w:rPr>
          <w:rFonts w:ascii="Arial" w:hAnsi="Arial" w:eastAsia="Arial" w:cs="Arial"/>
          <w:b w:val="0"/>
          <w:bCs w:val="0"/>
          <w:noProof w:val="0"/>
          <w:sz w:val="22"/>
          <w:szCs w:val="22"/>
          <w:lang w:val="en-GB"/>
        </w:rPr>
        <w:t xml:space="preserve"> because the organisation can distinguish itself through environmental performance, technological innovation and transparent sustainability reporting.</w:t>
      </w:r>
    </w:p>
    <w:p xmlns:wp14="http://schemas.microsoft.com/office/word/2010/wordml" w:rsidP="3500602F" wp14:paraId="0B624623" wp14:textId="028986FE">
      <w:pPr>
        <w:pStyle w:val="Heading3"/>
        <w:bidi w:val="0"/>
        <w:spacing w:before="281" w:beforeAutospacing="off" w:after="281" w:afterAutospacing="off"/>
        <w:jc w:val="left"/>
        <w:rPr>
          <w:rFonts w:ascii="Arial" w:hAnsi="Arial" w:eastAsia="Arial" w:cs="Arial"/>
          <w:b w:val="1"/>
          <w:bCs w:val="1"/>
          <w:noProof w:val="0"/>
          <w:color w:val="auto"/>
          <w:sz w:val="28"/>
          <w:szCs w:val="28"/>
          <w:lang w:val="en-GB"/>
        </w:rPr>
      </w:pPr>
      <w:bookmarkStart w:name="_Toc753736228" w:id="313852294"/>
      <w:r w:rsidRPr="70044760" w:rsidR="4429913B">
        <w:rPr>
          <w:rFonts w:ascii="Arial" w:hAnsi="Arial" w:eastAsia="Arial" w:cs="Arial"/>
          <w:b w:val="1"/>
          <w:bCs w:val="1"/>
          <w:noProof w:val="0"/>
          <w:color w:val="auto"/>
          <w:sz w:val="28"/>
          <w:szCs w:val="28"/>
          <w:lang w:val="en-GB"/>
        </w:rPr>
        <w:t>Differentiation Strategy</w:t>
      </w:r>
      <w:bookmarkEnd w:id="313852294"/>
    </w:p>
    <w:p xmlns:wp14="http://schemas.microsoft.com/office/word/2010/wordml" w:rsidP="3500602F" wp14:paraId="62215C8A" wp14:textId="0E7DB899">
      <w:pPr>
        <w:bidi w:val="0"/>
        <w:spacing w:before="240" w:beforeAutospacing="off" w:after="240" w:afterAutospacing="off" w:line="360" w:lineRule="auto"/>
        <w:jc w:val="both"/>
      </w:pPr>
      <w:r w:rsidRPr="6CDA924B" w:rsidR="4429913B">
        <w:rPr>
          <w:rFonts w:ascii="Arial" w:hAnsi="Arial" w:eastAsia="Arial" w:cs="Arial"/>
          <w:noProof w:val="0"/>
          <w:sz w:val="22"/>
          <w:szCs w:val="22"/>
          <w:lang w:val="en-GB"/>
        </w:rPr>
        <w:t xml:space="preserve">Differentiation enables organisations to offer characteristics that customers perceive as valuable and distinct from competing products (Porter, 1985). BHP could differentiate its mineral offerings by </w:t>
      </w:r>
      <w:r w:rsidRPr="6CDA924B" w:rsidR="4429913B">
        <w:rPr>
          <w:rFonts w:ascii="Arial" w:hAnsi="Arial" w:eastAsia="Arial" w:cs="Arial"/>
          <w:noProof w:val="0"/>
          <w:sz w:val="22"/>
          <w:szCs w:val="22"/>
          <w:lang w:val="en-GB"/>
        </w:rPr>
        <w:t>demonstrating</w:t>
      </w:r>
      <w:r w:rsidRPr="6CDA924B" w:rsidR="4429913B">
        <w:rPr>
          <w:rFonts w:ascii="Arial" w:hAnsi="Arial" w:eastAsia="Arial" w:cs="Arial"/>
          <w:noProof w:val="0"/>
          <w:sz w:val="22"/>
          <w:szCs w:val="22"/>
          <w:lang w:val="en-GB"/>
        </w:rPr>
        <w:t xml:space="preserve"> lower production emissions, independently verified carbon footprints and traceable environmental performance.</w:t>
      </w:r>
      <w:r w:rsidRPr="6CDA924B" w:rsidR="1B06792E">
        <w:rPr>
          <w:rFonts w:ascii="Arial" w:hAnsi="Arial" w:eastAsia="Arial" w:cs="Arial"/>
          <w:noProof w:val="0"/>
          <w:sz w:val="22"/>
          <w:szCs w:val="22"/>
          <w:lang w:val="en-GB"/>
        </w:rPr>
        <w:t xml:space="preserve"> </w:t>
      </w:r>
      <w:r w:rsidRPr="6CDA924B" w:rsidR="4429913B">
        <w:rPr>
          <w:rFonts w:ascii="Arial" w:hAnsi="Arial" w:eastAsia="Arial" w:cs="Arial"/>
          <w:noProof w:val="0"/>
          <w:sz w:val="22"/>
          <w:szCs w:val="22"/>
          <w:lang w:val="en-GB"/>
        </w:rPr>
        <w:t xml:space="preserve">For example, providing reliable emissions data alongside copper and iron ore could help industrial customers </w:t>
      </w:r>
      <w:r w:rsidRPr="6CDA924B" w:rsidR="4429913B">
        <w:rPr>
          <w:rFonts w:ascii="Arial" w:hAnsi="Arial" w:eastAsia="Arial" w:cs="Arial"/>
          <w:noProof w:val="0"/>
          <w:sz w:val="22"/>
          <w:szCs w:val="22"/>
          <w:lang w:val="en-GB"/>
        </w:rPr>
        <w:t>monitor</w:t>
      </w:r>
      <w:r w:rsidRPr="6CDA924B" w:rsidR="4429913B">
        <w:rPr>
          <w:rFonts w:ascii="Arial" w:hAnsi="Arial" w:eastAsia="Arial" w:cs="Arial"/>
          <w:noProof w:val="0"/>
          <w:sz w:val="22"/>
          <w:szCs w:val="22"/>
          <w:lang w:val="en-GB"/>
        </w:rPr>
        <w:t xml:space="preserve"> their supply-chain emissions. </w:t>
      </w:r>
    </w:p>
    <w:p xmlns:wp14="http://schemas.microsoft.com/office/word/2010/wordml" w:rsidP="3500602F" wp14:paraId="1A3DE6C6" wp14:textId="323B07CA">
      <w:pPr>
        <w:bidi w:val="0"/>
        <w:spacing w:before="240" w:beforeAutospacing="off" w:after="240" w:afterAutospacing="off" w:line="360" w:lineRule="auto"/>
        <w:jc w:val="both"/>
      </w:pPr>
      <w:r w:rsidRPr="6CDA924B" w:rsidR="4429913B">
        <w:rPr>
          <w:rFonts w:ascii="Arial" w:hAnsi="Arial" w:eastAsia="Arial" w:cs="Arial"/>
          <w:noProof w:val="0"/>
          <w:sz w:val="22"/>
          <w:szCs w:val="22"/>
          <w:lang w:val="en-GB"/>
        </w:rPr>
        <w:t>Collaboration with steel manufacturers on lower-emission technologies could further strengthen BHP's reputation as a strategic decarbonisation partner rather than simply a commodity supplier.</w:t>
      </w:r>
      <w:r w:rsidRPr="6CDA924B" w:rsidR="16654CBD">
        <w:rPr>
          <w:rFonts w:ascii="Arial" w:hAnsi="Arial" w:eastAsia="Arial" w:cs="Arial"/>
          <w:noProof w:val="0"/>
          <w:sz w:val="22"/>
          <w:szCs w:val="22"/>
          <w:lang w:val="en-GB"/>
        </w:rPr>
        <w:t xml:space="preserve"> </w:t>
      </w:r>
      <w:r w:rsidRPr="6CDA924B" w:rsidR="4429913B">
        <w:rPr>
          <w:rFonts w:ascii="Arial" w:hAnsi="Arial" w:eastAsia="Arial" w:cs="Arial"/>
          <w:noProof w:val="0"/>
          <w:sz w:val="22"/>
          <w:szCs w:val="22"/>
          <w:lang w:val="en-GB"/>
        </w:rPr>
        <w:t xml:space="preserve">However, differentiation is only sustainable when environmental claims are credible and commercially valuable. Delmas and Burbano (2011) argue that misleading environmental communication can contribute to greenwashing and undermine stakeholder confidence. BHP should therefore use independent verification and measurable emissions indicators to </w:t>
      </w:r>
      <w:r w:rsidRPr="6CDA924B" w:rsidR="4429913B">
        <w:rPr>
          <w:rFonts w:ascii="Arial" w:hAnsi="Arial" w:eastAsia="Arial" w:cs="Arial"/>
          <w:noProof w:val="0"/>
          <w:sz w:val="22"/>
          <w:szCs w:val="22"/>
          <w:lang w:val="en-GB"/>
        </w:rPr>
        <w:t>demonstrate</w:t>
      </w:r>
      <w:r w:rsidRPr="6CDA924B" w:rsidR="4429913B">
        <w:rPr>
          <w:rFonts w:ascii="Arial" w:hAnsi="Arial" w:eastAsia="Arial" w:cs="Arial"/>
          <w:noProof w:val="0"/>
          <w:sz w:val="22"/>
          <w:szCs w:val="22"/>
          <w:lang w:val="en-GB"/>
        </w:rPr>
        <w:t xml:space="preserve"> progress.</w:t>
      </w:r>
    </w:p>
    <w:p xmlns:wp14="http://schemas.microsoft.com/office/word/2010/wordml" w:rsidP="3500602F" wp14:paraId="31AB1FFA" wp14:textId="1A8C649C">
      <w:pPr>
        <w:pStyle w:val="Heading3"/>
        <w:bidi w:val="0"/>
        <w:spacing w:before="281" w:beforeAutospacing="off" w:after="281" w:afterAutospacing="off"/>
        <w:jc w:val="left"/>
        <w:rPr>
          <w:rFonts w:ascii="Arial" w:hAnsi="Arial" w:eastAsia="Arial" w:cs="Arial"/>
          <w:b w:val="1"/>
          <w:bCs w:val="1"/>
          <w:noProof w:val="0"/>
          <w:color w:val="auto"/>
          <w:sz w:val="28"/>
          <w:szCs w:val="28"/>
          <w:lang w:val="en-GB"/>
        </w:rPr>
      </w:pPr>
      <w:bookmarkStart w:name="_Toc1337734072" w:id="444019412"/>
      <w:r w:rsidRPr="70044760" w:rsidR="4429913B">
        <w:rPr>
          <w:rFonts w:ascii="Arial" w:hAnsi="Arial" w:eastAsia="Arial" w:cs="Arial"/>
          <w:b w:val="1"/>
          <w:bCs w:val="1"/>
          <w:noProof w:val="0"/>
          <w:color w:val="auto"/>
          <w:sz w:val="28"/>
          <w:szCs w:val="28"/>
          <w:lang w:val="en-GB"/>
        </w:rPr>
        <w:t>Cost Leadership and Competitive Limitations</w:t>
      </w:r>
      <w:bookmarkEnd w:id="444019412"/>
    </w:p>
    <w:p xmlns:wp14="http://schemas.microsoft.com/office/word/2010/wordml" w:rsidP="70044760" wp14:paraId="33446C8C" wp14:textId="4045E9F8">
      <w:pPr>
        <w:bidi w:val="0"/>
        <w:spacing w:before="240" w:beforeAutospacing="off" w:after="240" w:afterAutospacing="off"/>
        <w:jc w:val="both"/>
      </w:pPr>
      <w:r w:rsidRPr="70044760" w:rsidR="4429913B">
        <w:rPr>
          <w:rFonts w:ascii="Arial" w:hAnsi="Arial" w:eastAsia="Arial" w:cs="Arial"/>
          <w:noProof w:val="0"/>
          <w:sz w:val="22"/>
          <w:szCs w:val="22"/>
          <w:lang w:val="en-GB"/>
        </w:rPr>
        <w:t xml:space="preserve">Although cost leadership </w:t>
      </w:r>
      <w:r w:rsidRPr="70044760" w:rsidR="4429913B">
        <w:rPr>
          <w:rFonts w:ascii="Arial" w:hAnsi="Arial" w:eastAsia="Arial" w:cs="Arial"/>
          <w:noProof w:val="0"/>
          <w:sz w:val="22"/>
          <w:szCs w:val="22"/>
          <w:lang w:val="en-GB"/>
        </w:rPr>
        <w:t>remains</w:t>
      </w:r>
      <w:r w:rsidRPr="70044760" w:rsidR="4429913B">
        <w:rPr>
          <w:rFonts w:ascii="Arial" w:hAnsi="Arial" w:eastAsia="Arial" w:cs="Arial"/>
          <w:noProof w:val="0"/>
          <w:sz w:val="22"/>
          <w:szCs w:val="22"/>
          <w:lang w:val="en-GB"/>
        </w:rPr>
        <w:t xml:space="preserve"> relevant to commodity mining,</w:t>
      </w:r>
      <w:r w:rsidRPr="70044760" w:rsidR="397CE005">
        <w:rPr>
          <w:rFonts w:ascii="Arial" w:hAnsi="Arial" w:eastAsia="Arial" w:cs="Arial"/>
          <w:noProof w:val="0"/>
          <w:sz w:val="22"/>
          <w:szCs w:val="22"/>
          <w:lang w:val="en-GB"/>
        </w:rPr>
        <w:t xml:space="preserve"> (Porter,1985)</w:t>
      </w:r>
      <w:r w:rsidRPr="70044760" w:rsidR="4429913B">
        <w:rPr>
          <w:rFonts w:ascii="Arial" w:hAnsi="Arial" w:eastAsia="Arial" w:cs="Arial"/>
          <w:noProof w:val="0"/>
          <w:sz w:val="22"/>
          <w:szCs w:val="22"/>
          <w:lang w:val="en-GB"/>
        </w:rPr>
        <w:t xml:space="preserve"> pursuing it as BHP's principal lower-carbon strategy could be challenging. Investment in renewable infrastructure, electrification and cleaner technologies may increase short-term capital expenditure. Aggressive cost reductions could also conflict with environmental commitments if sustainability investments are reduced.</w:t>
      </w:r>
      <w:r w:rsidRPr="70044760" w:rsidR="52C9EE5A">
        <w:rPr>
          <w:rFonts w:ascii="Arial" w:hAnsi="Arial" w:eastAsia="Arial" w:cs="Arial"/>
          <w:noProof w:val="0"/>
          <w:sz w:val="22"/>
          <w:szCs w:val="22"/>
          <w:lang w:val="en-GB"/>
        </w:rPr>
        <w:t xml:space="preserve"> </w:t>
      </w:r>
      <w:r w:rsidRPr="70044760" w:rsidR="52C9EE5A">
        <w:rPr>
          <w:rFonts w:ascii="Arial" w:hAnsi="Arial" w:eastAsia="Arial" w:cs="Arial"/>
          <w:noProof w:val="0"/>
          <w:sz w:val="22"/>
          <w:szCs w:val="22"/>
          <w:lang w:val="en-GB"/>
        </w:rPr>
        <w:t>BHP (2026c) acknowledges that decarbonisation investments are significant and require careful capital allocation to ensure commercial viability.</w:t>
      </w:r>
      <w:r w:rsidRPr="70044760" w:rsidR="196F3BFD">
        <w:rPr>
          <w:rFonts w:ascii="Arial" w:hAnsi="Arial" w:eastAsia="Arial" w:cs="Arial"/>
          <w:noProof w:val="0"/>
          <w:sz w:val="22"/>
          <w:szCs w:val="22"/>
          <w:lang w:val="en-GB"/>
        </w:rPr>
        <w:t xml:space="preserve"> </w:t>
      </w:r>
    </w:p>
    <w:p xmlns:wp14="http://schemas.microsoft.com/office/word/2010/wordml" w:rsidP="70044760" wp14:paraId="183FC582" wp14:textId="2516DE65">
      <w:pPr>
        <w:bidi w:val="0"/>
        <w:spacing w:before="240" w:beforeAutospacing="off" w:after="240" w:afterAutospacing="off"/>
        <w:jc w:val="both"/>
      </w:pPr>
      <w:r w:rsidRPr="70044760" w:rsidR="196F3BFD">
        <w:rPr>
          <w:rFonts w:ascii="Arial" w:hAnsi="Arial" w:eastAsia="Arial" w:cs="Arial"/>
          <w:noProof w:val="0"/>
          <w:sz w:val="22"/>
          <w:szCs w:val="22"/>
          <w:lang w:val="en-GB"/>
        </w:rPr>
        <w:t>Nevertheless, improved energy efficiency and reduced dependence on fossil fuels may generate long-term operational savings. BHP (2023) identifies potential future cost savings from diesel displacement and renewable electricity, although these remain dependent on technological development. BHP should therefore maintain cost discipline while prioritising credible differentiation, ensuring that environmental investments deliver measurable commercial and emissions-related benefits. Its lower-emissions copper pilot with Amazon also illustrates opportunities for environmental differentiation (BHP, 2026b).</w:t>
      </w:r>
    </w:p>
    <w:p xmlns:wp14="http://schemas.microsoft.com/office/word/2010/wordml" w:rsidP="70044760" wp14:paraId="344D9844" wp14:textId="606E351C">
      <w:pPr>
        <w:pStyle w:val="Normal"/>
        <w:bidi w:val="0"/>
        <w:spacing w:before="240" w:beforeAutospacing="off" w:after="240" w:afterAutospacing="off"/>
        <w:jc w:val="both"/>
      </w:pPr>
      <w:r w:rsidRPr="70044760" w:rsidR="4429913B">
        <w:rPr>
          <w:rFonts w:ascii="Arial" w:hAnsi="Arial" w:eastAsia="Arial" w:cs="Arial"/>
          <w:noProof w:val="0"/>
          <w:sz w:val="22"/>
          <w:szCs w:val="22"/>
          <w:lang w:val="en-GB"/>
        </w:rPr>
        <w:t>Ultimately, combining credible differentiation with operational efficiency could strengthen BHP's competitiveness without relying exclusively on commodity prices</w:t>
      </w:r>
      <w:r w:rsidRPr="70044760" w:rsidR="6CE1A8F8">
        <w:rPr>
          <w:rFonts w:ascii="Arial" w:hAnsi="Arial" w:eastAsia="Arial" w:cs="Arial"/>
          <w:noProof w:val="0"/>
          <w:sz w:val="22"/>
          <w:szCs w:val="22"/>
          <w:lang w:val="en-GB"/>
        </w:rPr>
        <w:t xml:space="preserve"> (Porter, 1985; BHP, 2026a).</w:t>
      </w:r>
    </w:p>
    <w:p xmlns:wp14="http://schemas.microsoft.com/office/word/2010/wordml" w:rsidP="3500602F" wp14:paraId="0C4426D4" wp14:textId="55F4D69E">
      <w:pPr>
        <w:pStyle w:val="Heading1"/>
        <w:bidi w:val="0"/>
        <w:spacing w:before="322" w:beforeAutospacing="off" w:after="322" w:afterAutospacing="off"/>
        <w:rPr>
          <w:b w:val="1"/>
          <w:bCs w:val="1"/>
          <w:noProof w:val="0"/>
          <w:sz w:val="48"/>
          <w:szCs w:val="48"/>
          <w:lang w:val="en-GB"/>
        </w:rPr>
      </w:pPr>
      <w:bookmarkStart w:name="_Toc1723235973" w:id="1578786285"/>
      <w:r w:rsidRPr="70044760" w:rsidR="1AD1D183">
        <w:rPr>
          <w:rFonts w:ascii="Arial" w:hAnsi="Arial" w:eastAsia="Arial" w:cs="Arial"/>
          <w:b w:val="1"/>
          <w:bCs w:val="1"/>
          <w:noProof w:val="0"/>
          <w:color w:val="auto"/>
          <w:sz w:val="32"/>
          <w:szCs w:val="32"/>
          <w:lang w:val="en-GB"/>
        </w:rPr>
        <w:t>Task 3: Managerial and Professional Reflection</w:t>
      </w:r>
      <w:bookmarkEnd w:id="1578786285"/>
      <w:r w:rsidRPr="70044760" w:rsidR="1AD1D183">
        <w:rPr>
          <w:rFonts w:ascii="Arial" w:hAnsi="Arial" w:eastAsia="Arial" w:cs="Arial"/>
          <w:b w:val="1"/>
          <w:bCs w:val="1"/>
          <w:noProof w:val="0"/>
          <w:color w:val="auto"/>
          <w:sz w:val="32"/>
          <w:szCs w:val="32"/>
          <w:lang w:val="en-GB"/>
        </w:rPr>
        <w:t xml:space="preserve"> </w:t>
      </w:r>
    </w:p>
    <w:p xmlns:wp14="http://schemas.microsoft.com/office/word/2010/wordml" w:rsidP="3500602F" wp14:paraId="66E8E70C" wp14:textId="2A24FF1B">
      <w:pPr>
        <w:bidi w:val="0"/>
        <w:spacing w:before="240" w:beforeAutospacing="off" w:after="240" w:afterAutospacing="off" w:line="360" w:lineRule="auto"/>
        <w:jc w:val="both"/>
        <w:rPr>
          <w:rFonts w:ascii="Arial" w:hAnsi="Arial" w:eastAsia="Arial" w:cs="Arial"/>
          <w:noProof w:val="0"/>
          <w:sz w:val="22"/>
          <w:szCs w:val="22"/>
          <w:lang w:val="en-GB"/>
        </w:rPr>
      </w:pPr>
      <w:r w:rsidRPr="3500602F" w:rsidR="1AD1D183">
        <w:rPr>
          <w:rFonts w:ascii="Arial" w:hAnsi="Arial" w:eastAsia="Arial" w:cs="Arial"/>
          <w:noProof w:val="0"/>
          <w:sz w:val="22"/>
          <w:szCs w:val="22"/>
          <w:lang w:val="en-GB"/>
        </w:rPr>
        <w:t xml:space="preserve">Using </w:t>
      </w:r>
      <w:r w:rsidRPr="3500602F" w:rsidR="1AD1D183">
        <w:rPr>
          <w:rFonts w:ascii="Arial" w:hAnsi="Arial" w:eastAsia="Arial" w:cs="Arial"/>
          <w:b w:val="0"/>
          <w:bCs w:val="0"/>
          <w:noProof w:val="0"/>
          <w:sz w:val="22"/>
          <w:szCs w:val="22"/>
          <w:lang w:val="en-GB"/>
        </w:rPr>
        <w:t>Gibbs’ (1988) Reflective Cycle</w:t>
      </w:r>
      <w:r w:rsidRPr="3500602F" w:rsidR="1AD1D183">
        <w:rPr>
          <w:rFonts w:ascii="Arial" w:hAnsi="Arial" w:eastAsia="Arial" w:cs="Arial"/>
          <w:b w:val="0"/>
          <w:bCs w:val="0"/>
          <w:noProof w:val="0"/>
          <w:sz w:val="22"/>
          <w:szCs w:val="22"/>
          <w:lang w:val="en-GB"/>
        </w:rPr>
        <w:t>,</w:t>
      </w:r>
      <w:r w:rsidRPr="3500602F" w:rsidR="1AD1D183">
        <w:rPr>
          <w:rFonts w:ascii="Arial" w:hAnsi="Arial" w:eastAsia="Arial" w:cs="Arial"/>
          <w:noProof w:val="0"/>
          <w:sz w:val="22"/>
          <w:szCs w:val="22"/>
          <w:lang w:val="en-GB"/>
        </w:rPr>
        <w:t xml:space="preserve"> I evaluated the strategic decisions made throughout this report, considering their effectiveness, limitations and implications for future managerial practice. The model incorporates six stages: description, feelings, evaluation, analysis, conclusion and action plan.</w:t>
      </w:r>
    </w:p>
    <w:p xmlns:wp14="http://schemas.microsoft.com/office/word/2010/wordml" w:rsidP="79408D6B" wp14:paraId="4020FCDA" wp14:textId="1E6FCBC5">
      <w:pPr>
        <w:bidi w:val="0"/>
        <w:spacing w:before="240" w:beforeAutospacing="off" w:after="240" w:afterAutospacing="off"/>
        <w:rPr>
          <w:rFonts w:ascii="Arial" w:hAnsi="Arial" w:eastAsia="Arial" w:cs="Arial"/>
          <w:b w:val="1"/>
          <w:bCs w:val="1"/>
          <w:noProof w:val="0"/>
          <w:lang w:val="en-GB"/>
        </w:rPr>
      </w:pPr>
      <w:r w:rsidRPr="79408D6B" w:rsidR="1AD1D183">
        <w:rPr>
          <w:rFonts w:ascii="Arial" w:hAnsi="Arial" w:eastAsia="Arial" w:cs="Arial"/>
          <w:b w:val="1"/>
          <w:bCs w:val="1"/>
          <w:noProof w:val="0"/>
          <w:lang w:val="en-GB"/>
        </w:rPr>
        <w:t>Description</w:t>
      </w:r>
    </w:p>
    <w:p xmlns:wp14="http://schemas.microsoft.com/office/word/2010/wordml" w:rsidP="3500602F" wp14:paraId="6F7A11C0" wp14:textId="13809C1B">
      <w:pPr>
        <w:bidi w:val="0"/>
        <w:spacing w:before="240" w:beforeAutospacing="off" w:after="240" w:afterAutospacing="off" w:line="360" w:lineRule="auto"/>
        <w:jc w:val="both"/>
        <w:rPr>
          <w:rFonts w:ascii="Arial" w:hAnsi="Arial" w:eastAsia="Arial" w:cs="Arial"/>
          <w:noProof w:val="0"/>
          <w:sz w:val="22"/>
          <w:szCs w:val="22"/>
          <w:lang w:val="en-GB"/>
        </w:rPr>
      </w:pPr>
      <w:r w:rsidRPr="3500602F" w:rsidR="1AD1D183">
        <w:rPr>
          <w:rFonts w:ascii="Arial" w:hAnsi="Arial" w:eastAsia="Arial" w:cs="Arial"/>
          <w:noProof w:val="0"/>
          <w:sz w:val="22"/>
          <w:szCs w:val="22"/>
          <w:lang w:val="en-GB"/>
        </w:rPr>
        <w:t>Throughout this report, I analysed BHP's transition towards a lower-carbon business model using PESTEL, Ansoff's Matrix and Porter's Generic Strategies. I selected BHP because of its global mining operations, environmental challenges and investments in decarbonisation technologies (BHP, 2024). Environmental, social and technological factors were prioritised because they directly influence the organisation's sustainability performance and competitive positioning.</w:t>
      </w:r>
    </w:p>
    <w:p xmlns:wp14="http://schemas.microsoft.com/office/word/2010/wordml" w:rsidP="3500602F" wp14:paraId="0989499C" wp14:textId="5C2239E9">
      <w:pPr>
        <w:bidi w:val="0"/>
        <w:spacing w:before="240" w:beforeAutospacing="off" w:after="240" w:afterAutospacing="off"/>
      </w:pPr>
      <w:r w:rsidRPr="79408D6B" w:rsidR="1AD1D183">
        <w:rPr>
          <w:rFonts w:ascii="Arial" w:hAnsi="Arial" w:eastAsia="Arial" w:cs="Arial"/>
          <w:b w:val="1"/>
          <w:bCs w:val="1"/>
          <w:noProof w:val="0"/>
          <w:lang w:val="en-GB"/>
        </w:rPr>
        <w:t>Feelings</w:t>
      </w:r>
    </w:p>
    <w:p xmlns:wp14="http://schemas.microsoft.com/office/word/2010/wordml" w:rsidP="3500602F" wp14:paraId="7D519D49" wp14:textId="5065AD5C">
      <w:pPr>
        <w:bidi w:val="0"/>
        <w:spacing w:before="240" w:beforeAutospacing="off" w:after="240" w:afterAutospacing="off" w:line="360" w:lineRule="auto"/>
        <w:jc w:val="both"/>
        <w:rPr>
          <w:rFonts w:ascii="Arial" w:hAnsi="Arial" w:eastAsia="Arial" w:cs="Arial"/>
          <w:noProof w:val="0"/>
          <w:sz w:val="22"/>
          <w:szCs w:val="22"/>
          <w:lang w:val="en-GB"/>
        </w:rPr>
      </w:pPr>
      <w:r w:rsidRPr="3500602F" w:rsidR="7845F6CF">
        <w:rPr>
          <w:rFonts w:ascii="Arial" w:hAnsi="Arial" w:eastAsia="Arial" w:cs="Arial"/>
          <w:noProof w:val="0"/>
          <w:sz w:val="22"/>
          <w:szCs w:val="22"/>
          <w:lang w:val="en-GB"/>
        </w:rPr>
        <w:t>At first</w:t>
      </w:r>
      <w:r w:rsidRPr="3500602F" w:rsidR="1AD1D183">
        <w:rPr>
          <w:rFonts w:ascii="Arial" w:hAnsi="Arial" w:eastAsia="Arial" w:cs="Arial"/>
          <w:noProof w:val="0"/>
          <w:sz w:val="22"/>
          <w:szCs w:val="22"/>
          <w:lang w:val="en-GB"/>
        </w:rPr>
        <w:t>, I felt confident selecting BHP because its sustainability commitments provided substantial information for analysis. However, I became increasingly aware of the complexity of balancing environmental responsibility with profitability. I also questioned whether recommending lower-carbon products would generate sufficient commercial returns to justify the required investment.</w:t>
      </w:r>
    </w:p>
    <w:p xmlns:wp14="http://schemas.microsoft.com/office/word/2010/wordml" w:rsidP="3500602F" wp14:paraId="6EC6F5EF" wp14:textId="676861D0">
      <w:pPr>
        <w:bidi w:val="0"/>
        <w:spacing w:before="240" w:beforeAutospacing="off" w:after="240" w:afterAutospacing="off"/>
        <w:rPr>
          <w:b w:val="1"/>
          <w:bCs w:val="1"/>
          <w:noProof w:val="0"/>
          <w:lang w:val="en-GB"/>
        </w:rPr>
      </w:pPr>
    </w:p>
    <w:p xmlns:wp14="http://schemas.microsoft.com/office/word/2010/wordml" w:rsidP="79408D6B" wp14:paraId="1A797E2A" wp14:textId="30993376">
      <w:pPr>
        <w:bidi w:val="0"/>
        <w:spacing w:before="240" w:beforeAutospacing="off" w:after="240" w:afterAutospacing="off"/>
        <w:rPr>
          <w:rFonts w:ascii="Arial" w:hAnsi="Arial" w:eastAsia="Arial" w:cs="Arial"/>
          <w:b w:val="1"/>
          <w:bCs w:val="1"/>
          <w:noProof w:val="0"/>
          <w:lang w:val="en-GB"/>
        </w:rPr>
      </w:pPr>
      <w:r w:rsidRPr="79408D6B" w:rsidR="1AD1D183">
        <w:rPr>
          <w:rFonts w:ascii="Arial" w:hAnsi="Arial" w:eastAsia="Arial" w:cs="Arial"/>
          <w:b w:val="1"/>
          <w:bCs w:val="1"/>
          <w:noProof w:val="0"/>
          <w:lang w:val="en-GB"/>
        </w:rPr>
        <w:t>Evaluation</w:t>
      </w:r>
    </w:p>
    <w:p xmlns:wp14="http://schemas.microsoft.com/office/word/2010/wordml" w:rsidP="3500602F" wp14:paraId="70E399CE" wp14:textId="2288358B">
      <w:pPr>
        <w:bidi w:val="0"/>
        <w:spacing w:before="240" w:beforeAutospacing="off" w:after="240" w:afterAutospacing="off" w:line="360" w:lineRule="auto"/>
        <w:jc w:val="both"/>
        <w:rPr>
          <w:rFonts w:ascii="Arial" w:hAnsi="Arial" w:eastAsia="Arial" w:cs="Arial"/>
          <w:noProof w:val="0"/>
          <w:sz w:val="22"/>
          <w:szCs w:val="22"/>
          <w:lang w:val="en-GB"/>
        </w:rPr>
      </w:pPr>
      <w:r w:rsidRPr="3500602F" w:rsidR="1AD1D183">
        <w:rPr>
          <w:rFonts w:ascii="Arial" w:hAnsi="Arial" w:eastAsia="Arial" w:cs="Arial"/>
          <w:noProof w:val="0"/>
          <w:sz w:val="22"/>
          <w:szCs w:val="22"/>
          <w:lang w:val="en-GB"/>
        </w:rPr>
        <w:t>A key strength of my analysis was connecting external environmental pressures to strategic growth opportunities. Using Ansoff's (1957) Matrix, I recommended product development through verified lower-emission mineral offerings, supported by market development. Porter's (1985) differentiation strategy complemented these recommendations by emphasising innovation and environmental credibility. However, focusing on three PESTEL factors excluded economic and political considerations that could significantly influence implementation.</w:t>
      </w:r>
    </w:p>
    <w:p xmlns:wp14="http://schemas.microsoft.com/office/word/2010/wordml" w:rsidP="79408D6B" wp14:paraId="3C7225F5" wp14:textId="66780E2A">
      <w:pPr>
        <w:bidi w:val="0"/>
        <w:spacing w:before="240" w:beforeAutospacing="off" w:after="240" w:afterAutospacing="off"/>
        <w:rPr>
          <w:rFonts w:ascii="Arial" w:hAnsi="Arial" w:eastAsia="Arial" w:cs="Arial"/>
          <w:b w:val="1"/>
          <w:bCs w:val="1"/>
          <w:noProof w:val="0"/>
          <w:lang w:val="en-GB"/>
        </w:rPr>
      </w:pPr>
      <w:r w:rsidRPr="79408D6B" w:rsidR="1AD1D183">
        <w:rPr>
          <w:rFonts w:ascii="Arial" w:hAnsi="Arial" w:eastAsia="Arial" w:cs="Arial"/>
          <w:b w:val="1"/>
          <w:bCs w:val="1"/>
          <w:noProof w:val="0"/>
          <w:lang w:val="en-GB"/>
        </w:rPr>
        <w:t>Analysis</w:t>
      </w:r>
    </w:p>
    <w:p xmlns:wp14="http://schemas.microsoft.com/office/word/2010/wordml" w:rsidP="3500602F" wp14:paraId="671AF043" wp14:textId="4DFA121D">
      <w:pPr>
        <w:bidi w:val="0"/>
        <w:spacing w:before="240" w:beforeAutospacing="off" w:after="240" w:afterAutospacing="off" w:line="360" w:lineRule="auto"/>
        <w:jc w:val="both"/>
        <w:rPr>
          <w:rFonts w:ascii="Arial" w:hAnsi="Arial" w:eastAsia="Arial" w:cs="Arial"/>
          <w:noProof w:val="0"/>
          <w:sz w:val="22"/>
          <w:szCs w:val="22"/>
          <w:lang w:val="en-GB"/>
        </w:rPr>
      </w:pPr>
      <w:r w:rsidRPr="6CDA924B" w:rsidR="1AD1D183">
        <w:rPr>
          <w:rFonts w:ascii="Arial" w:hAnsi="Arial" w:eastAsia="Arial" w:cs="Arial"/>
          <w:noProof w:val="0"/>
          <w:sz w:val="22"/>
          <w:szCs w:val="22"/>
          <w:lang w:val="en-GB"/>
        </w:rPr>
        <w:t>Reflecting critically, I recognise that my recommendations relied heavily on publicly available information, particularly BHP's corporate sustainability reports. Although these provided valuable insights, company-produced information may present environmental achievements more favourably than operational challenges. Furthermore, the analysis lacked detailed financial forecasts, competitor benchmarking and direct evidence of industrial customers' willingness to pay for lower-carbon commodities. These limitations reduce confidence in the commercial feasibility of my recommendations. From a senior leadership perspective, strategic proposals require stronger evidence concerning investment risks, operational capabilities and expected financial returns.</w:t>
      </w:r>
    </w:p>
    <w:p xmlns:wp14="http://schemas.microsoft.com/office/word/2010/wordml" w:rsidP="3500602F" wp14:paraId="00E6A6FC" wp14:textId="5A665E3D">
      <w:pPr>
        <w:bidi w:val="0"/>
        <w:spacing w:before="240" w:beforeAutospacing="off" w:after="240" w:afterAutospacing="off"/>
      </w:pPr>
      <w:r w:rsidRPr="3500602F" w:rsidR="1AD1D183">
        <w:rPr>
          <w:b w:val="1"/>
          <w:bCs w:val="1"/>
          <w:noProof w:val="0"/>
          <w:lang w:val="en-GB"/>
        </w:rPr>
        <w:t>Action Plan</w:t>
      </w:r>
    </w:p>
    <w:p xmlns:wp14="http://schemas.microsoft.com/office/word/2010/wordml" w:rsidP="70044760" wp14:paraId="308C4739" wp14:textId="547F234C">
      <w:pPr>
        <w:bidi w:val="0"/>
        <w:spacing w:before="240" w:beforeAutospacing="off" w:after="240" w:afterAutospacing="off" w:line="360" w:lineRule="auto"/>
        <w:jc w:val="both"/>
        <w:rPr>
          <w:rFonts w:ascii="Arial" w:hAnsi="Arial" w:eastAsia="Arial" w:cs="Arial"/>
          <w:noProof w:val="0"/>
          <w:sz w:val="22"/>
          <w:szCs w:val="22"/>
          <w:lang w:val="en-GB"/>
        </w:rPr>
      </w:pPr>
      <w:r w:rsidRPr="70044760" w:rsidR="1AD1D183">
        <w:rPr>
          <w:rFonts w:ascii="Arial" w:hAnsi="Arial" w:eastAsia="Arial" w:cs="Arial"/>
          <w:noProof w:val="0"/>
          <w:sz w:val="22"/>
          <w:szCs w:val="22"/>
          <w:lang w:val="en-GB"/>
        </w:rPr>
        <w:t xml:space="preserve">Before presenting final recommendations to senior leadership, I would obtain independent emissions assessments, conduct competitor </w:t>
      </w:r>
      <w:r w:rsidRPr="70044760" w:rsidR="1AD1D183">
        <w:rPr>
          <w:rFonts w:ascii="Arial" w:hAnsi="Arial" w:eastAsia="Arial" w:cs="Arial"/>
          <w:noProof w:val="0"/>
          <w:sz w:val="22"/>
          <w:szCs w:val="22"/>
          <w:lang w:val="en-GB"/>
        </w:rPr>
        <w:t>comparisons</w:t>
      </w:r>
      <w:r w:rsidRPr="70044760" w:rsidR="1AD1D183">
        <w:rPr>
          <w:rFonts w:ascii="Arial" w:hAnsi="Arial" w:eastAsia="Arial" w:cs="Arial"/>
          <w:noProof w:val="0"/>
          <w:sz w:val="22"/>
          <w:szCs w:val="22"/>
          <w:lang w:val="en-GB"/>
        </w:rPr>
        <w:t xml:space="preserve"> and evaluate projected investment returns. I would also consult industry specialists, </w:t>
      </w:r>
      <w:r w:rsidRPr="70044760" w:rsidR="1AD1D183">
        <w:rPr>
          <w:rFonts w:ascii="Arial" w:hAnsi="Arial" w:eastAsia="Arial" w:cs="Arial"/>
          <w:noProof w:val="0"/>
          <w:sz w:val="22"/>
          <w:szCs w:val="22"/>
          <w:lang w:val="en-GB"/>
        </w:rPr>
        <w:t>customers</w:t>
      </w:r>
      <w:r w:rsidRPr="70044760" w:rsidR="1AD1D183">
        <w:rPr>
          <w:rFonts w:ascii="Arial" w:hAnsi="Arial" w:eastAsia="Arial" w:cs="Arial"/>
          <w:noProof w:val="0"/>
          <w:sz w:val="22"/>
          <w:szCs w:val="22"/>
          <w:lang w:val="en-GB"/>
        </w:rPr>
        <w:t xml:space="preserve"> and community stakeholders to assess implementation challenges. In future consultancy work, I will apply strategic frameworks alongside financial modelling and stakeholder research to develop more credible, evidence-</w:t>
      </w:r>
      <w:r w:rsidRPr="70044760" w:rsidR="1AD1D183">
        <w:rPr>
          <w:rFonts w:ascii="Arial" w:hAnsi="Arial" w:eastAsia="Arial" w:cs="Arial"/>
          <w:noProof w:val="0"/>
          <w:sz w:val="22"/>
          <w:szCs w:val="22"/>
          <w:lang w:val="en-GB"/>
        </w:rPr>
        <w:t>based</w:t>
      </w:r>
      <w:r w:rsidRPr="70044760" w:rsidR="1AD1D183">
        <w:rPr>
          <w:rFonts w:ascii="Arial" w:hAnsi="Arial" w:eastAsia="Arial" w:cs="Arial"/>
          <w:noProof w:val="0"/>
          <w:sz w:val="22"/>
          <w:szCs w:val="22"/>
          <w:lang w:val="en-GB"/>
        </w:rPr>
        <w:t xml:space="preserve"> and commercially sustainable recommendations.</w:t>
      </w:r>
      <w:r w:rsidRPr="70044760" w:rsidR="1C1521D0">
        <w:rPr>
          <w:rFonts w:ascii="Arial" w:hAnsi="Arial" w:eastAsia="Arial" w:cs="Arial"/>
          <w:noProof w:val="0"/>
          <w:sz w:val="22"/>
          <w:szCs w:val="22"/>
          <w:lang w:val="en-GB"/>
        </w:rPr>
        <w:t xml:space="preserve"> This experience demonstrated that environmental sustainability and competitive advantage must be considered together rather than independently. I learned that strategic frameworks provide useful structures for decision-making but cannot replace detailed financial analysis, independent evidence and professional judgement. Effective managerial recommendations must therefore balance environmental objectives with realistic commercial expectations.</w:t>
      </w:r>
    </w:p>
    <w:p xmlns:wp14="http://schemas.microsoft.com/office/word/2010/wordml" w:rsidP="6CDA924B" wp14:paraId="0C7B359D" wp14:textId="73839B96">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bookmarkStart w:name="_Toc1894544375" w:id="436514109"/>
      <w:r w:rsidRPr="70044760" w:rsidR="656F38FF">
        <w:rPr>
          <w:rFonts w:ascii="Arial" w:hAnsi="Arial" w:eastAsia="Arial" w:cs="Arial"/>
          <w:b w:val="1"/>
          <w:bCs w:val="1"/>
          <w:noProof w:val="0"/>
          <w:color w:val="auto"/>
          <w:sz w:val="32"/>
          <w:szCs w:val="32"/>
          <w:lang w:val="en-GB"/>
        </w:rPr>
        <w:t>Conclusion</w:t>
      </w:r>
      <w:bookmarkEnd w:id="436514109"/>
    </w:p>
    <w:p xmlns:wp14="http://schemas.microsoft.com/office/word/2010/wordml" w:rsidP="70044760" wp14:paraId="0C75FBBD" wp14:textId="7693CBF2">
      <w:pPr>
        <w:bidi w:val="0"/>
        <w:spacing w:before="240" w:beforeAutospacing="off" w:after="240" w:afterAutospacing="off" w:line="360" w:lineRule="auto"/>
        <w:jc w:val="both"/>
      </w:pPr>
      <w:r w:rsidRPr="70044760" w:rsidR="656F38FF">
        <w:rPr>
          <w:rFonts w:ascii="Arial" w:hAnsi="Arial" w:eastAsia="Arial" w:cs="Arial"/>
          <w:noProof w:val="0"/>
          <w:sz w:val="22"/>
          <w:szCs w:val="22"/>
          <w:lang w:val="en-GB"/>
        </w:rPr>
        <w:t>In conclusion, BHP's transition towards a lower</w:t>
      </w:r>
      <w:r w:rsidRPr="70044760" w:rsidR="56872ED7">
        <w:rPr>
          <w:rFonts w:ascii="Arial" w:hAnsi="Arial" w:eastAsia="Arial" w:cs="Arial"/>
          <w:noProof w:val="0"/>
          <w:sz w:val="22"/>
          <w:szCs w:val="22"/>
          <w:lang w:val="en-GB"/>
        </w:rPr>
        <w:t xml:space="preserve"> </w:t>
      </w:r>
      <w:r w:rsidRPr="70044760" w:rsidR="656F38FF">
        <w:rPr>
          <w:rFonts w:ascii="Arial" w:hAnsi="Arial" w:eastAsia="Arial" w:cs="Arial"/>
          <w:noProof w:val="0"/>
          <w:sz w:val="22"/>
          <w:szCs w:val="22"/>
          <w:lang w:val="en-GB"/>
        </w:rPr>
        <w:t xml:space="preserve">carbon business model presents both challenges and opportunities for sustainable growth. The PESTEL analysis highlighted the importance of environmental, </w:t>
      </w:r>
      <w:r w:rsidRPr="70044760" w:rsidR="656F38FF">
        <w:rPr>
          <w:rFonts w:ascii="Arial" w:hAnsi="Arial" w:eastAsia="Arial" w:cs="Arial"/>
          <w:noProof w:val="0"/>
          <w:sz w:val="22"/>
          <w:szCs w:val="22"/>
          <w:lang w:val="en-GB"/>
        </w:rPr>
        <w:t>social</w:t>
      </w:r>
      <w:r w:rsidRPr="70044760" w:rsidR="656F38FF">
        <w:rPr>
          <w:rFonts w:ascii="Arial" w:hAnsi="Arial" w:eastAsia="Arial" w:cs="Arial"/>
          <w:noProof w:val="0"/>
          <w:sz w:val="22"/>
          <w:szCs w:val="22"/>
          <w:lang w:val="en-GB"/>
        </w:rPr>
        <w:t xml:space="preserve"> and technological factors in shaping strategic decisions. Ansoff's Matrix and Porter's Generic Strategies </w:t>
      </w:r>
      <w:r w:rsidRPr="70044760" w:rsidR="656F38FF">
        <w:rPr>
          <w:rFonts w:ascii="Arial" w:hAnsi="Arial" w:eastAsia="Arial" w:cs="Arial"/>
          <w:noProof w:val="0"/>
          <w:sz w:val="22"/>
          <w:szCs w:val="22"/>
          <w:lang w:val="en-GB"/>
        </w:rPr>
        <w:t>demonstrated</w:t>
      </w:r>
      <w:r w:rsidRPr="70044760" w:rsidR="656F38FF">
        <w:rPr>
          <w:rFonts w:ascii="Arial" w:hAnsi="Arial" w:eastAsia="Arial" w:cs="Arial"/>
          <w:noProof w:val="0"/>
          <w:sz w:val="22"/>
          <w:szCs w:val="22"/>
          <w:lang w:val="en-GB"/>
        </w:rPr>
        <w:t xml:space="preserve"> how product development, market expansion and differentiation could strengthen BHP's competitive advantage. Finally, Gibbs' Reflective Cycle emphasised the importance of critical evaluation, </w:t>
      </w:r>
      <w:r w:rsidRPr="70044760" w:rsidR="3346978C">
        <w:rPr>
          <w:rFonts w:ascii="Arial" w:hAnsi="Arial" w:eastAsia="Arial" w:cs="Arial"/>
          <w:noProof w:val="0"/>
          <w:sz w:val="22"/>
          <w:szCs w:val="22"/>
          <w:lang w:val="en-GB"/>
        </w:rPr>
        <w:t>evidence-based</w:t>
      </w:r>
      <w:r w:rsidRPr="70044760" w:rsidR="656F38FF">
        <w:rPr>
          <w:rFonts w:ascii="Arial" w:hAnsi="Arial" w:eastAsia="Arial" w:cs="Arial"/>
          <w:noProof w:val="0"/>
          <w:sz w:val="22"/>
          <w:szCs w:val="22"/>
          <w:lang w:val="en-GB"/>
        </w:rPr>
        <w:t xml:space="preserve"> decision</w:t>
      </w:r>
      <w:r w:rsidRPr="70044760" w:rsidR="3FAE0251">
        <w:rPr>
          <w:rFonts w:ascii="Arial" w:hAnsi="Arial" w:eastAsia="Arial" w:cs="Arial"/>
          <w:noProof w:val="0"/>
          <w:sz w:val="22"/>
          <w:szCs w:val="22"/>
          <w:lang w:val="en-GB"/>
        </w:rPr>
        <w:t xml:space="preserve"> </w:t>
      </w:r>
      <w:r w:rsidRPr="70044760" w:rsidR="656F38FF">
        <w:rPr>
          <w:rFonts w:ascii="Arial" w:hAnsi="Arial" w:eastAsia="Arial" w:cs="Arial"/>
          <w:noProof w:val="0"/>
          <w:sz w:val="22"/>
          <w:szCs w:val="22"/>
          <w:lang w:val="en-GB"/>
        </w:rPr>
        <w:t xml:space="preserve">making and continuous professional development. </w:t>
      </w:r>
      <w:r w:rsidRPr="70044760" w:rsidR="418A99EA">
        <w:rPr>
          <w:rFonts w:ascii="Arial" w:hAnsi="Arial" w:eastAsia="Arial" w:cs="Arial"/>
          <w:noProof w:val="0"/>
          <w:sz w:val="22"/>
          <w:szCs w:val="22"/>
          <w:lang w:val="en-GB"/>
        </w:rPr>
        <w:t>Overall</w:t>
      </w:r>
      <w:r w:rsidRPr="70044760" w:rsidR="656F38FF">
        <w:rPr>
          <w:rFonts w:ascii="Arial" w:hAnsi="Arial" w:eastAsia="Arial" w:cs="Arial"/>
          <w:noProof w:val="0"/>
          <w:sz w:val="22"/>
          <w:szCs w:val="22"/>
          <w:lang w:val="en-GB"/>
        </w:rPr>
        <w:t xml:space="preserve">, BHP must balance environmental responsibility, </w:t>
      </w:r>
      <w:r w:rsidRPr="70044760" w:rsidR="656F38FF">
        <w:rPr>
          <w:rFonts w:ascii="Arial" w:hAnsi="Arial" w:eastAsia="Arial" w:cs="Arial"/>
          <w:noProof w:val="0"/>
          <w:sz w:val="22"/>
          <w:szCs w:val="22"/>
          <w:lang w:val="en-GB"/>
        </w:rPr>
        <w:t>innovation</w:t>
      </w:r>
      <w:r w:rsidRPr="70044760" w:rsidR="656F38FF">
        <w:rPr>
          <w:rFonts w:ascii="Arial" w:hAnsi="Arial" w:eastAsia="Arial" w:cs="Arial"/>
          <w:noProof w:val="0"/>
          <w:sz w:val="22"/>
          <w:szCs w:val="22"/>
          <w:lang w:val="en-GB"/>
        </w:rPr>
        <w:t xml:space="preserve"> and profitability to achieve long</w:t>
      </w:r>
      <w:r w:rsidRPr="70044760" w:rsidR="64F673BD">
        <w:rPr>
          <w:rFonts w:ascii="Arial" w:hAnsi="Arial" w:eastAsia="Arial" w:cs="Arial"/>
          <w:noProof w:val="0"/>
          <w:sz w:val="22"/>
          <w:szCs w:val="22"/>
          <w:lang w:val="en-GB"/>
        </w:rPr>
        <w:t xml:space="preserve"> </w:t>
      </w:r>
      <w:r w:rsidRPr="70044760" w:rsidR="656F38FF">
        <w:rPr>
          <w:rFonts w:ascii="Arial" w:hAnsi="Arial" w:eastAsia="Arial" w:cs="Arial"/>
          <w:noProof w:val="0"/>
          <w:sz w:val="22"/>
          <w:szCs w:val="22"/>
          <w:lang w:val="en-GB"/>
        </w:rPr>
        <w:t>term sustainability and competitiveness.</w:t>
      </w:r>
    </w:p>
    <w:p w:rsidR="6CDA924B" w:rsidP="6CDA924B" w:rsidRDefault="6CDA924B" w14:paraId="110E634C" w14:textId="50CD34AB">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5E1D6F51" w14:textId="23480B99">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49746B21" w14:textId="733C8CFA">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585A4CF5" w14:textId="5F6A5FB8">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33F9EED3" w14:textId="0A2DB958">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4281D170" w14:textId="5F7F029F">
      <w:pPr>
        <w:pStyle w:val="Heading2"/>
        <w:bidi w:val="0"/>
        <w:spacing w:before="240" w:beforeAutospacing="off" w:after="240" w:afterAutospacing="off" w:line="360" w:lineRule="auto"/>
        <w:jc w:val="both"/>
        <w:rPr>
          <w:rFonts w:ascii="Arial" w:hAnsi="Arial" w:eastAsia="Arial" w:cs="Arial"/>
          <w:b w:val="1"/>
          <w:bCs w:val="1"/>
          <w:noProof w:val="0"/>
          <w:color w:val="auto"/>
          <w:sz w:val="32"/>
          <w:szCs w:val="32"/>
          <w:lang w:val="en-GB"/>
        </w:rPr>
      </w:pPr>
    </w:p>
    <w:p w:rsidR="6CDA924B" w:rsidP="6CDA924B" w:rsidRDefault="6CDA924B" w14:paraId="0E225DE7" w14:textId="1E34F994">
      <w:pPr>
        <w:pStyle w:val="Normal"/>
        <w:bidi w:val="0"/>
        <w:spacing w:before="240" w:beforeAutospacing="off" w:after="240" w:afterAutospacing="off" w:line="360" w:lineRule="auto"/>
        <w:jc w:val="both"/>
        <w:rPr>
          <w:rFonts w:ascii="Arial" w:hAnsi="Arial" w:eastAsia="Arial" w:cs="Arial"/>
          <w:b w:val="1"/>
          <w:bCs w:val="1"/>
          <w:noProof w:val="0"/>
          <w:sz w:val="32"/>
          <w:szCs w:val="32"/>
          <w:lang w:val="en-GB"/>
        </w:rPr>
      </w:pPr>
    </w:p>
    <w:p w:rsidR="0FDA2267" w:rsidP="70044760" w:rsidRDefault="0FDA2267" w14:paraId="7A7EF48F" w14:textId="061615AF">
      <w:pPr>
        <w:spacing w:before="240" w:beforeAutospacing="off" w:after="240" w:afterAutospacing="off"/>
        <w:rPr>
          <w:rFonts w:ascii="Arial" w:hAnsi="Arial" w:eastAsia="Arial" w:cs="Arial"/>
          <w:b w:val="1"/>
          <w:bCs w:val="1"/>
          <w:noProof w:val="0"/>
          <w:sz w:val="32"/>
          <w:szCs w:val="32"/>
          <w:lang w:val="en-GB"/>
        </w:rPr>
      </w:pPr>
      <w:r w:rsidRPr="70044760" w:rsidR="0FDA2267">
        <w:rPr>
          <w:rFonts w:ascii="Arial" w:hAnsi="Arial" w:eastAsia="Arial" w:cs="Arial"/>
          <w:b w:val="1"/>
          <w:bCs w:val="1"/>
          <w:noProof w:val="0"/>
          <w:sz w:val="32"/>
          <w:szCs w:val="32"/>
          <w:lang w:val="en-GB"/>
        </w:rPr>
        <w:t>References</w:t>
      </w:r>
    </w:p>
    <w:p xmlns:wp14="http://schemas.microsoft.com/office/word/2010/wordml" w:rsidP="3500602F" wp14:paraId="4B35D67F" wp14:textId="1EFC59C2">
      <w:pPr>
        <w:spacing w:before="240" w:beforeAutospacing="off" w:after="240" w:afterAutospacing="off"/>
      </w:pPr>
      <w:r w:rsidRPr="3500602F" w:rsidR="7CF07943">
        <w:rPr>
          <w:rFonts w:ascii="Arial" w:hAnsi="Arial" w:eastAsia="Arial" w:cs="Arial"/>
          <w:noProof w:val="0"/>
          <w:sz w:val="22"/>
          <w:szCs w:val="22"/>
          <w:lang w:val="en-GB"/>
        </w:rPr>
        <w:t xml:space="preserve">Ansoff, H.I. (1957) 'Strategies for diversification', </w:t>
      </w:r>
      <w:r w:rsidRPr="3500602F" w:rsidR="7CF07943">
        <w:rPr>
          <w:rFonts w:ascii="Arial" w:hAnsi="Arial" w:eastAsia="Arial" w:cs="Arial"/>
          <w:i w:val="1"/>
          <w:iCs w:val="1"/>
          <w:noProof w:val="0"/>
          <w:sz w:val="22"/>
          <w:szCs w:val="22"/>
          <w:lang w:val="en-GB"/>
        </w:rPr>
        <w:t>Harvard Business Review</w:t>
      </w:r>
      <w:r w:rsidRPr="3500602F" w:rsidR="7CF07943">
        <w:rPr>
          <w:rFonts w:ascii="Arial" w:hAnsi="Arial" w:eastAsia="Arial" w:cs="Arial"/>
          <w:noProof w:val="0"/>
          <w:sz w:val="22"/>
          <w:szCs w:val="22"/>
          <w:lang w:val="en-GB"/>
        </w:rPr>
        <w:t>, 35(5), pp. 113–124.</w:t>
      </w:r>
    </w:p>
    <w:p xmlns:wp14="http://schemas.microsoft.com/office/word/2010/wordml" w:rsidP="6CDA924B" wp14:paraId="0AC52A53" wp14:textId="251FFCEA">
      <w:pPr>
        <w:pStyle w:val="Normal"/>
        <w:spacing w:before="240" w:beforeAutospacing="off" w:after="240" w:afterAutospacing="off"/>
      </w:pPr>
      <w:r w:rsidRPr="6CDA924B" w:rsidR="635DC590">
        <w:rPr>
          <w:rFonts w:ascii="Arial" w:hAnsi="Arial" w:eastAsia="Arial" w:cs="Arial"/>
          <w:noProof w:val="0"/>
          <w:sz w:val="22"/>
          <w:szCs w:val="22"/>
          <w:lang w:val="en-GB"/>
        </w:rPr>
        <w:t xml:space="preserve">Australian Government, Department of Climate Change, Energy, the Environment and Water (2024) </w:t>
      </w:r>
      <w:r w:rsidRPr="6CDA924B" w:rsidR="635DC590">
        <w:rPr>
          <w:rFonts w:ascii="Arial" w:hAnsi="Arial" w:eastAsia="Arial" w:cs="Arial"/>
          <w:i w:val="1"/>
          <w:iCs w:val="1"/>
          <w:noProof w:val="0"/>
          <w:sz w:val="22"/>
          <w:szCs w:val="22"/>
          <w:lang w:val="en-GB"/>
        </w:rPr>
        <w:t>Safeguard Mechanism: About the Safeguard Mechanism and the reforms</w:t>
      </w:r>
      <w:r w:rsidRPr="6CDA924B" w:rsidR="635DC590">
        <w:rPr>
          <w:rFonts w:ascii="Arial" w:hAnsi="Arial" w:eastAsia="Arial" w:cs="Arial"/>
          <w:noProof w:val="0"/>
          <w:sz w:val="22"/>
          <w:szCs w:val="22"/>
          <w:lang w:val="en-GB"/>
        </w:rPr>
        <w:t>. Canberra: Australian Government.</w:t>
      </w:r>
    </w:p>
    <w:p xmlns:wp14="http://schemas.microsoft.com/office/word/2010/wordml" w:rsidP="6CDA924B" wp14:paraId="57AE00D7" wp14:textId="27BF758D">
      <w:pPr>
        <w:pStyle w:val="Normal"/>
        <w:spacing w:before="240" w:beforeAutospacing="off" w:after="240" w:afterAutospacing="off"/>
      </w:pPr>
      <w:r w:rsidRPr="6CDA924B" w:rsidR="591816AC">
        <w:rPr>
          <w:rFonts w:ascii="Arial" w:hAnsi="Arial" w:eastAsia="Arial" w:cs="Arial"/>
          <w:noProof w:val="0"/>
          <w:sz w:val="22"/>
          <w:szCs w:val="22"/>
          <w:lang w:val="en-GB"/>
        </w:rPr>
        <w:t xml:space="preserve"> </w:t>
      </w:r>
      <w:r w:rsidRPr="6CDA924B" w:rsidR="591816AC">
        <w:rPr>
          <w:rFonts w:ascii="Arial" w:hAnsi="Arial" w:eastAsia="Arial" w:cs="Arial"/>
          <w:noProof w:val="0"/>
          <w:sz w:val="22"/>
          <w:szCs w:val="22"/>
          <w:lang w:val="en-GB"/>
        </w:rPr>
        <w:t>BHP (2026a) Annual Report 2026. Available at:</w:t>
      </w:r>
      <w:r w:rsidRPr="6CDA924B" w:rsidR="591816AC">
        <w:rPr>
          <w:rFonts w:ascii="Arial" w:hAnsi="Arial" w:eastAsia="Arial" w:cs="Arial"/>
          <w:noProof w:val="0"/>
          <w:color w:val="auto"/>
          <w:sz w:val="22"/>
          <w:szCs w:val="22"/>
          <w:lang w:val="en-GB"/>
        </w:rPr>
        <w:t xml:space="preserve"> </w:t>
      </w:r>
      <w:hyperlink r:id="R4bd90e74f7274fe8">
        <w:r w:rsidRPr="6CDA924B" w:rsidR="591816AC">
          <w:rPr>
            <w:rStyle w:val="Hyperlink"/>
            <w:noProof w:val="0"/>
            <w:color w:val="auto"/>
            <w:lang w:val="en-GB"/>
          </w:rPr>
          <w:t>BHP Annual Report 2026</w:t>
        </w:r>
      </w:hyperlink>
      <w:r w:rsidRPr="6CDA924B" w:rsidR="591816AC">
        <w:rPr>
          <w:rFonts w:ascii="Arial" w:hAnsi="Arial" w:eastAsia="Arial" w:cs="Arial"/>
          <w:noProof w:val="0"/>
          <w:sz w:val="22"/>
          <w:szCs w:val="22"/>
          <w:lang w:val="en-GB"/>
        </w:rPr>
        <w:t xml:space="preserve"> </w:t>
      </w:r>
      <w:r w:rsidRPr="6CDA924B" w:rsidR="591816AC">
        <w:rPr>
          <w:rFonts w:ascii="Arial" w:hAnsi="Arial" w:eastAsia="Arial" w:cs="Arial"/>
          <w:noProof w:val="0"/>
          <w:sz w:val="22"/>
          <w:szCs w:val="22"/>
          <w:lang w:val="en-GB"/>
        </w:rPr>
        <w:t>(Accessed: 15 October 2026).</w:t>
      </w:r>
    </w:p>
    <w:p xmlns:wp14="http://schemas.microsoft.com/office/word/2010/wordml" w:rsidP="3500602F" wp14:paraId="0E8C8190" wp14:textId="37EE2458">
      <w:pPr>
        <w:spacing w:before="240" w:beforeAutospacing="off" w:after="240" w:afterAutospacing="off"/>
      </w:pPr>
      <w:r w:rsidRPr="6CDA924B" w:rsidR="635DC590">
        <w:rPr>
          <w:rFonts w:ascii="Arial" w:hAnsi="Arial" w:eastAsia="Arial" w:cs="Arial"/>
          <w:noProof w:val="0"/>
          <w:sz w:val="22"/>
          <w:szCs w:val="22"/>
          <w:lang w:val="en-GB"/>
        </w:rPr>
        <w:t xml:space="preserve">BHP (2026a) </w:t>
      </w:r>
      <w:r w:rsidRPr="6CDA924B" w:rsidR="635DC590">
        <w:rPr>
          <w:rFonts w:ascii="Arial" w:hAnsi="Arial" w:eastAsia="Arial" w:cs="Arial"/>
          <w:i w:val="1"/>
          <w:iCs w:val="1"/>
          <w:noProof w:val="0"/>
          <w:sz w:val="22"/>
          <w:szCs w:val="22"/>
          <w:lang w:val="en-GB"/>
        </w:rPr>
        <w:t>Climate change</w:t>
      </w:r>
      <w:r w:rsidRPr="6CDA924B" w:rsidR="635DC590">
        <w:rPr>
          <w:rFonts w:ascii="Arial" w:hAnsi="Arial" w:eastAsia="Arial" w:cs="Arial"/>
          <w:noProof w:val="0"/>
          <w:sz w:val="22"/>
          <w:szCs w:val="22"/>
          <w:lang w:val="en-GB"/>
        </w:rPr>
        <w:t>. BHP.</w:t>
      </w:r>
      <w:r w:rsidRPr="6CDA924B" w:rsidR="4ACD61E4">
        <w:rPr>
          <w:rFonts w:ascii="Arial" w:hAnsi="Arial" w:eastAsia="Arial" w:cs="Arial"/>
          <w:noProof w:val="0"/>
          <w:sz w:val="22"/>
          <w:szCs w:val="22"/>
          <w:lang w:val="en-GB"/>
        </w:rPr>
        <w:t xml:space="preserve"> </w:t>
      </w:r>
    </w:p>
    <w:p xmlns:wp14="http://schemas.microsoft.com/office/word/2010/wordml" w:rsidP="3500602F" wp14:paraId="0D5CD760" wp14:textId="16771081">
      <w:pPr>
        <w:spacing w:before="240" w:beforeAutospacing="off" w:after="240" w:afterAutospacing="off"/>
      </w:pPr>
      <w:r w:rsidRPr="6CDA924B" w:rsidR="4ACD61E4">
        <w:rPr>
          <w:rFonts w:ascii="Arial" w:hAnsi="Arial" w:eastAsia="Arial" w:cs="Arial"/>
          <w:noProof w:val="0"/>
          <w:sz w:val="22"/>
          <w:szCs w:val="22"/>
          <w:lang w:val="en-GB"/>
        </w:rPr>
        <w:t xml:space="preserve">BHP (2026d) </w:t>
      </w:r>
      <w:r w:rsidRPr="6CDA924B" w:rsidR="4ACD61E4">
        <w:rPr>
          <w:rFonts w:ascii="Arial" w:hAnsi="Arial" w:eastAsia="Arial" w:cs="Arial"/>
          <w:i w:val="1"/>
          <w:iCs w:val="1"/>
          <w:noProof w:val="0"/>
          <w:sz w:val="22"/>
          <w:szCs w:val="22"/>
          <w:lang w:val="en-GB"/>
        </w:rPr>
        <w:t>From mines to megawatts: BMA's renewable power move</w:t>
      </w:r>
      <w:r w:rsidRPr="6CDA924B" w:rsidR="4ACD61E4">
        <w:rPr>
          <w:rFonts w:ascii="Arial" w:hAnsi="Arial" w:eastAsia="Arial" w:cs="Arial"/>
          <w:noProof w:val="0"/>
          <w:sz w:val="22"/>
          <w:szCs w:val="22"/>
          <w:lang w:val="en-GB"/>
        </w:rPr>
        <w:t>. BHP, 26 August.</w:t>
      </w:r>
    </w:p>
    <w:p xmlns:wp14="http://schemas.microsoft.com/office/word/2010/wordml" w:rsidP="6CDA924B" wp14:paraId="605C38A5" wp14:textId="38B4D897">
      <w:pPr>
        <w:pStyle w:val="Normal"/>
        <w:spacing w:before="240" w:beforeAutospacing="off" w:after="240" w:afterAutospacing="off"/>
      </w:pPr>
      <w:r w:rsidRPr="6CDA924B" w:rsidR="3ECD6CE4">
        <w:rPr>
          <w:rFonts w:ascii="Arial" w:hAnsi="Arial" w:eastAsia="Arial" w:cs="Arial"/>
          <w:noProof w:val="0"/>
          <w:sz w:val="22"/>
          <w:szCs w:val="22"/>
          <w:lang w:val="en-GB"/>
        </w:rPr>
        <w:t>BHP (2026b) 'Industry-first pilot for lower emissions copper market', 22 September. Available at:</w:t>
      </w:r>
      <w:r w:rsidRPr="6CDA924B" w:rsidR="3ECD6CE4">
        <w:rPr>
          <w:rFonts w:ascii="Arial" w:hAnsi="Arial" w:eastAsia="Arial" w:cs="Arial"/>
          <w:noProof w:val="0"/>
          <w:color w:val="auto"/>
          <w:sz w:val="22"/>
          <w:szCs w:val="22"/>
          <w:lang w:val="en-GB"/>
        </w:rPr>
        <w:t xml:space="preserve"> </w:t>
      </w:r>
      <w:hyperlink r:id="R10e91d7d5f254bf2">
        <w:r w:rsidRPr="6CDA924B" w:rsidR="3ECD6CE4">
          <w:rPr>
            <w:rStyle w:val="Hyperlink"/>
            <w:noProof w:val="0"/>
            <w:color w:val="auto"/>
            <w:lang w:val="en-GB"/>
          </w:rPr>
          <w:t>BHP Lower Emissions Copper Pilot</w:t>
        </w:r>
      </w:hyperlink>
      <w:r w:rsidRPr="6CDA924B" w:rsidR="3ECD6CE4">
        <w:rPr>
          <w:rFonts w:ascii="Arial" w:hAnsi="Arial" w:eastAsia="Arial" w:cs="Arial"/>
          <w:noProof w:val="0"/>
          <w:color w:val="auto"/>
          <w:sz w:val="22"/>
          <w:szCs w:val="22"/>
          <w:lang w:val="en-GB"/>
        </w:rPr>
        <w:t xml:space="preserve"> </w:t>
      </w:r>
      <w:r w:rsidRPr="6CDA924B" w:rsidR="3ECD6CE4">
        <w:rPr>
          <w:rFonts w:ascii="Arial" w:hAnsi="Arial" w:eastAsia="Arial" w:cs="Arial"/>
          <w:noProof w:val="0"/>
          <w:color w:val="auto"/>
          <w:sz w:val="22"/>
          <w:szCs w:val="22"/>
          <w:lang w:val="en-GB"/>
        </w:rPr>
        <w:t>(</w:t>
      </w:r>
      <w:r w:rsidRPr="6CDA924B" w:rsidR="3ECD6CE4">
        <w:rPr>
          <w:rFonts w:ascii="Arial" w:hAnsi="Arial" w:eastAsia="Arial" w:cs="Arial"/>
          <w:noProof w:val="0"/>
          <w:sz w:val="22"/>
          <w:szCs w:val="22"/>
          <w:lang w:val="en-GB"/>
        </w:rPr>
        <w:t>Accessed: 15 October 2026).</w:t>
      </w:r>
    </w:p>
    <w:p xmlns:wp14="http://schemas.microsoft.com/office/word/2010/wordml" w:rsidP="6CDA924B" wp14:paraId="5E5D58D2" wp14:textId="16D98F0D">
      <w:pPr>
        <w:pStyle w:val="Normal"/>
        <w:spacing w:before="240" w:beforeAutospacing="off" w:after="240" w:afterAutospacing="off"/>
      </w:pPr>
      <w:r w:rsidRPr="6CDA924B" w:rsidR="635DC590">
        <w:rPr>
          <w:rFonts w:ascii="Arial" w:hAnsi="Arial" w:eastAsia="Arial" w:cs="Arial"/>
          <w:noProof w:val="0"/>
          <w:sz w:val="22"/>
          <w:szCs w:val="22"/>
          <w:lang w:val="en-GB"/>
        </w:rPr>
        <w:t xml:space="preserve">BHP (2026b) </w:t>
      </w:r>
      <w:r w:rsidRPr="6CDA924B" w:rsidR="635DC590">
        <w:rPr>
          <w:rFonts w:ascii="Arial" w:hAnsi="Arial" w:eastAsia="Arial" w:cs="Arial"/>
          <w:i w:val="1"/>
          <w:iCs w:val="1"/>
          <w:noProof w:val="0"/>
          <w:sz w:val="22"/>
          <w:szCs w:val="22"/>
          <w:lang w:val="en-GB"/>
        </w:rPr>
        <w:t>Operational GHG emissions (Scopes 1 and 2 emissions from our operated assets)</w:t>
      </w:r>
      <w:r w:rsidRPr="6CDA924B" w:rsidR="635DC590">
        <w:rPr>
          <w:rFonts w:ascii="Arial" w:hAnsi="Arial" w:eastAsia="Arial" w:cs="Arial"/>
          <w:noProof w:val="0"/>
          <w:sz w:val="22"/>
          <w:szCs w:val="22"/>
          <w:lang w:val="en-GB"/>
        </w:rPr>
        <w:t>. BHP.</w:t>
      </w:r>
    </w:p>
    <w:p xmlns:wp14="http://schemas.microsoft.com/office/word/2010/wordml" w:rsidP="3500602F" wp14:paraId="020BAF92" wp14:textId="618A8CC0">
      <w:pPr>
        <w:spacing w:before="240" w:beforeAutospacing="off" w:after="240" w:afterAutospacing="off"/>
      </w:pPr>
      <w:r w:rsidRPr="6CDA924B" w:rsidR="635DC590">
        <w:rPr>
          <w:rFonts w:ascii="Arial" w:hAnsi="Arial" w:eastAsia="Arial" w:cs="Arial"/>
          <w:noProof w:val="0"/>
          <w:sz w:val="22"/>
          <w:szCs w:val="22"/>
          <w:lang w:val="en-GB"/>
        </w:rPr>
        <w:t xml:space="preserve">BHP (2026c) </w:t>
      </w:r>
      <w:r w:rsidRPr="6CDA924B" w:rsidR="635DC590">
        <w:rPr>
          <w:rFonts w:ascii="Arial" w:hAnsi="Arial" w:eastAsia="Arial" w:cs="Arial"/>
          <w:i w:val="1"/>
          <w:iCs w:val="1"/>
          <w:noProof w:val="0"/>
          <w:sz w:val="22"/>
          <w:szCs w:val="22"/>
          <w:lang w:val="en-GB"/>
        </w:rPr>
        <w:t>Why electrification is gaining momentum across Australia's mining sector</w:t>
      </w:r>
      <w:r w:rsidRPr="6CDA924B" w:rsidR="635DC590">
        <w:rPr>
          <w:rFonts w:ascii="Arial" w:hAnsi="Arial" w:eastAsia="Arial" w:cs="Arial"/>
          <w:noProof w:val="0"/>
          <w:sz w:val="22"/>
          <w:szCs w:val="22"/>
          <w:lang w:val="en-GB"/>
        </w:rPr>
        <w:t>. BHP, 23 June.</w:t>
      </w:r>
    </w:p>
    <w:p xmlns:wp14="http://schemas.microsoft.com/office/word/2010/wordml" w:rsidP="3500602F" wp14:paraId="2FDE6BBD" wp14:textId="65A75E1C">
      <w:pPr>
        <w:spacing w:before="240" w:beforeAutospacing="off" w:after="240" w:afterAutospacing="off"/>
      </w:pPr>
      <w:r w:rsidRPr="3500602F" w:rsidR="635DC590">
        <w:rPr>
          <w:rFonts w:ascii="Arial" w:hAnsi="Arial" w:eastAsia="Arial" w:cs="Arial"/>
          <w:noProof w:val="0"/>
          <w:sz w:val="22"/>
          <w:szCs w:val="22"/>
          <w:lang w:val="en-GB"/>
        </w:rPr>
        <w:t xml:space="preserve">BHP (2026e) </w:t>
      </w:r>
      <w:r w:rsidRPr="3500602F" w:rsidR="635DC590">
        <w:rPr>
          <w:rFonts w:ascii="Arial" w:hAnsi="Arial" w:eastAsia="Arial" w:cs="Arial"/>
          <w:i w:val="1"/>
          <w:iCs w:val="1"/>
          <w:noProof w:val="0"/>
          <w:sz w:val="22"/>
          <w:szCs w:val="22"/>
          <w:lang w:val="en-GB"/>
        </w:rPr>
        <w:t>Value chain GHG emission reductions</w:t>
      </w:r>
      <w:r w:rsidRPr="3500602F" w:rsidR="635DC590">
        <w:rPr>
          <w:rFonts w:ascii="Arial" w:hAnsi="Arial" w:eastAsia="Arial" w:cs="Arial"/>
          <w:noProof w:val="0"/>
          <w:sz w:val="22"/>
          <w:szCs w:val="22"/>
          <w:lang w:val="en-GB"/>
        </w:rPr>
        <w:t>. BHP.</w:t>
      </w:r>
    </w:p>
    <w:p xmlns:wp14="http://schemas.microsoft.com/office/word/2010/wordml" w:rsidP="3500602F" wp14:paraId="19ABE77C" wp14:textId="34BD6DAE">
      <w:pPr>
        <w:spacing w:before="240" w:beforeAutospacing="off" w:after="240" w:afterAutospacing="off"/>
      </w:pPr>
      <w:r w:rsidRPr="3500602F" w:rsidR="635DC590">
        <w:rPr>
          <w:rFonts w:ascii="Arial" w:hAnsi="Arial" w:eastAsia="Arial" w:cs="Arial"/>
          <w:noProof w:val="0"/>
          <w:sz w:val="22"/>
          <w:szCs w:val="22"/>
          <w:lang w:val="en-GB"/>
        </w:rPr>
        <w:t xml:space="preserve">BHP (2026f) </w:t>
      </w:r>
      <w:r w:rsidRPr="3500602F" w:rsidR="635DC590">
        <w:rPr>
          <w:rFonts w:ascii="Arial" w:hAnsi="Arial" w:eastAsia="Arial" w:cs="Arial"/>
          <w:i w:val="1"/>
          <w:iCs w:val="1"/>
          <w:noProof w:val="0"/>
          <w:sz w:val="22"/>
          <w:szCs w:val="22"/>
          <w:lang w:val="en-GB"/>
        </w:rPr>
        <w:t>BHP and China Baowu renew steel decarbonisation partnership</w:t>
      </w:r>
      <w:r w:rsidRPr="3500602F" w:rsidR="635DC590">
        <w:rPr>
          <w:rFonts w:ascii="Arial" w:hAnsi="Arial" w:eastAsia="Arial" w:cs="Arial"/>
          <w:noProof w:val="0"/>
          <w:sz w:val="22"/>
          <w:szCs w:val="22"/>
          <w:lang w:val="en-GB"/>
        </w:rPr>
        <w:t>. BHP, 21 September.</w:t>
      </w:r>
    </w:p>
    <w:p xmlns:wp14="http://schemas.microsoft.com/office/word/2010/wordml" w:rsidP="3500602F" wp14:paraId="7C3FB9FC" wp14:textId="69048A60">
      <w:pPr>
        <w:spacing w:before="240" w:beforeAutospacing="off" w:after="240" w:afterAutospacing="off"/>
      </w:pPr>
      <w:r w:rsidRPr="3500602F" w:rsidR="635DC590">
        <w:rPr>
          <w:rFonts w:ascii="Arial" w:hAnsi="Arial" w:eastAsia="Arial" w:cs="Arial"/>
          <w:noProof w:val="0"/>
          <w:sz w:val="22"/>
          <w:szCs w:val="22"/>
          <w:lang w:val="en-GB"/>
        </w:rPr>
        <w:t xml:space="preserve">BHP (2026g) </w:t>
      </w:r>
      <w:r w:rsidRPr="3500602F" w:rsidR="635DC590">
        <w:rPr>
          <w:rFonts w:ascii="Arial" w:hAnsi="Arial" w:eastAsia="Arial" w:cs="Arial"/>
          <w:i w:val="1"/>
          <w:iCs w:val="1"/>
          <w:noProof w:val="0"/>
          <w:sz w:val="22"/>
          <w:szCs w:val="22"/>
          <w:lang w:val="en-GB"/>
        </w:rPr>
        <w:t>Local communities</w:t>
      </w:r>
      <w:r w:rsidRPr="3500602F" w:rsidR="635DC590">
        <w:rPr>
          <w:rFonts w:ascii="Arial" w:hAnsi="Arial" w:eastAsia="Arial" w:cs="Arial"/>
          <w:noProof w:val="0"/>
          <w:sz w:val="22"/>
          <w:szCs w:val="22"/>
          <w:lang w:val="en-GB"/>
        </w:rPr>
        <w:t>. BHP.</w:t>
      </w:r>
    </w:p>
    <w:p xmlns:wp14="http://schemas.microsoft.com/office/word/2010/wordml" w:rsidP="3500602F" wp14:paraId="2FD32536" wp14:textId="4E2AEA36">
      <w:pPr>
        <w:spacing w:before="240" w:beforeAutospacing="off" w:after="240" w:afterAutospacing="off"/>
      </w:pPr>
      <w:r w:rsidRPr="3500602F" w:rsidR="635DC590">
        <w:rPr>
          <w:rFonts w:ascii="Arial" w:hAnsi="Arial" w:eastAsia="Arial" w:cs="Arial"/>
          <w:noProof w:val="0"/>
          <w:sz w:val="22"/>
          <w:szCs w:val="22"/>
          <w:lang w:val="en-GB"/>
        </w:rPr>
        <w:t xml:space="preserve">BHP (2026h) </w:t>
      </w:r>
      <w:r w:rsidRPr="3500602F" w:rsidR="635DC590">
        <w:rPr>
          <w:rFonts w:ascii="Arial" w:hAnsi="Arial" w:eastAsia="Arial" w:cs="Arial"/>
          <w:i w:val="1"/>
          <w:iCs w:val="1"/>
          <w:noProof w:val="0"/>
          <w:sz w:val="22"/>
          <w:szCs w:val="22"/>
          <w:lang w:val="en-GB"/>
        </w:rPr>
        <w:t>Social value</w:t>
      </w:r>
      <w:r w:rsidRPr="3500602F" w:rsidR="635DC590">
        <w:rPr>
          <w:rFonts w:ascii="Arial" w:hAnsi="Arial" w:eastAsia="Arial" w:cs="Arial"/>
          <w:noProof w:val="0"/>
          <w:sz w:val="22"/>
          <w:szCs w:val="22"/>
          <w:lang w:val="en-GB"/>
        </w:rPr>
        <w:t>. BHP.</w:t>
      </w:r>
    </w:p>
    <w:p xmlns:wp14="http://schemas.microsoft.com/office/word/2010/wordml" w:rsidP="3500602F" wp14:paraId="4C4E2F0F" wp14:textId="494DF458">
      <w:pPr>
        <w:spacing w:before="240" w:beforeAutospacing="off" w:after="240" w:afterAutospacing="off"/>
      </w:pPr>
      <w:r w:rsidRPr="3500602F" w:rsidR="635DC590">
        <w:rPr>
          <w:rFonts w:ascii="Arial" w:hAnsi="Arial" w:eastAsia="Arial" w:cs="Arial"/>
          <w:noProof w:val="0"/>
          <w:sz w:val="22"/>
          <w:szCs w:val="22"/>
          <w:lang w:val="en-GB"/>
        </w:rPr>
        <w:t xml:space="preserve">BHP (2026i) </w:t>
      </w:r>
      <w:r w:rsidRPr="3500602F" w:rsidR="635DC590">
        <w:rPr>
          <w:rFonts w:ascii="Arial" w:hAnsi="Arial" w:eastAsia="Arial" w:cs="Arial"/>
          <w:i w:val="1"/>
          <w:iCs w:val="1"/>
          <w:noProof w:val="0"/>
          <w:sz w:val="22"/>
          <w:szCs w:val="22"/>
          <w:lang w:val="en-GB"/>
        </w:rPr>
        <w:t>Economic contribution</w:t>
      </w:r>
      <w:r w:rsidRPr="3500602F" w:rsidR="635DC590">
        <w:rPr>
          <w:rFonts w:ascii="Arial" w:hAnsi="Arial" w:eastAsia="Arial" w:cs="Arial"/>
          <w:noProof w:val="0"/>
          <w:sz w:val="22"/>
          <w:szCs w:val="22"/>
          <w:lang w:val="en-GB"/>
        </w:rPr>
        <w:t>. BHP.</w:t>
      </w:r>
    </w:p>
    <w:p xmlns:wp14="http://schemas.microsoft.com/office/word/2010/wordml" w:rsidP="3500602F" wp14:paraId="78F4C5CE" wp14:textId="4696994D">
      <w:pPr>
        <w:spacing w:before="240" w:beforeAutospacing="off" w:after="240" w:afterAutospacing="off"/>
      </w:pPr>
      <w:r w:rsidRPr="3500602F" w:rsidR="635DC590">
        <w:rPr>
          <w:rFonts w:ascii="Arial" w:hAnsi="Arial" w:eastAsia="Arial" w:cs="Arial"/>
          <w:noProof w:val="0"/>
          <w:sz w:val="22"/>
          <w:szCs w:val="22"/>
          <w:lang w:val="en-GB"/>
        </w:rPr>
        <w:t xml:space="preserve">International Energy Agency (IEA) (2025) </w:t>
      </w:r>
      <w:r w:rsidRPr="3500602F" w:rsidR="635DC590">
        <w:rPr>
          <w:rFonts w:ascii="Arial" w:hAnsi="Arial" w:eastAsia="Arial" w:cs="Arial"/>
          <w:i w:val="1"/>
          <w:iCs w:val="1"/>
          <w:noProof w:val="0"/>
          <w:sz w:val="22"/>
          <w:szCs w:val="22"/>
          <w:lang w:val="en-GB"/>
        </w:rPr>
        <w:t>Global Critical Minerals Outlook 2025</w:t>
      </w:r>
      <w:r w:rsidRPr="3500602F" w:rsidR="635DC590">
        <w:rPr>
          <w:rFonts w:ascii="Arial" w:hAnsi="Arial" w:eastAsia="Arial" w:cs="Arial"/>
          <w:noProof w:val="0"/>
          <w:sz w:val="22"/>
          <w:szCs w:val="22"/>
          <w:lang w:val="en-GB"/>
        </w:rPr>
        <w:t>. Paris: IEA.</w:t>
      </w:r>
    </w:p>
    <w:p xmlns:wp14="http://schemas.microsoft.com/office/word/2010/wordml" w:rsidP="3500602F" wp14:paraId="6EC2A3C5" wp14:textId="45756B7E">
      <w:pPr>
        <w:spacing w:before="240" w:beforeAutospacing="off" w:after="240" w:afterAutospacing="off"/>
      </w:pPr>
      <w:r w:rsidRPr="3500602F" w:rsidR="48ED1FE0">
        <w:rPr>
          <w:rFonts w:ascii="Arial" w:hAnsi="Arial" w:eastAsia="Arial" w:cs="Arial"/>
          <w:noProof w:val="0"/>
          <w:sz w:val="22"/>
          <w:szCs w:val="22"/>
          <w:lang w:val="en-GB"/>
        </w:rPr>
        <w:t xml:space="preserve">BHP (2024) </w:t>
      </w:r>
      <w:r w:rsidRPr="3500602F" w:rsidR="48ED1FE0">
        <w:rPr>
          <w:rFonts w:ascii="Arial" w:hAnsi="Arial" w:eastAsia="Arial" w:cs="Arial"/>
          <w:i w:val="1"/>
          <w:iCs w:val="1"/>
          <w:noProof w:val="0"/>
          <w:sz w:val="22"/>
          <w:szCs w:val="22"/>
          <w:lang w:val="en-GB"/>
        </w:rPr>
        <w:t>Climate Transition Action Plan 2024</w:t>
      </w:r>
      <w:r w:rsidRPr="3500602F" w:rsidR="48ED1FE0">
        <w:rPr>
          <w:rFonts w:ascii="Arial" w:hAnsi="Arial" w:eastAsia="Arial" w:cs="Arial"/>
          <w:noProof w:val="0"/>
          <w:sz w:val="22"/>
          <w:szCs w:val="22"/>
          <w:lang w:val="en-GB"/>
        </w:rPr>
        <w:t>. Melbourne: BHP.</w:t>
      </w:r>
    </w:p>
    <w:p xmlns:wp14="http://schemas.microsoft.com/office/word/2010/wordml" w:rsidP="3500602F" wp14:paraId="721CF504" wp14:textId="1C767FD7">
      <w:pPr>
        <w:spacing w:before="240" w:beforeAutospacing="off" w:after="240" w:afterAutospacing="off"/>
      </w:pPr>
      <w:r w:rsidRPr="3500602F" w:rsidR="48ED1FE0">
        <w:rPr>
          <w:rFonts w:ascii="Arial" w:hAnsi="Arial" w:eastAsia="Arial" w:cs="Arial"/>
          <w:noProof w:val="0"/>
          <w:sz w:val="22"/>
          <w:szCs w:val="22"/>
          <w:lang w:val="en-GB"/>
        </w:rPr>
        <w:t xml:space="preserve">Delmas, M.A. and Burbano, V.C. (2011) 'The drivers of greenwashing', </w:t>
      </w:r>
      <w:r w:rsidRPr="3500602F" w:rsidR="48ED1FE0">
        <w:rPr>
          <w:rFonts w:ascii="Arial" w:hAnsi="Arial" w:eastAsia="Arial" w:cs="Arial"/>
          <w:i w:val="1"/>
          <w:iCs w:val="1"/>
          <w:noProof w:val="0"/>
          <w:sz w:val="22"/>
          <w:szCs w:val="22"/>
          <w:lang w:val="en-GB"/>
        </w:rPr>
        <w:t>California Management Review</w:t>
      </w:r>
      <w:r w:rsidRPr="3500602F" w:rsidR="48ED1FE0">
        <w:rPr>
          <w:rFonts w:ascii="Arial" w:hAnsi="Arial" w:eastAsia="Arial" w:cs="Arial"/>
          <w:noProof w:val="0"/>
          <w:sz w:val="22"/>
          <w:szCs w:val="22"/>
          <w:lang w:val="en-GB"/>
        </w:rPr>
        <w:t>, 54(1), pp. 64–8</w:t>
      </w:r>
    </w:p>
    <w:p xmlns:wp14="http://schemas.microsoft.com/office/word/2010/wordml" w:rsidP="3500602F" wp14:paraId="3860EE1E" wp14:textId="69A99689">
      <w:pPr>
        <w:bidi w:val="0"/>
        <w:spacing w:before="240" w:beforeAutospacing="off" w:after="240" w:afterAutospacing="off"/>
        <w:rPr>
          <w:rFonts w:ascii="Arial" w:hAnsi="Arial" w:eastAsia="Arial" w:cs="Arial"/>
          <w:noProof w:val="0"/>
          <w:sz w:val="22"/>
          <w:szCs w:val="22"/>
          <w:lang w:val="en-GB"/>
        </w:rPr>
      </w:pPr>
      <w:r w:rsidRPr="3500602F" w:rsidR="1F4C4F9A">
        <w:rPr>
          <w:rFonts w:ascii="Arial" w:hAnsi="Arial" w:eastAsia="Arial" w:cs="Arial"/>
          <w:noProof w:val="0"/>
          <w:sz w:val="22"/>
          <w:szCs w:val="22"/>
          <w:lang w:val="en-GB"/>
        </w:rPr>
        <w:t xml:space="preserve">Gibbs, G. (1988) </w:t>
      </w:r>
      <w:r w:rsidRPr="3500602F" w:rsidR="1F4C4F9A">
        <w:rPr>
          <w:rFonts w:ascii="Arial" w:hAnsi="Arial" w:eastAsia="Arial" w:cs="Arial"/>
          <w:i w:val="1"/>
          <w:iCs w:val="1"/>
          <w:noProof w:val="0"/>
          <w:sz w:val="22"/>
          <w:szCs w:val="22"/>
          <w:lang w:val="en-GB"/>
        </w:rPr>
        <w:t>Learning by Doing: A Guide to Teaching and Learning Methods</w:t>
      </w:r>
      <w:r w:rsidRPr="3500602F" w:rsidR="1F4C4F9A">
        <w:rPr>
          <w:rFonts w:ascii="Arial" w:hAnsi="Arial" w:eastAsia="Arial" w:cs="Arial"/>
          <w:noProof w:val="0"/>
          <w:sz w:val="22"/>
          <w:szCs w:val="22"/>
          <w:lang w:val="en-GB"/>
        </w:rPr>
        <w:t>. Oxford: Further Education Unit, Oxford Polytechnic.</w:t>
      </w:r>
    </w:p>
    <w:p xmlns:wp14="http://schemas.microsoft.com/office/word/2010/wordml" w:rsidP="3500602F" wp14:paraId="68E51F2F" wp14:textId="10252C19">
      <w:pPr>
        <w:spacing w:before="240" w:beforeAutospacing="off" w:after="240" w:afterAutospacing="off"/>
      </w:pPr>
      <w:r w:rsidRPr="3500602F" w:rsidR="48ED1FE0">
        <w:rPr>
          <w:rFonts w:ascii="Arial" w:hAnsi="Arial" w:eastAsia="Arial" w:cs="Arial"/>
          <w:noProof w:val="0"/>
          <w:sz w:val="22"/>
          <w:szCs w:val="22"/>
          <w:lang w:val="en-GB"/>
        </w:rPr>
        <w:t xml:space="preserve">International Energy Agency (IEA) (2025) </w:t>
      </w:r>
      <w:r w:rsidRPr="3500602F" w:rsidR="48ED1FE0">
        <w:rPr>
          <w:rFonts w:ascii="Arial" w:hAnsi="Arial" w:eastAsia="Arial" w:cs="Arial"/>
          <w:i w:val="1"/>
          <w:iCs w:val="1"/>
          <w:noProof w:val="0"/>
          <w:sz w:val="22"/>
          <w:szCs w:val="22"/>
          <w:lang w:val="en-GB"/>
        </w:rPr>
        <w:t>Global Critical Minerals Outlook 2025</w:t>
      </w:r>
      <w:r w:rsidRPr="3500602F" w:rsidR="48ED1FE0">
        <w:rPr>
          <w:rFonts w:ascii="Arial" w:hAnsi="Arial" w:eastAsia="Arial" w:cs="Arial"/>
          <w:noProof w:val="0"/>
          <w:sz w:val="22"/>
          <w:szCs w:val="22"/>
          <w:lang w:val="en-GB"/>
        </w:rPr>
        <w:t>. Paris: International Energy Agency.</w:t>
      </w:r>
    </w:p>
    <w:p xmlns:wp14="http://schemas.microsoft.com/office/word/2010/wordml" w:rsidP="3500602F" wp14:paraId="7398DFA4" wp14:textId="7FD84A98">
      <w:pPr>
        <w:spacing w:before="240" w:beforeAutospacing="off" w:after="240" w:afterAutospacing="off"/>
      </w:pPr>
      <w:r w:rsidRPr="6CDA924B" w:rsidR="48ED1FE0">
        <w:rPr>
          <w:rFonts w:ascii="Arial" w:hAnsi="Arial" w:eastAsia="Arial" w:cs="Arial"/>
          <w:noProof w:val="0"/>
          <w:sz w:val="22"/>
          <w:szCs w:val="22"/>
          <w:lang w:val="en-GB"/>
        </w:rPr>
        <w:t xml:space="preserve">Porter, M.E. (1985) </w:t>
      </w:r>
      <w:r w:rsidRPr="6CDA924B" w:rsidR="48ED1FE0">
        <w:rPr>
          <w:rFonts w:ascii="Arial" w:hAnsi="Arial" w:eastAsia="Arial" w:cs="Arial"/>
          <w:i w:val="1"/>
          <w:iCs w:val="1"/>
          <w:noProof w:val="0"/>
          <w:sz w:val="22"/>
          <w:szCs w:val="22"/>
          <w:lang w:val="en-GB"/>
        </w:rPr>
        <w:t>Competitive Advantage: Creating and Sustaining Superior Performance</w:t>
      </w:r>
      <w:r w:rsidRPr="6CDA924B" w:rsidR="48ED1FE0">
        <w:rPr>
          <w:rFonts w:ascii="Arial" w:hAnsi="Arial" w:eastAsia="Arial" w:cs="Arial"/>
          <w:noProof w:val="0"/>
          <w:sz w:val="22"/>
          <w:szCs w:val="22"/>
          <w:lang w:val="en-GB"/>
        </w:rPr>
        <w:t>. New York: Free Press.</w:t>
      </w:r>
    </w:p>
    <w:p w:rsidR="6CDA924B" w:rsidP="6CDA924B" w:rsidRDefault="6CDA924B" w14:paraId="4A2A3033" w14:textId="2AB39178">
      <w:pPr>
        <w:spacing w:before="240" w:beforeAutospacing="off" w:after="240" w:afterAutospacing="off"/>
        <w:rPr>
          <w:rFonts w:ascii="Arial" w:hAnsi="Arial" w:eastAsia="Arial" w:cs="Arial"/>
          <w:noProof w:val="0"/>
          <w:sz w:val="22"/>
          <w:szCs w:val="22"/>
          <w:lang w:val="en-GB"/>
        </w:rPr>
      </w:pPr>
    </w:p>
    <w:p xmlns:wp14="http://schemas.microsoft.com/office/word/2010/wordml" w:rsidP="3500602F" wp14:paraId="4A171478" wp14:textId="160BEC01">
      <w:pPr>
        <w:spacing w:before="240" w:beforeAutospacing="off" w:after="240" w:afterAutospacing="off"/>
        <w:rPr>
          <w:rFonts w:ascii="Arial" w:hAnsi="Arial" w:eastAsia="Arial" w:cs="Arial"/>
          <w:noProof w:val="0"/>
          <w:sz w:val="22"/>
          <w:szCs w:val="22"/>
          <w:lang w:val="en-GB"/>
        </w:rPr>
      </w:pPr>
    </w:p>
    <w:p xmlns:wp14="http://schemas.microsoft.com/office/word/2010/wordml" w:rsidP="3500602F" wp14:paraId="36F794DB" wp14:textId="2A9695DB">
      <w:pPr>
        <w:spacing w:before="240" w:beforeAutospacing="off" w:after="240" w:afterAutospacing="off"/>
        <w:rPr>
          <w:rFonts w:ascii="Arial" w:hAnsi="Arial" w:eastAsia="Arial" w:cs="Arial"/>
          <w:noProof w:val="0"/>
          <w:sz w:val="22"/>
          <w:szCs w:val="22"/>
          <w:lang w:val="en-GB"/>
        </w:rPr>
      </w:pPr>
    </w:p>
    <w:p xmlns:wp14="http://schemas.microsoft.com/office/word/2010/wordml" w:rsidP="3500602F" wp14:paraId="28AD5E2C" wp14:textId="37A3DB21">
      <w:pPr>
        <w:pStyle w:val="Normal"/>
        <w:spacing w:before="0" w:beforeAutospacing="off" w:after="0" w:afterAutospacing="off"/>
        <w:ind w:left="0" w:right="0" w:firstLine="0"/>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p14:paraId="5E5787A5" wp14:textId="76E60B1B"/>
    <w:sectPr>
      <w:pgSz w:w="11906" w:h="16838" w:orient="portrait"/>
      <w:pgMar w:top="1440" w:right="1440" w:bottom="1440" w:left="1440" w:header="720" w:footer="720" w:gutter="0"/>
      <w:cols w:space="720"/>
      <w:docGrid w:linePitch="360"/>
      <w:headerReference w:type="default" r:id="Rcccab079e3a34096"/>
      <w:footerReference w:type="default" r:id="R0157bcd8c5074b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00602F" w:rsidTr="3500602F" w14:paraId="6CE388D1">
      <w:trPr>
        <w:trHeight w:val="300"/>
      </w:trPr>
      <w:tc>
        <w:tcPr>
          <w:tcW w:w="3005" w:type="dxa"/>
          <w:tcMar/>
        </w:tcPr>
        <w:p w:rsidR="3500602F" w:rsidP="3500602F" w:rsidRDefault="3500602F" w14:paraId="5821E965" w14:textId="12C6300D">
          <w:pPr>
            <w:pStyle w:val="Header"/>
            <w:bidi w:val="0"/>
            <w:ind w:left="-115"/>
            <w:jc w:val="left"/>
          </w:pPr>
        </w:p>
      </w:tc>
      <w:tc>
        <w:tcPr>
          <w:tcW w:w="3005" w:type="dxa"/>
          <w:tcMar/>
        </w:tcPr>
        <w:p w:rsidR="3500602F" w:rsidP="3500602F" w:rsidRDefault="3500602F" w14:paraId="2BEF4A2C" w14:textId="648AC94F">
          <w:pPr>
            <w:pStyle w:val="Header"/>
            <w:bidi w:val="0"/>
            <w:jc w:val="center"/>
          </w:pPr>
          <w:r>
            <w:fldChar w:fldCharType="begin"/>
          </w:r>
          <w:r>
            <w:instrText xml:space="preserve">PAGE</w:instrText>
          </w:r>
          <w:r>
            <w:fldChar w:fldCharType="separate"/>
          </w:r>
          <w:r>
            <w:fldChar w:fldCharType="end"/>
          </w:r>
        </w:p>
      </w:tc>
      <w:tc>
        <w:tcPr>
          <w:tcW w:w="3005" w:type="dxa"/>
          <w:tcMar/>
        </w:tcPr>
        <w:p w:rsidR="3500602F" w:rsidP="3500602F" w:rsidRDefault="3500602F" w14:paraId="2AF8EDBE" w14:textId="7DA5CE2A">
          <w:pPr>
            <w:pStyle w:val="Header"/>
            <w:bidi w:val="0"/>
            <w:ind w:right="-115"/>
            <w:jc w:val="right"/>
          </w:pPr>
        </w:p>
      </w:tc>
    </w:tr>
  </w:tbl>
  <w:p w:rsidR="3500602F" w:rsidP="3500602F" w:rsidRDefault="3500602F" w14:paraId="079BD4AE" w14:textId="000EAE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00602F" w:rsidTr="3500602F" w14:paraId="0038512C">
      <w:trPr>
        <w:trHeight w:val="300"/>
      </w:trPr>
      <w:tc>
        <w:tcPr>
          <w:tcW w:w="3005" w:type="dxa"/>
          <w:tcMar/>
        </w:tcPr>
        <w:p w:rsidR="3500602F" w:rsidP="3500602F" w:rsidRDefault="3500602F" w14:paraId="497A88CB" w14:textId="34BAF5D7">
          <w:pPr>
            <w:pStyle w:val="Header"/>
            <w:bidi w:val="0"/>
            <w:ind w:left="-115"/>
            <w:jc w:val="left"/>
          </w:pPr>
        </w:p>
      </w:tc>
      <w:tc>
        <w:tcPr>
          <w:tcW w:w="3005" w:type="dxa"/>
          <w:tcMar/>
        </w:tcPr>
        <w:p w:rsidR="3500602F" w:rsidP="3500602F" w:rsidRDefault="3500602F" w14:paraId="4FEFD2CA" w14:textId="1B72AF78">
          <w:pPr>
            <w:pStyle w:val="Header"/>
            <w:bidi w:val="0"/>
            <w:jc w:val="center"/>
          </w:pPr>
        </w:p>
      </w:tc>
      <w:tc>
        <w:tcPr>
          <w:tcW w:w="3005" w:type="dxa"/>
          <w:tcMar/>
        </w:tcPr>
        <w:p w:rsidR="3500602F" w:rsidP="3500602F" w:rsidRDefault="3500602F" w14:paraId="5A6265AC" w14:textId="472B68F5">
          <w:pPr>
            <w:pStyle w:val="Header"/>
            <w:bidi w:val="0"/>
            <w:ind w:right="-115"/>
            <w:jc w:val="right"/>
          </w:pPr>
        </w:p>
      </w:tc>
    </w:tr>
  </w:tbl>
  <w:p w:rsidR="3500602F" w:rsidP="3500602F" w:rsidRDefault="3500602F" w14:paraId="75ADD935" w14:textId="1E19D34F">
    <w:pPr>
      <w:pStyle w:val="Header"/>
      <w:bidi w:val="0"/>
    </w:pPr>
  </w:p>
</w:hdr>
</file>

<file path=word/intelligence2.xml><?xml version="1.0" encoding="utf-8"?>
<int2:intelligence xmlns:int2="http://schemas.microsoft.com/office/intelligence/2020/intelligence">
  <int2:observations>
    <int2:textHash int2:hashCode="hhZl/C49RqWALW" int2:id="qOI8ur79">
      <int2:state int2:type="spell" int2:value="Rejected"/>
    </int2:textHash>
    <int2:textHash int2:hashCode="bzZZvmsF+2MStn" int2:id="a0p7wgPe">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5b07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187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CA9679"/>
    <w:rsid w:val="00033AA8"/>
    <w:rsid w:val="00033AA8"/>
    <w:rsid w:val="002A7660"/>
    <w:rsid w:val="0063A9CF"/>
    <w:rsid w:val="01213A1F"/>
    <w:rsid w:val="014798F7"/>
    <w:rsid w:val="016EE22A"/>
    <w:rsid w:val="017FC61B"/>
    <w:rsid w:val="023BFC90"/>
    <w:rsid w:val="028705A1"/>
    <w:rsid w:val="02C105D8"/>
    <w:rsid w:val="03C13607"/>
    <w:rsid w:val="045FE05B"/>
    <w:rsid w:val="04B31B39"/>
    <w:rsid w:val="050BC6EF"/>
    <w:rsid w:val="050BC6EF"/>
    <w:rsid w:val="0512FBAA"/>
    <w:rsid w:val="0572B852"/>
    <w:rsid w:val="06849333"/>
    <w:rsid w:val="06B3AE50"/>
    <w:rsid w:val="06C8C081"/>
    <w:rsid w:val="06FBEE26"/>
    <w:rsid w:val="074A1072"/>
    <w:rsid w:val="07CEBB82"/>
    <w:rsid w:val="08345A46"/>
    <w:rsid w:val="085A032F"/>
    <w:rsid w:val="08AD888C"/>
    <w:rsid w:val="08EB8218"/>
    <w:rsid w:val="08F86FC9"/>
    <w:rsid w:val="09373DAF"/>
    <w:rsid w:val="099DFF67"/>
    <w:rsid w:val="09DBBAE0"/>
    <w:rsid w:val="0A14A2F0"/>
    <w:rsid w:val="0A82E803"/>
    <w:rsid w:val="0AAA3C31"/>
    <w:rsid w:val="0B2ADE72"/>
    <w:rsid w:val="0BB3182B"/>
    <w:rsid w:val="0C4CEEF1"/>
    <w:rsid w:val="0D308825"/>
    <w:rsid w:val="0D33436B"/>
    <w:rsid w:val="0DE877C9"/>
    <w:rsid w:val="0DE877C9"/>
    <w:rsid w:val="0E47262A"/>
    <w:rsid w:val="0E56CD1F"/>
    <w:rsid w:val="0E56CD1F"/>
    <w:rsid w:val="0FAB9A62"/>
    <w:rsid w:val="0FDA2267"/>
    <w:rsid w:val="10A64DD5"/>
    <w:rsid w:val="10DA638C"/>
    <w:rsid w:val="111DA0E4"/>
    <w:rsid w:val="11A687D8"/>
    <w:rsid w:val="11D5B44F"/>
    <w:rsid w:val="11E843B8"/>
    <w:rsid w:val="12EEEEE2"/>
    <w:rsid w:val="13FB4FCA"/>
    <w:rsid w:val="14B92900"/>
    <w:rsid w:val="14B92900"/>
    <w:rsid w:val="15245CC9"/>
    <w:rsid w:val="153C0E3F"/>
    <w:rsid w:val="156DA244"/>
    <w:rsid w:val="16654CBD"/>
    <w:rsid w:val="169E1784"/>
    <w:rsid w:val="169E1784"/>
    <w:rsid w:val="16F74C9F"/>
    <w:rsid w:val="1708727C"/>
    <w:rsid w:val="173065FE"/>
    <w:rsid w:val="17734538"/>
    <w:rsid w:val="183F56F4"/>
    <w:rsid w:val="184D5619"/>
    <w:rsid w:val="1868BD0A"/>
    <w:rsid w:val="186DC8AB"/>
    <w:rsid w:val="18ED6F51"/>
    <w:rsid w:val="1939EAF0"/>
    <w:rsid w:val="1948524B"/>
    <w:rsid w:val="196F3BFD"/>
    <w:rsid w:val="1984243F"/>
    <w:rsid w:val="19B81B68"/>
    <w:rsid w:val="1AC07818"/>
    <w:rsid w:val="1AD1D183"/>
    <w:rsid w:val="1AE2EF1B"/>
    <w:rsid w:val="1AE2EF1B"/>
    <w:rsid w:val="1B06792E"/>
    <w:rsid w:val="1B552920"/>
    <w:rsid w:val="1B8DEE42"/>
    <w:rsid w:val="1BDA9BA2"/>
    <w:rsid w:val="1BF2E084"/>
    <w:rsid w:val="1C1521D0"/>
    <w:rsid w:val="1C60B830"/>
    <w:rsid w:val="1CC1E27D"/>
    <w:rsid w:val="1D103DEC"/>
    <w:rsid w:val="1D548907"/>
    <w:rsid w:val="1DCECFF7"/>
    <w:rsid w:val="1DCECFF7"/>
    <w:rsid w:val="1F4C4F9A"/>
    <w:rsid w:val="1FC67F8F"/>
    <w:rsid w:val="1FCA2A46"/>
    <w:rsid w:val="204DEA7C"/>
    <w:rsid w:val="204DEA7C"/>
    <w:rsid w:val="2109A727"/>
    <w:rsid w:val="213109C8"/>
    <w:rsid w:val="215065E8"/>
    <w:rsid w:val="21CD006E"/>
    <w:rsid w:val="223D989F"/>
    <w:rsid w:val="22EDFD24"/>
    <w:rsid w:val="22F70091"/>
    <w:rsid w:val="23A76D49"/>
    <w:rsid w:val="24EE83E3"/>
    <w:rsid w:val="2550AFD1"/>
    <w:rsid w:val="2595D16B"/>
    <w:rsid w:val="260CBFDE"/>
    <w:rsid w:val="26686224"/>
    <w:rsid w:val="26790568"/>
    <w:rsid w:val="26C18FD0"/>
    <w:rsid w:val="2700FC78"/>
    <w:rsid w:val="271FCCBD"/>
    <w:rsid w:val="274E7230"/>
    <w:rsid w:val="27D26C69"/>
    <w:rsid w:val="27D26C69"/>
    <w:rsid w:val="283CC88A"/>
    <w:rsid w:val="28B28A7B"/>
    <w:rsid w:val="2965890E"/>
    <w:rsid w:val="2985210B"/>
    <w:rsid w:val="2AECC296"/>
    <w:rsid w:val="2AECC296"/>
    <w:rsid w:val="2CB74DF6"/>
    <w:rsid w:val="2CBDBF56"/>
    <w:rsid w:val="2CC238A2"/>
    <w:rsid w:val="2D73733D"/>
    <w:rsid w:val="2E02651B"/>
    <w:rsid w:val="2E549953"/>
    <w:rsid w:val="2E6371BB"/>
    <w:rsid w:val="2F56F542"/>
    <w:rsid w:val="2F75CADC"/>
    <w:rsid w:val="3032048D"/>
    <w:rsid w:val="3068FDD9"/>
    <w:rsid w:val="32112BD6"/>
    <w:rsid w:val="3274A9D3"/>
    <w:rsid w:val="329B8206"/>
    <w:rsid w:val="3346978C"/>
    <w:rsid w:val="337CEA89"/>
    <w:rsid w:val="34137ACE"/>
    <w:rsid w:val="3465CD6A"/>
    <w:rsid w:val="3465CD6A"/>
    <w:rsid w:val="34696913"/>
    <w:rsid w:val="34A609F7"/>
    <w:rsid w:val="3500602F"/>
    <w:rsid w:val="3588B17F"/>
    <w:rsid w:val="35C143F9"/>
    <w:rsid w:val="3620F9AF"/>
    <w:rsid w:val="36990728"/>
    <w:rsid w:val="36B3819D"/>
    <w:rsid w:val="377046C3"/>
    <w:rsid w:val="37A99672"/>
    <w:rsid w:val="37E2DD20"/>
    <w:rsid w:val="385C69F5"/>
    <w:rsid w:val="393D5EEA"/>
    <w:rsid w:val="397CE005"/>
    <w:rsid w:val="397F9DA0"/>
    <w:rsid w:val="3A957A85"/>
    <w:rsid w:val="3B335450"/>
    <w:rsid w:val="3B3E8517"/>
    <w:rsid w:val="3BC366CC"/>
    <w:rsid w:val="3BECA92F"/>
    <w:rsid w:val="3CD16F33"/>
    <w:rsid w:val="3CDF838E"/>
    <w:rsid w:val="3CE764DA"/>
    <w:rsid w:val="3D0819F9"/>
    <w:rsid w:val="3DCA9679"/>
    <w:rsid w:val="3DD9F441"/>
    <w:rsid w:val="3DD9F441"/>
    <w:rsid w:val="3E85D250"/>
    <w:rsid w:val="3E8BE86F"/>
    <w:rsid w:val="3ECD6CE4"/>
    <w:rsid w:val="3F61470A"/>
    <w:rsid w:val="3F77E0A8"/>
    <w:rsid w:val="3FAE0251"/>
    <w:rsid w:val="3FD7A13F"/>
    <w:rsid w:val="408DBFE6"/>
    <w:rsid w:val="40C66E40"/>
    <w:rsid w:val="41743E7B"/>
    <w:rsid w:val="418A99EA"/>
    <w:rsid w:val="421AA032"/>
    <w:rsid w:val="42294E90"/>
    <w:rsid w:val="42DC9E78"/>
    <w:rsid w:val="43C577A3"/>
    <w:rsid w:val="4429913B"/>
    <w:rsid w:val="44C5A3D0"/>
    <w:rsid w:val="46042035"/>
    <w:rsid w:val="466EB1DE"/>
    <w:rsid w:val="46C9BD1F"/>
    <w:rsid w:val="46F28496"/>
    <w:rsid w:val="47457F7C"/>
    <w:rsid w:val="481CD116"/>
    <w:rsid w:val="481CD116"/>
    <w:rsid w:val="48DA683E"/>
    <w:rsid w:val="48ED1FE0"/>
    <w:rsid w:val="49B14507"/>
    <w:rsid w:val="4A7438CD"/>
    <w:rsid w:val="4AC60EDA"/>
    <w:rsid w:val="4AC60EDA"/>
    <w:rsid w:val="4ACD61E4"/>
    <w:rsid w:val="4B144352"/>
    <w:rsid w:val="4B18CB56"/>
    <w:rsid w:val="4BFDF448"/>
    <w:rsid w:val="4C0E2061"/>
    <w:rsid w:val="4C70FEAA"/>
    <w:rsid w:val="4CBC1BF2"/>
    <w:rsid w:val="4D54C42B"/>
    <w:rsid w:val="4D54C42B"/>
    <w:rsid w:val="4DCC5EC7"/>
    <w:rsid w:val="4DDAFE3C"/>
    <w:rsid w:val="4E0138B1"/>
    <w:rsid w:val="4F8DC78C"/>
    <w:rsid w:val="4FB5DABA"/>
    <w:rsid w:val="4FB5DABA"/>
    <w:rsid w:val="4FB666AE"/>
    <w:rsid w:val="4FD22C02"/>
    <w:rsid w:val="50832F49"/>
    <w:rsid w:val="50ACF1C8"/>
    <w:rsid w:val="519B4257"/>
    <w:rsid w:val="529D2E55"/>
    <w:rsid w:val="52C9EE5A"/>
    <w:rsid w:val="5304CC43"/>
    <w:rsid w:val="534452E7"/>
    <w:rsid w:val="53CEC511"/>
    <w:rsid w:val="547A967F"/>
    <w:rsid w:val="54CC1D90"/>
    <w:rsid w:val="5520378B"/>
    <w:rsid w:val="55972FAF"/>
    <w:rsid w:val="55C4A259"/>
    <w:rsid w:val="56872ED7"/>
    <w:rsid w:val="578450B0"/>
    <w:rsid w:val="57985761"/>
    <w:rsid w:val="58ED239D"/>
    <w:rsid w:val="591816AC"/>
    <w:rsid w:val="5941D831"/>
    <w:rsid w:val="5A25A8F3"/>
    <w:rsid w:val="5AAF82CD"/>
    <w:rsid w:val="5AAF905C"/>
    <w:rsid w:val="5B6EF68C"/>
    <w:rsid w:val="5C74726B"/>
    <w:rsid w:val="5CD71010"/>
    <w:rsid w:val="5D6E8F55"/>
    <w:rsid w:val="5DBFCEC6"/>
    <w:rsid w:val="5E6F42BC"/>
    <w:rsid w:val="5EA2F84A"/>
    <w:rsid w:val="5EA2F84A"/>
    <w:rsid w:val="5F28990B"/>
    <w:rsid w:val="5FBBAD3A"/>
    <w:rsid w:val="60819DDB"/>
    <w:rsid w:val="60EFD876"/>
    <w:rsid w:val="61B2E022"/>
    <w:rsid w:val="622C976E"/>
    <w:rsid w:val="62F3539B"/>
    <w:rsid w:val="635DC590"/>
    <w:rsid w:val="63693ED4"/>
    <w:rsid w:val="638908AE"/>
    <w:rsid w:val="63C4C4DC"/>
    <w:rsid w:val="6450A837"/>
    <w:rsid w:val="64693989"/>
    <w:rsid w:val="64693989"/>
    <w:rsid w:val="64F673BD"/>
    <w:rsid w:val="6504D2B8"/>
    <w:rsid w:val="654679DE"/>
    <w:rsid w:val="656F38FF"/>
    <w:rsid w:val="65E5DE08"/>
    <w:rsid w:val="66DA5970"/>
    <w:rsid w:val="67F5ECB9"/>
    <w:rsid w:val="6886D674"/>
    <w:rsid w:val="689697FD"/>
    <w:rsid w:val="68EE7204"/>
    <w:rsid w:val="694122C3"/>
    <w:rsid w:val="696B0BA2"/>
    <w:rsid w:val="69C8AB54"/>
    <w:rsid w:val="69C8AB54"/>
    <w:rsid w:val="6A1DC570"/>
    <w:rsid w:val="6A8FEE7F"/>
    <w:rsid w:val="6AD388DA"/>
    <w:rsid w:val="6B120972"/>
    <w:rsid w:val="6B2FF8E1"/>
    <w:rsid w:val="6B4E1C16"/>
    <w:rsid w:val="6B847B03"/>
    <w:rsid w:val="6BFFA9AF"/>
    <w:rsid w:val="6C7507EE"/>
    <w:rsid w:val="6C8CDD5B"/>
    <w:rsid w:val="6CDA924B"/>
    <w:rsid w:val="6CE1A8F8"/>
    <w:rsid w:val="6D11EF2E"/>
    <w:rsid w:val="6DC2DD5C"/>
    <w:rsid w:val="6DFAC759"/>
    <w:rsid w:val="6E7646C3"/>
    <w:rsid w:val="6ECA647C"/>
    <w:rsid w:val="70044760"/>
    <w:rsid w:val="701803C0"/>
    <w:rsid w:val="7068D14E"/>
    <w:rsid w:val="71CABA51"/>
    <w:rsid w:val="72DC3EF2"/>
    <w:rsid w:val="72DE786C"/>
    <w:rsid w:val="73BE763B"/>
    <w:rsid w:val="73F367F7"/>
    <w:rsid w:val="74476B32"/>
    <w:rsid w:val="747DFEA4"/>
    <w:rsid w:val="752EEEC4"/>
    <w:rsid w:val="768D0936"/>
    <w:rsid w:val="76C30DC1"/>
    <w:rsid w:val="76E24C09"/>
    <w:rsid w:val="776C4466"/>
    <w:rsid w:val="780CF489"/>
    <w:rsid w:val="7845F6CF"/>
    <w:rsid w:val="78A37551"/>
    <w:rsid w:val="78D593CA"/>
    <w:rsid w:val="78D593CA"/>
    <w:rsid w:val="79408D6B"/>
    <w:rsid w:val="794BE716"/>
    <w:rsid w:val="79ED006D"/>
    <w:rsid w:val="79FE5BD1"/>
    <w:rsid w:val="7A3400EF"/>
    <w:rsid w:val="7C7D3EA0"/>
    <w:rsid w:val="7C848DF4"/>
    <w:rsid w:val="7CF07943"/>
    <w:rsid w:val="7D296E6C"/>
    <w:rsid w:val="7D4E9184"/>
    <w:rsid w:val="7D4E9F95"/>
    <w:rsid w:val="7DC5F51B"/>
    <w:rsid w:val="7DD0C490"/>
    <w:rsid w:val="7E041E7A"/>
    <w:rsid w:val="7E53E460"/>
    <w:rsid w:val="7EA552ED"/>
    <w:rsid w:val="7EC85ADA"/>
    <w:rsid w:val="7FB3A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41D38"/>
  <w15:chartTrackingRefBased/>
  <w15:docId w15:val="{B6B40579-6024-4404-8D9F-76DDBBC9C2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500602F"/>
    <w:pPr>
      <w:spacing/>
      <w:ind w:left="720"/>
      <w:contextualSpacing/>
    </w:pPr>
  </w:style>
  <w:style w:type="paragraph" w:styleId="Heading1">
    <w:uiPriority w:val="9"/>
    <w:name w:val="heading 1"/>
    <w:basedOn w:val="Normal"/>
    <w:next w:val="Normal"/>
    <w:qFormat/>
    <w:rsid w:val="350060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0060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00602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3500602F"/>
    <w:pPr>
      <w:tabs>
        <w:tab w:val="center" w:leader="none" w:pos="4680"/>
        <w:tab w:val="right" w:leader="none" w:pos="9360"/>
      </w:tabs>
      <w:spacing w:after="0" w:line="240" w:lineRule="auto"/>
    </w:pPr>
  </w:style>
  <w:style w:type="paragraph" w:styleId="Footer">
    <w:uiPriority w:val="99"/>
    <w:name w:val="footer"/>
    <w:basedOn w:val="Normal"/>
    <w:unhideWhenUsed/>
    <w:rsid w:val="3500602F"/>
    <w:pPr>
      <w:tabs>
        <w:tab w:val="center" w:leader="none" w:pos="4680"/>
        <w:tab w:val="right" w:leader="none" w:pos="9360"/>
      </w:tabs>
      <w:spacing w:after="0" w:line="240" w:lineRule="auto"/>
    </w:pPr>
  </w:style>
  <w:style w:type="paragraph" w:styleId="TOC1">
    <w:uiPriority w:val="39"/>
    <w:name w:val="toc 1"/>
    <w:basedOn w:val="Normal"/>
    <w:next w:val="Normal"/>
    <w:unhideWhenUsed/>
    <w:rsid w:val="3500602F"/>
    <w:pPr>
      <w:spacing w:after="100"/>
    </w:pPr>
  </w:style>
  <w:style w:type="paragraph" w:styleId="TOC2">
    <w:uiPriority w:val="39"/>
    <w:name w:val="toc 2"/>
    <w:basedOn w:val="Normal"/>
    <w:next w:val="Normal"/>
    <w:unhideWhenUsed/>
    <w:rsid w:val="3500602F"/>
    <w:pPr>
      <w:spacing w:after="100"/>
      <w:ind w:left="220"/>
    </w:pPr>
  </w:style>
  <w:style w:type="paragraph" w:styleId="TOC3">
    <w:uiPriority w:val="39"/>
    <w:name w:val="toc 3"/>
    <w:basedOn w:val="Normal"/>
    <w:next w:val="Normal"/>
    <w:unhideWhenUsed/>
    <w:rsid w:val="3500602F"/>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 w:type="character" w:styleId="Hyperlink">
    <w:uiPriority w:val="99"/>
    <w:name w:val="Hyperlink"/>
    <w:basedOn w:val="DefaultParagraphFont"/>
    <w:unhideWhenUsed/>
    <w:rsid w:val="6CDA924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40933305" /><Relationship Type="http://schemas.openxmlformats.org/officeDocument/2006/relationships/header" Target="/word/header.xml" Id="Rcccab079e3a34096" /><Relationship Type="http://schemas.openxmlformats.org/officeDocument/2006/relationships/footer" Target="/word/footer.xml" Id="R0157bcd8c5074b12" /><Relationship Type="http://schemas.microsoft.com/office/2020/10/relationships/intelligence" Target="/word/intelligence2.xml" Id="R9991252434754ac2" /><Relationship Type="http://schemas.openxmlformats.org/officeDocument/2006/relationships/numbering" Target="/word/numbering.xml" Id="Re67a5d30e2fc4fdc" /><Relationship Type="http://schemas.openxmlformats.org/officeDocument/2006/relationships/hyperlink" Target="https://www.bhp.com/investor-centre/reports-and-presentations/annual-report" TargetMode="External" Id="R4bd90e74f7274fe8" /><Relationship Type="http://schemas.openxmlformats.org/officeDocument/2006/relationships/hyperlink" Target="https://www.bhp.com/news/media-centre/releases/2026/09/industry-first-pilot-for-lower-emissions-copper-market" TargetMode="External" Id="R10e91d7d5f254b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Abena Amankwaa Frempong (2237667)</dc:creator>
  <keywords/>
  <dc:description/>
  <lastModifiedBy>Abena Amankwaa Frempong (2237667)</lastModifiedBy>
  <revision>7</revision>
  <dcterms:created xsi:type="dcterms:W3CDTF">2026-10-05T10:17:04.6071515Z</dcterms:created>
  <dcterms:modified xsi:type="dcterms:W3CDTF">2026-10-21T08:55:10.9643636Z</dcterms:modified>
</coreProperties>
</file>