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F15759" w14:paraId="061C7317" wp14:textId="470159F1">
      <w:pPr>
        <w:pStyle w:val="Normal"/>
        <w:rPr>
          <w:rFonts w:ascii="Arial Nova" w:hAnsi="Arial Nova" w:eastAsia="Arial Nova" w:cs="Arial Nova"/>
          <w:b w:val="1"/>
          <w:bCs w:val="1"/>
          <w:sz w:val="24"/>
          <w:szCs w:val="24"/>
        </w:rPr>
      </w:pPr>
      <w:r w:rsidRPr="4FF15759" w:rsidR="53721CEF">
        <w:rPr>
          <w:rFonts w:ascii="Arial Nova" w:hAnsi="Arial Nova" w:eastAsia="Arial Nova" w:cs="Arial Nova"/>
          <w:b w:val="1"/>
          <w:bCs w:val="1"/>
          <w:sz w:val="24"/>
          <w:szCs w:val="24"/>
        </w:rPr>
        <w:t>Module:</w:t>
      </w:r>
      <w:r w:rsidRPr="4FF15759" w:rsidR="5A2C7C80">
        <w:rPr>
          <w:rFonts w:ascii="Arial Nova" w:hAnsi="Arial Nova" w:eastAsia="Arial Nova" w:cs="Arial Nova"/>
          <w:b w:val="1"/>
          <w:bCs w:val="1"/>
          <w:sz w:val="24"/>
          <w:szCs w:val="24"/>
        </w:rPr>
        <w:t xml:space="preserve"> BMLW 4007</w:t>
      </w:r>
    </w:p>
    <w:p xmlns:wp14="http://schemas.microsoft.com/office/word/2010/wordml" w:rsidP="4FF15759" w14:paraId="4A46D5EC" wp14:textId="33B79540">
      <w:pPr>
        <w:pStyle w:val="Normal"/>
        <w:rPr>
          <w:rFonts w:ascii="Arial Nova" w:hAnsi="Arial Nova" w:eastAsia="Arial Nova" w:cs="Arial Nova"/>
          <w:b w:val="1"/>
          <w:bCs w:val="1"/>
          <w:sz w:val="24"/>
          <w:szCs w:val="24"/>
        </w:rPr>
      </w:pPr>
      <w:r w:rsidRPr="4FF15759" w:rsidR="5A2C7C80">
        <w:rPr>
          <w:rFonts w:ascii="Arial Nova" w:hAnsi="Arial Nova" w:eastAsia="Arial Nova" w:cs="Arial Nova"/>
          <w:b w:val="1"/>
          <w:bCs w:val="1"/>
          <w:sz w:val="24"/>
          <w:szCs w:val="24"/>
        </w:rPr>
        <w:t xml:space="preserve">Student </w:t>
      </w:r>
      <w:bookmarkStart w:name="_Int_I7h8u2Wq" w:id="1606164082"/>
      <w:r w:rsidRPr="4FF15759" w:rsidR="5A2C7C80">
        <w:rPr>
          <w:rFonts w:ascii="Arial Nova" w:hAnsi="Arial Nova" w:eastAsia="Arial Nova" w:cs="Arial Nova"/>
          <w:b w:val="1"/>
          <w:bCs w:val="1"/>
          <w:sz w:val="24"/>
          <w:szCs w:val="24"/>
        </w:rPr>
        <w:t>ID:</w:t>
      </w:r>
      <w:bookmarkEnd w:id="1606164082"/>
      <w:r w:rsidRPr="4FF15759" w:rsidR="5A2C7C80">
        <w:rPr>
          <w:rFonts w:ascii="Arial Nova" w:hAnsi="Arial Nova" w:eastAsia="Arial Nova" w:cs="Arial Nova"/>
          <w:b w:val="1"/>
          <w:bCs w:val="1"/>
          <w:sz w:val="24"/>
          <w:szCs w:val="24"/>
        </w:rPr>
        <w:t xml:space="preserve">  </w:t>
      </w:r>
      <w:r w:rsidRPr="4FF15759" w:rsidR="75D75CCF">
        <w:rPr>
          <w:rFonts w:ascii="Arial Nova" w:hAnsi="Arial Nova" w:eastAsia="Arial Nova" w:cs="Arial Nova"/>
          <w:b w:val="1"/>
          <w:bCs w:val="1"/>
          <w:sz w:val="24"/>
          <w:szCs w:val="24"/>
        </w:rPr>
        <w:t>2229444</w:t>
      </w:r>
    </w:p>
    <w:p xmlns:wp14="http://schemas.microsoft.com/office/word/2010/wordml" w:rsidP="4FF15759" w14:paraId="66280DDF" wp14:textId="687FFCE3">
      <w:pPr>
        <w:pStyle w:val="Normal"/>
        <w:rPr>
          <w:rFonts w:ascii="Arial Nova" w:hAnsi="Arial Nova" w:eastAsia="Arial Nova" w:cs="Arial Nova"/>
          <w:sz w:val="24"/>
          <w:szCs w:val="24"/>
        </w:rPr>
      </w:pPr>
    </w:p>
    <w:p xmlns:wp14="http://schemas.microsoft.com/office/word/2010/wordml" w:rsidP="4FF15759" w14:paraId="00E84635" wp14:textId="36FAF70A">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The foundation of modern liberal democracies is </w:t>
      </w:r>
      <w:bookmarkStart w:name="_Int_9apf2PX9" w:id="1929624974"/>
      <w:r w:rsidRPr="4FF15759" w:rsidR="6C02EA2A">
        <w:rPr>
          <w:rFonts w:ascii="Arial Nova" w:hAnsi="Arial Nova" w:eastAsia="Arial Nova" w:cs="Arial Nova"/>
          <w:sz w:val="24"/>
          <w:szCs w:val="24"/>
        </w:rPr>
        <w:t>a number of</w:t>
      </w:r>
      <w:bookmarkEnd w:id="1929624974"/>
      <w:r w:rsidRPr="4FF15759" w:rsidR="6C02EA2A">
        <w:rPr>
          <w:rFonts w:ascii="Arial Nova" w:hAnsi="Arial Nova" w:eastAsia="Arial Nova" w:cs="Arial Nova"/>
          <w:sz w:val="24"/>
          <w:szCs w:val="24"/>
        </w:rPr>
        <w:t xml:space="preserve"> key governing principles (Mutua, 2017). The capacity to safeguard and defend human rights is one such precept. According to Mutua (2017), the state must make sure that part of its governance mandate includes </w:t>
      </w:r>
      <w:bookmarkStart w:name="_Int_m3jRJCF7" w:id="1114790964"/>
      <w:r w:rsidRPr="4FF15759" w:rsidR="6C02EA2A">
        <w:rPr>
          <w:rFonts w:ascii="Arial Nova" w:hAnsi="Arial Nova" w:eastAsia="Arial Nova" w:cs="Arial Nova"/>
          <w:sz w:val="24"/>
          <w:szCs w:val="24"/>
        </w:rPr>
        <w:t>a strong foundation</w:t>
      </w:r>
      <w:bookmarkEnd w:id="1114790964"/>
      <w:r w:rsidRPr="4FF15759" w:rsidR="6C02EA2A">
        <w:rPr>
          <w:rFonts w:ascii="Arial Nova" w:hAnsi="Arial Nova" w:eastAsia="Arial Nova" w:cs="Arial Nova"/>
          <w:sz w:val="24"/>
          <w:szCs w:val="24"/>
        </w:rPr>
        <w:t xml:space="preserve"> that grounds the equality of its people and inhabitants if it is to </w:t>
      </w:r>
      <w:r w:rsidRPr="4FF15759" w:rsidR="6C02EA2A">
        <w:rPr>
          <w:rFonts w:ascii="Arial Nova" w:hAnsi="Arial Nova" w:eastAsia="Arial Nova" w:cs="Arial Nova"/>
          <w:sz w:val="24"/>
          <w:szCs w:val="24"/>
        </w:rPr>
        <w:t>accomplish</w:t>
      </w:r>
      <w:r w:rsidRPr="4FF15759" w:rsidR="6C02EA2A">
        <w:rPr>
          <w:rFonts w:ascii="Arial Nova" w:hAnsi="Arial Nova" w:eastAsia="Arial Nova" w:cs="Arial Nova"/>
          <w:sz w:val="24"/>
          <w:szCs w:val="24"/>
        </w:rPr>
        <w:t xml:space="preserve"> this effectively. These characteristics make it legally necessary to have a human rights regime. According to Geddis (2006), the system of human rights law in the </w:t>
      </w:r>
      <w:bookmarkStart w:name="_Int_2JYECTfG" w:id="95365052"/>
      <w:r w:rsidRPr="4FF15759" w:rsidR="6C02EA2A">
        <w:rPr>
          <w:rFonts w:ascii="Arial Nova" w:hAnsi="Arial Nova" w:eastAsia="Arial Nova" w:cs="Arial Nova"/>
          <w:sz w:val="24"/>
          <w:szCs w:val="24"/>
        </w:rPr>
        <w:t>UK</w:t>
      </w:r>
      <w:bookmarkEnd w:id="95365052"/>
      <w:r w:rsidRPr="4FF15759" w:rsidR="6C02EA2A">
        <w:rPr>
          <w:rFonts w:ascii="Arial Nova" w:hAnsi="Arial Nova" w:eastAsia="Arial Nova" w:cs="Arial Nova"/>
          <w:sz w:val="24"/>
          <w:szCs w:val="24"/>
        </w:rPr>
        <w:t xml:space="preserve"> combines statute law, which is the supreme source of law, with conventions, parliamentary process, and common law. The UK enacted the 1998 Human Rights Act (1998), which domesticated the 1950 Convention's provisions, to better protect human rights. When the Bill of Rights Bill (2022) was introduced, it was intended to make </w:t>
      </w:r>
      <w:bookmarkStart w:name="_Int_8Rl3DRXS" w:id="1829839050"/>
      <w:r w:rsidRPr="4FF15759" w:rsidR="6C02EA2A">
        <w:rPr>
          <w:rFonts w:ascii="Arial Nova" w:hAnsi="Arial Nova" w:eastAsia="Arial Nova" w:cs="Arial Nova"/>
          <w:sz w:val="24"/>
          <w:szCs w:val="24"/>
        </w:rPr>
        <w:t>a number of</w:t>
      </w:r>
      <w:bookmarkEnd w:id="1829839050"/>
      <w:r w:rsidRPr="4FF15759" w:rsidR="6C02EA2A">
        <w:rPr>
          <w:rFonts w:ascii="Arial Nova" w:hAnsi="Arial Nova" w:eastAsia="Arial Nova" w:cs="Arial Nova"/>
          <w:sz w:val="24"/>
          <w:szCs w:val="24"/>
        </w:rPr>
        <w:t xml:space="preserve"> modifications that, should the Human Rights Act be repealed, might have a significant impact on access to justice and the rule of law.</w:t>
      </w:r>
    </w:p>
    <w:p xmlns:wp14="http://schemas.microsoft.com/office/word/2010/wordml" w:rsidP="4FF15759" w14:paraId="243C7975" wp14:textId="4129DFE1">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Foster (2022) asserts that the purpose of the Bill's introduction in 2022 was to repeal the Human Rights Act of 1998. The Bill aims to provide the human rights regime in the UK with the common-sense perspective that has been missing over the years. According to the Bill's authors, it aims to offer a strong defence and protection for people's fundamental rights while also strongly advocating for the public interest and modernizing the requirement to respect the wishes of Parliament as elected representatives. White (2022) claims that the Convention Rights and domestic courts' capacity to enforce them will be preserved by the Bill, together with the UK's participation in the Convention and its obligations to the government. Additionally, the Bill upholds the necessity of the activities (White 2022).</w:t>
      </w:r>
    </w:p>
    <w:p xmlns:wp14="http://schemas.microsoft.com/office/word/2010/wordml" w:rsidP="4FF15759" w14:paraId="3850F4B1" wp14:textId="1EF0DF78">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On the other hand, the Bill's amendments have broad implications. First off, the Bill weakens UK constitutional protections and democratic institutions. Furthermore, White (2022) asserts that curtailing the judiciary's authority leads to a concentration of power in the hands of the legislative. Additionally, courts </w:t>
      </w:r>
      <w:r w:rsidRPr="4FF15759" w:rsidR="6C02EA2A">
        <w:rPr>
          <w:rFonts w:ascii="Arial Nova" w:hAnsi="Arial Nova" w:eastAsia="Arial Nova" w:cs="Arial Nova"/>
          <w:sz w:val="24"/>
          <w:szCs w:val="24"/>
        </w:rPr>
        <w:t>are no longer required to</w:t>
      </w:r>
      <w:r w:rsidRPr="4FF15759" w:rsidR="6C02EA2A">
        <w:rPr>
          <w:rFonts w:ascii="Arial Nova" w:hAnsi="Arial Nova" w:eastAsia="Arial Nova" w:cs="Arial Nova"/>
          <w:sz w:val="24"/>
          <w:szCs w:val="24"/>
        </w:rPr>
        <w:t xml:space="preserve"> take the ECtHR's interpretation of a right into account. It prohibits courts from finding that a public entity was </w:t>
      </w:r>
      <w:r w:rsidRPr="4FF15759" w:rsidR="6C02EA2A">
        <w:rPr>
          <w:rFonts w:ascii="Arial Nova" w:hAnsi="Arial Nova" w:eastAsia="Arial Nova" w:cs="Arial Nova"/>
          <w:sz w:val="24"/>
          <w:szCs w:val="24"/>
        </w:rPr>
        <w:t>obligated</w:t>
      </w:r>
      <w:r w:rsidRPr="4FF15759" w:rsidR="6C02EA2A">
        <w:rPr>
          <w:rFonts w:ascii="Arial Nova" w:hAnsi="Arial Nova" w:eastAsia="Arial Nova" w:cs="Arial Nova"/>
          <w:sz w:val="24"/>
          <w:szCs w:val="24"/>
        </w:rPr>
        <w:t xml:space="preserve"> to take proactive steps to </w:t>
      </w:r>
      <w:r w:rsidRPr="4FF15759" w:rsidR="6C02EA2A">
        <w:rPr>
          <w:rFonts w:ascii="Arial Nova" w:hAnsi="Arial Nova" w:eastAsia="Arial Nova" w:cs="Arial Nova"/>
          <w:sz w:val="24"/>
          <w:szCs w:val="24"/>
        </w:rPr>
        <w:t>facilitate</w:t>
      </w:r>
      <w:r w:rsidRPr="4FF15759" w:rsidR="6C02EA2A">
        <w:rPr>
          <w:rFonts w:ascii="Arial Nova" w:hAnsi="Arial Nova" w:eastAsia="Arial Nova" w:cs="Arial Nova"/>
          <w:sz w:val="24"/>
          <w:szCs w:val="24"/>
        </w:rPr>
        <w:t xml:space="preserve">, safeguard, or fulfil a right, as well as requiring them to give priority to the opinions of parliament in balancing problems. Additionally, it halts allegations of violations of human rights resulting from military actions conducted abroad. Additionally, the Bill assigns the courts the responsibility of using a literal or textual interpretation of the rights guaranteed by the Convention. </w:t>
      </w:r>
      <w:bookmarkStart w:name="_Int_XWebusLZ" w:id="746218052"/>
      <w:r w:rsidRPr="4FF15759" w:rsidR="6C02EA2A">
        <w:rPr>
          <w:rFonts w:ascii="Arial Nova" w:hAnsi="Arial Nova" w:eastAsia="Arial Nova" w:cs="Arial Nova"/>
          <w:sz w:val="24"/>
          <w:szCs w:val="24"/>
        </w:rPr>
        <w:t>Last but not least</w:t>
      </w:r>
      <w:bookmarkEnd w:id="746218052"/>
      <w:r w:rsidRPr="4FF15759" w:rsidR="6C02EA2A">
        <w:rPr>
          <w:rFonts w:ascii="Arial Nova" w:hAnsi="Arial Nova" w:eastAsia="Arial Nova" w:cs="Arial Nova"/>
          <w:sz w:val="24"/>
          <w:szCs w:val="24"/>
        </w:rPr>
        <w:t xml:space="preserve">, White (2022) points out that the Bill </w:t>
      </w:r>
      <w:r w:rsidRPr="4FF15759" w:rsidR="6C02EA2A">
        <w:rPr>
          <w:rFonts w:ascii="Arial Nova" w:hAnsi="Arial Nova" w:eastAsia="Arial Nova" w:cs="Arial Nova"/>
          <w:sz w:val="24"/>
          <w:szCs w:val="24"/>
        </w:rPr>
        <w:t>establishes</w:t>
      </w:r>
      <w:r w:rsidRPr="4FF15759" w:rsidR="6C02EA2A">
        <w:rPr>
          <w:rFonts w:ascii="Arial Nova" w:hAnsi="Arial Nova" w:eastAsia="Arial Nova" w:cs="Arial Nova"/>
          <w:sz w:val="24"/>
          <w:szCs w:val="24"/>
        </w:rPr>
        <w:t xml:space="preserve"> a higher bar for deporting criminals with foreign nationalities that was missing in the </w:t>
      </w:r>
      <w:bookmarkStart w:name="_Int_V6JYbT4z" w:id="1886182196"/>
      <w:r w:rsidRPr="4FF15759" w:rsidR="6C02EA2A">
        <w:rPr>
          <w:rFonts w:ascii="Arial Nova" w:hAnsi="Arial Nova" w:eastAsia="Arial Nova" w:cs="Arial Nova"/>
          <w:sz w:val="24"/>
          <w:szCs w:val="24"/>
        </w:rPr>
        <w:t>HRA</w:t>
      </w:r>
      <w:bookmarkEnd w:id="1886182196"/>
      <w:r w:rsidRPr="4FF15759" w:rsidR="6C02EA2A">
        <w:rPr>
          <w:rFonts w:ascii="Arial Nova" w:hAnsi="Arial Nova" w:eastAsia="Arial Nova" w:cs="Arial Nova"/>
          <w:sz w:val="24"/>
          <w:szCs w:val="24"/>
        </w:rPr>
        <w:t>.</w:t>
      </w:r>
    </w:p>
    <w:p xmlns:wp14="http://schemas.microsoft.com/office/word/2010/wordml" w:rsidP="4FF15759" w14:paraId="549BD14C" wp14:textId="66628E8E">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The Bill undermines the state's responsibility to ensure the protection of rights since a literal reading of the rights both comes short of and </w:t>
      </w:r>
      <w:r w:rsidRPr="4FF15759" w:rsidR="6C02EA2A">
        <w:rPr>
          <w:rFonts w:ascii="Arial Nova" w:hAnsi="Arial Nova" w:eastAsia="Arial Nova" w:cs="Arial Nova"/>
          <w:sz w:val="24"/>
          <w:szCs w:val="24"/>
        </w:rPr>
        <w:t>fails to</w:t>
      </w:r>
      <w:r w:rsidRPr="4FF15759" w:rsidR="6C02EA2A">
        <w:rPr>
          <w:rFonts w:ascii="Arial Nova" w:hAnsi="Arial Nova" w:eastAsia="Arial Nova" w:cs="Arial Nova"/>
          <w:sz w:val="24"/>
          <w:szCs w:val="24"/>
        </w:rPr>
        <w:t xml:space="preserve"> take into consideration the </w:t>
      </w:r>
      <w:bookmarkStart w:name="_Int_hrayyQDW" w:id="1630519469"/>
      <w:r w:rsidRPr="4FF15759" w:rsidR="6C02EA2A">
        <w:rPr>
          <w:rFonts w:ascii="Arial Nova" w:hAnsi="Arial Nova" w:eastAsia="Arial Nova" w:cs="Arial Nova"/>
          <w:sz w:val="24"/>
          <w:szCs w:val="24"/>
        </w:rPr>
        <w:t>manner in which</w:t>
      </w:r>
      <w:bookmarkEnd w:id="1630519469"/>
      <w:r w:rsidRPr="4FF15759" w:rsidR="6C02EA2A">
        <w:rPr>
          <w:rFonts w:ascii="Arial Nova" w:hAnsi="Arial Nova" w:eastAsia="Arial Nova" w:cs="Arial Nova"/>
          <w:sz w:val="24"/>
          <w:szCs w:val="24"/>
        </w:rPr>
        <w:t xml:space="preserve"> the society is changing, which has a negative impact on communities, families, and individuals (Hale, 2022). The Bill isolates people and makes some classes of people more deserving than others by restricting the </w:t>
      </w:r>
      <w:r w:rsidRPr="4FF15759" w:rsidR="6C02EA2A">
        <w:rPr>
          <w:rFonts w:ascii="Arial Nova" w:hAnsi="Arial Nova" w:eastAsia="Arial Nova" w:cs="Arial Nova"/>
          <w:sz w:val="24"/>
          <w:szCs w:val="24"/>
        </w:rPr>
        <w:t>capacity</w:t>
      </w:r>
      <w:r w:rsidRPr="4FF15759" w:rsidR="6C02EA2A">
        <w:rPr>
          <w:rFonts w:ascii="Arial Nova" w:hAnsi="Arial Nova" w:eastAsia="Arial Nova" w:cs="Arial Nova"/>
          <w:sz w:val="24"/>
          <w:szCs w:val="24"/>
        </w:rPr>
        <w:t xml:space="preserve"> of groups such as prisoners to file human rights claims, which goes against the idea that everyone has the right to those rights simply because they are human. Hale (2022) adds that the Bill threatens the UK's democratic institutions by heading in the opposite direction of the </w:t>
      </w:r>
      <w:bookmarkStart w:name="_Int_HpLqrCO8" w:id="142152139"/>
      <w:r w:rsidRPr="4FF15759" w:rsidR="6C02EA2A">
        <w:rPr>
          <w:rFonts w:ascii="Arial Nova" w:hAnsi="Arial Nova" w:eastAsia="Arial Nova" w:cs="Arial Nova"/>
          <w:sz w:val="24"/>
          <w:szCs w:val="24"/>
        </w:rPr>
        <w:t>ECtHR</w:t>
      </w:r>
      <w:bookmarkEnd w:id="142152139"/>
      <w:r w:rsidRPr="4FF15759" w:rsidR="6C02EA2A">
        <w:rPr>
          <w:rFonts w:ascii="Arial Nova" w:hAnsi="Arial Nova" w:eastAsia="Arial Nova" w:cs="Arial Nova"/>
          <w:sz w:val="24"/>
          <w:szCs w:val="24"/>
        </w:rPr>
        <w:t>. All contracting states were given rights and obligations by the Strasbourg Court (Amos, 2012). Divergent domestic rights will be created as a result and will make it burdensome to seek relief for Convention rights at Strasbourg.</w:t>
      </w:r>
    </w:p>
    <w:p xmlns:wp14="http://schemas.microsoft.com/office/word/2010/wordml" w:rsidP="4FF15759" w14:paraId="115F0C97" wp14:textId="63EAB644">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The United Kingdom has a long history of steadily advancing in the human rights rankings for millennia.</w:t>
      </w:r>
      <w:r w:rsidRPr="4FF15759" w:rsidR="6C02EA2A">
        <w:rPr>
          <w:rFonts w:ascii="Arial Nova" w:hAnsi="Arial Nova" w:eastAsia="Arial Nova" w:cs="Arial Nova"/>
          <w:sz w:val="24"/>
          <w:szCs w:val="24"/>
        </w:rPr>
        <w:t xml:space="preserve"> The advancements in human rights throughout the years have had a significant impact on safeguarding fundamental freedoms and rights, </w:t>
      </w:r>
      <w:bookmarkStart w:name="_Int_fYdcts1F" w:id="52177337"/>
      <w:r w:rsidRPr="4FF15759" w:rsidR="6C02EA2A">
        <w:rPr>
          <w:rFonts w:ascii="Arial Nova" w:hAnsi="Arial Nova" w:eastAsia="Arial Nova" w:cs="Arial Nova"/>
          <w:sz w:val="24"/>
          <w:szCs w:val="24"/>
        </w:rPr>
        <w:t>despite the fact that</w:t>
      </w:r>
      <w:bookmarkEnd w:id="52177337"/>
      <w:r w:rsidRPr="4FF15759" w:rsidR="6C02EA2A">
        <w:rPr>
          <w:rFonts w:ascii="Arial Nova" w:hAnsi="Arial Nova" w:eastAsia="Arial Nova" w:cs="Arial Nova"/>
          <w:sz w:val="24"/>
          <w:szCs w:val="24"/>
        </w:rPr>
        <w:t xml:space="preserve"> this journey has been careful and sluggish. English law is spread out throughout </w:t>
      </w:r>
      <w:bookmarkStart w:name="_Int_byIUedCM" w:id="680144237"/>
      <w:r w:rsidRPr="4FF15759" w:rsidR="6C02EA2A">
        <w:rPr>
          <w:rFonts w:ascii="Arial Nova" w:hAnsi="Arial Nova" w:eastAsia="Arial Nova" w:cs="Arial Nova"/>
          <w:sz w:val="24"/>
          <w:szCs w:val="24"/>
        </w:rPr>
        <w:t>a number of</w:t>
      </w:r>
      <w:bookmarkEnd w:id="680144237"/>
      <w:r w:rsidRPr="4FF15759" w:rsidR="6C02EA2A">
        <w:rPr>
          <w:rFonts w:ascii="Arial Nova" w:hAnsi="Arial Nova" w:eastAsia="Arial Nova" w:cs="Arial Nova"/>
          <w:sz w:val="24"/>
          <w:szCs w:val="24"/>
        </w:rPr>
        <w:t xml:space="preserve"> documents. For instance, common law, parliamentary procedure, and conventions are secondary to Acts of Parliament, which are the greatest authority of law. Historically, the Westminster Parliament's mandate was to defend and uphold freedoms and liberties. (1998, </w:t>
      </w:r>
      <w:r w:rsidRPr="4FF15759" w:rsidR="6C02EA2A">
        <w:rPr>
          <w:rFonts w:ascii="Arial Nova" w:hAnsi="Arial Nova" w:eastAsia="Arial Nova" w:cs="Arial Nova"/>
          <w:sz w:val="24"/>
          <w:szCs w:val="24"/>
        </w:rPr>
        <w:t>McCrills</w:t>
      </w:r>
      <w:r w:rsidRPr="4FF15759" w:rsidR="6C02EA2A">
        <w:rPr>
          <w:rFonts w:ascii="Arial Nova" w:hAnsi="Arial Nova" w:eastAsia="Arial Nova" w:cs="Arial Nova"/>
          <w:sz w:val="24"/>
          <w:szCs w:val="24"/>
        </w:rPr>
        <w:t xml:space="preserve">). According to </w:t>
      </w:r>
      <w:r w:rsidRPr="4FF15759" w:rsidR="6C02EA2A">
        <w:rPr>
          <w:rFonts w:ascii="Arial Nova" w:hAnsi="Arial Nova" w:eastAsia="Arial Nova" w:cs="Arial Nova"/>
          <w:sz w:val="24"/>
          <w:szCs w:val="24"/>
        </w:rPr>
        <w:t>McCrills</w:t>
      </w:r>
      <w:r w:rsidRPr="4FF15759" w:rsidR="6C02EA2A">
        <w:rPr>
          <w:rFonts w:ascii="Arial Nova" w:hAnsi="Arial Nova" w:eastAsia="Arial Nova" w:cs="Arial Nova"/>
          <w:sz w:val="24"/>
          <w:szCs w:val="24"/>
        </w:rPr>
        <w:t xml:space="preserve"> (1998), this system resulted in a paradox where the protection of an individual's rights and freedoms was unduly dependent on political goodwill at Westminster. As a result, the diverse political beliefs and ideologies </w:t>
      </w:r>
      <w:r w:rsidRPr="4FF15759" w:rsidR="6C02EA2A">
        <w:rPr>
          <w:rFonts w:ascii="Arial Nova" w:hAnsi="Arial Nova" w:eastAsia="Arial Nova" w:cs="Arial Nova"/>
          <w:sz w:val="24"/>
          <w:szCs w:val="24"/>
        </w:rPr>
        <w:t>frequently</w:t>
      </w:r>
      <w:r w:rsidRPr="4FF15759" w:rsidR="6C02EA2A">
        <w:rPr>
          <w:rFonts w:ascii="Arial Nova" w:hAnsi="Arial Nova" w:eastAsia="Arial Nova" w:cs="Arial Nova"/>
          <w:sz w:val="24"/>
          <w:szCs w:val="24"/>
        </w:rPr>
        <w:t xml:space="preserve"> prevented the preservation and enforcement of human rights in the UK (Kavanaugh, 2015).</w:t>
      </w:r>
    </w:p>
    <w:p xmlns:wp14="http://schemas.microsoft.com/office/word/2010/wordml" w:rsidP="4FF15759" w14:paraId="4DEF2DB2" wp14:textId="5ABAFE16">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According to </w:t>
      </w:r>
      <w:r w:rsidRPr="4FF15759" w:rsidR="6C02EA2A">
        <w:rPr>
          <w:rFonts w:ascii="Arial Nova" w:hAnsi="Arial Nova" w:eastAsia="Arial Nova" w:cs="Arial Nova"/>
          <w:sz w:val="24"/>
          <w:szCs w:val="24"/>
        </w:rPr>
        <w:t>McCrills</w:t>
      </w:r>
      <w:r w:rsidRPr="4FF15759" w:rsidR="6C02EA2A">
        <w:rPr>
          <w:rFonts w:ascii="Arial Nova" w:hAnsi="Arial Nova" w:eastAsia="Arial Nova" w:cs="Arial Nova"/>
          <w:sz w:val="24"/>
          <w:szCs w:val="24"/>
        </w:rPr>
        <w:t xml:space="preserve"> (1998), this was </w:t>
      </w:r>
      <w:r w:rsidRPr="4FF15759" w:rsidR="6C02EA2A">
        <w:rPr>
          <w:rFonts w:ascii="Arial Nova" w:hAnsi="Arial Nova" w:eastAsia="Arial Nova" w:cs="Arial Nova"/>
          <w:sz w:val="24"/>
          <w:szCs w:val="24"/>
        </w:rPr>
        <w:t>accomplished</w:t>
      </w:r>
      <w:r w:rsidRPr="4FF15759" w:rsidR="6C02EA2A">
        <w:rPr>
          <w:rFonts w:ascii="Arial Nova" w:hAnsi="Arial Nova" w:eastAsia="Arial Nova" w:cs="Arial Nova"/>
          <w:sz w:val="24"/>
          <w:szCs w:val="24"/>
        </w:rPr>
        <w:t xml:space="preserve"> through political consensus, which was always a mammoth task, hard to come by or arrive at. According to this approach, Parliament had been granted sovereign authority over the creation of laws. </w:t>
      </w:r>
      <w:bookmarkStart w:name="_Int_xfW1u8QU" w:id="426264703"/>
      <w:r w:rsidRPr="4FF15759" w:rsidR="6C02EA2A">
        <w:rPr>
          <w:rFonts w:ascii="Arial Nova" w:hAnsi="Arial Nova" w:eastAsia="Arial Nova" w:cs="Arial Nova"/>
          <w:sz w:val="24"/>
          <w:szCs w:val="24"/>
        </w:rPr>
        <w:t>In order to</w:t>
      </w:r>
      <w:bookmarkEnd w:id="426264703"/>
      <w:r w:rsidRPr="4FF15759" w:rsidR="6C02EA2A">
        <w:rPr>
          <w:rFonts w:ascii="Arial Nova" w:hAnsi="Arial Nova" w:eastAsia="Arial Nova" w:cs="Arial Nova"/>
          <w:sz w:val="24"/>
          <w:szCs w:val="24"/>
        </w:rPr>
        <w:t xml:space="preserve"> </w:t>
      </w:r>
      <w:r w:rsidRPr="4FF15759" w:rsidR="6C02EA2A">
        <w:rPr>
          <w:rFonts w:ascii="Arial Nova" w:hAnsi="Arial Nova" w:eastAsia="Arial Nova" w:cs="Arial Nova"/>
          <w:sz w:val="24"/>
          <w:szCs w:val="24"/>
        </w:rPr>
        <w:t>accomplish</w:t>
      </w:r>
      <w:r w:rsidRPr="4FF15759" w:rsidR="6C02EA2A">
        <w:rPr>
          <w:rFonts w:ascii="Arial Nova" w:hAnsi="Arial Nova" w:eastAsia="Arial Nova" w:cs="Arial Nova"/>
          <w:sz w:val="24"/>
          <w:szCs w:val="24"/>
        </w:rPr>
        <w:t xml:space="preserve"> this, parliament used a constraint paradigm designed to uphold and defend the fundamental freedoms and rights of all people. As a result of this structure, the Westminster Parliament passed several laws that severely limited some civil liberties. Free expression, trade union activity, and security and counterterrorism were among of the liberties that were targeted (Geddis, 2006). However, it was up to public authorities- who </w:t>
      </w:r>
      <w:r w:rsidRPr="4FF15759" w:rsidR="6C02EA2A">
        <w:rPr>
          <w:rFonts w:ascii="Arial Nova" w:hAnsi="Arial Nova" w:eastAsia="Arial Nova" w:cs="Arial Nova"/>
          <w:sz w:val="24"/>
          <w:szCs w:val="24"/>
        </w:rPr>
        <w:t>frequently</w:t>
      </w:r>
      <w:r w:rsidRPr="4FF15759" w:rsidR="6C02EA2A">
        <w:rPr>
          <w:rFonts w:ascii="Arial Nova" w:hAnsi="Arial Nova" w:eastAsia="Arial Nova" w:cs="Arial Nova"/>
          <w:sz w:val="24"/>
          <w:szCs w:val="24"/>
        </w:rPr>
        <w:t xml:space="preserve"> </w:t>
      </w:r>
      <w:r w:rsidRPr="4FF15759" w:rsidR="6C02EA2A">
        <w:rPr>
          <w:rFonts w:ascii="Arial Nova" w:hAnsi="Arial Nova" w:eastAsia="Arial Nova" w:cs="Arial Nova"/>
          <w:sz w:val="24"/>
          <w:szCs w:val="24"/>
        </w:rPr>
        <w:t>possessed</w:t>
      </w:r>
      <w:r w:rsidRPr="4FF15759" w:rsidR="6C02EA2A">
        <w:rPr>
          <w:rFonts w:ascii="Arial Nova" w:hAnsi="Arial Nova" w:eastAsia="Arial Nova" w:cs="Arial Nova"/>
          <w:sz w:val="24"/>
          <w:szCs w:val="24"/>
        </w:rPr>
        <w:t xml:space="preserve"> broad discretionary powers- to exercise these constraints.</w:t>
      </w:r>
    </w:p>
    <w:p xmlns:wp14="http://schemas.microsoft.com/office/word/2010/wordml" w:rsidP="4FF15759" w14:paraId="79EA4DB5" wp14:textId="5E4C01B5">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The European Union </w:t>
      </w:r>
      <w:r w:rsidRPr="4FF15759" w:rsidR="6C02EA2A">
        <w:rPr>
          <w:rFonts w:ascii="Arial Nova" w:hAnsi="Arial Nova" w:eastAsia="Arial Nova" w:cs="Arial Nova"/>
          <w:sz w:val="24"/>
          <w:szCs w:val="24"/>
        </w:rPr>
        <w:t>subsequently</w:t>
      </w:r>
      <w:r w:rsidRPr="4FF15759" w:rsidR="6C02EA2A">
        <w:rPr>
          <w:rFonts w:ascii="Arial Nova" w:hAnsi="Arial Nova" w:eastAsia="Arial Nova" w:cs="Arial Nova"/>
          <w:sz w:val="24"/>
          <w:szCs w:val="24"/>
        </w:rPr>
        <w:t xml:space="preserve"> ratified the European Convention on Human Rights (1950). The goal of the Convention was to offer a framework that would be useful and pivotal in promoting and safeguarding individual rights and basic freedoms throughout Europe. </w:t>
      </w:r>
      <w:bookmarkStart w:name="_Int_GwDcg3UH" w:id="99482463"/>
      <w:r w:rsidRPr="4FF15759" w:rsidR="6C02EA2A">
        <w:rPr>
          <w:rFonts w:ascii="Arial Nova" w:hAnsi="Arial Nova" w:eastAsia="Arial Nova" w:cs="Arial Nova"/>
          <w:sz w:val="24"/>
          <w:szCs w:val="24"/>
        </w:rPr>
        <w:t>In order to</w:t>
      </w:r>
      <w:bookmarkEnd w:id="99482463"/>
      <w:r w:rsidRPr="4FF15759" w:rsidR="6C02EA2A">
        <w:rPr>
          <w:rFonts w:ascii="Arial Nova" w:hAnsi="Arial Nova" w:eastAsia="Arial Nova" w:cs="Arial Nova"/>
          <w:sz w:val="24"/>
          <w:szCs w:val="24"/>
        </w:rPr>
        <w:t xml:space="preserve"> give the Convention's provisions legal effect, the Union's member states </w:t>
      </w:r>
      <w:r w:rsidRPr="4FF15759" w:rsidR="6C02EA2A">
        <w:rPr>
          <w:rFonts w:ascii="Arial Nova" w:hAnsi="Arial Nova" w:eastAsia="Arial Nova" w:cs="Arial Nova"/>
          <w:sz w:val="24"/>
          <w:szCs w:val="24"/>
        </w:rPr>
        <w:t>were required</w:t>
      </w:r>
      <w:r w:rsidRPr="4FF15759" w:rsidR="6C02EA2A">
        <w:rPr>
          <w:rFonts w:ascii="Arial Nova" w:hAnsi="Arial Nova" w:eastAsia="Arial Nova" w:cs="Arial Nova"/>
          <w:sz w:val="24"/>
          <w:szCs w:val="24"/>
        </w:rPr>
        <w:t xml:space="preserve"> to embrace its provisions. </w:t>
      </w:r>
      <w:bookmarkStart w:name="_Int_wCThHQBy" w:id="350425627"/>
      <w:r w:rsidRPr="4FF15759" w:rsidR="6C02EA2A">
        <w:rPr>
          <w:rFonts w:ascii="Arial Nova" w:hAnsi="Arial Nova" w:eastAsia="Arial Nova" w:cs="Arial Nova"/>
          <w:sz w:val="24"/>
          <w:szCs w:val="24"/>
        </w:rPr>
        <w:t>In order to</w:t>
      </w:r>
      <w:bookmarkEnd w:id="350425627"/>
      <w:r w:rsidRPr="4FF15759" w:rsidR="6C02EA2A">
        <w:rPr>
          <w:rFonts w:ascii="Arial Nova" w:hAnsi="Arial Nova" w:eastAsia="Arial Nova" w:cs="Arial Nova"/>
          <w:sz w:val="24"/>
          <w:szCs w:val="24"/>
        </w:rPr>
        <w:t xml:space="preserve"> achieve this goal, the UK adopted the Convention in 1951, and it became a part of the relevant UK laws to uphold and advance fundamental freedoms (Gearty, 1993). Gearty (1993) asserts that the Convention outlined fundamental liberties and rights that, following ratification, would become an integral </w:t>
      </w:r>
      <w:r w:rsidRPr="4FF15759" w:rsidR="6C02EA2A">
        <w:rPr>
          <w:rFonts w:ascii="Arial Nova" w:hAnsi="Arial Nova" w:eastAsia="Arial Nova" w:cs="Arial Nova"/>
          <w:sz w:val="24"/>
          <w:szCs w:val="24"/>
        </w:rPr>
        <w:t>component</w:t>
      </w:r>
      <w:r w:rsidRPr="4FF15759" w:rsidR="6C02EA2A">
        <w:rPr>
          <w:rFonts w:ascii="Arial Nova" w:hAnsi="Arial Nova" w:eastAsia="Arial Nova" w:cs="Arial Nova"/>
          <w:sz w:val="24"/>
          <w:szCs w:val="24"/>
        </w:rPr>
        <w:t xml:space="preserve"> of the domestic laws of each contracting state.</w:t>
      </w:r>
    </w:p>
    <w:p xmlns:wp14="http://schemas.microsoft.com/office/word/2010/wordml" w:rsidP="4FF15759" w14:paraId="20F18675" wp14:textId="41AE1EDF">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The Strasbourg-based Court was </w:t>
      </w:r>
      <w:r w:rsidRPr="4FF15759" w:rsidR="6C02EA2A">
        <w:rPr>
          <w:rFonts w:ascii="Arial Nova" w:hAnsi="Arial Nova" w:eastAsia="Arial Nova" w:cs="Arial Nova"/>
          <w:sz w:val="24"/>
          <w:szCs w:val="24"/>
        </w:rPr>
        <w:t>established</w:t>
      </w:r>
      <w:r w:rsidRPr="4FF15759" w:rsidR="6C02EA2A">
        <w:rPr>
          <w:rFonts w:ascii="Arial Nova" w:hAnsi="Arial Nova" w:eastAsia="Arial Nova" w:cs="Arial Nova"/>
          <w:sz w:val="24"/>
          <w:szCs w:val="24"/>
        </w:rPr>
        <w:t xml:space="preserve"> in 1959 </w:t>
      </w:r>
      <w:bookmarkStart w:name="_Int_CJJQRq0M" w:id="1314591224"/>
      <w:r w:rsidRPr="4FF15759" w:rsidR="6C02EA2A">
        <w:rPr>
          <w:rFonts w:ascii="Arial Nova" w:hAnsi="Arial Nova" w:eastAsia="Arial Nova" w:cs="Arial Nova"/>
          <w:sz w:val="24"/>
          <w:szCs w:val="24"/>
        </w:rPr>
        <w:t>as a result of</w:t>
      </w:r>
      <w:bookmarkEnd w:id="1314591224"/>
      <w:r w:rsidRPr="4FF15759" w:rsidR="6C02EA2A">
        <w:rPr>
          <w:rFonts w:ascii="Arial Nova" w:hAnsi="Arial Nova" w:eastAsia="Arial Nova" w:cs="Arial Nova"/>
          <w:sz w:val="24"/>
          <w:szCs w:val="24"/>
        </w:rPr>
        <w:t xml:space="preserve"> the need to interpret the Convention within the context of the Union (Coppel, 1992). In addition, Coppel (1992) notes that the Court was mandated to hear instances involving violations of Convention rights. The contracting states were </w:t>
      </w:r>
      <w:r w:rsidRPr="4FF15759" w:rsidR="6C02EA2A">
        <w:rPr>
          <w:rFonts w:ascii="Arial Nova" w:hAnsi="Arial Nova" w:eastAsia="Arial Nova" w:cs="Arial Nova"/>
          <w:sz w:val="24"/>
          <w:szCs w:val="24"/>
        </w:rPr>
        <w:t>required</w:t>
      </w:r>
      <w:r w:rsidRPr="4FF15759" w:rsidR="6C02EA2A">
        <w:rPr>
          <w:rFonts w:ascii="Arial Nova" w:hAnsi="Arial Nova" w:eastAsia="Arial Nova" w:cs="Arial Nova"/>
          <w:sz w:val="24"/>
          <w:szCs w:val="24"/>
        </w:rPr>
        <w:t xml:space="preserve"> and </w:t>
      </w:r>
      <w:r w:rsidRPr="4FF15759" w:rsidR="6C02EA2A">
        <w:rPr>
          <w:rFonts w:ascii="Arial Nova" w:hAnsi="Arial Nova" w:eastAsia="Arial Nova" w:cs="Arial Nova"/>
          <w:sz w:val="24"/>
          <w:szCs w:val="24"/>
        </w:rPr>
        <w:t>obligated</w:t>
      </w:r>
      <w:r w:rsidRPr="4FF15759" w:rsidR="6C02EA2A">
        <w:rPr>
          <w:rFonts w:ascii="Arial Nova" w:hAnsi="Arial Nova" w:eastAsia="Arial Nova" w:cs="Arial Nova"/>
          <w:sz w:val="24"/>
          <w:szCs w:val="24"/>
        </w:rPr>
        <w:t xml:space="preserve"> to abide by the Strasbourg Court's rulings, and they served as precedents for the entire Union. As a result, rights under the Convention were </w:t>
      </w:r>
      <w:r w:rsidRPr="4FF15759" w:rsidR="6C02EA2A">
        <w:rPr>
          <w:rFonts w:ascii="Arial Nova" w:hAnsi="Arial Nova" w:eastAsia="Arial Nova" w:cs="Arial Nova"/>
          <w:sz w:val="24"/>
          <w:szCs w:val="24"/>
        </w:rPr>
        <w:t>established</w:t>
      </w:r>
      <w:r w:rsidRPr="4FF15759" w:rsidR="6C02EA2A">
        <w:rPr>
          <w:rFonts w:ascii="Arial Nova" w:hAnsi="Arial Nova" w:eastAsia="Arial Nova" w:cs="Arial Nova"/>
          <w:sz w:val="24"/>
          <w:szCs w:val="24"/>
        </w:rPr>
        <w:t>, and these rights were intended to be enforceable in the national courts of the contracting parties. Subsequently, the UK enacted the Human Rights Act (1998) which domesticated the Convention and set out to respect and protect rights in the UK’s legal regime (Klug, 2010). As a result, the Convention's responsibilities took on legal significance, requiring public entities to uphold them while permitting individuals to exercise their rights through the UK courts (Kavanaugh, 2015).</w:t>
      </w:r>
    </w:p>
    <w:p xmlns:wp14="http://schemas.microsoft.com/office/word/2010/wordml" w:rsidP="4FF15759" w14:paraId="567AACB2" wp14:textId="41A6BF96">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In accordance with</w:t>
      </w:r>
      <w:r w:rsidRPr="4FF15759" w:rsidR="6C02EA2A">
        <w:rPr>
          <w:rFonts w:ascii="Arial Nova" w:hAnsi="Arial Nova" w:eastAsia="Arial Nova" w:cs="Arial Nova"/>
          <w:sz w:val="24"/>
          <w:szCs w:val="24"/>
        </w:rPr>
        <w:t xml:space="preserve"> Bonner, Fenwick, and Harris-Short (2003), the Act imposed obligations on governmental entities, public services, and organizations to not only uphold but also to respect its principles. The people have the </w:t>
      </w:r>
      <w:r w:rsidRPr="4FF15759" w:rsidR="6C02EA2A">
        <w:rPr>
          <w:rFonts w:ascii="Arial Nova" w:hAnsi="Arial Nova" w:eastAsia="Arial Nova" w:cs="Arial Nova"/>
          <w:sz w:val="24"/>
          <w:szCs w:val="24"/>
        </w:rPr>
        <w:t>option</w:t>
      </w:r>
      <w:r w:rsidRPr="4FF15759" w:rsidR="6C02EA2A">
        <w:rPr>
          <w:rFonts w:ascii="Arial Nova" w:hAnsi="Arial Nova" w:eastAsia="Arial Nova" w:cs="Arial Nova"/>
          <w:sz w:val="24"/>
          <w:szCs w:val="24"/>
        </w:rPr>
        <w:t xml:space="preserve"> of going to the national courts to get justice </w:t>
      </w:r>
      <w:r w:rsidRPr="4FF15759" w:rsidR="6C02EA2A">
        <w:rPr>
          <w:rFonts w:ascii="Arial Nova" w:hAnsi="Arial Nova" w:eastAsia="Arial Nova" w:cs="Arial Nova"/>
          <w:sz w:val="24"/>
          <w:szCs w:val="24"/>
        </w:rPr>
        <w:t>in the event of</w:t>
      </w:r>
      <w:r w:rsidRPr="4FF15759" w:rsidR="6C02EA2A">
        <w:rPr>
          <w:rFonts w:ascii="Arial Nova" w:hAnsi="Arial Nova" w:eastAsia="Arial Nova" w:cs="Arial Nova"/>
          <w:sz w:val="24"/>
          <w:szCs w:val="24"/>
        </w:rPr>
        <w:t xml:space="preserve"> a complaint or violation (Bonner, Fenwick, and Harris-Short, 2003). In addition to the Act, the European Communities Act was passed in 1972 </w:t>
      </w:r>
      <w:bookmarkStart w:name="_Int_y8o7QRMw" w:id="948963943"/>
      <w:r w:rsidRPr="4FF15759" w:rsidR="6C02EA2A">
        <w:rPr>
          <w:rFonts w:ascii="Arial Nova" w:hAnsi="Arial Nova" w:eastAsia="Arial Nova" w:cs="Arial Nova"/>
          <w:sz w:val="24"/>
          <w:szCs w:val="24"/>
        </w:rPr>
        <w:t>in order to</w:t>
      </w:r>
      <w:bookmarkEnd w:id="948963943"/>
      <w:r w:rsidRPr="4FF15759" w:rsidR="6C02EA2A">
        <w:rPr>
          <w:rFonts w:ascii="Arial Nova" w:hAnsi="Arial Nova" w:eastAsia="Arial Nova" w:cs="Arial Nova"/>
          <w:sz w:val="24"/>
          <w:szCs w:val="24"/>
        </w:rPr>
        <w:t xml:space="preserve"> implement EU policies and laws in the UK as well as to accept the UK. This Act </w:t>
      </w:r>
      <w:r w:rsidRPr="4FF15759" w:rsidR="6C02EA2A">
        <w:rPr>
          <w:rFonts w:ascii="Arial Nova" w:hAnsi="Arial Nova" w:eastAsia="Arial Nova" w:cs="Arial Nova"/>
          <w:sz w:val="24"/>
          <w:szCs w:val="24"/>
        </w:rPr>
        <w:t>operated</w:t>
      </w:r>
      <w:r w:rsidRPr="4FF15759" w:rsidR="6C02EA2A">
        <w:rPr>
          <w:rFonts w:ascii="Arial Nova" w:hAnsi="Arial Nova" w:eastAsia="Arial Nova" w:cs="Arial Nova"/>
          <w:sz w:val="24"/>
          <w:szCs w:val="24"/>
        </w:rPr>
        <w:t xml:space="preserve"> to buttress the rights of UK citizens within the Union such as the right to freely move and </w:t>
      </w:r>
      <w:r w:rsidRPr="4FF15759" w:rsidR="6C02EA2A">
        <w:rPr>
          <w:rFonts w:ascii="Arial Nova" w:hAnsi="Arial Nova" w:eastAsia="Arial Nova" w:cs="Arial Nova"/>
          <w:sz w:val="24"/>
          <w:szCs w:val="24"/>
        </w:rPr>
        <w:t>reside</w:t>
      </w:r>
      <w:r w:rsidRPr="4FF15759" w:rsidR="6C02EA2A">
        <w:rPr>
          <w:rFonts w:ascii="Arial Nova" w:hAnsi="Arial Nova" w:eastAsia="Arial Nova" w:cs="Arial Nova"/>
          <w:sz w:val="24"/>
          <w:szCs w:val="24"/>
        </w:rPr>
        <w:t xml:space="preserve"> within the EU. Additionally, it guaranteed political rights including EU voting (Norton, 2011).</w:t>
      </w:r>
    </w:p>
    <w:p xmlns:wp14="http://schemas.microsoft.com/office/word/2010/wordml" w:rsidP="4FF15759" w14:paraId="35387B90" wp14:textId="08F2D501">
      <w:pPr>
        <w:pStyle w:val="Normal"/>
        <w:rPr>
          <w:rFonts w:ascii="Arial Nova" w:hAnsi="Arial Nova" w:eastAsia="Arial Nova" w:cs="Arial Nova"/>
          <w:sz w:val="24"/>
          <w:szCs w:val="24"/>
        </w:rPr>
      </w:pPr>
      <w:r w:rsidRPr="4FF15759" w:rsidR="6C02EA2A">
        <w:rPr>
          <w:rFonts w:ascii="Arial Nova" w:hAnsi="Arial Nova" w:eastAsia="Arial Nova" w:cs="Arial Nova"/>
          <w:sz w:val="24"/>
          <w:szCs w:val="24"/>
        </w:rPr>
        <w:t xml:space="preserve">Finally, the UK passed the European Union (Withdrawal) Act (2018) </w:t>
      </w:r>
      <w:bookmarkStart w:name="_Int_B6Ts7O33" w:id="1979632856"/>
      <w:r w:rsidRPr="4FF15759" w:rsidR="6C02EA2A">
        <w:rPr>
          <w:rFonts w:ascii="Arial Nova" w:hAnsi="Arial Nova" w:eastAsia="Arial Nova" w:cs="Arial Nova"/>
          <w:sz w:val="24"/>
          <w:szCs w:val="24"/>
        </w:rPr>
        <w:t>as a result of</w:t>
      </w:r>
      <w:bookmarkEnd w:id="1979632856"/>
      <w:r w:rsidRPr="4FF15759" w:rsidR="6C02EA2A">
        <w:rPr>
          <w:rFonts w:ascii="Arial Nova" w:hAnsi="Arial Nova" w:eastAsia="Arial Nova" w:cs="Arial Nova"/>
          <w:sz w:val="24"/>
          <w:szCs w:val="24"/>
        </w:rPr>
        <w:t xml:space="preserve"> Brexit. The </w:t>
      </w:r>
      <w:r w:rsidRPr="4FF15759" w:rsidR="6C02EA2A">
        <w:rPr>
          <w:rFonts w:ascii="Arial Nova" w:hAnsi="Arial Nova" w:eastAsia="Arial Nova" w:cs="Arial Nova"/>
          <w:sz w:val="24"/>
          <w:szCs w:val="24"/>
        </w:rPr>
        <w:t>objective</w:t>
      </w:r>
      <w:r w:rsidRPr="4FF15759" w:rsidR="6C02EA2A">
        <w:rPr>
          <w:rFonts w:ascii="Arial Nova" w:hAnsi="Arial Nova" w:eastAsia="Arial Nova" w:cs="Arial Nova"/>
          <w:sz w:val="24"/>
          <w:szCs w:val="24"/>
        </w:rPr>
        <w:t xml:space="preserve"> of the Act was to embrace the Convention provisions within the domestic law following the withdrawal to ensure the protections guaranteed by the Convention continued to apply in the post-Brexit era (Dee and Smith, 2017). Dee and Smith (2017) claim that by extending the application of the Convention and its provisions past the Brexit era, the Withdrawal Act was passed </w:t>
      </w:r>
      <w:bookmarkStart w:name="_Int_5E4cHAwd" w:id="80686036"/>
      <w:r w:rsidRPr="4FF15759" w:rsidR="6C02EA2A">
        <w:rPr>
          <w:rFonts w:ascii="Arial Nova" w:hAnsi="Arial Nova" w:eastAsia="Arial Nova" w:cs="Arial Nova"/>
          <w:sz w:val="24"/>
          <w:szCs w:val="24"/>
        </w:rPr>
        <w:t>in order to</w:t>
      </w:r>
      <w:bookmarkEnd w:id="80686036"/>
      <w:r w:rsidRPr="4FF15759" w:rsidR="6C02EA2A">
        <w:rPr>
          <w:rFonts w:ascii="Arial Nova" w:hAnsi="Arial Nova" w:eastAsia="Arial Nova" w:cs="Arial Nova"/>
          <w:sz w:val="24"/>
          <w:szCs w:val="24"/>
        </w:rPr>
        <w:t xml:space="preserve"> ensure the institutionalization of freedoms and rights that had been provided in the Convention. In the end, this arrangement would ensure that marginalized and minority groups in the UK, such immigrants and asylum seekers, continue to get protection under the Convention rights in the new legal </w:t>
      </w:r>
      <w:r w:rsidRPr="4FF15759" w:rsidR="54B7B0D5">
        <w:rPr>
          <w:rFonts w:ascii="Arial Nova" w:hAnsi="Arial Nova" w:eastAsia="Arial Nova" w:cs="Arial Nova"/>
          <w:sz w:val="24"/>
          <w:szCs w:val="24"/>
        </w:rPr>
        <w:t>dispensation (</w:t>
      </w:r>
      <w:r w:rsidRPr="4FF15759" w:rsidR="54B7B0D5">
        <w:rPr>
          <w:rFonts w:ascii="Arial Nova" w:hAnsi="Arial Nova" w:eastAsia="Arial Nova" w:cs="Arial Nova"/>
          <w:sz w:val="24"/>
          <w:szCs w:val="24"/>
        </w:rPr>
        <w:t>Dee</w:t>
      </w:r>
      <w:r w:rsidRPr="4FF15759" w:rsidR="6C02EA2A">
        <w:rPr>
          <w:rFonts w:ascii="Arial Nova" w:hAnsi="Arial Nova" w:eastAsia="Arial Nova" w:cs="Arial Nova"/>
          <w:sz w:val="24"/>
          <w:szCs w:val="24"/>
        </w:rPr>
        <w:t xml:space="preserve"> and Smith, 2017).</w:t>
      </w:r>
    </w:p>
    <w:p xmlns:wp14="http://schemas.microsoft.com/office/word/2010/wordml" w:rsidP="4FF15759" w14:paraId="5E5787A5" wp14:textId="4BF5D25A">
      <w:pPr>
        <w:pStyle w:val="Normal"/>
        <w:rPr>
          <w:rFonts w:ascii="Arial Nova" w:hAnsi="Arial Nova" w:eastAsia="Arial Nova" w:cs="Arial Nova"/>
          <w:sz w:val="24"/>
          <w:szCs w:val="24"/>
        </w:rPr>
      </w:pPr>
      <w:r w:rsidRPr="4FF15759" w:rsidR="4C0D0367">
        <w:rPr>
          <w:rFonts w:ascii="Arial Nova" w:hAnsi="Arial Nova" w:eastAsia="Arial Nova" w:cs="Arial Nova"/>
          <w:sz w:val="24"/>
          <w:szCs w:val="24"/>
        </w:rPr>
        <w:t>To conclude this essay, t</w:t>
      </w:r>
      <w:r w:rsidRPr="4FF15759" w:rsidR="6C02EA2A">
        <w:rPr>
          <w:rFonts w:ascii="Arial Nova" w:hAnsi="Arial Nova" w:eastAsia="Arial Nova" w:cs="Arial Nova"/>
          <w:sz w:val="24"/>
          <w:szCs w:val="24"/>
        </w:rPr>
        <w:t xml:space="preserve">he Bill of Rights Bill 2022 has been praised for leading to determinable protection mechanisms and determinable human rights laws, although it is more likely to lead to conflict than to streamlined institutions and legal processes. The historical advantages that have been </w:t>
      </w:r>
      <w:r w:rsidRPr="4FF15759" w:rsidR="6C02EA2A">
        <w:rPr>
          <w:rFonts w:ascii="Arial Nova" w:hAnsi="Arial Nova" w:eastAsia="Arial Nova" w:cs="Arial Nova"/>
          <w:sz w:val="24"/>
          <w:szCs w:val="24"/>
        </w:rPr>
        <w:t>observed</w:t>
      </w:r>
      <w:r w:rsidRPr="4FF15759" w:rsidR="6C02EA2A">
        <w:rPr>
          <w:rFonts w:ascii="Arial Nova" w:hAnsi="Arial Nova" w:eastAsia="Arial Nova" w:cs="Arial Nova"/>
          <w:sz w:val="24"/>
          <w:szCs w:val="24"/>
        </w:rPr>
        <w:t xml:space="preserve"> </w:t>
      </w:r>
      <w:bookmarkStart w:name="_Int_A9kMUnsO" w:id="2027168768"/>
      <w:r w:rsidRPr="4FF15759" w:rsidR="6C02EA2A">
        <w:rPr>
          <w:rFonts w:ascii="Arial Nova" w:hAnsi="Arial Nova" w:eastAsia="Arial Nova" w:cs="Arial Nova"/>
          <w:sz w:val="24"/>
          <w:szCs w:val="24"/>
        </w:rPr>
        <w:t>as a result of</w:t>
      </w:r>
      <w:bookmarkEnd w:id="2027168768"/>
      <w:r w:rsidRPr="4FF15759" w:rsidR="6C02EA2A">
        <w:rPr>
          <w:rFonts w:ascii="Arial Nova" w:hAnsi="Arial Nova" w:eastAsia="Arial Nova" w:cs="Arial Nova"/>
          <w:sz w:val="24"/>
          <w:szCs w:val="24"/>
        </w:rPr>
        <w:t xml:space="preserve"> the 1998 Act's passage are </w:t>
      </w:r>
      <w:bookmarkStart w:name="_Int_z35zGK4R" w:id="1657672234"/>
      <w:r w:rsidRPr="4FF15759" w:rsidR="6C02EA2A">
        <w:rPr>
          <w:rFonts w:ascii="Arial Nova" w:hAnsi="Arial Nova" w:eastAsia="Arial Nova" w:cs="Arial Nova"/>
          <w:sz w:val="24"/>
          <w:szCs w:val="24"/>
        </w:rPr>
        <w:t>probably going</w:t>
      </w:r>
      <w:bookmarkEnd w:id="1657672234"/>
      <w:r w:rsidRPr="4FF15759" w:rsidR="6C02EA2A">
        <w:rPr>
          <w:rFonts w:ascii="Arial Nova" w:hAnsi="Arial Nova" w:eastAsia="Arial Nova" w:cs="Arial Nova"/>
          <w:sz w:val="24"/>
          <w:szCs w:val="24"/>
        </w:rPr>
        <w:t xml:space="preserve"> to be diminished by this. As a result, it will have a negative impact on both the level of protection for human rights as well as the government's and its institutions' </w:t>
      </w:r>
      <w:r w:rsidRPr="4FF15759" w:rsidR="6C02EA2A">
        <w:rPr>
          <w:rFonts w:ascii="Arial Nova" w:hAnsi="Arial Nova" w:eastAsia="Arial Nova" w:cs="Arial Nova"/>
          <w:sz w:val="24"/>
          <w:szCs w:val="24"/>
        </w:rPr>
        <w:t>capacity</w:t>
      </w:r>
      <w:r w:rsidRPr="4FF15759" w:rsidR="6C02EA2A">
        <w:rPr>
          <w:rFonts w:ascii="Arial Nova" w:hAnsi="Arial Nova" w:eastAsia="Arial Nova" w:cs="Arial Nova"/>
          <w:sz w:val="24"/>
          <w:szCs w:val="24"/>
        </w:rPr>
        <w:t xml:space="preserve"> to enforce human rights through the courts. </w:t>
      </w:r>
      <w:r w:rsidRPr="4FF15759" w:rsidR="6C02EA2A">
        <w:rPr>
          <w:rFonts w:ascii="Arial Nova" w:hAnsi="Arial Nova" w:eastAsia="Arial Nova" w:cs="Arial Nova"/>
          <w:sz w:val="24"/>
          <w:szCs w:val="24"/>
        </w:rPr>
        <w:t>The reason for this is that it makes it difficult for people to approach the courts when their rights are violated.</w:t>
      </w:r>
      <w:r w:rsidRPr="4FF15759" w:rsidR="6C02EA2A">
        <w:rPr>
          <w:rFonts w:ascii="Arial Nova" w:hAnsi="Arial Nova" w:eastAsia="Arial Nova" w:cs="Arial Nova"/>
          <w:sz w:val="24"/>
          <w:szCs w:val="24"/>
        </w:rPr>
        <w:t xml:space="preserve"> These negative effects are backward-looking and will </w:t>
      </w:r>
      <w:bookmarkStart w:name="_Int_JsSLviJS" w:id="461786525"/>
      <w:r w:rsidRPr="4FF15759" w:rsidR="6C02EA2A">
        <w:rPr>
          <w:rFonts w:ascii="Arial Nova" w:hAnsi="Arial Nova" w:eastAsia="Arial Nova" w:cs="Arial Nova"/>
          <w:sz w:val="24"/>
          <w:szCs w:val="24"/>
        </w:rPr>
        <w:t>ultimately undermine</w:t>
      </w:r>
      <w:bookmarkEnd w:id="461786525"/>
      <w:r w:rsidRPr="4FF15759" w:rsidR="6C02EA2A">
        <w:rPr>
          <w:rFonts w:ascii="Arial Nova" w:hAnsi="Arial Nova" w:eastAsia="Arial Nova" w:cs="Arial Nova"/>
          <w:sz w:val="24"/>
          <w:szCs w:val="24"/>
        </w:rPr>
        <w:t xml:space="preserve"> the constitutional principle of access to justice and the rule of law.</w:t>
      </w:r>
    </w:p>
    <w:p w:rsidR="4FF15759" w:rsidP="4FF15759" w:rsidRDefault="4FF15759" w14:paraId="7896CC4C" w14:textId="781C23FA">
      <w:pPr>
        <w:pStyle w:val="Normal"/>
        <w:rPr>
          <w:rFonts w:ascii="Arial Nova" w:hAnsi="Arial Nova" w:eastAsia="Arial Nova" w:cs="Arial Nova"/>
          <w:sz w:val="24"/>
          <w:szCs w:val="24"/>
        </w:rPr>
      </w:pPr>
    </w:p>
    <w:p w:rsidR="60719628" w:rsidP="4FF15759" w:rsidRDefault="60719628" w14:paraId="15E4C5C8" w14:textId="71798B0F">
      <w:pPr>
        <w:pStyle w:val="Normal"/>
        <w:rPr>
          <w:rFonts w:ascii="Arial Nova" w:hAnsi="Arial Nova" w:eastAsia="Arial Nova" w:cs="Arial Nova"/>
          <w:b w:val="1"/>
          <w:bCs w:val="1"/>
          <w:sz w:val="24"/>
          <w:szCs w:val="24"/>
        </w:rPr>
      </w:pPr>
      <w:r w:rsidRPr="4FF15759" w:rsidR="60719628">
        <w:rPr>
          <w:rFonts w:ascii="Arial Nova" w:hAnsi="Arial Nova" w:eastAsia="Arial Nova" w:cs="Arial Nova"/>
          <w:b w:val="1"/>
          <w:bCs w:val="1"/>
          <w:sz w:val="24"/>
          <w:szCs w:val="24"/>
        </w:rPr>
        <w:t>Reference List:</w:t>
      </w:r>
    </w:p>
    <w:p w:rsidR="60719628" w:rsidP="4FF15759" w:rsidRDefault="60719628" w14:paraId="1F3F2B4D" w14:textId="22EEADCA">
      <w:pPr>
        <w:pStyle w:val="Normal"/>
      </w:pPr>
      <w:r w:rsidRPr="4FF15759" w:rsidR="60719628">
        <w:rPr>
          <w:rFonts w:ascii="Arial Nova" w:hAnsi="Arial Nova" w:eastAsia="Arial Nova" w:cs="Arial Nova"/>
          <w:sz w:val="24"/>
          <w:szCs w:val="24"/>
        </w:rPr>
        <w:t>Amos, M., 2012. The Dialogue Between United Kingdom Courts and the European Court of Human Rights. International &amp; Comparative Law Quarterly, 61(3), pp.557-584.</w:t>
      </w:r>
    </w:p>
    <w:p w:rsidR="60719628" w:rsidP="4FF15759" w:rsidRDefault="60719628" w14:paraId="4B7BA022" w14:textId="1B9FB581">
      <w:pPr>
        <w:pStyle w:val="Normal"/>
      </w:pPr>
      <w:r w:rsidRPr="4FF15759" w:rsidR="60719628">
        <w:rPr>
          <w:rFonts w:ascii="Arial Nova" w:hAnsi="Arial Nova" w:eastAsia="Arial Nova" w:cs="Arial Nova"/>
          <w:sz w:val="24"/>
          <w:szCs w:val="24"/>
        </w:rPr>
        <w:t>Bill of Rights Bill 2022.</w:t>
      </w:r>
    </w:p>
    <w:p w:rsidR="60719628" w:rsidP="4FF15759" w:rsidRDefault="60719628" w14:paraId="7C4FA690" w14:textId="513E17F7">
      <w:pPr>
        <w:pStyle w:val="Normal"/>
      </w:pPr>
      <w:r w:rsidRPr="4FF15759" w:rsidR="60719628">
        <w:rPr>
          <w:rFonts w:ascii="Arial Nova" w:hAnsi="Arial Nova" w:eastAsia="Arial Nova" w:cs="Arial Nova"/>
          <w:sz w:val="24"/>
          <w:szCs w:val="24"/>
        </w:rPr>
        <w:t>Bonner, D., Fenwick, H. and Harris-Short, S., 2003. Judicial Approaches to the Human Rights Act. International &amp; Comparative Law Quarterly, 52(3), pp.549-586.</w:t>
      </w:r>
    </w:p>
    <w:p w:rsidR="60719628" w:rsidP="4FF15759" w:rsidRDefault="60719628" w14:paraId="6D41DBD2" w14:textId="103DED72">
      <w:pPr>
        <w:pStyle w:val="Normal"/>
      </w:pPr>
      <w:r w:rsidRPr="4FF15759" w:rsidR="60719628">
        <w:rPr>
          <w:rFonts w:ascii="Arial Nova" w:hAnsi="Arial Nova" w:eastAsia="Arial Nova" w:cs="Arial Nova"/>
          <w:sz w:val="24"/>
          <w:szCs w:val="24"/>
        </w:rPr>
        <w:t>Convention for the Protection of Human Rights and Fundamental Freedoms (European Convention on Human Rights, as amended) (</w:t>
      </w:r>
      <w:bookmarkStart w:name="_Int_DhwA8roY" w:id="863498571"/>
      <w:r w:rsidRPr="4FF15759" w:rsidR="60719628">
        <w:rPr>
          <w:rFonts w:ascii="Arial Nova" w:hAnsi="Arial Nova" w:eastAsia="Arial Nova" w:cs="Arial Nova"/>
          <w:sz w:val="24"/>
          <w:szCs w:val="24"/>
        </w:rPr>
        <w:t>ECHR</w:t>
      </w:r>
      <w:bookmarkEnd w:id="863498571"/>
      <w:r w:rsidRPr="4FF15759" w:rsidR="60719628">
        <w:rPr>
          <w:rFonts w:ascii="Arial Nova" w:hAnsi="Arial Nova" w:eastAsia="Arial Nova" w:cs="Arial Nova"/>
          <w:sz w:val="24"/>
          <w:szCs w:val="24"/>
        </w:rPr>
        <w:t>) 1950.</w:t>
      </w:r>
    </w:p>
    <w:p w:rsidR="60719628" w:rsidP="4FF15759" w:rsidRDefault="60719628" w14:paraId="552151AD" w14:textId="2071A2CC">
      <w:pPr>
        <w:pStyle w:val="Normal"/>
      </w:pPr>
      <w:r w:rsidRPr="4FF15759" w:rsidR="60719628">
        <w:rPr>
          <w:rFonts w:ascii="Arial Nova" w:hAnsi="Arial Nova" w:eastAsia="Arial Nova" w:cs="Arial Nova"/>
          <w:sz w:val="24"/>
          <w:szCs w:val="24"/>
        </w:rPr>
        <w:t>Coppel, J. and O'neill, A., 1992. The European Court of Justice: Taking Rights Seriously? Legal Studies, 12(2), pp.227-245.</w:t>
      </w:r>
    </w:p>
    <w:p w:rsidR="60719628" w:rsidP="4FF15759" w:rsidRDefault="60719628" w14:paraId="1E28A905" w14:textId="3E2DC63F">
      <w:pPr>
        <w:pStyle w:val="Normal"/>
      </w:pPr>
      <w:r w:rsidRPr="4FF15759" w:rsidR="60719628">
        <w:rPr>
          <w:rFonts w:ascii="Arial Nova" w:hAnsi="Arial Nova" w:eastAsia="Arial Nova" w:cs="Arial Nova"/>
          <w:sz w:val="24"/>
          <w:szCs w:val="24"/>
        </w:rPr>
        <w:t xml:space="preserve">Dee, </w:t>
      </w:r>
      <w:bookmarkStart w:name="_Int_onXy9LPb" w:id="1169061882"/>
      <w:r w:rsidRPr="4FF15759" w:rsidR="60719628">
        <w:rPr>
          <w:rFonts w:ascii="Arial Nova" w:hAnsi="Arial Nova" w:eastAsia="Arial Nova" w:cs="Arial Nova"/>
          <w:sz w:val="24"/>
          <w:szCs w:val="24"/>
        </w:rPr>
        <w:t>M.</w:t>
      </w:r>
      <w:bookmarkEnd w:id="1169061882"/>
      <w:r w:rsidRPr="4FF15759" w:rsidR="60719628">
        <w:rPr>
          <w:rFonts w:ascii="Arial Nova" w:hAnsi="Arial Nova" w:eastAsia="Arial Nova" w:cs="Arial Nova"/>
          <w:sz w:val="24"/>
          <w:szCs w:val="24"/>
        </w:rPr>
        <w:t xml:space="preserve"> and Smith, K.E., 2017. UK Diplomacy at the UN after Brexit: Challenges and Opportunities. The British Journal of Politics and International Relations, 19(3), pp.527-542.</w:t>
      </w:r>
    </w:p>
    <w:p w:rsidR="60719628" w:rsidP="4FF15759" w:rsidRDefault="60719628" w14:paraId="3260542A" w14:textId="0BAF59F0">
      <w:pPr>
        <w:pStyle w:val="Normal"/>
      </w:pPr>
      <w:r w:rsidRPr="4FF15759" w:rsidR="60719628">
        <w:rPr>
          <w:rFonts w:ascii="Arial Nova" w:hAnsi="Arial Nova" w:eastAsia="Arial Nova" w:cs="Arial Nova"/>
          <w:sz w:val="24"/>
          <w:szCs w:val="24"/>
        </w:rPr>
        <w:t>European Communities Act 1972.</w:t>
      </w:r>
    </w:p>
    <w:p w:rsidR="60719628" w:rsidP="4FF15759" w:rsidRDefault="60719628" w14:paraId="5C45F667" w14:textId="2EDF91DF">
      <w:pPr>
        <w:pStyle w:val="Normal"/>
      </w:pPr>
      <w:r w:rsidRPr="4FF15759" w:rsidR="60719628">
        <w:rPr>
          <w:rFonts w:ascii="Arial Nova" w:hAnsi="Arial Nova" w:eastAsia="Arial Nova" w:cs="Arial Nova"/>
          <w:sz w:val="24"/>
          <w:szCs w:val="24"/>
        </w:rPr>
        <w:t>European Union (Withdrawal) Act 2018.</w:t>
      </w:r>
    </w:p>
    <w:p w:rsidR="60719628" w:rsidP="4FF15759" w:rsidRDefault="60719628" w14:paraId="03353B84" w14:textId="379FA6B1">
      <w:pPr>
        <w:pStyle w:val="Normal"/>
      </w:pPr>
      <w:r w:rsidRPr="4FF15759" w:rsidR="60719628">
        <w:rPr>
          <w:rFonts w:ascii="Arial Nova" w:hAnsi="Arial Nova" w:eastAsia="Arial Nova" w:cs="Arial Nova"/>
          <w:sz w:val="24"/>
          <w:szCs w:val="24"/>
        </w:rPr>
        <w:t>Foster, S., 2022. Reforming the Human Rights Act 1998 and the Bill of Rights Bill 2022. Coventry Law Journal, 27(1), pp.1-21.</w:t>
      </w:r>
    </w:p>
    <w:p w:rsidR="60719628" w:rsidP="4FF15759" w:rsidRDefault="60719628" w14:paraId="1A5B1A04" w14:textId="5197BFFB">
      <w:pPr>
        <w:pStyle w:val="Normal"/>
      </w:pPr>
      <w:r w:rsidRPr="4FF15759" w:rsidR="60719628">
        <w:rPr>
          <w:rFonts w:ascii="Arial Nova" w:hAnsi="Arial Nova" w:eastAsia="Arial Nova" w:cs="Arial Nova"/>
          <w:sz w:val="24"/>
          <w:szCs w:val="24"/>
        </w:rPr>
        <w:t>Gearty, C.A., 1993. The European Court of Human Rights and the Protection of Civil Liberties: An overview. The Cambridge Law Journal, 52(1), pp.89-127.</w:t>
      </w:r>
    </w:p>
    <w:p w:rsidR="60719628" w:rsidP="4FF15759" w:rsidRDefault="60719628" w14:paraId="7BF3A77B" w14:textId="6C0DDDB5">
      <w:pPr>
        <w:pStyle w:val="Normal"/>
      </w:pPr>
      <w:r w:rsidRPr="4FF15759" w:rsidR="60719628">
        <w:rPr>
          <w:rFonts w:ascii="Arial Nova" w:hAnsi="Arial Nova" w:eastAsia="Arial Nova" w:cs="Arial Nova"/>
          <w:sz w:val="24"/>
          <w:szCs w:val="24"/>
        </w:rPr>
        <w:t>Geddis, A., 2006. Some Questions for the United Kingdom’s Republican Constitution. Canadian Journal of Law &amp; Jurisprudence, 19(1), pp.177-189.</w:t>
      </w:r>
    </w:p>
    <w:p w:rsidR="60719628" w:rsidP="4FF15759" w:rsidRDefault="60719628" w14:paraId="12C63F5A" w14:textId="2E2CCCF4">
      <w:pPr>
        <w:pStyle w:val="Normal"/>
      </w:pPr>
      <w:r w:rsidRPr="4FF15759" w:rsidR="60719628">
        <w:rPr>
          <w:rFonts w:ascii="Arial Nova" w:hAnsi="Arial Nova" w:eastAsia="Arial Nova" w:cs="Arial Nova"/>
          <w:sz w:val="24"/>
          <w:szCs w:val="24"/>
        </w:rPr>
        <w:t>Hale, B.M., 2022. 'Human Rights Act' Reform: A Modern Bill of Rights. European Human Rights Law Review, (3), pp.228-238.</w:t>
      </w:r>
    </w:p>
    <w:p w:rsidR="60719628" w:rsidP="4FF15759" w:rsidRDefault="60719628" w14:paraId="08D4B4E4" w14:textId="132CEDD1">
      <w:pPr>
        <w:pStyle w:val="Normal"/>
      </w:pPr>
      <w:r w:rsidRPr="4FF15759" w:rsidR="60719628">
        <w:rPr>
          <w:rFonts w:ascii="Arial Nova" w:hAnsi="Arial Nova" w:eastAsia="Arial Nova" w:cs="Arial Nova"/>
          <w:sz w:val="24"/>
          <w:szCs w:val="24"/>
        </w:rPr>
        <w:t>Human Rights Act [HRA] 1998.</w:t>
      </w:r>
    </w:p>
    <w:p w:rsidR="60719628" w:rsidP="4FF15759" w:rsidRDefault="60719628" w14:paraId="03B8AA8A" w14:textId="598294F1">
      <w:pPr>
        <w:pStyle w:val="Normal"/>
      </w:pPr>
      <w:r w:rsidRPr="4FF15759" w:rsidR="60719628">
        <w:rPr>
          <w:rFonts w:ascii="Arial Nova" w:hAnsi="Arial Nova" w:eastAsia="Arial Nova" w:cs="Arial Nova"/>
          <w:sz w:val="24"/>
          <w:szCs w:val="24"/>
        </w:rPr>
        <w:t>Kavanagh, A., 2015. What’s So Weak About “Weak-form Review”? The Case of the UK Human Rights Act 1998. International Journal of Constitutional Law, 13(4), pp.1008-1039.</w:t>
      </w:r>
    </w:p>
    <w:p w:rsidR="60719628" w:rsidP="4FF15759" w:rsidRDefault="60719628" w14:paraId="285B4BC0" w14:textId="69474D01">
      <w:pPr>
        <w:pStyle w:val="Normal"/>
      </w:pPr>
      <w:r w:rsidRPr="4FF15759" w:rsidR="60719628">
        <w:rPr>
          <w:rFonts w:ascii="Arial Nova" w:hAnsi="Arial Nova" w:eastAsia="Arial Nova" w:cs="Arial Nova"/>
          <w:sz w:val="24"/>
          <w:szCs w:val="24"/>
        </w:rPr>
        <w:t>Klug, F. and Wildbore, H., 2010. Follow or Lead? The Human Rights Act and the European Court of Human Rights. European Human Rights Law Review, 6, pp.621-630.</w:t>
      </w:r>
    </w:p>
    <w:p w:rsidR="60719628" w:rsidP="4FF15759" w:rsidRDefault="60719628" w14:paraId="707DA121" w14:textId="53A33F3A">
      <w:pPr>
        <w:pStyle w:val="Normal"/>
      </w:pPr>
      <w:r w:rsidRPr="4FF15759" w:rsidR="60719628">
        <w:rPr>
          <w:rFonts w:ascii="Arial Nova" w:hAnsi="Arial Nova" w:eastAsia="Arial Nova" w:cs="Arial Nova"/>
          <w:sz w:val="24"/>
          <w:szCs w:val="24"/>
        </w:rPr>
        <w:t>McCrillis, N.R., 1998. The British Conservative Party in the Age of Universal Suffrage: Popular Conservatism, 1918-1929. The Ohio State University Press.</w:t>
      </w:r>
    </w:p>
    <w:p w:rsidR="60719628" w:rsidP="4FF15759" w:rsidRDefault="60719628" w14:paraId="01CB6F93" w14:textId="0F1BD21C">
      <w:pPr>
        <w:pStyle w:val="Normal"/>
      </w:pPr>
      <w:r w:rsidRPr="4FF15759" w:rsidR="60719628">
        <w:rPr>
          <w:rFonts w:ascii="Arial Nova" w:hAnsi="Arial Nova" w:eastAsia="Arial Nova" w:cs="Arial Nova"/>
          <w:sz w:val="24"/>
          <w:szCs w:val="24"/>
        </w:rPr>
        <w:t>Mutua, M.W., 2017. The Ideology of Human Rights. International Law of Human Rights (pp. 103-172).</w:t>
      </w:r>
    </w:p>
    <w:p w:rsidR="60719628" w:rsidP="4FF15759" w:rsidRDefault="60719628" w14:paraId="3A1F7F71" w14:textId="36763A50">
      <w:pPr>
        <w:pStyle w:val="Normal"/>
      </w:pPr>
      <w:r w:rsidRPr="4FF15759" w:rsidR="60719628">
        <w:rPr>
          <w:rFonts w:ascii="Arial Nova" w:hAnsi="Arial Nova" w:eastAsia="Arial Nova" w:cs="Arial Nova"/>
          <w:sz w:val="24"/>
          <w:szCs w:val="24"/>
        </w:rPr>
        <w:t>Norton, P., 2011. Divided Loyalties: The European Communities Act 1972. Parliamentary History, 30(1), pp.53-64.</w:t>
      </w:r>
    </w:p>
    <w:p w:rsidR="60719628" w:rsidP="4FF15759" w:rsidRDefault="60719628" w14:paraId="1B4CF58B" w14:textId="4637870A">
      <w:pPr>
        <w:pStyle w:val="Normal"/>
      </w:pPr>
      <w:r w:rsidRPr="4FF15759" w:rsidR="60719628">
        <w:rPr>
          <w:rFonts w:ascii="Arial Nova" w:hAnsi="Arial Nova" w:eastAsia="Arial Nova" w:cs="Arial Nova"/>
          <w:sz w:val="24"/>
          <w:szCs w:val="24"/>
        </w:rPr>
        <w:t>White, S., 2022. Brexit and the Future of the UK Constitution. International Political Science Review, 43(3), pp.359-373.</w:t>
      </w:r>
    </w:p>
    <w:p w:rsidR="60719628" w:rsidP="4FF15759" w:rsidRDefault="60719628" w14:paraId="45E8D82A" w14:textId="366F6CEE">
      <w:pPr>
        <w:pStyle w:val="Normal"/>
        <w:rPr>
          <w:rFonts w:ascii="Arial Nova" w:hAnsi="Arial Nova" w:eastAsia="Arial Nova" w:cs="Arial Nova"/>
          <w:sz w:val="24"/>
          <w:szCs w:val="24"/>
        </w:rPr>
      </w:pPr>
      <w:r>
        <w:br/>
      </w:r>
    </w:p>
    <w:p w:rsidR="4FF15759" w:rsidP="4FF15759" w:rsidRDefault="4FF15759" w14:paraId="2156288D" w14:textId="14A32FF8">
      <w:pPr>
        <w:pStyle w:val="Normal"/>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YjbG2ihpVsO0Aq" int2:id="pdrMOEtK">
      <int2:state int2:type="AugLoop_Text_Critique" int2:value="Rejected"/>
    </int2:textHash>
    <int2:textHash int2:hashCode="MJK1ARDkWq0+sQ" int2:id="cwp09Pei">
      <int2:state int2:type="AugLoop_Text_Critique" int2:value="Rejected"/>
    </int2:textHash>
    <int2:textHash int2:hashCode="d1mK1I5+UV2dbx" int2:id="NI39sJo0">
      <int2:state int2:type="AugLoop_Text_Critique" int2:value="Rejected"/>
    </int2:textHash>
    <int2:textHash int2:hashCode="Ai0M/BrIxZT43C" int2:id="AOgR41Q0">
      <int2:state int2:type="AugLoop_Text_Critique" int2:value="Rejected"/>
    </int2:textHash>
    <int2:bookmark int2:bookmarkName="_Int_DhwA8roY" int2:invalidationBookmarkName="" int2:hashCode="3/z6JuPo4fsfhW" int2:id="XLytDv80">
      <int2:state int2:type="AugLoop_Acronyms_AcronymsCritique" int2:value="Rejected"/>
    </int2:bookmark>
    <int2:bookmark int2:bookmarkName="_Int_onXy9LPb" int2:invalidationBookmarkName="" int2:hashCode="il/tKyAlGJCVex" int2:id="FFzvL0Pg">
      <int2:state int2:type="AugLoop_Text_Critique" int2:value="Rejected"/>
    </int2:bookmark>
    <int2:bookmark int2:bookmarkName="_Int_I7h8u2Wq" int2:invalidationBookmarkName="" int2:hashCode="od6VuoPDqWkH4U" int2:id="Z9OEtucm">
      <int2:state int2:type="AugLoop_Text_Critique" int2:value="Rejected"/>
    </int2:bookmark>
    <int2:bookmark int2:bookmarkName="_Int_m3jRJCF7" int2:invalidationBookmarkName="" int2:hashCode="a3gPsN1V7UgXyV" int2:id="PGEHQCay">
      <int2:state int2:type="AugLoop_Text_Critique" int2:value="Rejected"/>
    </int2:bookmark>
    <int2:bookmark int2:bookmarkName="_Int_9apf2PX9" int2:invalidationBookmarkName="" int2:hashCode="0lXQ0GySJQ8tJA" int2:id="u6JDqNJO">
      <int2:state int2:type="AugLoop_Text_Critique" int2:value="Rejected"/>
    </int2:bookmark>
    <int2:bookmark int2:bookmarkName="_Int_byIUedCM" int2:invalidationBookmarkName="" int2:hashCode="0lXQ0GySJQ8tJA" int2:id="j62FAPa1">
      <int2:state int2:type="AugLoop_Text_Critique" int2:value="Rejected"/>
    </int2:bookmark>
    <int2:bookmark int2:bookmarkName="_Int_wCThHQBy" int2:invalidationBookmarkName="" int2:hashCode="3KKjJeR/dxf+gy" int2:id="INR7iZFO">
      <int2:state int2:type="AugLoop_Text_Critique" int2:value="Rejected"/>
    </int2:bookmark>
    <int2:bookmark int2:bookmarkName="_Int_5E4cHAwd" int2:invalidationBookmarkName="" int2:hashCode="e0dMsLOcF3PXGS" int2:id="GEZpqa6T">
      <int2:state int2:type="AugLoop_Text_Critique" int2:value="Rejected"/>
    </int2:bookmark>
    <int2:bookmark int2:bookmarkName="_Int_z35zGK4R" int2:invalidationBookmarkName="" int2:hashCode="QenvHi03z9xECO" int2:id="r8qrGUyE">
      <int2:state int2:type="AugLoop_Text_Critique" int2:value="Rejected"/>
    </int2:bookmark>
    <int2:bookmark int2:bookmarkName="_Int_JsSLviJS" int2:invalidationBookmarkName="" int2:hashCode="ywxJD1huJAq22T" int2:id="nEQ09Jrm">
      <int2:state int2:type="AugLoop_Text_Critique" int2:value="Rejected"/>
    </int2:bookmark>
    <int2:bookmark int2:bookmarkName="_Int_A9kMUnsO" int2:invalidationBookmarkName="" int2:hashCode="VRd/LyDcPFdCnc" int2:id="NhDGrf1O">
      <int2:state int2:type="AugLoop_Text_Critique" int2:value="Rejected"/>
    </int2:bookmark>
    <int2:bookmark int2:bookmarkName="_Int_B6Ts7O33" int2:invalidationBookmarkName="" int2:hashCode="VRd/LyDcPFdCnc" int2:id="5Djr5Kga">
      <int2:state int2:type="AugLoop_Text_Critique" int2:value="Rejected"/>
    </int2:bookmark>
    <int2:bookmark int2:bookmarkName="_Int_y8o7QRMw" int2:invalidationBookmarkName="" int2:hashCode="e0dMsLOcF3PXGS" int2:id="xO5JBykw">
      <int2:state int2:type="AugLoop_Text_Critique" int2:value="Rejected"/>
    </int2:bookmark>
    <int2:bookmark int2:bookmarkName="_Int_CJJQRq0M" int2:invalidationBookmarkName="" int2:hashCode="VRd/LyDcPFdCnc" int2:id="TdHuiIdd">
      <int2:state int2:type="AugLoop_Text_Critique" int2:value="Rejected"/>
    </int2:bookmark>
    <int2:bookmark int2:bookmarkName="_Int_GwDcg3UH" int2:invalidationBookmarkName="" int2:hashCode="3KKjJeR/dxf+gy" int2:id="8OPm5ybq">
      <int2:state int2:type="AugLoop_Text_Critique" int2:value="Rejected"/>
    </int2:bookmark>
    <int2:bookmark int2:bookmarkName="_Int_xfW1u8QU" int2:invalidationBookmarkName="" int2:hashCode="3KKjJeR/dxf+gy" int2:id="Z7qaBwcU">
      <int2:state int2:type="AugLoop_Text_Critique" int2:value="Rejected"/>
    </int2:bookmark>
    <int2:bookmark int2:bookmarkName="_Int_fYdcts1F" int2:invalidationBookmarkName="" int2:hashCode="qGjM/36ZhghkXx" int2:id="qtsvFmjs">
      <int2:state int2:type="AugLoop_Text_Critique" int2:value="Rejected"/>
    </int2:bookmark>
    <int2:bookmark int2:bookmarkName="_Int_hrayyQDW" int2:invalidationBookmarkName="" int2:hashCode="OSvJmvgT/qjOHD" int2:id="U26gXrK3">
      <int2:state int2:type="AugLoop_Text_Critique" int2:value="Rejected"/>
    </int2:bookmark>
    <int2:bookmark int2:bookmarkName="_Int_XWebusLZ" int2:invalidationBookmarkName="" int2:hashCode="eiAY9M/IMeZ+4I" int2:id="chE8EuP2">
      <int2:state int2:type="AugLoop_Text_Critique" int2:value="Rejected"/>
    </int2:bookmark>
    <int2:bookmark int2:bookmarkName="_Int_8Rl3DRXS" int2:invalidationBookmarkName="" int2:hashCode="0lXQ0GySJQ8tJA" int2:id="ebCRbxmd">
      <int2:state int2:type="AugLoop_Text_Critique" int2:value="Rejected"/>
    </int2:bookmark>
    <int2:bookmark int2:bookmarkName="_Int_2JYECTfG" int2:invalidationBookmarkName="" int2:hashCode="d3DQTHv7eR58lZ" int2:id="AW8sTGPf">
      <int2:state int2:type="AugLoop_Acronyms_AcronymsCritique" int2:value="Rejected"/>
    </int2:bookmark>
    <int2:bookmark int2:bookmarkName="_Int_V6JYbT4z" int2:invalidationBookmarkName="" int2:hashCode="8xOoZ/uGe1fbSA" int2:id="PpwMmEk7">
      <int2:state int2:type="AugLoop_Acronyms_AcronymsCritique" int2:value="Rejected"/>
    </int2:bookmark>
    <int2:bookmark int2:bookmarkName="_Int_HpLqrCO8" int2:invalidationBookmarkName="" int2:hashCode="8fGeTqqdHSAm4o" int2:id="0ysaiQDD">
      <int2:state int2:type="AugLoop_Acronyms_AcronymsCritique" int2:value="Rejected"/>
    </int2:bookmark>
    <int2:entireDocument int2:id="DB7VDCEh">
      <int2:extLst>
        <oel:ext uri="E302BA01-7950-474C-9AD3-286E660C40A8">
          <int2:similaritySummary int2:version="1" int2:runId="1678398005172" int2:tilesCheckedInThisRun="21" int2:totalNumOfTiles="33" int2:similarityAnnotationCount="0" int2:numWords="1860" int2:numFlaggedWords="0"/>
        </oel:ext>
      </int2:extLst>
    </int2:entireDocument>
  </int2:observations>
  <int2:intelligenceSettings/>
  <int2:onDemandWorkflows>
    <int2:onDemandWorkflow int2:type="SimilarityCheck" int2:paragraphVersions="061C7317-470159F1 4A46D5EC-33B79540 66280DDF-687FFCE3 00E84635-36FAF70A 243C7975-4129DFE1 3850F4B1-1EF0DF78 549BD14C-66628E8E 115F0C97-63EAB644 4DEF2DB2-5ABAFE16 79EA4DB5-5E4C01B5 20F18675-41AE1EDF 567AACB2-41A6BF96 35387B90-08F2D501 5E5787A5-4BF5D25A 7896CC4C-781C23FA 15E4C5C8-71798B0F 1F3F2B4D-22EEADCA 4B7BA022-1B9FB581 7C4FA690-513E17F7 6D41DBD2-103DED72 552151AD-2071A2CC 1E28A905-3E2DC63F 3260542A-0BAF59F0 5C45F667-2EDF91DF 03353B84-379FA6B1 1A5B1A04-5197BFFB 7BF3A77B-6C0DDDB5 12C63F5A-2E2CCCF4 08D4B4E4-132CEDD1 03B8AA8A-598294F1 285B4BC0-69474D01 707DA121-53A33F3A 01CB6F93-0F1BD21C 3A1F7F71-36763A50 1B4CF58B-4637870A 45E8D82A-366F6CEE 2156288D-14A32FF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D238F0"/>
    <w:rsid w:val="04E22E77"/>
    <w:rsid w:val="0632E0CB"/>
    <w:rsid w:val="067DFED8"/>
    <w:rsid w:val="0B516FFB"/>
    <w:rsid w:val="28F7457E"/>
    <w:rsid w:val="4C0D0367"/>
    <w:rsid w:val="4FD238F0"/>
    <w:rsid w:val="4FF15759"/>
    <w:rsid w:val="51D64C8E"/>
    <w:rsid w:val="53721CEF"/>
    <w:rsid w:val="54B7B0D5"/>
    <w:rsid w:val="550DED50"/>
    <w:rsid w:val="5529CF68"/>
    <w:rsid w:val="59E15E73"/>
    <w:rsid w:val="5A2C7C80"/>
    <w:rsid w:val="5BC84CE1"/>
    <w:rsid w:val="60719628"/>
    <w:rsid w:val="66660DF9"/>
    <w:rsid w:val="6B9B4024"/>
    <w:rsid w:val="6C02EA2A"/>
    <w:rsid w:val="6D9EBA8B"/>
    <w:rsid w:val="6E54DBA2"/>
    <w:rsid w:val="75D75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238F0"/>
  <w15:chartTrackingRefBased/>
  <w15:docId w15:val="{0EB2519F-45B2-4F7B-81D8-8C601BC7E2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c1e8e12f47b42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2023-03-09T21:23:14.3739782Z</dcterms:created>
  <dcterms:modified xsi:type="dcterms:W3CDTF">2023-03-09T21:47:59.7958821Z</dcterms:modified>
</coreProperties>
</file>