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47DD55F0" w14:textId="6678E4C5" w:rsidR="00212C86" w:rsidRPr="00CF62A0" w:rsidRDefault="00212C86" w:rsidP="00212C86">
      <w:pPr>
        <w:spacing w:line="360" w:lineRule="auto"/>
        <w:rPr>
          <w:rFonts w:ascii="Arial" w:hAnsi="Arial" w:cs="Arial"/>
          <w:color w:val="000000" w:themeColor="text1"/>
          <w:sz w:val="22"/>
          <w:szCs w:val="22"/>
        </w:rPr>
      </w:pPr>
      <w:r w:rsidRPr="00CF62A0">
        <w:rPr>
          <w:rFonts w:ascii="Arial" w:hAnsi="Arial" w:cs="Arial"/>
          <w:noProof/>
          <w:sz w:val="22"/>
          <w:szCs w:val="22"/>
        </w:rPr>
        <w:drawing>
          <wp:anchor distT="0" distB="0" distL="114300" distR="114300" simplePos="0" relativeHeight="251658240" behindDoc="1" locked="0" layoutInCell="1" allowOverlap="1" wp14:anchorId="671D52A5" wp14:editId="687FA19C">
            <wp:simplePos x="0" y="0"/>
            <wp:positionH relativeFrom="column">
              <wp:posOffset>117112</wp:posOffset>
            </wp:positionH>
            <wp:positionV relativeFrom="paragraph">
              <wp:posOffset>453</wp:posOffset>
            </wp:positionV>
            <wp:extent cx="5417820" cy="2264410"/>
            <wp:effectExtent l="0" t="0" r="5080" b="0"/>
            <wp:wrapTight wrapText="bothSides">
              <wp:wrapPolygon edited="0">
                <wp:start x="0" y="0"/>
                <wp:lineTo x="0" y="21443"/>
                <wp:lineTo x="21570" y="21443"/>
                <wp:lineTo x="21570" y="0"/>
                <wp:lineTo x="0" y="0"/>
              </wp:wrapPolygon>
            </wp:wrapTight>
            <wp:docPr id="595092915"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17820" cy="22644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F62A0">
        <w:rPr>
          <w:rFonts w:ascii="Arial" w:hAnsi="Arial" w:cs="Arial"/>
          <w:color w:val="000000" w:themeColor="text1"/>
          <w:sz w:val="22"/>
          <w:szCs w:val="22"/>
        </w:rPr>
        <w:t xml:space="preserve">                                                      </w:t>
      </w:r>
    </w:p>
    <w:p w14:paraId="519C964F" w14:textId="1136A5D1" w:rsidR="00212C86" w:rsidRPr="00CF62A0" w:rsidRDefault="00212C86" w:rsidP="00CF62A0">
      <w:pPr>
        <w:spacing w:line="360" w:lineRule="auto"/>
        <w:rPr>
          <w:rFonts w:ascii="Arial" w:eastAsia="Verdana" w:hAnsi="Arial" w:cs="Arial"/>
          <w:color w:val="000000" w:themeColor="text1"/>
          <w:sz w:val="22"/>
          <w:szCs w:val="22"/>
        </w:rPr>
      </w:pPr>
      <w:r w:rsidRPr="00CF62A0">
        <w:rPr>
          <w:rFonts w:ascii="Arial" w:hAnsi="Arial" w:cs="Arial"/>
          <w:b/>
          <w:bCs/>
          <w:color w:val="000000" w:themeColor="text1"/>
          <w:sz w:val="22"/>
          <w:szCs w:val="22"/>
        </w:rPr>
        <w:t xml:space="preserve">Module Name: </w:t>
      </w:r>
      <w:r w:rsidRPr="00CF62A0">
        <w:rPr>
          <w:rFonts w:ascii="Arial" w:hAnsi="Arial" w:cs="Arial"/>
          <w:sz w:val="22"/>
          <w:szCs w:val="22"/>
        </w:rPr>
        <w:t>Psychology in Health and Social Care</w:t>
      </w:r>
      <w:r w:rsidRPr="00CF62A0">
        <w:rPr>
          <w:rFonts w:ascii="Arial" w:hAnsi="Arial" w:cs="Arial"/>
          <w:color w:val="000000" w:themeColor="text1"/>
          <w:sz w:val="22"/>
          <w:szCs w:val="22"/>
        </w:rPr>
        <w:t xml:space="preserve"> </w:t>
      </w:r>
    </w:p>
    <w:p w14:paraId="15A6D0C5" w14:textId="2D2658BD" w:rsidR="00212C86" w:rsidRPr="00CF62A0" w:rsidRDefault="00212C86" w:rsidP="00CF62A0">
      <w:pPr>
        <w:spacing w:line="360" w:lineRule="auto"/>
        <w:rPr>
          <w:rFonts w:ascii="Arial" w:hAnsi="Arial" w:cs="Arial"/>
          <w:b/>
          <w:bCs/>
          <w:color w:val="000000" w:themeColor="text1"/>
          <w:sz w:val="22"/>
          <w:szCs w:val="22"/>
        </w:rPr>
      </w:pPr>
      <w:r w:rsidRPr="00CF62A0">
        <w:rPr>
          <w:rFonts w:ascii="Arial" w:hAnsi="Arial" w:cs="Arial"/>
          <w:b/>
          <w:bCs/>
          <w:color w:val="000000" w:themeColor="text1"/>
          <w:sz w:val="22"/>
          <w:szCs w:val="22"/>
        </w:rPr>
        <w:t>Module Code:</w:t>
      </w:r>
      <w:r w:rsidRPr="00CF62A0">
        <w:rPr>
          <w:rFonts w:ascii="Arial" w:hAnsi="Arial" w:cs="Arial"/>
          <w:color w:val="000000" w:themeColor="text1"/>
          <w:sz w:val="22"/>
          <w:szCs w:val="22"/>
        </w:rPr>
        <w:t xml:space="preserve"> LCHS4010</w:t>
      </w:r>
    </w:p>
    <w:p w14:paraId="00178F85" w14:textId="3479DF6B" w:rsidR="00212C86" w:rsidRPr="00CF62A0" w:rsidRDefault="00212C86" w:rsidP="00CF62A0">
      <w:pPr>
        <w:spacing w:line="360" w:lineRule="auto"/>
        <w:rPr>
          <w:rFonts w:ascii="Arial" w:hAnsi="Arial" w:cs="Arial"/>
          <w:color w:val="000000" w:themeColor="text1"/>
          <w:sz w:val="22"/>
          <w:szCs w:val="22"/>
        </w:rPr>
      </w:pPr>
      <w:r w:rsidRPr="00CF62A0">
        <w:rPr>
          <w:rFonts w:ascii="Arial" w:hAnsi="Arial" w:cs="Arial"/>
          <w:b/>
          <w:bCs/>
          <w:color w:val="000000" w:themeColor="text1"/>
          <w:sz w:val="22"/>
          <w:szCs w:val="22"/>
        </w:rPr>
        <w:t xml:space="preserve">Assignment No. </w:t>
      </w:r>
      <w:r w:rsidRPr="00CF62A0">
        <w:rPr>
          <w:rFonts w:ascii="Arial" w:hAnsi="Arial" w:cs="Arial"/>
          <w:color w:val="000000" w:themeColor="text1"/>
          <w:sz w:val="22"/>
          <w:szCs w:val="22"/>
        </w:rPr>
        <w:t>2</w:t>
      </w:r>
    </w:p>
    <w:p w14:paraId="5A64F19F" w14:textId="07B7B2A1" w:rsidR="00CF62A0" w:rsidRPr="00CF62A0" w:rsidRDefault="00CF62A0" w:rsidP="00CF62A0">
      <w:pPr>
        <w:spacing w:line="360" w:lineRule="auto"/>
        <w:rPr>
          <w:rFonts w:ascii="Arial" w:hAnsi="Arial" w:cs="Arial"/>
          <w:b/>
          <w:bCs/>
          <w:color w:val="000000" w:themeColor="text1"/>
          <w:sz w:val="22"/>
          <w:szCs w:val="22"/>
        </w:rPr>
      </w:pPr>
      <w:r w:rsidRPr="00CF62A0">
        <w:rPr>
          <w:rFonts w:ascii="Arial" w:hAnsi="Arial" w:cs="Arial"/>
          <w:b/>
          <w:bCs/>
          <w:color w:val="000000" w:themeColor="text1"/>
          <w:sz w:val="22"/>
          <w:szCs w:val="22"/>
        </w:rPr>
        <w:t>Assignment Title:</w:t>
      </w:r>
      <w:r w:rsidRPr="00CF62A0">
        <w:rPr>
          <w:rFonts w:ascii="Arial" w:hAnsi="Arial" w:cs="Arial"/>
          <w:color w:val="000000" w:themeColor="text1"/>
          <w:sz w:val="22"/>
          <w:szCs w:val="22"/>
        </w:rPr>
        <w:t xml:space="preserve"> “</w:t>
      </w:r>
      <w:r w:rsidR="00B8209A">
        <w:rPr>
          <w:rFonts w:ascii="Arial" w:hAnsi="Arial" w:cs="Arial"/>
          <w:kern w:val="0"/>
          <w:sz w:val="22"/>
          <w:szCs w:val="22"/>
        </w:rPr>
        <w:t>T</w:t>
      </w:r>
      <w:r w:rsidRPr="00CF62A0">
        <w:rPr>
          <w:rFonts w:ascii="Arial" w:hAnsi="Arial" w:cs="Arial"/>
          <w:kern w:val="0"/>
          <w:sz w:val="22"/>
          <w:szCs w:val="22"/>
        </w:rPr>
        <w:t>he impact of social media on mental health in adolescence.” Essay</w:t>
      </w:r>
    </w:p>
    <w:p w14:paraId="4DAA7B99" w14:textId="77777777" w:rsidR="00212C86" w:rsidRPr="00CF62A0" w:rsidRDefault="00212C86" w:rsidP="00CF62A0">
      <w:pPr>
        <w:spacing w:line="360" w:lineRule="auto"/>
        <w:rPr>
          <w:rFonts w:ascii="Arial" w:hAnsi="Arial" w:cs="Arial"/>
          <w:b/>
          <w:bCs/>
          <w:color w:val="000000" w:themeColor="text1"/>
          <w:sz w:val="22"/>
          <w:szCs w:val="22"/>
        </w:rPr>
      </w:pPr>
    </w:p>
    <w:p w14:paraId="188F1833" w14:textId="397643F9" w:rsidR="00212C86" w:rsidRPr="00CF62A0" w:rsidRDefault="00212C86" w:rsidP="00CF62A0">
      <w:pPr>
        <w:spacing w:line="360" w:lineRule="auto"/>
        <w:rPr>
          <w:rFonts w:ascii="Arial" w:hAnsi="Arial" w:cs="Arial"/>
          <w:color w:val="000000" w:themeColor="text1"/>
          <w:sz w:val="22"/>
          <w:szCs w:val="22"/>
        </w:rPr>
      </w:pPr>
      <w:r w:rsidRPr="00CF62A0">
        <w:rPr>
          <w:rFonts w:ascii="Arial" w:hAnsi="Arial" w:cs="Arial"/>
          <w:b/>
          <w:bCs/>
          <w:color w:val="000000" w:themeColor="text1"/>
          <w:sz w:val="22"/>
          <w:szCs w:val="22"/>
        </w:rPr>
        <w:t>Name of Student:</w:t>
      </w:r>
      <w:r w:rsidRPr="00CF62A0">
        <w:rPr>
          <w:rFonts w:ascii="Arial" w:hAnsi="Arial" w:cs="Arial"/>
          <w:color w:val="000000" w:themeColor="text1"/>
          <w:sz w:val="22"/>
          <w:szCs w:val="22"/>
        </w:rPr>
        <w:t xml:space="preserve"> Ruby Ana Geli</w:t>
      </w:r>
    </w:p>
    <w:p w14:paraId="5DBD45E0" w14:textId="12D74BB2" w:rsidR="00212C86" w:rsidRPr="00CF62A0" w:rsidRDefault="00212C86" w:rsidP="00CF62A0">
      <w:pPr>
        <w:spacing w:line="360" w:lineRule="auto"/>
        <w:rPr>
          <w:rFonts w:ascii="Arial" w:hAnsi="Arial" w:cs="Arial"/>
          <w:color w:val="000000" w:themeColor="text1"/>
          <w:sz w:val="22"/>
          <w:szCs w:val="22"/>
        </w:rPr>
      </w:pPr>
      <w:r w:rsidRPr="00CF62A0">
        <w:rPr>
          <w:rFonts w:ascii="Arial" w:hAnsi="Arial" w:cs="Arial"/>
          <w:b/>
          <w:bCs/>
          <w:color w:val="000000" w:themeColor="text1"/>
          <w:sz w:val="22"/>
          <w:szCs w:val="22"/>
        </w:rPr>
        <w:t>I.D. Number:</w:t>
      </w:r>
      <w:r w:rsidRPr="00CF62A0">
        <w:rPr>
          <w:rFonts w:ascii="Arial" w:hAnsi="Arial" w:cs="Arial"/>
          <w:color w:val="000000" w:themeColor="text1"/>
          <w:sz w:val="22"/>
          <w:szCs w:val="22"/>
        </w:rPr>
        <w:t xml:space="preserve"> 2515868</w:t>
      </w:r>
    </w:p>
    <w:p w14:paraId="4F8C71CA" w14:textId="77777777" w:rsidR="00CF62A0" w:rsidRPr="00CF62A0" w:rsidRDefault="00CF62A0" w:rsidP="00CF62A0">
      <w:pPr>
        <w:spacing w:line="360" w:lineRule="auto"/>
        <w:rPr>
          <w:rFonts w:ascii="Arial" w:hAnsi="Arial" w:cs="Arial"/>
          <w:color w:val="000000" w:themeColor="text1"/>
          <w:sz w:val="22"/>
          <w:szCs w:val="22"/>
        </w:rPr>
      </w:pPr>
    </w:p>
    <w:p w14:paraId="575B523A" w14:textId="780BD0B9" w:rsidR="00CF62A0" w:rsidRDefault="00CF62A0" w:rsidP="00CF62A0">
      <w:pPr>
        <w:spacing w:line="360" w:lineRule="auto"/>
        <w:rPr>
          <w:rFonts w:ascii="Arial" w:hAnsi="Arial" w:cs="Arial"/>
          <w:color w:val="000000" w:themeColor="text1"/>
          <w:sz w:val="22"/>
          <w:szCs w:val="22"/>
        </w:rPr>
      </w:pPr>
      <w:r w:rsidRPr="00CF62A0">
        <w:rPr>
          <w:rFonts w:ascii="Arial" w:hAnsi="Arial" w:cs="Arial"/>
          <w:b/>
          <w:bCs/>
          <w:color w:val="000000" w:themeColor="text1"/>
          <w:sz w:val="22"/>
          <w:szCs w:val="22"/>
        </w:rPr>
        <w:t xml:space="preserve">Lecturer Name: </w:t>
      </w:r>
      <w:r w:rsidRPr="00CF62A0">
        <w:rPr>
          <w:rFonts w:ascii="Arial" w:hAnsi="Arial" w:cs="Arial"/>
          <w:color w:val="000000" w:themeColor="text1"/>
          <w:sz w:val="22"/>
          <w:szCs w:val="22"/>
        </w:rPr>
        <w:t>Brian Mashumba</w:t>
      </w:r>
    </w:p>
    <w:p w14:paraId="155DC42A" w14:textId="77777777" w:rsidR="004A2F3A" w:rsidRDefault="004A2F3A" w:rsidP="00CF62A0">
      <w:pPr>
        <w:spacing w:line="360" w:lineRule="auto"/>
        <w:rPr>
          <w:rFonts w:ascii="Arial" w:hAnsi="Arial" w:cs="Arial"/>
          <w:color w:val="000000" w:themeColor="text1"/>
          <w:sz w:val="22"/>
          <w:szCs w:val="22"/>
        </w:rPr>
      </w:pPr>
    </w:p>
    <w:p w14:paraId="4CA0B4D6" w14:textId="467B6267" w:rsidR="004A2F3A" w:rsidRPr="004A2F3A" w:rsidRDefault="004A2F3A" w:rsidP="00CF62A0">
      <w:pPr>
        <w:spacing w:line="360" w:lineRule="auto"/>
        <w:rPr>
          <w:rFonts w:ascii="Arial" w:hAnsi="Arial" w:cs="Arial"/>
          <w:color w:val="000000" w:themeColor="text1"/>
          <w:sz w:val="22"/>
          <w:szCs w:val="22"/>
        </w:rPr>
      </w:pPr>
      <w:r w:rsidRPr="004A2F3A">
        <w:rPr>
          <w:rFonts w:ascii="Arial" w:hAnsi="Arial" w:cs="Arial"/>
          <w:b/>
          <w:bCs/>
          <w:color w:val="000000" w:themeColor="text1"/>
          <w:sz w:val="22"/>
          <w:szCs w:val="22"/>
        </w:rPr>
        <w:t xml:space="preserve">Word Count: </w:t>
      </w:r>
      <w:r w:rsidR="00222213">
        <w:rPr>
          <w:rFonts w:ascii="Arial" w:hAnsi="Arial" w:cs="Arial"/>
          <w:color w:val="000000" w:themeColor="text1"/>
          <w:sz w:val="22"/>
          <w:szCs w:val="22"/>
        </w:rPr>
        <w:t>1465</w:t>
      </w:r>
    </w:p>
    <w:p w14:paraId="412E8CA0" w14:textId="77777777" w:rsidR="00212C86" w:rsidRPr="00CF62A0" w:rsidRDefault="00212C86" w:rsidP="00CF62A0">
      <w:pPr>
        <w:spacing w:line="360" w:lineRule="auto"/>
        <w:rPr>
          <w:rFonts w:ascii="Arial" w:hAnsi="Arial" w:cs="Arial"/>
          <w:b/>
          <w:bCs/>
          <w:color w:val="000000" w:themeColor="text1"/>
          <w:sz w:val="22"/>
          <w:szCs w:val="22"/>
          <w:u w:val="single"/>
        </w:rPr>
      </w:pPr>
    </w:p>
    <w:p w14:paraId="31D59F55" w14:textId="77777777" w:rsidR="00212C86" w:rsidRPr="00CF62A0" w:rsidRDefault="00212C86" w:rsidP="00CF62A0">
      <w:pPr>
        <w:spacing w:line="360" w:lineRule="auto"/>
        <w:rPr>
          <w:rFonts w:ascii="Arial" w:hAnsi="Arial" w:cs="Arial"/>
          <w:color w:val="000000"/>
          <w:sz w:val="22"/>
          <w:szCs w:val="22"/>
        </w:rPr>
      </w:pPr>
      <w:r w:rsidRPr="00CF62A0">
        <w:rPr>
          <w:rFonts w:ascii="Arial" w:hAnsi="Arial" w:cs="Arial"/>
          <w:b/>
          <w:bCs/>
          <w:color w:val="000000" w:themeColor="text1"/>
          <w:sz w:val="22"/>
          <w:szCs w:val="22"/>
          <w:u w:val="single"/>
        </w:rPr>
        <w:t>Acknowledgement of AI use:</w:t>
      </w:r>
      <w:r w:rsidRPr="00CF62A0">
        <w:rPr>
          <w:rFonts w:ascii="Arial" w:hAnsi="Arial" w:cs="Arial"/>
          <w:color w:val="000000" w:themeColor="text1"/>
          <w:sz w:val="22"/>
          <w:szCs w:val="22"/>
        </w:rPr>
        <w:t xml:space="preserve"> </w:t>
      </w:r>
      <w:r w:rsidRPr="00CF62A0">
        <w:rPr>
          <w:rFonts w:ascii="Arial" w:hAnsi="Arial" w:cs="Arial"/>
          <w:color w:val="000000"/>
          <w:sz w:val="22"/>
          <w:szCs w:val="22"/>
        </w:rPr>
        <w:t>I declare that AI software was used only to check the spelling and grammar of this submission. No AI-generated wording, content, or written text has been used in the preparation of this assignment.</w:t>
      </w:r>
    </w:p>
    <w:p w14:paraId="4EC71DCA" w14:textId="77777777" w:rsidR="004A2F3A" w:rsidRDefault="004A2F3A" w:rsidP="00CF62A0">
      <w:pPr>
        <w:spacing w:line="360" w:lineRule="auto"/>
        <w:rPr>
          <w:rFonts w:ascii="Arial" w:hAnsi="Arial" w:cs="Arial"/>
          <w:color w:val="000000"/>
          <w:sz w:val="22"/>
          <w:szCs w:val="22"/>
        </w:rPr>
      </w:pPr>
    </w:p>
    <w:p w14:paraId="6A192372" w14:textId="77777777" w:rsidR="00B8209A" w:rsidRDefault="00B8209A" w:rsidP="002E2404">
      <w:pPr>
        <w:spacing w:line="360" w:lineRule="auto"/>
        <w:jc w:val="right"/>
        <w:rPr>
          <w:rFonts w:ascii="Arial" w:hAnsi="Arial" w:cs="Arial"/>
          <w:b/>
          <w:bCs/>
          <w:color w:val="000000"/>
          <w:sz w:val="22"/>
          <w:szCs w:val="22"/>
        </w:rPr>
      </w:pPr>
    </w:p>
    <w:p w14:paraId="0757AF92" w14:textId="2D4C7B0B" w:rsidR="00CF62A0" w:rsidRPr="004A2F3A" w:rsidRDefault="004A2F3A" w:rsidP="002E2404">
      <w:pPr>
        <w:spacing w:line="360" w:lineRule="auto"/>
        <w:jc w:val="right"/>
        <w:rPr>
          <w:rFonts w:ascii="Arial" w:hAnsi="Arial" w:cs="Arial"/>
          <w:b/>
          <w:bCs/>
          <w:color w:val="000000"/>
          <w:sz w:val="22"/>
          <w:szCs w:val="22"/>
        </w:rPr>
      </w:pPr>
      <w:r w:rsidRPr="004A2F3A">
        <w:rPr>
          <w:rFonts w:ascii="Arial" w:hAnsi="Arial" w:cs="Arial"/>
          <w:b/>
          <w:bCs/>
          <w:color w:val="000000"/>
          <w:sz w:val="22"/>
          <w:szCs w:val="22"/>
        </w:rPr>
        <w:t xml:space="preserve">Submission Date: </w:t>
      </w:r>
      <w:r>
        <w:rPr>
          <w:rFonts w:ascii="Arial" w:hAnsi="Arial" w:cs="Arial"/>
          <w:color w:val="000000"/>
          <w:sz w:val="22"/>
          <w:szCs w:val="22"/>
        </w:rPr>
        <w:t>17.0</w:t>
      </w:r>
      <w:r w:rsidR="002E2404">
        <w:rPr>
          <w:rFonts w:ascii="Arial" w:hAnsi="Arial" w:cs="Arial"/>
          <w:color w:val="000000"/>
          <w:sz w:val="22"/>
          <w:szCs w:val="22"/>
        </w:rPr>
        <w:t>8.2026</w:t>
      </w:r>
      <w:r w:rsidR="00CF62A0" w:rsidRPr="004A2F3A">
        <w:rPr>
          <w:rFonts w:ascii="Arial" w:hAnsi="Arial" w:cs="Arial"/>
          <w:b/>
          <w:bCs/>
          <w:color w:val="000000"/>
          <w:sz w:val="22"/>
          <w:szCs w:val="22"/>
        </w:rPr>
        <w:br w:type="page"/>
      </w:r>
    </w:p>
    <w:p w14:paraId="56C255C1" w14:textId="77777777" w:rsidR="00A64808" w:rsidRPr="005B1A60" w:rsidRDefault="00A64808" w:rsidP="005B1A60">
      <w:pPr>
        <w:pStyle w:val="isselectedend"/>
        <w:spacing w:line="360" w:lineRule="auto"/>
        <w:rPr>
          <w:rFonts w:ascii="Arial" w:hAnsi="Arial" w:cs="Arial"/>
          <w:color w:val="000000"/>
          <w:sz w:val="22"/>
          <w:szCs w:val="22"/>
        </w:rPr>
      </w:pPr>
      <w:r w:rsidRPr="00A64808">
        <w:rPr>
          <w:rFonts w:ascii="Arial" w:hAnsi="Arial" w:cs="Arial"/>
          <w:color w:val="000000"/>
          <w:sz w:val="22"/>
          <w:szCs w:val="22"/>
        </w:rPr>
        <w:lastRenderedPageBreak/>
        <w:t xml:space="preserve">Social media has become an important part of adolescent social interaction and communication, making its potential influence on mental health increasingly relevant. Adolescence is a significant developmental period characterised by substantial psychological, emotional and social changes, during which young people may become particularly sensitive to peer relationships, social acceptance and feedback. Research has identified associations between social media use and mental health outcomes, particularly anxiety, depression, psychological distress and concerns surrounding body image. However, the relationship is complex and should not be interpreted as evidence that social media directly causes poor mental health. Saleem, Young and Yousuf (2024), in a review of 67 studies involving children and adolescents, identified an association between problematic social media use and depressive and anxiety symptoms, with social comparison, feedback-seeking and sleep deprivation proposed as potential mechanisms. Similarly, Keles, McCrae and Grealish (2020) identified associations between social media use and depression, anxiety and psychological distress among adolescents. Orben et al. (2024) further argue that findings concerning social media and adolescent mental health are mixed and influenced by individual and contextual factors, suggesting that the psychological effects of social media are unlikely to be universal. Furthermore, differences in how social media use and mental health are measured, alongside the possibility of reverse causality, limit conclusions regarding the direction of the relationship. Adolescents experiencing existing psychological difficulties may be more likely to engage in problematic social media use, suggesting that social media and mental health may influence one another. Therefore, the evidence supports a complex relationship in which individual vulnerability, developmental factors and </w:t>
      </w:r>
      <w:r w:rsidRPr="005B1A60">
        <w:rPr>
          <w:rFonts w:ascii="Arial" w:hAnsi="Arial" w:cs="Arial"/>
          <w:color w:val="000000"/>
          <w:sz w:val="22"/>
          <w:szCs w:val="22"/>
        </w:rPr>
        <w:t>patterns of online engagement may be more important than social media use alone.</w:t>
      </w:r>
    </w:p>
    <w:p w14:paraId="7704588E" w14:textId="77777777" w:rsidR="005B1A60" w:rsidRPr="005B1A60" w:rsidRDefault="005B1A60" w:rsidP="005B1A60">
      <w:pPr>
        <w:pStyle w:val="isselectedend"/>
        <w:spacing w:line="360" w:lineRule="auto"/>
        <w:rPr>
          <w:rFonts w:ascii="Arial" w:hAnsi="Arial" w:cs="Arial"/>
          <w:color w:val="000000"/>
          <w:sz w:val="22"/>
          <w:szCs w:val="22"/>
        </w:rPr>
      </w:pPr>
      <w:r w:rsidRPr="005B1A60">
        <w:rPr>
          <w:rFonts w:ascii="Arial" w:hAnsi="Arial" w:cs="Arial"/>
          <w:color w:val="000000"/>
          <w:sz w:val="22"/>
          <w:szCs w:val="22"/>
        </w:rPr>
        <w:t xml:space="preserve">Social comparison represents an important mechanism through which social media may influence adolescent mental health, particularly in relation to body image. Adolescents are frequently exposed to carefully curated representations of appearance, lifestyle and social experiences, which may encourage them to evaluate themselves against perceived social norms. Rodgers et al. (2022) found that exposure to idealised images on social networking sites was associated with increased body dissatisfaction, while Vincente-Benito and Ramírez-Durán (2023) identified an association between social networking site use and negative body image. More recently, Bonfanti et al. (2025) found a significant association between online social comparison and body-image concerns. Taken together, these findings suggest that the psychological process of comparing oneself with others may be more influential than social media exposure alone. However, the direction of this relationship remains uncertain, as adolescents who already experience body-image concerns may be more likely to engage with appearance-focused content or participate in online comparison. </w:t>
      </w:r>
      <w:r w:rsidRPr="005B1A60">
        <w:rPr>
          <w:rFonts w:ascii="Arial" w:hAnsi="Arial" w:cs="Arial"/>
          <w:color w:val="000000"/>
          <w:sz w:val="22"/>
          <w:szCs w:val="22"/>
        </w:rPr>
        <w:lastRenderedPageBreak/>
        <w:t>Social media may therefore reinforce existing insecurities rather than independently create them. This suggests that the impact of social comparison is likely to vary according to individual vulnerability and patterns of online engagement, highlighting the importance of considering how adolescents use social media rather than treating social media use as a uniform experience.</w:t>
      </w:r>
    </w:p>
    <w:p w14:paraId="59D23271" w14:textId="7D606B61" w:rsidR="004D43B8" w:rsidRPr="001C1B4C" w:rsidRDefault="004D43B8" w:rsidP="005B1A60">
      <w:pPr>
        <w:pStyle w:val="isselectedend"/>
        <w:spacing w:line="360" w:lineRule="auto"/>
        <w:rPr>
          <w:rFonts w:ascii="Arial" w:hAnsi="Arial" w:cs="Arial"/>
          <w:color w:val="000000"/>
          <w:sz w:val="22"/>
          <w:szCs w:val="22"/>
        </w:rPr>
      </w:pPr>
      <w:r w:rsidRPr="005B1A60">
        <w:rPr>
          <w:rFonts w:ascii="Arial" w:hAnsi="Arial" w:cs="Arial"/>
          <w:color w:val="000000"/>
          <w:sz w:val="22"/>
          <w:szCs w:val="22"/>
        </w:rPr>
        <w:t>Freud’s psychosexual theory offers a historical</w:t>
      </w:r>
      <w:r w:rsidRPr="001C1B4C">
        <w:rPr>
          <w:rFonts w:ascii="Arial" w:hAnsi="Arial" w:cs="Arial"/>
          <w:color w:val="000000"/>
          <w:sz w:val="22"/>
          <w:szCs w:val="22"/>
        </w:rPr>
        <w:t xml:space="preserve"> perspective on aspects of adolescent development, although its relevance to contemporary social media use is limited. Freud (1905) proposed five psychosexual stages, with adolescence corresponding to the genital stage, which begins at puberty and is characterised by increased sexual drives and the development of mature interpersonal relationships. This may provide some insight into adolescents’ heightened awareness of physical appearance, sexuality and relationships, which can be particularly visible within social media environments. However, Freud’s emphasis on unconscious sexual drives provides limited explanation for psychological processes that are more directly relevant to social media, such as social comparison, peer approval, identity formation and feedback-seeking. Furthermore, Freud’s psychosexual stages are difficult to empirically test, reducing their applicability to contemporary evidence-based understanding of adolescent development. Therefore, while Freud’s theory provides some historical insight into the relationship between puberty, sexuality and adolescent behaviour, it offers a relatively limited framework for explaining the complex ways in which social media may influence contemporary adolescent mental health.</w:t>
      </w:r>
    </w:p>
    <w:p w14:paraId="51F22022" w14:textId="271B3522" w:rsidR="00A64808" w:rsidRPr="00A64808" w:rsidRDefault="00A64808" w:rsidP="001C1B4C">
      <w:pPr>
        <w:pStyle w:val="isselectedend"/>
        <w:spacing w:line="360" w:lineRule="auto"/>
        <w:rPr>
          <w:rFonts w:ascii="Arial" w:hAnsi="Arial" w:cs="Arial"/>
          <w:color w:val="000000"/>
          <w:sz w:val="22"/>
          <w:szCs w:val="22"/>
        </w:rPr>
      </w:pPr>
      <w:r w:rsidRPr="001C1B4C">
        <w:rPr>
          <w:rFonts w:ascii="Arial" w:hAnsi="Arial" w:cs="Arial"/>
          <w:color w:val="000000"/>
          <w:sz w:val="22"/>
          <w:szCs w:val="22"/>
        </w:rPr>
        <w:t xml:space="preserve">In contrast, </w:t>
      </w:r>
      <w:proofErr w:type="spellStart"/>
      <w:r w:rsidRPr="001C1B4C">
        <w:rPr>
          <w:rFonts w:ascii="Arial" w:hAnsi="Arial" w:cs="Arial"/>
          <w:color w:val="000000"/>
          <w:sz w:val="22"/>
          <w:szCs w:val="22"/>
        </w:rPr>
        <w:t>Erikson’s</w:t>
      </w:r>
      <w:proofErr w:type="spellEnd"/>
      <w:r w:rsidRPr="001C1B4C">
        <w:rPr>
          <w:rFonts w:ascii="Arial" w:hAnsi="Arial" w:cs="Arial"/>
          <w:color w:val="000000"/>
          <w:sz w:val="22"/>
          <w:szCs w:val="22"/>
        </w:rPr>
        <w:t xml:space="preserve"> psychosocial theory provides a more relevant framework for understanding the relationship between</w:t>
      </w:r>
      <w:r w:rsidRPr="00A64808">
        <w:rPr>
          <w:rFonts w:ascii="Arial" w:hAnsi="Arial" w:cs="Arial"/>
          <w:color w:val="000000"/>
          <w:sz w:val="22"/>
          <w:szCs w:val="22"/>
        </w:rPr>
        <w:t xml:space="preserve"> social media and adolescent mental health. Erikson (1968) identified adolescence with the developmental stage of identity versus role confusion, during which young people explore their values, beliefs, relationships and potential future roles in order to establish a coherent sense of identity. Social media can provide an environment in which this developmental process occurs. Adolescents can experiment with self-presentation, communicate with different social groups and receive immediate feedback through comments, likes and followers. Positive feedback may promote belonging and reinforce aspects of identity, whereas rejection, negative comments or pressure to conform may contribute to insecurity and role confusion.</w:t>
      </w:r>
    </w:p>
    <w:p w14:paraId="50C7A78B" w14:textId="77777777" w:rsidR="00A64808" w:rsidRPr="00A64808" w:rsidRDefault="00A64808" w:rsidP="00A64808">
      <w:pPr>
        <w:pStyle w:val="isselectedend"/>
        <w:spacing w:line="360" w:lineRule="auto"/>
        <w:rPr>
          <w:rFonts w:ascii="Arial" w:hAnsi="Arial" w:cs="Arial"/>
          <w:color w:val="000000"/>
          <w:sz w:val="22"/>
          <w:szCs w:val="22"/>
        </w:rPr>
      </w:pPr>
      <w:r w:rsidRPr="00A64808">
        <w:rPr>
          <w:rFonts w:ascii="Arial" w:hAnsi="Arial" w:cs="Arial"/>
          <w:color w:val="000000"/>
          <w:sz w:val="22"/>
          <w:szCs w:val="22"/>
        </w:rPr>
        <w:t xml:space="preserve">The relevance of Erikson’s theory is particularly apparent when considering the importance of external validation. Social media can allow adolescents to present particular aspects of themselves while simultaneously exposing them to continuous evaluation by peers. This may create opportunities for identity exploration but may also encourage young people to </w:t>
      </w:r>
      <w:r w:rsidRPr="00A64808">
        <w:rPr>
          <w:rFonts w:ascii="Arial" w:hAnsi="Arial" w:cs="Arial"/>
          <w:color w:val="000000"/>
          <w:sz w:val="22"/>
          <w:szCs w:val="22"/>
        </w:rPr>
        <w:lastRenderedPageBreak/>
        <w:t>define themselves according to how others respond to their online presentation. Consequently, social media may both support and complicate the identity-development process described by Erikson. However, Erikson’s theory also has limitations because it was developed before digital technology and therefore cannot fully account for contemporary features such as algorithms, curated content and continuous online feedback. The theory provides a useful developmental framework, but it cannot independently explain why particular online experiences affect some adolescents more strongly than others.</w:t>
      </w:r>
    </w:p>
    <w:p w14:paraId="16736E9E" w14:textId="3A554AD4" w:rsidR="00A64808" w:rsidRPr="00D01D7E" w:rsidRDefault="00A64808" w:rsidP="00A64808">
      <w:pPr>
        <w:pStyle w:val="isselectedend"/>
        <w:spacing w:line="360" w:lineRule="auto"/>
        <w:rPr>
          <w:rFonts w:ascii="Arial" w:hAnsi="Arial" w:cs="Arial"/>
          <w:color w:val="000000"/>
          <w:sz w:val="22"/>
          <w:szCs w:val="22"/>
        </w:rPr>
      </w:pPr>
      <w:r w:rsidRPr="00A64808">
        <w:rPr>
          <w:rFonts w:ascii="Arial" w:hAnsi="Arial" w:cs="Arial"/>
          <w:color w:val="000000"/>
          <w:sz w:val="22"/>
          <w:szCs w:val="22"/>
        </w:rPr>
        <w:t xml:space="preserve">When Freud and Erikson are considered comparatively, Erikson provides the more convincing framework for interpreting contemporary social media use. Freud’s emphasis on sexuality and development during puberty offers some insight into adolescents’ increasing awareness of appearance and sexual relationships. However, it does not adequately explain the importance of peer approval, social comparison and online identity. Erikson’s emphasis on identity formation and social relationships corresponds more closely with the ways adolescents use social media to construct, communicate and evaluate their identities. Nevertheless, neither theory should be considered sufficient in isolation. Erikson explains why adolescence may represent a period of particular sensitivity to social </w:t>
      </w:r>
      <w:r w:rsidR="004F4704" w:rsidRPr="00A64808">
        <w:rPr>
          <w:rFonts w:ascii="Arial" w:hAnsi="Arial" w:cs="Arial"/>
          <w:color w:val="000000"/>
          <w:sz w:val="22"/>
          <w:szCs w:val="22"/>
        </w:rPr>
        <w:t>feedback but</w:t>
      </w:r>
      <w:r w:rsidRPr="00A64808">
        <w:rPr>
          <w:rFonts w:ascii="Arial" w:hAnsi="Arial" w:cs="Arial"/>
          <w:color w:val="000000"/>
          <w:sz w:val="22"/>
          <w:szCs w:val="22"/>
        </w:rPr>
        <w:t xml:space="preserve"> does </w:t>
      </w:r>
      <w:r w:rsidRPr="00D01D7E">
        <w:rPr>
          <w:rFonts w:ascii="Arial" w:hAnsi="Arial" w:cs="Arial"/>
          <w:color w:val="000000"/>
          <w:sz w:val="22"/>
          <w:szCs w:val="22"/>
        </w:rPr>
        <w:t>not account for the technological features that shape the online environment. Similarly, empirical research demonstrates associations between social media use and mental health outcomes, but methodological limitations make it difficult to determine whether social media contributes to poor mental health or whether vulnerable adolescents are more likely to engage with social media in problematic ways.</w:t>
      </w:r>
    </w:p>
    <w:p w14:paraId="712CBD91" w14:textId="6457680F" w:rsidR="00D01D7E" w:rsidRPr="00A60CA3" w:rsidRDefault="00D01D7E" w:rsidP="00D01D7E">
      <w:pPr>
        <w:spacing w:line="360" w:lineRule="auto"/>
        <w:rPr>
          <w:rFonts w:ascii="Arial" w:hAnsi="Arial" w:cs="Arial"/>
          <w:sz w:val="22"/>
          <w:szCs w:val="22"/>
        </w:rPr>
      </w:pPr>
      <w:r w:rsidRPr="00D01D7E">
        <w:rPr>
          <w:rFonts w:ascii="Arial" w:hAnsi="Arial" w:cs="Arial"/>
          <w:sz w:val="22"/>
          <w:szCs w:val="22"/>
        </w:rPr>
        <w:t>Social media sho</w:t>
      </w:r>
      <w:r w:rsidRPr="00A60CA3">
        <w:rPr>
          <w:rFonts w:ascii="Arial" w:hAnsi="Arial" w:cs="Arial"/>
          <w:sz w:val="22"/>
          <w:szCs w:val="22"/>
        </w:rPr>
        <w:t xml:space="preserve">uld therefore not be regarded as inherently harmful, as its effects may depend on the purpose, context and manner of use. Online platforms can support friendship, self-expression, peer support and belonging, potentially contributing positively to adolescent identity development by providing opportunities to explore interests and connect with others. However, the same platforms can also expose adolescents to cyberbullying, social exclusion, appearance-based comparison and unrealistic representations of lifestyle and body image. Keles, McCrae and Grealish (2020) identified associations between social media use and depression, anxiety and psychological distress, while Saleem, Young and Yousuf (2024) identified social comparison, feedback-seeking and sleep deprivation as potential mechanisms. These contrasting possibilities suggest that the relationship between social media and mental health is influenced by how adolescents engage with online environments rather than simply by the amount of time they spend using them. From an </w:t>
      </w:r>
      <w:proofErr w:type="spellStart"/>
      <w:r w:rsidRPr="00A60CA3">
        <w:rPr>
          <w:rFonts w:ascii="Arial" w:hAnsi="Arial" w:cs="Arial"/>
          <w:sz w:val="22"/>
          <w:szCs w:val="22"/>
        </w:rPr>
        <w:t>Eriksonian</w:t>
      </w:r>
      <w:proofErr w:type="spellEnd"/>
      <w:r w:rsidRPr="00A60CA3">
        <w:rPr>
          <w:rFonts w:ascii="Arial" w:hAnsi="Arial" w:cs="Arial"/>
          <w:sz w:val="22"/>
          <w:szCs w:val="22"/>
        </w:rPr>
        <w:t xml:space="preserve"> perspective, social media may therefore provide both opportunities for identity exploration and risks to identity development, depending on whether online interactions </w:t>
      </w:r>
      <w:r w:rsidRPr="00A60CA3">
        <w:rPr>
          <w:rFonts w:ascii="Arial" w:hAnsi="Arial" w:cs="Arial"/>
          <w:sz w:val="22"/>
          <w:szCs w:val="22"/>
        </w:rPr>
        <w:lastRenderedPageBreak/>
        <w:t>promote belonging and self-expression or encourage excessive reliance on external validation. This highlights the importance of considering individual and contextual factors when evaluating the psychological impact of social media on adolescents.</w:t>
      </w:r>
      <w:r w:rsidR="00B125C5" w:rsidRPr="00A60CA3">
        <w:rPr>
          <w:rFonts w:ascii="Arial" w:hAnsi="Arial" w:cs="Arial"/>
          <w:sz w:val="22"/>
          <w:szCs w:val="22"/>
        </w:rPr>
        <w:t xml:space="preserve"> </w:t>
      </w:r>
      <w:r w:rsidR="00B125C5" w:rsidRPr="00A60CA3">
        <w:rPr>
          <w:rFonts w:ascii="Arial" w:hAnsi="Arial" w:cs="Arial"/>
          <w:color w:val="000000"/>
          <w:sz w:val="22"/>
          <w:szCs w:val="22"/>
        </w:rPr>
        <w:t>This distinction is important because measuring social media use solely through time spent online may overlook differences in the type and quality of engagement. Passive consumption of appearance-focused content may have different psychological consequences from active communication with supportive peers. Therefore, assessments of social media use should consider both quantitative and qualitative aspects of engagement when evaluating its potential impact on adolescent mental health.</w:t>
      </w:r>
    </w:p>
    <w:p w14:paraId="380D9972" w14:textId="34207247" w:rsidR="00A64808" w:rsidRPr="006C0AE7" w:rsidRDefault="006C0AE7" w:rsidP="006C0AE7">
      <w:pPr>
        <w:spacing w:line="360" w:lineRule="auto"/>
        <w:rPr>
          <w:rFonts w:ascii="Arial" w:hAnsi="Arial" w:cs="Arial"/>
          <w:b/>
          <w:bCs/>
          <w:sz w:val="22"/>
          <w:szCs w:val="22"/>
        </w:rPr>
      </w:pPr>
      <w:r w:rsidRPr="00A60CA3">
        <w:rPr>
          <w:rFonts w:ascii="Arial" w:hAnsi="Arial" w:cs="Arial"/>
          <w:color w:val="000000"/>
          <w:sz w:val="22"/>
          <w:szCs w:val="22"/>
        </w:rPr>
        <w:t>Overall, the evidence suggests that the relationship between social media and adolescent mental health is complex and cannot be understood as universally harmful or beneficial. Although research identifies associations with anxiety, depression, psychological distress and body-image concerns, differences in individual vulnerability, patterns of online engagement and the potential for reverse causality limit conclusions about direct effects. Social comparison and feedback-seeking appear to be important mechanisms, while Erikson’s psychosocial theory provides a useful explanation for why adolescents may be particularly sensitive to peer approval and social evaluation during identity development. In comparison, Freud’s psychosexual theory offers more limited insight into contemporary online experiences because its emphasis on sexual development does not adequately account for identity formation, peer relationships and digital interaction. However, Erikson’s theory also cannot fully explain the technological features of modern social media. Therefore, the psychological impact of social media is best understood as an interaction between adolescent development, individual characteristics and the nature of online experiences, rather than as a direct consequence of social media use alone.</w:t>
      </w:r>
      <w:r w:rsidR="00A64808" w:rsidRPr="006C0AE7">
        <w:rPr>
          <w:rFonts w:ascii="Arial" w:hAnsi="Arial" w:cs="Arial"/>
          <w:b/>
          <w:bCs/>
          <w:sz w:val="22"/>
          <w:szCs w:val="22"/>
        </w:rPr>
        <w:br w:type="page"/>
      </w:r>
    </w:p>
    <w:p w14:paraId="4741D78E" w14:textId="70CB0821" w:rsidR="00DD76CB" w:rsidRPr="00590BB8" w:rsidRDefault="00E15C8B" w:rsidP="00590BB8">
      <w:pPr>
        <w:spacing w:line="360" w:lineRule="auto"/>
        <w:rPr>
          <w:rFonts w:ascii="Arial" w:hAnsi="Arial" w:cs="Arial"/>
          <w:b/>
          <w:bCs/>
          <w:sz w:val="22"/>
          <w:szCs w:val="22"/>
        </w:rPr>
      </w:pPr>
      <w:r w:rsidRPr="00590BB8">
        <w:rPr>
          <w:rFonts w:ascii="Arial" w:hAnsi="Arial" w:cs="Arial"/>
          <w:b/>
          <w:bCs/>
          <w:sz w:val="22"/>
          <w:szCs w:val="22"/>
        </w:rPr>
        <w:lastRenderedPageBreak/>
        <w:t>Reference</w:t>
      </w:r>
      <w:r w:rsidR="00B8209A">
        <w:rPr>
          <w:rFonts w:ascii="Arial" w:hAnsi="Arial" w:cs="Arial"/>
          <w:b/>
          <w:bCs/>
          <w:sz w:val="22"/>
          <w:szCs w:val="22"/>
        </w:rPr>
        <w:t>s</w:t>
      </w:r>
      <w:r w:rsidRPr="00590BB8">
        <w:rPr>
          <w:rFonts w:ascii="Arial" w:hAnsi="Arial" w:cs="Arial"/>
          <w:b/>
          <w:bCs/>
          <w:sz w:val="22"/>
          <w:szCs w:val="22"/>
        </w:rPr>
        <w:t>:</w:t>
      </w:r>
    </w:p>
    <w:p w14:paraId="56C9A83E" w14:textId="39CE6A25" w:rsidR="00DA2FB4" w:rsidRPr="00590BB8" w:rsidRDefault="00DA2FB4" w:rsidP="00590BB8">
      <w:pPr>
        <w:pStyle w:val="NormalWeb"/>
        <w:spacing w:before="0" w:beforeAutospacing="0" w:after="240" w:afterAutospacing="0" w:line="360" w:lineRule="auto"/>
        <w:rPr>
          <w:rFonts w:ascii="Arial" w:hAnsi="Arial" w:cs="Arial"/>
          <w:color w:val="000000"/>
          <w:sz w:val="22"/>
          <w:szCs w:val="22"/>
        </w:rPr>
      </w:pPr>
      <w:r w:rsidRPr="00590BB8">
        <w:rPr>
          <w:rFonts w:ascii="Arial" w:hAnsi="Arial" w:cs="Arial"/>
          <w:color w:val="000000"/>
          <w:sz w:val="22"/>
          <w:szCs w:val="22"/>
        </w:rPr>
        <w:t>Bonfanti, R.C., Melchiori, F., Teti, A., Albano, G., Raffard, S., Rodgers, R. and Lo Coco, G. (202</w:t>
      </w:r>
      <w:r w:rsidR="0027562A">
        <w:rPr>
          <w:rFonts w:ascii="Arial" w:hAnsi="Arial" w:cs="Arial"/>
          <w:color w:val="000000"/>
          <w:sz w:val="22"/>
          <w:szCs w:val="22"/>
        </w:rPr>
        <w:t>5</w:t>
      </w:r>
      <w:r w:rsidRPr="00590BB8">
        <w:rPr>
          <w:rFonts w:ascii="Arial" w:hAnsi="Arial" w:cs="Arial"/>
          <w:color w:val="000000"/>
          <w:sz w:val="22"/>
          <w:szCs w:val="22"/>
        </w:rPr>
        <w:t>) ‘The association between social comparison in social media, body image concerns and eating disorder symptoms: A systematic review and meta-analysis’,</w:t>
      </w:r>
      <w:r w:rsidRPr="00590BB8">
        <w:rPr>
          <w:rStyle w:val="apple-converted-space"/>
          <w:rFonts w:ascii="Arial" w:hAnsi="Arial" w:cs="Arial"/>
          <w:color w:val="000000"/>
          <w:sz w:val="22"/>
          <w:szCs w:val="22"/>
        </w:rPr>
        <w:t> </w:t>
      </w:r>
      <w:r w:rsidRPr="00590BB8">
        <w:rPr>
          <w:rFonts w:ascii="Arial" w:hAnsi="Arial" w:cs="Arial"/>
          <w:i/>
          <w:iCs/>
          <w:color w:val="000000"/>
          <w:sz w:val="22"/>
          <w:szCs w:val="22"/>
        </w:rPr>
        <w:t>Body Image</w:t>
      </w:r>
      <w:r w:rsidRPr="00590BB8">
        <w:rPr>
          <w:rFonts w:ascii="Arial" w:hAnsi="Arial" w:cs="Arial"/>
          <w:color w:val="000000"/>
          <w:sz w:val="22"/>
          <w:szCs w:val="22"/>
        </w:rPr>
        <w:t xml:space="preserve">, 52(101841), p. 101841. Available at: </w:t>
      </w:r>
      <w:hyperlink r:id="rId9" w:history="1">
        <w:r w:rsidRPr="00590BB8">
          <w:rPr>
            <w:rStyle w:val="Hyperlink"/>
            <w:rFonts w:ascii="Arial" w:hAnsi="Arial" w:cs="Arial"/>
            <w:sz w:val="22"/>
            <w:szCs w:val="22"/>
          </w:rPr>
          <w:t>https://doi.org/10.1016/j.bodyim.2024.101841</w:t>
        </w:r>
      </w:hyperlink>
      <w:r w:rsidRPr="00590BB8">
        <w:rPr>
          <w:rFonts w:ascii="Arial" w:hAnsi="Arial" w:cs="Arial"/>
          <w:color w:val="000000"/>
          <w:sz w:val="22"/>
          <w:szCs w:val="22"/>
        </w:rPr>
        <w:t xml:space="preserve">. </w:t>
      </w:r>
    </w:p>
    <w:p w14:paraId="6DC4FF2C" w14:textId="55BBB3E9" w:rsidR="00926BE8" w:rsidRPr="00590BB8" w:rsidRDefault="00926BE8" w:rsidP="00590BB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90BB8">
        <w:rPr>
          <w:rFonts w:ascii="Arial" w:eastAsia="Times New Roman" w:hAnsi="Arial" w:cs="Arial"/>
          <w:color w:val="000000"/>
          <w:kern w:val="0"/>
          <w:sz w:val="22"/>
          <w:szCs w:val="22"/>
          <w:lang w:eastAsia="en-GB"/>
          <w14:ligatures w14:val="none"/>
        </w:rPr>
        <w:t>Erikson, E.H. (1968) </w:t>
      </w:r>
      <w:r w:rsidRPr="00590BB8">
        <w:rPr>
          <w:rFonts w:ascii="Arial" w:eastAsia="Times New Roman" w:hAnsi="Arial" w:cs="Arial"/>
          <w:i/>
          <w:iCs/>
          <w:color w:val="000000"/>
          <w:kern w:val="0"/>
          <w:sz w:val="22"/>
          <w:szCs w:val="22"/>
          <w:lang w:eastAsia="en-GB"/>
          <w14:ligatures w14:val="none"/>
        </w:rPr>
        <w:t>Identity: Youth and crisis</w:t>
      </w:r>
      <w:r w:rsidRPr="00590BB8">
        <w:rPr>
          <w:rFonts w:ascii="Arial" w:eastAsia="Times New Roman" w:hAnsi="Arial" w:cs="Arial"/>
          <w:color w:val="000000"/>
          <w:kern w:val="0"/>
          <w:sz w:val="22"/>
          <w:szCs w:val="22"/>
          <w:lang w:eastAsia="en-GB"/>
          <w14:ligatures w14:val="none"/>
        </w:rPr>
        <w:t>. New York: W.W. Norton.</w:t>
      </w:r>
    </w:p>
    <w:p w14:paraId="397E387D" w14:textId="77777777" w:rsidR="00926BE8" w:rsidRPr="00590BB8" w:rsidRDefault="00926BE8" w:rsidP="00590BB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90BB8">
        <w:rPr>
          <w:rFonts w:ascii="Arial" w:eastAsia="Times New Roman" w:hAnsi="Arial" w:cs="Arial"/>
          <w:color w:val="000000"/>
          <w:kern w:val="0"/>
          <w:sz w:val="22"/>
          <w:szCs w:val="22"/>
          <w:lang w:eastAsia="en-GB"/>
          <w14:ligatures w14:val="none"/>
        </w:rPr>
        <w:t>Freud, S. (1905) </w:t>
      </w:r>
      <w:r w:rsidRPr="00590BB8">
        <w:rPr>
          <w:rFonts w:ascii="Arial" w:eastAsia="Times New Roman" w:hAnsi="Arial" w:cs="Arial"/>
          <w:i/>
          <w:iCs/>
          <w:color w:val="000000"/>
          <w:kern w:val="0"/>
          <w:sz w:val="22"/>
          <w:szCs w:val="22"/>
          <w:lang w:eastAsia="en-GB"/>
          <w14:ligatures w14:val="none"/>
        </w:rPr>
        <w:t>Three essays on the theory of sexuality</w:t>
      </w:r>
      <w:r w:rsidRPr="00590BB8">
        <w:rPr>
          <w:rFonts w:ascii="Arial" w:eastAsia="Times New Roman" w:hAnsi="Arial" w:cs="Arial"/>
          <w:color w:val="000000"/>
          <w:kern w:val="0"/>
          <w:sz w:val="22"/>
          <w:szCs w:val="22"/>
          <w:lang w:eastAsia="en-GB"/>
          <w14:ligatures w14:val="none"/>
        </w:rPr>
        <w:t>. Translated by J. Strachey. London: Hogarth Press.</w:t>
      </w:r>
    </w:p>
    <w:p w14:paraId="3A49F6D7" w14:textId="77777777" w:rsidR="00926BE8" w:rsidRPr="00590BB8" w:rsidRDefault="00926BE8" w:rsidP="00590BB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90BB8">
        <w:rPr>
          <w:rFonts w:ascii="Arial" w:eastAsia="Times New Roman" w:hAnsi="Arial" w:cs="Arial"/>
          <w:color w:val="000000"/>
          <w:kern w:val="0"/>
          <w:sz w:val="22"/>
          <w:szCs w:val="22"/>
          <w:lang w:eastAsia="en-GB"/>
          <w14:ligatures w14:val="none"/>
        </w:rPr>
        <w:t>Keles, B., McCrae, N. and Grealish, A. (2020) ‘A systematic review: the influence of social media on depression, anxiety and psychological distress in adolescents’, </w:t>
      </w:r>
      <w:r w:rsidRPr="00590BB8">
        <w:rPr>
          <w:rFonts w:ascii="Arial" w:eastAsia="Times New Roman" w:hAnsi="Arial" w:cs="Arial"/>
          <w:i/>
          <w:iCs/>
          <w:color w:val="000000"/>
          <w:kern w:val="0"/>
          <w:sz w:val="22"/>
          <w:szCs w:val="22"/>
          <w:lang w:eastAsia="en-GB"/>
          <w14:ligatures w14:val="none"/>
        </w:rPr>
        <w:t>International Journal of Adolescence and Youth</w:t>
      </w:r>
      <w:r w:rsidRPr="00590BB8">
        <w:rPr>
          <w:rFonts w:ascii="Arial" w:eastAsia="Times New Roman" w:hAnsi="Arial" w:cs="Arial"/>
          <w:color w:val="000000"/>
          <w:kern w:val="0"/>
          <w:sz w:val="22"/>
          <w:szCs w:val="22"/>
          <w:lang w:eastAsia="en-GB"/>
          <w14:ligatures w14:val="none"/>
        </w:rPr>
        <w:t>, 25(1), pp. 79–93. Available at: </w:t>
      </w:r>
      <w:hyperlink r:id="rId10" w:history="1">
        <w:r w:rsidRPr="00590BB8">
          <w:rPr>
            <w:rFonts w:ascii="Arial" w:eastAsia="Times New Roman" w:hAnsi="Arial" w:cs="Arial"/>
            <w:color w:val="0000FF"/>
            <w:kern w:val="0"/>
            <w:sz w:val="22"/>
            <w:szCs w:val="22"/>
            <w:u w:val="single"/>
            <w:lang w:eastAsia="en-GB"/>
            <w14:ligatures w14:val="none"/>
          </w:rPr>
          <w:t>https://doi.org/10.1080/02673843.2019.1590851</w:t>
        </w:r>
      </w:hyperlink>
    </w:p>
    <w:p w14:paraId="428F715E" w14:textId="77777777" w:rsidR="00926BE8" w:rsidRPr="00590BB8" w:rsidRDefault="00926BE8" w:rsidP="00590BB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90BB8">
        <w:rPr>
          <w:rFonts w:ascii="Arial" w:eastAsia="Times New Roman" w:hAnsi="Arial" w:cs="Arial"/>
          <w:color w:val="000000"/>
          <w:kern w:val="0"/>
          <w:sz w:val="22"/>
          <w:szCs w:val="22"/>
          <w:lang w:eastAsia="en-GB"/>
          <w14:ligatures w14:val="none"/>
        </w:rPr>
        <w:t>Orben, A., Meier, A., Dalgleish, T. and Blakemore, S.-J. (2024) ‘Mechanisms linking social media use to adolescent mental health vulnerability’, </w:t>
      </w:r>
      <w:r w:rsidRPr="00590BB8">
        <w:rPr>
          <w:rFonts w:ascii="Arial" w:eastAsia="Times New Roman" w:hAnsi="Arial" w:cs="Arial"/>
          <w:i/>
          <w:iCs/>
          <w:color w:val="000000"/>
          <w:kern w:val="0"/>
          <w:sz w:val="22"/>
          <w:szCs w:val="22"/>
          <w:lang w:eastAsia="en-GB"/>
          <w14:ligatures w14:val="none"/>
        </w:rPr>
        <w:t>Nature Reviews Psychology</w:t>
      </w:r>
      <w:r w:rsidRPr="00590BB8">
        <w:rPr>
          <w:rFonts w:ascii="Arial" w:eastAsia="Times New Roman" w:hAnsi="Arial" w:cs="Arial"/>
          <w:color w:val="000000"/>
          <w:kern w:val="0"/>
          <w:sz w:val="22"/>
          <w:szCs w:val="22"/>
          <w:lang w:eastAsia="en-GB"/>
          <w14:ligatures w14:val="none"/>
        </w:rPr>
        <w:t>, 3, pp. 407–423. Available at: </w:t>
      </w:r>
      <w:hyperlink r:id="rId11" w:history="1">
        <w:r w:rsidRPr="00590BB8">
          <w:rPr>
            <w:rFonts w:ascii="Arial" w:eastAsia="Times New Roman" w:hAnsi="Arial" w:cs="Arial"/>
            <w:color w:val="0000FF"/>
            <w:kern w:val="0"/>
            <w:sz w:val="22"/>
            <w:szCs w:val="22"/>
            <w:u w:val="single"/>
            <w:lang w:eastAsia="en-GB"/>
            <w14:ligatures w14:val="none"/>
          </w:rPr>
          <w:t>https://doi.org/10.1038/s44159-024-00307-y</w:t>
        </w:r>
      </w:hyperlink>
    </w:p>
    <w:p w14:paraId="0D8F6F2F" w14:textId="77777777" w:rsidR="00926BE8" w:rsidRPr="00590BB8" w:rsidRDefault="00926BE8" w:rsidP="00590BB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90BB8">
        <w:rPr>
          <w:rFonts w:ascii="Arial" w:eastAsia="Times New Roman" w:hAnsi="Arial" w:cs="Arial"/>
          <w:color w:val="000000"/>
          <w:kern w:val="0"/>
          <w:sz w:val="22"/>
          <w:szCs w:val="22"/>
          <w:lang w:eastAsia="en-GB"/>
          <w14:ligatures w14:val="none"/>
        </w:rPr>
        <w:t>Rodgers, R.F. and Rousseau, A. (2022) ‘Social media and body image: Modulating effects of social identities and user characteristics’, </w:t>
      </w:r>
      <w:r w:rsidRPr="00590BB8">
        <w:rPr>
          <w:rFonts w:ascii="Arial" w:eastAsia="Times New Roman" w:hAnsi="Arial" w:cs="Arial"/>
          <w:i/>
          <w:iCs/>
          <w:color w:val="000000"/>
          <w:kern w:val="0"/>
          <w:sz w:val="22"/>
          <w:szCs w:val="22"/>
          <w:lang w:eastAsia="en-GB"/>
          <w14:ligatures w14:val="none"/>
        </w:rPr>
        <w:t>Body Image</w:t>
      </w:r>
      <w:r w:rsidRPr="00590BB8">
        <w:rPr>
          <w:rFonts w:ascii="Arial" w:eastAsia="Times New Roman" w:hAnsi="Arial" w:cs="Arial"/>
          <w:color w:val="000000"/>
          <w:kern w:val="0"/>
          <w:sz w:val="22"/>
          <w:szCs w:val="22"/>
          <w:lang w:eastAsia="en-GB"/>
          <w14:ligatures w14:val="none"/>
        </w:rPr>
        <w:t>, 41, pp. 284–291. Available at: </w:t>
      </w:r>
      <w:hyperlink r:id="rId12" w:history="1">
        <w:r w:rsidRPr="00590BB8">
          <w:rPr>
            <w:rFonts w:ascii="Arial" w:eastAsia="Times New Roman" w:hAnsi="Arial" w:cs="Arial"/>
            <w:color w:val="0000FF"/>
            <w:kern w:val="0"/>
            <w:sz w:val="22"/>
            <w:szCs w:val="22"/>
            <w:u w:val="single"/>
            <w:lang w:eastAsia="en-GB"/>
            <w14:ligatures w14:val="none"/>
          </w:rPr>
          <w:t>https://doi.org/10.1016/j.bodyim.2022.02.009</w:t>
        </w:r>
      </w:hyperlink>
    </w:p>
    <w:p w14:paraId="52A90D5A" w14:textId="77777777" w:rsidR="00926BE8" w:rsidRPr="00590BB8" w:rsidRDefault="00926BE8" w:rsidP="00590BB8">
      <w:pPr>
        <w:spacing w:before="100" w:beforeAutospacing="1" w:after="100" w:afterAutospacing="1" w:line="360" w:lineRule="auto"/>
        <w:rPr>
          <w:rFonts w:ascii="Arial" w:eastAsia="Times New Roman" w:hAnsi="Arial" w:cs="Arial"/>
          <w:color w:val="000000"/>
          <w:kern w:val="0"/>
          <w:sz w:val="22"/>
          <w:szCs w:val="22"/>
          <w:lang w:eastAsia="en-GB"/>
          <w14:ligatures w14:val="none"/>
        </w:rPr>
      </w:pPr>
      <w:r w:rsidRPr="00590BB8">
        <w:rPr>
          <w:rFonts w:ascii="Arial" w:eastAsia="Times New Roman" w:hAnsi="Arial" w:cs="Arial"/>
          <w:color w:val="000000"/>
          <w:kern w:val="0"/>
          <w:sz w:val="22"/>
          <w:szCs w:val="22"/>
          <w:lang w:eastAsia="en-GB"/>
          <w14:ligatures w14:val="none"/>
        </w:rPr>
        <w:t>Saleem, N., Young, P. and Yousuf, S. (2024) ‘Exploring the relationship between social media use and symptoms of depression and anxiety among children and adolescents: A systematic narrative review’, </w:t>
      </w:r>
      <w:proofErr w:type="spellStart"/>
      <w:r w:rsidRPr="00590BB8">
        <w:rPr>
          <w:rFonts w:ascii="Arial" w:eastAsia="Times New Roman" w:hAnsi="Arial" w:cs="Arial"/>
          <w:i/>
          <w:iCs/>
          <w:color w:val="000000"/>
          <w:kern w:val="0"/>
          <w:sz w:val="22"/>
          <w:szCs w:val="22"/>
          <w:lang w:eastAsia="en-GB"/>
          <w14:ligatures w14:val="none"/>
        </w:rPr>
        <w:t>Cyberpsychology</w:t>
      </w:r>
      <w:proofErr w:type="spellEnd"/>
      <w:r w:rsidRPr="00590BB8">
        <w:rPr>
          <w:rFonts w:ascii="Arial" w:eastAsia="Times New Roman" w:hAnsi="Arial" w:cs="Arial"/>
          <w:i/>
          <w:iCs/>
          <w:color w:val="000000"/>
          <w:kern w:val="0"/>
          <w:sz w:val="22"/>
          <w:szCs w:val="22"/>
          <w:lang w:eastAsia="en-GB"/>
          <w14:ligatures w14:val="none"/>
        </w:rPr>
        <w:t xml:space="preserve">, </w:t>
      </w:r>
      <w:proofErr w:type="spellStart"/>
      <w:r w:rsidRPr="00590BB8">
        <w:rPr>
          <w:rFonts w:ascii="Arial" w:eastAsia="Times New Roman" w:hAnsi="Arial" w:cs="Arial"/>
          <w:i/>
          <w:iCs/>
          <w:color w:val="000000"/>
          <w:kern w:val="0"/>
          <w:sz w:val="22"/>
          <w:szCs w:val="22"/>
          <w:lang w:eastAsia="en-GB"/>
          <w14:ligatures w14:val="none"/>
        </w:rPr>
        <w:t>Behavior</w:t>
      </w:r>
      <w:proofErr w:type="spellEnd"/>
      <w:r w:rsidRPr="00590BB8">
        <w:rPr>
          <w:rFonts w:ascii="Arial" w:eastAsia="Times New Roman" w:hAnsi="Arial" w:cs="Arial"/>
          <w:i/>
          <w:iCs/>
          <w:color w:val="000000"/>
          <w:kern w:val="0"/>
          <w:sz w:val="22"/>
          <w:szCs w:val="22"/>
          <w:lang w:eastAsia="en-GB"/>
          <w14:ligatures w14:val="none"/>
        </w:rPr>
        <w:t>, and Social Networking</w:t>
      </w:r>
      <w:r w:rsidRPr="00590BB8">
        <w:rPr>
          <w:rFonts w:ascii="Arial" w:eastAsia="Times New Roman" w:hAnsi="Arial" w:cs="Arial"/>
          <w:color w:val="000000"/>
          <w:kern w:val="0"/>
          <w:sz w:val="22"/>
          <w:szCs w:val="22"/>
          <w:lang w:eastAsia="en-GB"/>
          <w14:ligatures w14:val="none"/>
        </w:rPr>
        <w:t>, 27(11), pp. 771–797. Available at: </w:t>
      </w:r>
      <w:hyperlink r:id="rId13" w:history="1">
        <w:r w:rsidRPr="00590BB8">
          <w:rPr>
            <w:rFonts w:ascii="Arial" w:eastAsia="Times New Roman" w:hAnsi="Arial" w:cs="Arial"/>
            <w:color w:val="0000FF"/>
            <w:kern w:val="0"/>
            <w:sz w:val="22"/>
            <w:szCs w:val="22"/>
            <w:u w:val="single"/>
            <w:lang w:eastAsia="en-GB"/>
            <w14:ligatures w14:val="none"/>
          </w:rPr>
          <w:t>https://doi.org/10.1089/cyber.2023.0456</w:t>
        </w:r>
      </w:hyperlink>
    </w:p>
    <w:p w14:paraId="56C86124" w14:textId="4A6DFBCB" w:rsidR="00590BB8" w:rsidRPr="00590BB8" w:rsidRDefault="00590BB8" w:rsidP="00590BB8">
      <w:pPr>
        <w:pStyle w:val="NormalWeb"/>
        <w:spacing w:before="0" w:beforeAutospacing="0" w:after="240" w:afterAutospacing="0" w:line="360" w:lineRule="auto"/>
        <w:rPr>
          <w:rFonts w:ascii="Arial" w:hAnsi="Arial" w:cs="Arial"/>
          <w:color w:val="000000"/>
          <w:sz w:val="22"/>
          <w:szCs w:val="22"/>
        </w:rPr>
      </w:pPr>
      <w:r w:rsidRPr="00590BB8">
        <w:rPr>
          <w:rFonts w:ascii="Arial" w:hAnsi="Arial" w:cs="Arial"/>
          <w:color w:val="000000"/>
          <w:sz w:val="22"/>
          <w:szCs w:val="22"/>
        </w:rPr>
        <w:t>Vincente-Benito, I. and Valle (2023) ‘Influence of social media use on body image and well-being among adolescents and young adults: A systematic review’,</w:t>
      </w:r>
      <w:r w:rsidRPr="00590BB8">
        <w:rPr>
          <w:rStyle w:val="apple-converted-space"/>
          <w:rFonts w:ascii="Arial" w:hAnsi="Arial" w:cs="Arial"/>
          <w:color w:val="000000"/>
          <w:sz w:val="22"/>
          <w:szCs w:val="22"/>
        </w:rPr>
        <w:t> </w:t>
      </w:r>
      <w:r w:rsidRPr="00590BB8">
        <w:rPr>
          <w:rFonts w:ascii="Arial" w:hAnsi="Arial" w:cs="Arial"/>
          <w:i/>
          <w:iCs/>
          <w:color w:val="000000"/>
          <w:sz w:val="22"/>
          <w:szCs w:val="22"/>
        </w:rPr>
        <w:t>Journal of Psychosocial Nursing and Mental Health Services</w:t>
      </w:r>
      <w:r w:rsidRPr="00590BB8">
        <w:rPr>
          <w:rFonts w:ascii="Arial" w:hAnsi="Arial" w:cs="Arial"/>
          <w:color w:val="000000"/>
          <w:sz w:val="22"/>
          <w:szCs w:val="22"/>
        </w:rPr>
        <w:t xml:space="preserve">, 61(12), pp. 1–8. Available at: </w:t>
      </w:r>
      <w:hyperlink r:id="rId14" w:history="1">
        <w:r w:rsidRPr="00590BB8">
          <w:rPr>
            <w:rStyle w:val="Hyperlink"/>
            <w:rFonts w:ascii="Arial" w:hAnsi="Arial" w:cs="Arial"/>
            <w:sz w:val="22"/>
            <w:szCs w:val="22"/>
          </w:rPr>
          <w:t>https://doi.org/10.3928/02793695-20230524-02</w:t>
        </w:r>
      </w:hyperlink>
      <w:r w:rsidRPr="00590BB8">
        <w:rPr>
          <w:rFonts w:ascii="Arial" w:hAnsi="Arial" w:cs="Arial"/>
          <w:color w:val="000000"/>
          <w:sz w:val="22"/>
          <w:szCs w:val="22"/>
        </w:rPr>
        <w:t xml:space="preserve">. </w:t>
      </w:r>
    </w:p>
    <w:p w14:paraId="4DE60005" w14:textId="77777777" w:rsidR="00EE60A5" w:rsidRPr="00926BE8" w:rsidRDefault="00EE60A5" w:rsidP="00926BE8">
      <w:pPr>
        <w:spacing w:before="100" w:beforeAutospacing="1" w:after="100" w:afterAutospacing="1" w:line="360" w:lineRule="auto"/>
        <w:rPr>
          <w:rFonts w:ascii="Arial" w:eastAsia="Times New Roman" w:hAnsi="Arial" w:cs="Arial"/>
          <w:color w:val="000000"/>
          <w:kern w:val="0"/>
          <w:sz w:val="22"/>
          <w:szCs w:val="22"/>
          <w:lang w:eastAsia="en-GB"/>
          <w14:ligatures w14:val="none"/>
        </w:rPr>
      </w:pPr>
    </w:p>
    <w:p w14:paraId="3F0795A4" w14:textId="77777777" w:rsidR="00E15C8B" w:rsidRPr="00E15C8B" w:rsidRDefault="00E15C8B"/>
    <w:sectPr w:rsidR="00E15C8B" w:rsidRPr="00E15C8B">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566AF5F" w14:textId="77777777" w:rsidR="00611C2C" w:rsidRDefault="00611C2C" w:rsidP="00CF62A0">
      <w:pPr>
        <w:spacing w:after="0" w:line="240" w:lineRule="auto"/>
      </w:pPr>
      <w:r>
        <w:separator/>
      </w:r>
    </w:p>
  </w:endnote>
  <w:endnote w:type="continuationSeparator" w:id="0">
    <w:p w14:paraId="7C93B37A" w14:textId="77777777" w:rsidR="00611C2C" w:rsidRDefault="00611C2C" w:rsidP="00CF62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968441350"/>
      <w:docPartObj>
        <w:docPartGallery w:val="Page Numbers (Bottom of Page)"/>
        <w:docPartUnique/>
      </w:docPartObj>
    </w:sdtPr>
    <w:sdtEndPr>
      <w:rPr>
        <w:rStyle w:val="PageNumber"/>
      </w:rPr>
    </w:sdtEndPr>
    <w:sdtContent>
      <w:p w14:paraId="630C5735" w14:textId="5215D39B" w:rsidR="00CF62A0" w:rsidRDefault="00CF62A0" w:rsidP="00AC16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E468941" w14:textId="77777777" w:rsidR="00CF62A0" w:rsidRDefault="00CF62A0" w:rsidP="00CF62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96516994"/>
      <w:docPartObj>
        <w:docPartGallery w:val="Page Numbers (Bottom of Page)"/>
        <w:docPartUnique/>
      </w:docPartObj>
    </w:sdtPr>
    <w:sdtEndPr>
      <w:rPr>
        <w:rStyle w:val="PageNumber"/>
      </w:rPr>
    </w:sdtEndPr>
    <w:sdtContent>
      <w:p w14:paraId="19C11EA9" w14:textId="71A95A0B" w:rsidR="00CF62A0" w:rsidRDefault="00CF62A0" w:rsidP="00AC162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140B088" w14:textId="77777777" w:rsidR="00CF62A0" w:rsidRDefault="00CF62A0" w:rsidP="00CF62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FF6D319" w14:textId="77777777" w:rsidR="00611C2C" w:rsidRDefault="00611C2C" w:rsidP="00CF62A0">
      <w:pPr>
        <w:spacing w:after="0" w:line="240" w:lineRule="auto"/>
      </w:pPr>
      <w:r>
        <w:separator/>
      </w:r>
    </w:p>
  </w:footnote>
  <w:footnote w:type="continuationSeparator" w:id="0">
    <w:p w14:paraId="222702C7" w14:textId="77777777" w:rsidR="00611C2C" w:rsidRDefault="00611C2C" w:rsidP="00CF62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76CB"/>
    <w:rsid w:val="00062210"/>
    <w:rsid w:val="000A0FAE"/>
    <w:rsid w:val="001C1B4C"/>
    <w:rsid w:val="00212C86"/>
    <w:rsid w:val="00222213"/>
    <w:rsid w:val="00247DF3"/>
    <w:rsid w:val="0027562A"/>
    <w:rsid w:val="002E2404"/>
    <w:rsid w:val="003D7F0D"/>
    <w:rsid w:val="00412B5D"/>
    <w:rsid w:val="00456844"/>
    <w:rsid w:val="004A2F3A"/>
    <w:rsid w:val="004C2D26"/>
    <w:rsid w:val="004C6FC1"/>
    <w:rsid w:val="004D43B8"/>
    <w:rsid w:val="004F4704"/>
    <w:rsid w:val="00505E75"/>
    <w:rsid w:val="00534C87"/>
    <w:rsid w:val="00590BB8"/>
    <w:rsid w:val="005A6595"/>
    <w:rsid w:val="005B04D6"/>
    <w:rsid w:val="005B1A60"/>
    <w:rsid w:val="00611C2C"/>
    <w:rsid w:val="006632D7"/>
    <w:rsid w:val="006C0AE7"/>
    <w:rsid w:val="007C1EA2"/>
    <w:rsid w:val="008E154B"/>
    <w:rsid w:val="008F0F12"/>
    <w:rsid w:val="008F42B0"/>
    <w:rsid w:val="00926BE8"/>
    <w:rsid w:val="009A35DA"/>
    <w:rsid w:val="009B33A4"/>
    <w:rsid w:val="00A60CA3"/>
    <w:rsid w:val="00A64808"/>
    <w:rsid w:val="00B125C5"/>
    <w:rsid w:val="00B8209A"/>
    <w:rsid w:val="00CF62A0"/>
    <w:rsid w:val="00D01D7E"/>
    <w:rsid w:val="00D21FA9"/>
    <w:rsid w:val="00DA2FB4"/>
    <w:rsid w:val="00DD76CB"/>
    <w:rsid w:val="00DE73D5"/>
    <w:rsid w:val="00DF290C"/>
    <w:rsid w:val="00E15C8B"/>
    <w:rsid w:val="00E418E7"/>
    <w:rsid w:val="00EE60A5"/>
    <w:rsid w:val="00F0029E"/>
    <w:rsid w:val="00FB6F20"/>
    <w:rsid w:val="00FC13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294B72"/>
  <w15:chartTrackingRefBased/>
  <w15:docId w15:val="{211B5C3B-D0AA-2240-8AE8-02FBF04DB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6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76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76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D76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76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76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76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76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76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6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76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76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76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76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76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76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76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76CB"/>
    <w:rPr>
      <w:rFonts w:eastAsiaTheme="majorEastAsia" w:cstheme="majorBidi"/>
      <w:color w:val="272727" w:themeColor="text1" w:themeTint="D8"/>
    </w:rPr>
  </w:style>
  <w:style w:type="paragraph" w:styleId="Title">
    <w:name w:val="Title"/>
    <w:basedOn w:val="Normal"/>
    <w:next w:val="Normal"/>
    <w:link w:val="TitleChar"/>
    <w:uiPriority w:val="10"/>
    <w:qFormat/>
    <w:rsid w:val="00DD76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76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76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76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76CB"/>
    <w:pPr>
      <w:spacing w:before="160"/>
      <w:jc w:val="center"/>
    </w:pPr>
    <w:rPr>
      <w:i/>
      <w:iCs/>
      <w:color w:val="404040" w:themeColor="text1" w:themeTint="BF"/>
    </w:rPr>
  </w:style>
  <w:style w:type="character" w:customStyle="1" w:styleId="QuoteChar">
    <w:name w:val="Quote Char"/>
    <w:basedOn w:val="DefaultParagraphFont"/>
    <w:link w:val="Quote"/>
    <w:uiPriority w:val="29"/>
    <w:rsid w:val="00DD76CB"/>
    <w:rPr>
      <w:i/>
      <w:iCs/>
      <w:color w:val="404040" w:themeColor="text1" w:themeTint="BF"/>
    </w:rPr>
  </w:style>
  <w:style w:type="paragraph" w:styleId="ListParagraph">
    <w:name w:val="List Paragraph"/>
    <w:basedOn w:val="Normal"/>
    <w:uiPriority w:val="34"/>
    <w:qFormat/>
    <w:rsid w:val="00DD76CB"/>
    <w:pPr>
      <w:ind w:left="720"/>
      <w:contextualSpacing/>
    </w:pPr>
  </w:style>
  <w:style w:type="character" w:styleId="IntenseEmphasis">
    <w:name w:val="Intense Emphasis"/>
    <w:basedOn w:val="DefaultParagraphFont"/>
    <w:uiPriority w:val="21"/>
    <w:qFormat/>
    <w:rsid w:val="00DD76CB"/>
    <w:rPr>
      <w:i/>
      <w:iCs/>
      <w:color w:val="0F4761" w:themeColor="accent1" w:themeShade="BF"/>
    </w:rPr>
  </w:style>
  <w:style w:type="paragraph" w:styleId="IntenseQuote">
    <w:name w:val="Intense Quote"/>
    <w:basedOn w:val="Normal"/>
    <w:next w:val="Normal"/>
    <w:link w:val="IntenseQuoteChar"/>
    <w:uiPriority w:val="30"/>
    <w:qFormat/>
    <w:rsid w:val="00DD76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76CB"/>
    <w:rPr>
      <w:i/>
      <w:iCs/>
      <w:color w:val="0F4761" w:themeColor="accent1" w:themeShade="BF"/>
    </w:rPr>
  </w:style>
  <w:style w:type="character" w:styleId="IntenseReference">
    <w:name w:val="Intense Reference"/>
    <w:basedOn w:val="DefaultParagraphFont"/>
    <w:uiPriority w:val="32"/>
    <w:qFormat/>
    <w:rsid w:val="00DD76CB"/>
    <w:rPr>
      <w:b/>
      <w:bCs/>
      <w:smallCaps/>
      <w:color w:val="0F4761" w:themeColor="accent1" w:themeShade="BF"/>
      <w:spacing w:val="5"/>
    </w:rPr>
  </w:style>
  <w:style w:type="paragraph" w:styleId="NormalWeb">
    <w:name w:val="Normal (Web)"/>
    <w:basedOn w:val="Normal"/>
    <w:uiPriority w:val="99"/>
    <w:unhideWhenUsed/>
    <w:rsid w:val="00DD76C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CF62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2A0"/>
  </w:style>
  <w:style w:type="character" w:styleId="PageNumber">
    <w:name w:val="page number"/>
    <w:basedOn w:val="DefaultParagraphFont"/>
    <w:uiPriority w:val="99"/>
    <w:semiHidden/>
    <w:unhideWhenUsed/>
    <w:rsid w:val="00CF62A0"/>
  </w:style>
  <w:style w:type="paragraph" w:customStyle="1" w:styleId="isselectedend">
    <w:name w:val="isselectedend"/>
    <w:basedOn w:val="Normal"/>
    <w:rsid w:val="00E15C8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E15C8B"/>
  </w:style>
  <w:style w:type="character" w:styleId="Emphasis">
    <w:name w:val="Emphasis"/>
    <w:basedOn w:val="DefaultParagraphFont"/>
    <w:uiPriority w:val="20"/>
    <w:qFormat/>
    <w:rsid w:val="00E15C8B"/>
    <w:rPr>
      <w:i/>
      <w:iCs/>
    </w:rPr>
  </w:style>
  <w:style w:type="character" w:styleId="Hyperlink">
    <w:name w:val="Hyperlink"/>
    <w:basedOn w:val="DefaultParagraphFont"/>
    <w:uiPriority w:val="99"/>
    <w:unhideWhenUsed/>
    <w:rsid w:val="00926BE8"/>
    <w:rPr>
      <w:color w:val="0000FF"/>
      <w:u w:val="single"/>
    </w:rPr>
  </w:style>
  <w:style w:type="character" w:styleId="UnresolvedMention">
    <w:name w:val="Unresolved Mention"/>
    <w:basedOn w:val="DefaultParagraphFont"/>
    <w:uiPriority w:val="99"/>
    <w:semiHidden/>
    <w:unhideWhenUsed/>
    <w:rsid w:val="004C2D26"/>
    <w:rPr>
      <w:color w:val="605E5C"/>
      <w:shd w:val="clear" w:color="auto" w:fill="E1DFDD"/>
    </w:rPr>
  </w:style>
  <w:style w:type="character" w:styleId="FollowedHyperlink">
    <w:name w:val="FollowedHyperlink"/>
    <w:basedOn w:val="DefaultParagraphFont"/>
    <w:uiPriority w:val="99"/>
    <w:semiHidden/>
    <w:unhideWhenUsed/>
    <w:rsid w:val="00505E75"/>
    <w:rPr>
      <w:color w:val="96607D" w:themeColor="followedHyperlink"/>
      <w:u w:val="single"/>
    </w:rPr>
  </w:style>
  <w:style w:type="paragraph" w:styleId="Header">
    <w:name w:val="header"/>
    <w:basedOn w:val="Normal"/>
    <w:link w:val="HeaderChar"/>
    <w:uiPriority w:val="99"/>
    <w:semiHidden/>
    <w:unhideWhenUsed/>
    <w:rsid w:val="004C6FC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C6FC1"/>
  </w:style>
  <w:style w:type="paragraph" w:customStyle="1" w:styleId="pdq2pgselectionanchorcontainer">
    <w:name w:val="pdq2pg_selectionanchorcontainer"/>
    <w:basedOn w:val="Normal"/>
    <w:rsid w:val="004C6FC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9/cyber.2023.0456?utm_source=chatgpt.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16/j.bodyim.2022.02.009?utm_source=chatgpt.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38/s44159-024-00307-y?utm_source=chatgpt.com"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80/02673843.2019.1590851?utm_source=chatgpt.com" TargetMode="External"/><Relationship Id="rId4" Type="http://schemas.openxmlformats.org/officeDocument/2006/relationships/settings" Target="settings.xml"/><Relationship Id="rId9" Type="http://schemas.openxmlformats.org/officeDocument/2006/relationships/hyperlink" Target="https://doi.org/10.1016/j.bodyim.2024.101841" TargetMode="External"/><Relationship Id="rId14" Type="http://schemas.openxmlformats.org/officeDocument/2006/relationships/hyperlink" Target="https://doi.org/10.3928/02793695-20230524-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471BC2-D7FC-9246-B264-A15121ED50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2098</Words>
  <Characters>11960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Geli</dc:creator>
  <cp:keywords/>
  <dc:description/>
  <cp:lastModifiedBy>Leigh Geli</cp:lastModifiedBy>
  <cp:revision>2</cp:revision>
  <dcterms:created xsi:type="dcterms:W3CDTF">2026-08-17T21:39:00Z</dcterms:created>
  <dcterms:modified xsi:type="dcterms:W3CDTF">2026-08-17T21:39:00Z</dcterms:modified>
</cp:coreProperties>
</file>