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6AE4E" w14:textId="44A57992" w:rsidR="00307D20" w:rsidRPr="00070A0A" w:rsidRDefault="00F95D31" w:rsidP="00F95D31">
      <w:pPr>
        <w:rPr>
          <w:rFonts w:cs="Arial"/>
          <w:b/>
          <w:bCs/>
          <w:sz w:val="52"/>
          <w:szCs w:val="48"/>
        </w:rPr>
      </w:pPr>
      <w:r w:rsidRPr="00070A0A">
        <w:rPr>
          <w:rFonts w:cs="Arial"/>
          <w:b/>
          <w:bCs/>
          <w:noProof/>
          <w:sz w:val="52"/>
          <w:szCs w:val="48"/>
        </w:rPr>
        <w:drawing>
          <wp:inline distT="0" distB="0" distL="0" distR="0" wp14:anchorId="566BAEA7" wp14:editId="7C18208B">
            <wp:extent cx="2086266" cy="752580"/>
            <wp:effectExtent l="0" t="0" r="9525" b="9525"/>
            <wp:docPr id="128147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47427" name=""/>
                    <pic:cNvPicPr/>
                  </pic:nvPicPr>
                  <pic:blipFill>
                    <a:blip r:embed="rId8"/>
                    <a:stretch>
                      <a:fillRect/>
                    </a:stretch>
                  </pic:blipFill>
                  <pic:spPr>
                    <a:xfrm>
                      <a:off x="0" y="0"/>
                      <a:ext cx="2086266" cy="752580"/>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F95D31" w:rsidRPr="00070A0A" w14:paraId="42BB9F62" w14:textId="77777777" w:rsidTr="00F95D31">
        <w:tc>
          <w:tcPr>
            <w:tcW w:w="4508" w:type="dxa"/>
          </w:tcPr>
          <w:p w14:paraId="74357F3F" w14:textId="5D7F5DAD" w:rsidR="00F95D31" w:rsidRPr="00070A0A" w:rsidRDefault="00F95D31" w:rsidP="00F95D31">
            <w:pPr>
              <w:rPr>
                <w:rFonts w:cs="Arial"/>
              </w:rPr>
            </w:pPr>
            <w:r w:rsidRPr="00070A0A">
              <w:rPr>
                <w:rFonts w:cs="Arial"/>
                <w:b/>
                <w:sz w:val="22"/>
              </w:rPr>
              <w:t>Student name:</w:t>
            </w:r>
          </w:p>
        </w:tc>
        <w:tc>
          <w:tcPr>
            <w:tcW w:w="4508" w:type="dxa"/>
          </w:tcPr>
          <w:p w14:paraId="435F869A" w14:textId="41EF01F7" w:rsidR="00F95D31" w:rsidRPr="00070A0A" w:rsidRDefault="00F25C5B" w:rsidP="00F95D31">
            <w:pPr>
              <w:rPr>
                <w:rFonts w:cs="Arial"/>
              </w:rPr>
            </w:pPr>
            <w:r w:rsidRPr="00F25C5B">
              <w:rPr>
                <w:rFonts w:cs="Arial"/>
                <w:b/>
                <w:bCs/>
                <w:sz w:val="22"/>
              </w:rPr>
              <w:t>Rozar</w:t>
            </w:r>
            <w:r>
              <w:rPr>
                <w:rFonts w:cs="Arial"/>
              </w:rPr>
              <w:t xml:space="preserve"> </w:t>
            </w:r>
            <w:r w:rsidRPr="00F25C5B">
              <w:rPr>
                <w:rFonts w:cs="Arial"/>
                <w:b/>
                <w:bCs/>
                <w:sz w:val="22"/>
              </w:rPr>
              <w:t>Robertbhai</w:t>
            </w:r>
            <w:r>
              <w:rPr>
                <w:rFonts w:cs="Arial"/>
              </w:rPr>
              <w:t xml:space="preserve"> </w:t>
            </w:r>
            <w:r w:rsidRPr="00F25C5B">
              <w:rPr>
                <w:rFonts w:cs="Arial"/>
                <w:b/>
                <w:bCs/>
                <w:sz w:val="22"/>
              </w:rPr>
              <w:t>MacWan</w:t>
            </w:r>
          </w:p>
        </w:tc>
      </w:tr>
      <w:tr w:rsidR="00F95D31" w:rsidRPr="00070A0A" w14:paraId="2FDC7CD5" w14:textId="77777777" w:rsidTr="003F5B9B">
        <w:tc>
          <w:tcPr>
            <w:tcW w:w="4508" w:type="dxa"/>
            <w:vAlign w:val="center"/>
          </w:tcPr>
          <w:p w14:paraId="0D02AAC2" w14:textId="20085748" w:rsidR="00F95D31" w:rsidRPr="00070A0A" w:rsidRDefault="00F95D31" w:rsidP="00F95D31">
            <w:pPr>
              <w:rPr>
                <w:rFonts w:cs="Arial"/>
                <w:b/>
                <w:sz w:val="22"/>
              </w:rPr>
            </w:pPr>
            <w:r w:rsidRPr="00070A0A">
              <w:rPr>
                <w:rFonts w:cs="Arial"/>
                <w:b/>
                <w:sz w:val="22"/>
              </w:rPr>
              <w:t>Student ID number:</w:t>
            </w:r>
          </w:p>
        </w:tc>
        <w:tc>
          <w:tcPr>
            <w:tcW w:w="4508" w:type="dxa"/>
          </w:tcPr>
          <w:p w14:paraId="3A5D7EF6" w14:textId="27A3467E" w:rsidR="00F95D31" w:rsidRPr="00070A0A" w:rsidRDefault="00F25C5B" w:rsidP="00F95D31">
            <w:pPr>
              <w:rPr>
                <w:rFonts w:cs="Arial"/>
                <w:b/>
                <w:bCs/>
                <w:sz w:val="22"/>
              </w:rPr>
            </w:pPr>
            <w:r>
              <w:rPr>
                <w:rFonts w:cs="Arial"/>
                <w:b/>
                <w:bCs/>
                <w:sz w:val="22"/>
              </w:rPr>
              <w:t>2509179</w:t>
            </w:r>
          </w:p>
        </w:tc>
      </w:tr>
      <w:tr w:rsidR="00F95D31" w:rsidRPr="00070A0A" w14:paraId="064F589A" w14:textId="77777777" w:rsidTr="00F95D31">
        <w:tc>
          <w:tcPr>
            <w:tcW w:w="4508" w:type="dxa"/>
          </w:tcPr>
          <w:p w14:paraId="444CB85F" w14:textId="6C90625A" w:rsidR="00F95D31" w:rsidRPr="00070A0A" w:rsidRDefault="00F95D31" w:rsidP="00F95D31">
            <w:pPr>
              <w:rPr>
                <w:rFonts w:cs="Arial"/>
                <w:b/>
                <w:sz w:val="22"/>
              </w:rPr>
            </w:pPr>
            <w:r w:rsidRPr="00070A0A">
              <w:rPr>
                <w:rFonts w:cs="Arial"/>
                <w:b/>
                <w:sz w:val="22"/>
              </w:rPr>
              <w:t>Programme:</w:t>
            </w:r>
          </w:p>
        </w:tc>
        <w:tc>
          <w:tcPr>
            <w:tcW w:w="4508" w:type="dxa"/>
          </w:tcPr>
          <w:p w14:paraId="4E49F52B" w14:textId="7A1A182B" w:rsidR="00F95D31" w:rsidRPr="00070A0A" w:rsidRDefault="00F95D31" w:rsidP="00F95D31">
            <w:pPr>
              <w:rPr>
                <w:rFonts w:cs="Arial"/>
                <w:b/>
                <w:bCs/>
                <w:sz w:val="22"/>
              </w:rPr>
            </w:pPr>
            <w:r w:rsidRPr="00070A0A">
              <w:rPr>
                <w:rFonts w:cs="Arial"/>
                <w:b/>
                <w:bCs/>
                <w:sz w:val="22"/>
              </w:rPr>
              <w:t>Master of Business Administration</w:t>
            </w:r>
          </w:p>
        </w:tc>
      </w:tr>
      <w:tr w:rsidR="00F95D31" w:rsidRPr="00070A0A" w14:paraId="26865843" w14:textId="77777777" w:rsidTr="00F95D31">
        <w:tc>
          <w:tcPr>
            <w:tcW w:w="4508" w:type="dxa"/>
          </w:tcPr>
          <w:p w14:paraId="32DE397C" w14:textId="6A20AA74" w:rsidR="00F95D31" w:rsidRPr="00070A0A" w:rsidRDefault="00F95D31" w:rsidP="00F95D31">
            <w:pPr>
              <w:rPr>
                <w:rFonts w:cs="Arial"/>
              </w:rPr>
            </w:pPr>
            <w:r w:rsidRPr="00070A0A">
              <w:rPr>
                <w:rFonts w:cs="Arial"/>
                <w:b/>
                <w:sz w:val="22"/>
              </w:rPr>
              <w:t>Module:</w:t>
            </w:r>
          </w:p>
        </w:tc>
        <w:tc>
          <w:tcPr>
            <w:tcW w:w="4508" w:type="dxa"/>
          </w:tcPr>
          <w:p w14:paraId="12501D72" w14:textId="763622F5" w:rsidR="00F95D31" w:rsidRPr="00070A0A" w:rsidRDefault="00F95D31" w:rsidP="00F95D31">
            <w:pPr>
              <w:rPr>
                <w:rFonts w:cs="Arial"/>
              </w:rPr>
            </w:pPr>
            <w:r w:rsidRPr="00070A0A">
              <w:rPr>
                <w:rFonts w:cs="Arial"/>
                <w:b/>
                <w:bCs/>
                <w:sz w:val="22"/>
              </w:rPr>
              <w:t>Marketing Management</w:t>
            </w:r>
          </w:p>
        </w:tc>
      </w:tr>
      <w:tr w:rsidR="00F95D31" w:rsidRPr="00070A0A" w14:paraId="4E09964A" w14:textId="77777777" w:rsidTr="00F95D31">
        <w:tc>
          <w:tcPr>
            <w:tcW w:w="4508" w:type="dxa"/>
          </w:tcPr>
          <w:p w14:paraId="0AF4BE83" w14:textId="4AD67EF5" w:rsidR="00F95D31" w:rsidRPr="00070A0A" w:rsidRDefault="00F95D31" w:rsidP="00F95D31">
            <w:pPr>
              <w:rPr>
                <w:rFonts w:cs="Arial"/>
              </w:rPr>
            </w:pPr>
            <w:r w:rsidRPr="00070A0A">
              <w:rPr>
                <w:rFonts w:cs="Arial"/>
                <w:b/>
                <w:sz w:val="22"/>
              </w:rPr>
              <w:t>Module code:</w:t>
            </w:r>
          </w:p>
        </w:tc>
        <w:tc>
          <w:tcPr>
            <w:tcW w:w="4508" w:type="dxa"/>
          </w:tcPr>
          <w:p w14:paraId="6A3D5598" w14:textId="709C0616" w:rsidR="00F95D31" w:rsidRPr="00070A0A" w:rsidRDefault="00F95D31" w:rsidP="00F95D31">
            <w:pPr>
              <w:rPr>
                <w:rFonts w:cs="Arial"/>
              </w:rPr>
            </w:pPr>
            <w:r w:rsidRPr="00070A0A">
              <w:rPr>
                <w:rFonts w:cs="Arial"/>
                <w:b/>
                <w:bCs/>
                <w:sz w:val="22"/>
              </w:rPr>
              <w:t>LCMB7024</w:t>
            </w:r>
          </w:p>
        </w:tc>
      </w:tr>
      <w:tr w:rsidR="00F95D31" w:rsidRPr="00070A0A" w14:paraId="2AD214A4" w14:textId="77777777" w:rsidTr="00F95D31">
        <w:tc>
          <w:tcPr>
            <w:tcW w:w="4508" w:type="dxa"/>
          </w:tcPr>
          <w:p w14:paraId="60D76834" w14:textId="67CE05EA" w:rsidR="00F95D31" w:rsidRPr="00070A0A" w:rsidRDefault="00F95D31" w:rsidP="00F95D31">
            <w:pPr>
              <w:rPr>
                <w:rFonts w:cs="Arial"/>
              </w:rPr>
            </w:pPr>
            <w:r w:rsidRPr="00070A0A">
              <w:rPr>
                <w:rFonts w:cs="Arial"/>
                <w:b/>
                <w:sz w:val="22"/>
              </w:rPr>
              <w:t>Assignment Title:</w:t>
            </w:r>
          </w:p>
        </w:tc>
        <w:tc>
          <w:tcPr>
            <w:tcW w:w="4508" w:type="dxa"/>
          </w:tcPr>
          <w:p w14:paraId="79F954D4" w14:textId="77777777" w:rsidR="00F95D31" w:rsidRPr="00070A0A" w:rsidRDefault="00F95D31" w:rsidP="00F95D31">
            <w:pPr>
              <w:spacing w:before="120" w:after="120"/>
              <w:rPr>
                <w:rFonts w:cs="Arial"/>
                <w:b/>
                <w:bCs/>
                <w:sz w:val="22"/>
              </w:rPr>
            </w:pPr>
            <w:r w:rsidRPr="00070A0A">
              <w:rPr>
                <w:rFonts w:cs="Arial"/>
                <w:b/>
                <w:bCs/>
                <w:sz w:val="22"/>
              </w:rPr>
              <w:t xml:space="preserve">Assessment component 1: </w:t>
            </w:r>
          </w:p>
          <w:p w14:paraId="42C56C21" w14:textId="0F8220A1" w:rsidR="00F95D31" w:rsidRPr="00070A0A" w:rsidRDefault="00B073ED" w:rsidP="00F95D31">
            <w:pPr>
              <w:rPr>
                <w:rFonts w:cs="Arial"/>
              </w:rPr>
            </w:pPr>
            <w:r w:rsidRPr="00B073ED">
              <w:rPr>
                <w:rFonts w:cs="Arial"/>
                <w:b/>
                <w:bCs/>
                <w:sz w:val="22"/>
              </w:rPr>
              <w:t>Marketing Environment Analysis: Tesla (Pioneer) vs BYD (Follower) in the UK EV Industry</w:t>
            </w:r>
          </w:p>
        </w:tc>
      </w:tr>
      <w:tr w:rsidR="00F95D31" w:rsidRPr="00070A0A" w14:paraId="5A1A956A" w14:textId="77777777" w:rsidTr="00F95D31">
        <w:tc>
          <w:tcPr>
            <w:tcW w:w="4508" w:type="dxa"/>
          </w:tcPr>
          <w:p w14:paraId="586EAB92" w14:textId="2811A043" w:rsidR="00F95D31" w:rsidRPr="00070A0A" w:rsidRDefault="00F95D31" w:rsidP="00F95D31">
            <w:pPr>
              <w:rPr>
                <w:rFonts w:cs="Arial"/>
              </w:rPr>
            </w:pPr>
            <w:r w:rsidRPr="00070A0A">
              <w:rPr>
                <w:rFonts w:cs="Arial"/>
                <w:b/>
                <w:sz w:val="22"/>
              </w:rPr>
              <w:t>Lecturer:</w:t>
            </w:r>
          </w:p>
        </w:tc>
        <w:tc>
          <w:tcPr>
            <w:tcW w:w="4508" w:type="dxa"/>
          </w:tcPr>
          <w:p w14:paraId="2BBD7552" w14:textId="77777777" w:rsidR="00F95D31" w:rsidRPr="00070A0A" w:rsidRDefault="00F95D31" w:rsidP="00F95D31">
            <w:pPr>
              <w:spacing w:before="120" w:after="120"/>
              <w:rPr>
                <w:rFonts w:cs="Arial"/>
                <w:b/>
                <w:sz w:val="22"/>
              </w:rPr>
            </w:pPr>
            <w:r w:rsidRPr="00070A0A">
              <w:rPr>
                <w:rFonts w:cs="Arial"/>
                <w:b/>
                <w:sz w:val="22"/>
              </w:rPr>
              <w:t>Laila Maazouz</w:t>
            </w:r>
          </w:p>
          <w:p w14:paraId="28B8F1A2" w14:textId="1E4AA501" w:rsidR="00F95D31" w:rsidRPr="00070A0A" w:rsidRDefault="00F95D31" w:rsidP="00F95D31">
            <w:pPr>
              <w:rPr>
                <w:rFonts w:cs="Arial"/>
              </w:rPr>
            </w:pPr>
            <w:r w:rsidRPr="00070A0A">
              <w:rPr>
                <w:rFonts w:cs="Arial"/>
                <w:b/>
                <w:sz w:val="22"/>
              </w:rPr>
              <w:t>Dian Mayasari</w:t>
            </w:r>
          </w:p>
        </w:tc>
      </w:tr>
      <w:tr w:rsidR="00F95D31" w:rsidRPr="00070A0A" w14:paraId="72C6F91D" w14:textId="77777777" w:rsidTr="00F95D31">
        <w:tc>
          <w:tcPr>
            <w:tcW w:w="4508" w:type="dxa"/>
          </w:tcPr>
          <w:p w14:paraId="137EE94F" w14:textId="755F91F7" w:rsidR="00F95D31" w:rsidRPr="00070A0A" w:rsidRDefault="00F95D31" w:rsidP="00F95D31">
            <w:pPr>
              <w:rPr>
                <w:rFonts w:cs="Arial"/>
                <w:b/>
                <w:sz w:val="22"/>
              </w:rPr>
            </w:pPr>
            <w:r w:rsidRPr="00070A0A">
              <w:rPr>
                <w:rFonts w:cs="Arial"/>
                <w:b/>
                <w:sz w:val="22"/>
              </w:rPr>
              <w:t>Word count:</w:t>
            </w:r>
          </w:p>
        </w:tc>
        <w:tc>
          <w:tcPr>
            <w:tcW w:w="4508" w:type="dxa"/>
          </w:tcPr>
          <w:p w14:paraId="06C94775" w14:textId="2220F7DB" w:rsidR="00F95D31" w:rsidRPr="00070A0A" w:rsidRDefault="00E81035" w:rsidP="00F95D31">
            <w:pPr>
              <w:spacing w:before="120" w:after="120"/>
              <w:rPr>
                <w:rFonts w:cs="Arial"/>
                <w:b/>
                <w:sz w:val="22"/>
              </w:rPr>
            </w:pPr>
            <w:r>
              <w:rPr>
                <w:rFonts w:cs="Arial"/>
                <w:b/>
                <w:sz w:val="22"/>
              </w:rPr>
              <w:t>2544</w:t>
            </w:r>
          </w:p>
        </w:tc>
      </w:tr>
      <w:tr w:rsidR="00F95D31" w:rsidRPr="00070A0A" w14:paraId="4A5BADF1" w14:textId="77777777" w:rsidTr="00F95D31">
        <w:tc>
          <w:tcPr>
            <w:tcW w:w="4508" w:type="dxa"/>
          </w:tcPr>
          <w:p w14:paraId="6FABC9B1" w14:textId="416DDE77" w:rsidR="00F95D31" w:rsidRPr="00070A0A" w:rsidRDefault="00F95D31" w:rsidP="00F95D31">
            <w:pPr>
              <w:rPr>
                <w:rFonts w:cs="Arial"/>
                <w:b/>
                <w:sz w:val="22"/>
              </w:rPr>
            </w:pPr>
            <w:r w:rsidRPr="00070A0A">
              <w:rPr>
                <w:rFonts w:cs="Arial"/>
                <w:b/>
                <w:sz w:val="22"/>
              </w:rPr>
              <w:t>Submission date:</w:t>
            </w:r>
          </w:p>
        </w:tc>
        <w:tc>
          <w:tcPr>
            <w:tcW w:w="4508" w:type="dxa"/>
          </w:tcPr>
          <w:p w14:paraId="2C656EE2" w14:textId="3B1BC3E2" w:rsidR="00F95D31" w:rsidRPr="00070A0A" w:rsidRDefault="00F25C5B" w:rsidP="00F95D31">
            <w:pPr>
              <w:spacing w:before="120" w:after="120"/>
              <w:rPr>
                <w:rFonts w:cs="Arial"/>
                <w:b/>
                <w:sz w:val="22"/>
              </w:rPr>
            </w:pPr>
            <w:r>
              <w:rPr>
                <w:rFonts w:cs="Arial"/>
                <w:b/>
                <w:sz w:val="22"/>
              </w:rPr>
              <w:t>25/02/2026</w:t>
            </w:r>
          </w:p>
        </w:tc>
      </w:tr>
    </w:tbl>
    <w:p w14:paraId="2CA2BEB9" w14:textId="77777777" w:rsidR="0092167B" w:rsidRPr="00070A0A" w:rsidRDefault="0092167B">
      <w:pPr>
        <w:spacing w:line="259" w:lineRule="auto"/>
        <w:jc w:val="left"/>
        <w:rPr>
          <w:rFonts w:cs="Arial"/>
          <w:b/>
          <w:bCs/>
        </w:rPr>
      </w:pPr>
      <w:r w:rsidRPr="00070A0A">
        <w:rPr>
          <w:rFonts w:cs="Arial"/>
          <w:b/>
          <w:bCs/>
        </w:rPr>
        <w:br w:type="page"/>
      </w:r>
    </w:p>
    <w:sdt>
      <w:sdtPr>
        <w:rPr>
          <w:rFonts w:ascii="Arial" w:eastAsiaTheme="minorHAnsi" w:hAnsi="Arial" w:cs="Arial"/>
          <w:kern w:val="2"/>
          <w:sz w:val="24"/>
          <w:szCs w:val="22"/>
          <w:lang w:val="en-IN"/>
          <w14:ligatures w14:val="standardContextual"/>
        </w:rPr>
        <w:id w:val="804205409"/>
        <w:docPartObj>
          <w:docPartGallery w:val="Table of Contents"/>
          <w:docPartUnique/>
        </w:docPartObj>
      </w:sdtPr>
      <w:sdtEndPr>
        <w:rPr>
          <w:b/>
          <w:bCs/>
          <w:noProof/>
        </w:rPr>
      </w:sdtEndPr>
      <w:sdtContent>
        <w:p w14:paraId="1192AF4B" w14:textId="091FA91F" w:rsidR="0092167B" w:rsidRPr="00070A0A" w:rsidRDefault="0092167B">
          <w:pPr>
            <w:pStyle w:val="TOCHeading"/>
            <w:rPr>
              <w:rFonts w:ascii="Arial" w:hAnsi="Arial" w:cs="Arial"/>
            </w:rPr>
          </w:pPr>
          <w:r w:rsidRPr="00070A0A">
            <w:rPr>
              <w:rFonts w:ascii="Arial" w:hAnsi="Arial" w:cs="Arial"/>
            </w:rPr>
            <w:t>Table of Contents</w:t>
          </w:r>
        </w:p>
        <w:p w14:paraId="3C6D1524" w14:textId="49A39D99" w:rsidR="0053516C" w:rsidRDefault="0092167B">
          <w:pPr>
            <w:pStyle w:val="TOC1"/>
            <w:tabs>
              <w:tab w:val="right" w:leader="dot" w:pos="9016"/>
            </w:tabs>
            <w:rPr>
              <w:rFonts w:asciiTheme="minorHAnsi" w:eastAsiaTheme="minorEastAsia" w:hAnsiTheme="minorHAnsi"/>
              <w:noProof/>
              <w:szCs w:val="24"/>
              <w:lang w:eastAsia="en-IN"/>
            </w:rPr>
          </w:pPr>
          <w:r w:rsidRPr="00070A0A">
            <w:rPr>
              <w:rFonts w:cs="Arial"/>
            </w:rPr>
            <w:fldChar w:fldCharType="begin"/>
          </w:r>
          <w:r w:rsidRPr="00070A0A">
            <w:rPr>
              <w:rFonts w:cs="Arial"/>
            </w:rPr>
            <w:instrText xml:space="preserve"> TOC \o "1-3" \h \z \u </w:instrText>
          </w:r>
          <w:r w:rsidRPr="00070A0A">
            <w:rPr>
              <w:rFonts w:cs="Arial"/>
            </w:rPr>
            <w:fldChar w:fldCharType="separate"/>
          </w:r>
          <w:hyperlink w:anchor="_Toc222756058" w:history="1">
            <w:r w:rsidR="0053516C" w:rsidRPr="00DE487D">
              <w:rPr>
                <w:rStyle w:val="Hyperlink"/>
                <w:rFonts w:cs="Arial"/>
                <w:noProof/>
              </w:rPr>
              <w:t>1. Introduction</w:t>
            </w:r>
            <w:r w:rsidR="0053516C">
              <w:rPr>
                <w:noProof/>
                <w:webHidden/>
              </w:rPr>
              <w:tab/>
            </w:r>
            <w:r w:rsidR="0053516C">
              <w:rPr>
                <w:noProof/>
                <w:webHidden/>
              </w:rPr>
              <w:fldChar w:fldCharType="begin"/>
            </w:r>
            <w:r w:rsidR="0053516C">
              <w:rPr>
                <w:noProof/>
                <w:webHidden/>
              </w:rPr>
              <w:instrText xml:space="preserve"> PAGEREF _Toc222756058 \h </w:instrText>
            </w:r>
            <w:r w:rsidR="0053516C">
              <w:rPr>
                <w:noProof/>
                <w:webHidden/>
              </w:rPr>
            </w:r>
            <w:r w:rsidR="0053516C">
              <w:rPr>
                <w:noProof/>
                <w:webHidden/>
              </w:rPr>
              <w:fldChar w:fldCharType="separate"/>
            </w:r>
            <w:r w:rsidR="0053516C">
              <w:rPr>
                <w:noProof/>
                <w:webHidden/>
              </w:rPr>
              <w:t>4</w:t>
            </w:r>
            <w:r w:rsidR="0053516C">
              <w:rPr>
                <w:noProof/>
                <w:webHidden/>
              </w:rPr>
              <w:fldChar w:fldCharType="end"/>
            </w:r>
          </w:hyperlink>
        </w:p>
        <w:p w14:paraId="3FD0ECE1" w14:textId="03D22A42" w:rsidR="0053516C" w:rsidRDefault="0053516C">
          <w:pPr>
            <w:pStyle w:val="TOC1"/>
            <w:tabs>
              <w:tab w:val="right" w:leader="dot" w:pos="9016"/>
            </w:tabs>
            <w:rPr>
              <w:rFonts w:asciiTheme="minorHAnsi" w:eastAsiaTheme="minorEastAsia" w:hAnsiTheme="minorHAnsi"/>
              <w:noProof/>
              <w:szCs w:val="24"/>
              <w:lang w:eastAsia="en-IN"/>
            </w:rPr>
          </w:pPr>
          <w:hyperlink w:anchor="_Toc222756059" w:history="1">
            <w:r w:rsidRPr="00DE487D">
              <w:rPr>
                <w:rStyle w:val="Hyperlink"/>
                <w:noProof/>
              </w:rPr>
              <w:t>2. Conceptual Foundation: Macro Environment &amp; Pioneer–Follower Theory</w:t>
            </w:r>
            <w:r>
              <w:rPr>
                <w:noProof/>
                <w:webHidden/>
              </w:rPr>
              <w:tab/>
            </w:r>
            <w:r>
              <w:rPr>
                <w:noProof/>
                <w:webHidden/>
              </w:rPr>
              <w:fldChar w:fldCharType="begin"/>
            </w:r>
            <w:r>
              <w:rPr>
                <w:noProof/>
                <w:webHidden/>
              </w:rPr>
              <w:instrText xml:space="preserve"> PAGEREF _Toc222756059 \h </w:instrText>
            </w:r>
            <w:r>
              <w:rPr>
                <w:noProof/>
                <w:webHidden/>
              </w:rPr>
            </w:r>
            <w:r>
              <w:rPr>
                <w:noProof/>
                <w:webHidden/>
              </w:rPr>
              <w:fldChar w:fldCharType="separate"/>
            </w:r>
            <w:r>
              <w:rPr>
                <w:noProof/>
                <w:webHidden/>
              </w:rPr>
              <w:t>5</w:t>
            </w:r>
            <w:r>
              <w:rPr>
                <w:noProof/>
                <w:webHidden/>
              </w:rPr>
              <w:fldChar w:fldCharType="end"/>
            </w:r>
          </w:hyperlink>
        </w:p>
        <w:p w14:paraId="4D1C55AB" w14:textId="4C0145F8" w:rsidR="0053516C" w:rsidRDefault="0053516C">
          <w:pPr>
            <w:pStyle w:val="TOC1"/>
            <w:tabs>
              <w:tab w:val="right" w:leader="dot" w:pos="9016"/>
            </w:tabs>
            <w:rPr>
              <w:rFonts w:asciiTheme="minorHAnsi" w:eastAsiaTheme="minorEastAsia" w:hAnsiTheme="minorHAnsi"/>
              <w:noProof/>
              <w:szCs w:val="24"/>
              <w:lang w:eastAsia="en-IN"/>
            </w:rPr>
          </w:pPr>
          <w:hyperlink w:anchor="_Toc222756060" w:history="1">
            <w:r w:rsidRPr="00DE487D">
              <w:rPr>
                <w:rStyle w:val="Hyperlink"/>
                <w:noProof/>
              </w:rPr>
              <w:t>TASK 1</w:t>
            </w:r>
            <w:r>
              <w:rPr>
                <w:noProof/>
                <w:webHidden/>
              </w:rPr>
              <w:tab/>
            </w:r>
            <w:r>
              <w:rPr>
                <w:noProof/>
                <w:webHidden/>
              </w:rPr>
              <w:fldChar w:fldCharType="begin"/>
            </w:r>
            <w:r>
              <w:rPr>
                <w:noProof/>
                <w:webHidden/>
              </w:rPr>
              <w:instrText xml:space="preserve"> PAGEREF _Toc222756060 \h </w:instrText>
            </w:r>
            <w:r>
              <w:rPr>
                <w:noProof/>
                <w:webHidden/>
              </w:rPr>
            </w:r>
            <w:r>
              <w:rPr>
                <w:noProof/>
                <w:webHidden/>
              </w:rPr>
              <w:fldChar w:fldCharType="separate"/>
            </w:r>
            <w:r>
              <w:rPr>
                <w:noProof/>
                <w:webHidden/>
              </w:rPr>
              <w:t>6</w:t>
            </w:r>
            <w:r>
              <w:rPr>
                <w:noProof/>
                <w:webHidden/>
              </w:rPr>
              <w:fldChar w:fldCharType="end"/>
            </w:r>
          </w:hyperlink>
        </w:p>
        <w:p w14:paraId="530F6A78" w14:textId="7E95FF53" w:rsidR="0053516C" w:rsidRDefault="0053516C">
          <w:pPr>
            <w:pStyle w:val="TOC1"/>
            <w:tabs>
              <w:tab w:val="right" w:leader="dot" w:pos="9016"/>
            </w:tabs>
            <w:rPr>
              <w:rFonts w:asciiTheme="minorHAnsi" w:eastAsiaTheme="minorEastAsia" w:hAnsiTheme="minorHAnsi"/>
              <w:noProof/>
              <w:szCs w:val="24"/>
              <w:lang w:eastAsia="en-IN"/>
            </w:rPr>
          </w:pPr>
          <w:hyperlink w:anchor="_Toc222756061" w:history="1">
            <w:r w:rsidRPr="00DE487D">
              <w:rPr>
                <w:rStyle w:val="Hyperlink"/>
                <w:noProof/>
              </w:rPr>
              <w:t>3. UK EV Industry Overview &amp; Competitive Context</w:t>
            </w:r>
            <w:r>
              <w:rPr>
                <w:noProof/>
                <w:webHidden/>
              </w:rPr>
              <w:tab/>
            </w:r>
            <w:r>
              <w:rPr>
                <w:noProof/>
                <w:webHidden/>
              </w:rPr>
              <w:fldChar w:fldCharType="begin"/>
            </w:r>
            <w:r>
              <w:rPr>
                <w:noProof/>
                <w:webHidden/>
              </w:rPr>
              <w:instrText xml:space="preserve"> PAGEREF _Toc222756061 \h </w:instrText>
            </w:r>
            <w:r>
              <w:rPr>
                <w:noProof/>
                <w:webHidden/>
              </w:rPr>
            </w:r>
            <w:r>
              <w:rPr>
                <w:noProof/>
                <w:webHidden/>
              </w:rPr>
              <w:fldChar w:fldCharType="separate"/>
            </w:r>
            <w:r>
              <w:rPr>
                <w:noProof/>
                <w:webHidden/>
              </w:rPr>
              <w:t>6</w:t>
            </w:r>
            <w:r>
              <w:rPr>
                <w:noProof/>
                <w:webHidden/>
              </w:rPr>
              <w:fldChar w:fldCharType="end"/>
            </w:r>
          </w:hyperlink>
        </w:p>
        <w:p w14:paraId="11746646" w14:textId="19C7356A" w:rsidR="0053516C" w:rsidRDefault="0053516C">
          <w:pPr>
            <w:pStyle w:val="TOC1"/>
            <w:tabs>
              <w:tab w:val="right" w:leader="dot" w:pos="9016"/>
            </w:tabs>
            <w:rPr>
              <w:rFonts w:asciiTheme="minorHAnsi" w:eastAsiaTheme="minorEastAsia" w:hAnsiTheme="minorHAnsi"/>
              <w:noProof/>
              <w:szCs w:val="24"/>
              <w:lang w:eastAsia="en-IN"/>
            </w:rPr>
          </w:pPr>
          <w:hyperlink w:anchor="_Toc222756062" w:history="1">
            <w:r w:rsidRPr="00DE487D">
              <w:rPr>
                <w:rStyle w:val="Hyperlink"/>
                <w:noProof/>
              </w:rPr>
              <w:t>4. Macro Factor 1: Political–Regulatory Environment (400 words)</w:t>
            </w:r>
            <w:r>
              <w:rPr>
                <w:noProof/>
                <w:webHidden/>
              </w:rPr>
              <w:tab/>
            </w:r>
            <w:r>
              <w:rPr>
                <w:noProof/>
                <w:webHidden/>
              </w:rPr>
              <w:fldChar w:fldCharType="begin"/>
            </w:r>
            <w:r>
              <w:rPr>
                <w:noProof/>
                <w:webHidden/>
              </w:rPr>
              <w:instrText xml:space="preserve"> PAGEREF _Toc222756062 \h </w:instrText>
            </w:r>
            <w:r>
              <w:rPr>
                <w:noProof/>
                <w:webHidden/>
              </w:rPr>
            </w:r>
            <w:r>
              <w:rPr>
                <w:noProof/>
                <w:webHidden/>
              </w:rPr>
              <w:fldChar w:fldCharType="separate"/>
            </w:r>
            <w:r>
              <w:rPr>
                <w:noProof/>
                <w:webHidden/>
              </w:rPr>
              <w:t>7</w:t>
            </w:r>
            <w:r>
              <w:rPr>
                <w:noProof/>
                <w:webHidden/>
              </w:rPr>
              <w:fldChar w:fldCharType="end"/>
            </w:r>
          </w:hyperlink>
        </w:p>
        <w:p w14:paraId="39843564" w14:textId="0FC31620" w:rsidR="0053516C" w:rsidRDefault="0053516C">
          <w:pPr>
            <w:pStyle w:val="TOC2"/>
            <w:tabs>
              <w:tab w:val="right" w:leader="dot" w:pos="9016"/>
            </w:tabs>
            <w:rPr>
              <w:rFonts w:asciiTheme="minorHAnsi" w:eastAsiaTheme="minorEastAsia" w:hAnsiTheme="minorHAnsi"/>
              <w:noProof/>
              <w:szCs w:val="24"/>
              <w:lang w:eastAsia="en-IN"/>
            </w:rPr>
          </w:pPr>
          <w:hyperlink w:anchor="_Toc222756063" w:history="1">
            <w:r w:rsidRPr="00DE487D">
              <w:rPr>
                <w:rStyle w:val="Hyperlink"/>
                <w:noProof/>
              </w:rPr>
              <w:t>4.1 Impact on Tesla</w:t>
            </w:r>
            <w:r>
              <w:rPr>
                <w:noProof/>
                <w:webHidden/>
              </w:rPr>
              <w:tab/>
            </w:r>
            <w:r>
              <w:rPr>
                <w:noProof/>
                <w:webHidden/>
              </w:rPr>
              <w:fldChar w:fldCharType="begin"/>
            </w:r>
            <w:r>
              <w:rPr>
                <w:noProof/>
                <w:webHidden/>
              </w:rPr>
              <w:instrText xml:space="preserve"> PAGEREF _Toc222756063 \h </w:instrText>
            </w:r>
            <w:r>
              <w:rPr>
                <w:noProof/>
                <w:webHidden/>
              </w:rPr>
            </w:r>
            <w:r>
              <w:rPr>
                <w:noProof/>
                <w:webHidden/>
              </w:rPr>
              <w:fldChar w:fldCharType="separate"/>
            </w:r>
            <w:r>
              <w:rPr>
                <w:noProof/>
                <w:webHidden/>
              </w:rPr>
              <w:t>7</w:t>
            </w:r>
            <w:r>
              <w:rPr>
                <w:noProof/>
                <w:webHidden/>
              </w:rPr>
              <w:fldChar w:fldCharType="end"/>
            </w:r>
          </w:hyperlink>
        </w:p>
        <w:p w14:paraId="20010C61" w14:textId="59A4CC25" w:rsidR="0053516C" w:rsidRDefault="0053516C">
          <w:pPr>
            <w:pStyle w:val="TOC2"/>
            <w:tabs>
              <w:tab w:val="right" w:leader="dot" w:pos="9016"/>
            </w:tabs>
            <w:rPr>
              <w:rFonts w:asciiTheme="minorHAnsi" w:eastAsiaTheme="minorEastAsia" w:hAnsiTheme="minorHAnsi"/>
              <w:noProof/>
              <w:szCs w:val="24"/>
              <w:lang w:eastAsia="en-IN"/>
            </w:rPr>
          </w:pPr>
          <w:hyperlink w:anchor="_Toc222756064" w:history="1">
            <w:r w:rsidRPr="00DE487D">
              <w:rPr>
                <w:rStyle w:val="Hyperlink"/>
                <w:noProof/>
              </w:rPr>
              <w:t>4.2 Impact on BYD</w:t>
            </w:r>
            <w:r>
              <w:rPr>
                <w:noProof/>
                <w:webHidden/>
              </w:rPr>
              <w:tab/>
            </w:r>
            <w:r>
              <w:rPr>
                <w:noProof/>
                <w:webHidden/>
              </w:rPr>
              <w:fldChar w:fldCharType="begin"/>
            </w:r>
            <w:r>
              <w:rPr>
                <w:noProof/>
                <w:webHidden/>
              </w:rPr>
              <w:instrText xml:space="preserve"> PAGEREF _Toc222756064 \h </w:instrText>
            </w:r>
            <w:r>
              <w:rPr>
                <w:noProof/>
                <w:webHidden/>
              </w:rPr>
            </w:r>
            <w:r>
              <w:rPr>
                <w:noProof/>
                <w:webHidden/>
              </w:rPr>
              <w:fldChar w:fldCharType="separate"/>
            </w:r>
            <w:r>
              <w:rPr>
                <w:noProof/>
                <w:webHidden/>
              </w:rPr>
              <w:t>8</w:t>
            </w:r>
            <w:r>
              <w:rPr>
                <w:noProof/>
                <w:webHidden/>
              </w:rPr>
              <w:fldChar w:fldCharType="end"/>
            </w:r>
          </w:hyperlink>
        </w:p>
        <w:p w14:paraId="6344B0EA" w14:textId="6CA4DA40" w:rsidR="0053516C" w:rsidRDefault="0053516C">
          <w:pPr>
            <w:pStyle w:val="TOC2"/>
            <w:tabs>
              <w:tab w:val="right" w:leader="dot" w:pos="9016"/>
            </w:tabs>
            <w:rPr>
              <w:rFonts w:asciiTheme="minorHAnsi" w:eastAsiaTheme="minorEastAsia" w:hAnsiTheme="minorHAnsi"/>
              <w:noProof/>
              <w:szCs w:val="24"/>
              <w:lang w:eastAsia="en-IN"/>
            </w:rPr>
          </w:pPr>
          <w:hyperlink w:anchor="_Toc222756065" w:history="1">
            <w:r w:rsidRPr="00DE487D">
              <w:rPr>
                <w:rStyle w:val="Hyperlink"/>
                <w:noProof/>
              </w:rPr>
              <w:t>4.3 Critical Comparison</w:t>
            </w:r>
            <w:r>
              <w:rPr>
                <w:noProof/>
                <w:webHidden/>
              </w:rPr>
              <w:tab/>
            </w:r>
            <w:r>
              <w:rPr>
                <w:noProof/>
                <w:webHidden/>
              </w:rPr>
              <w:fldChar w:fldCharType="begin"/>
            </w:r>
            <w:r>
              <w:rPr>
                <w:noProof/>
                <w:webHidden/>
              </w:rPr>
              <w:instrText xml:space="preserve"> PAGEREF _Toc222756065 \h </w:instrText>
            </w:r>
            <w:r>
              <w:rPr>
                <w:noProof/>
                <w:webHidden/>
              </w:rPr>
            </w:r>
            <w:r>
              <w:rPr>
                <w:noProof/>
                <w:webHidden/>
              </w:rPr>
              <w:fldChar w:fldCharType="separate"/>
            </w:r>
            <w:r>
              <w:rPr>
                <w:noProof/>
                <w:webHidden/>
              </w:rPr>
              <w:t>8</w:t>
            </w:r>
            <w:r>
              <w:rPr>
                <w:noProof/>
                <w:webHidden/>
              </w:rPr>
              <w:fldChar w:fldCharType="end"/>
            </w:r>
          </w:hyperlink>
        </w:p>
        <w:p w14:paraId="5D43EC61" w14:textId="70588FEC" w:rsidR="0053516C" w:rsidRDefault="0053516C">
          <w:pPr>
            <w:pStyle w:val="TOC1"/>
            <w:tabs>
              <w:tab w:val="right" w:leader="dot" w:pos="9016"/>
            </w:tabs>
            <w:rPr>
              <w:rFonts w:asciiTheme="minorHAnsi" w:eastAsiaTheme="minorEastAsia" w:hAnsiTheme="minorHAnsi"/>
              <w:noProof/>
              <w:szCs w:val="24"/>
              <w:lang w:eastAsia="en-IN"/>
            </w:rPr>
          </w:pPr>
          <w:hyperlink w:anchor="_Toc222756066" w:history="1">
            <w:r w:rsidRPr="00DE487D">
              <w:rPr>
                <w:rStyle w:val="Hyperlink"/>
                <w:noProof/>
              </w:rPr>
              <w:t>5. Macro Factor 2: Economic Environment</w:t>
            </w:r>
            <w:r>
              <w:rPr>
                <w:noProof/>
                <w:webHidden/>
              </w:rPr>
              <w:tab/>
            </w:r>
            <w:r>
              <w:rPr>
                <w:noProof/>
                <w:webHidden/>
              </w:rPr>
              <w:fldChar w:fldCharType="begin"/>
            </w:r>
            <w:r>
              <w:rPr>
                <w:noProof/>
                <w:webHidden/>
              </w:rPr>
              <w:instrText xml:space="preserve"> PAGEREF _Toc222756066 \h </w:instrText>
            </w:r>
            <w:r>
              <w:rPr>
                <w:noProof/>
                <w:webHidden/>
              </w:rPr>
            </w:r>
            <w:r>
              <w:rPr>
                <w:noProof/>
                <w:webHidden/>
              </w:rPr>
              <w:fldChar w:fldCharType="separate"/>
            </w:r>
            <w:r>
              <w:rPr>
                <w:noProof/>
                <w:webHidden/>
              </w:rPr>
              <w:t>9</w:t>
            </w:r>
            <w:r>
              <w:rPr>
                <w:noProof/>
                <w:webHidden/>
              </w:rPr>
              <w:fldChar w:fldCharType="end"/>
            </w:r>
          </w:hyperlink>
        </w:p>
        <w:p w14:paraId="11D02A3F" w14:textId="71B4789E" w:rsidR="0053516C" w:rsidRDefault="0053516C">
          <w:pPr>
            <w:pStyle w:val="TOC2"/>
            <w:tabs>
              <w:tab w:val="right" w:leader="dot" w:pos="9016"/>
            </w:tabs>
            <w:rPr>
              <w:rFonts w:asciiTheme="minorHAnsi" w:eastAsiaTheme="minorEastAsia" w:hAnsiTheme="minorHAnsi"/>
              <w:noProof/>
              <w:szCs w:val="24"/>
              <w:lang w:eastAsia="en-IN"/>
            </w:rPr>
          </w:pPr>
          <w:hyperlink w:anchor="_Toc222756067" w:history="1">
            <w:r w:rsidRPr="00DE487D">
              <w:rPr>
                <w:rStyle w:val="Hyperlink"/>
                <w:noProof/>
              </w:rPr>
              <w:t>5.1 Impact on Tesla</w:t>
            </w:r>
            <w:r>
              <w:rPr>
                <w:noProof/>
                <w:webHidden/>
              </w:rPr>
              <w:tab/>
            </w:r>
            <w:r>
              <w:rPr>
                <w:noProof/>
                <w:webHidden/>
              </w:rPr>
              <w:fldChar w:fldCharType="begin"/>
            </w:r>
            <w:r>
              <w:rPr>
                <w:noProof/>
                <w:webHidden/>
              </w:rPr>
              <w:instrText xml:space="preserve"> PAGEREF _Toc222756067 \h </w:instrText>
            </w:r>
            <w:r>
              <w:rPr>
                <w:noProof/>
                <w:webHidden/>
              </w:rPr>
            </w:r>
            <w:r>
              <w:rPr>
                <w:noProof/>
                <w:webHidden/>
              </w:rPr>
              <w:fldChar w:fldCharType="separate"/>
            </w:r>
            <w:r>
              <w:rPr>
                <w:noProof/>
                <w:webHidden/>
              </w:rPr>
              <w:t>9</w:t>
            </w:r>
            <w:r>
              <w:rPr>
                <w:noProof/>
                <w:webHidden/>
              </w:rPr>
              <w:fldChar w:fldCharType="end"/>
            </w:r>
          </w:hyperlink>
        </w:p>
        <w:p w14:paraId="79F160AA" w14:textId="749A14D3" w:rsidR="0053516C" w:rsidRDefault="0053516C">
          <w:pPr>
            <w:pStyle w:val="TOC2"/>
            <w:tabs>
              <w:tab w:val="right" w:leader="dot" w:pos="9016"/>
            </w:tabs>
            <w:rPr>
              <w:rFonts w:asciiTheme="minorHAnsi" w:eastAsiaTheme="minorEastAsia" w:hAnsiTheme="minorHAnsi"/>
              <w:noProof/>
              <w:szCs w:val="24"/>
              <w:lang w:eastAsia="en-IN"/>
            </w:rPr>
          </w:pPr>
          <w:hyperlink w:anchor="_Toc222756068" w:history="1">
            <w:r w:rsidRPr="00DE487D">
              <w:rPr>
                <w:rStyle w:val="Hyperlink"/>
                <w:noProof/>
              </w:rPr>
              <w:t>5.2 Impact on BYD</w:t>
            </w:r>
            <w:r>
              <w:rPr>
                <w:noProof/>
                <w:webHidden/>
              </w:rPr>
              <w:tab/>
            </w:r>
            <w:r>
              <w:rPr>
                <w:noProof/>
                <w:webHidden/>
              </w:rPr>
              <w:fldChar w:fldCharType="begin"/>
            </w:r>
            <w:r>
              <w:rPr>
                <w:noProof/>
                <w:webHidden/>
              </w:rPr>
              <w:instrText xml:space="preserve"> PAGEREF _Toc222756068 \h </w:instrText>
            </w:r>
            <w:r>
              <w:rPr>
                <w:noProof/>
                <w:webHidden/>
              </w:rPr>
            </w:r>
            <w:r>
              <w:rPr>
                <w:noProof/>
                <w:webHidden/>
              </w:rPr>
              <w:fldChar w:fldCharType="separate"/>
            </w:r>
            <w:r>
              <w:rPr>
                <w:noProof/>
                <w:webHidden/>
              </w:rPr>
              <w:t>9</w:t>
            </w:r>
            <w:r>
              <w:rPr>
                <w:noProof/>
                <w:webHidden/>
              </w:rPr>
              <w:fldChar w:fldCharType="end"/>
            </w:r>
          </w:hyperlink>
        </w:p>
        <w:p w14:paraId="3C165949" w14:textId="52166E94" w:rsidR="0053516C" w:rsidRDefault="0053516C">
          <w:pPr>
            <w:pStyle w:val="TOC1"/>
            <w:tabs>
              <w:tab w:val="right" w:leader="dot" w:pos="9016"/>
            </w:tabs>
            <w:rPr>
              <w:rFonts w:asciiTheme="minorHAnsi" w:eastAsiaTheme="minorEastAsia" w:hAnsiTheme="minorHAnsi"/>
              <w:noProof/>
              <w:szCs w:val="24"/>
              <w:lang w:eastAsia="en-IN"/>
            </w:rPr>
          </w:pPr>
          <w:hyperlink w:anchor="_Toc222756069" w:history="1">
            <w:r w:rsidRPr="00DE487D">
              <w:rPr>
                <w:rStyle w:val="Hyperlink"/>
                <w:noProof/>
              </w:rPr>
              <w:t>TASK 2</w:t>
            </w:r>
            <w:r>
              <w:rPr>
                <w:noProof/>
                <w:webHidden/>
              </w:rPr>
              <w:tab/>
            </w:r>
            <w:r>
              <w:rPr>
                <w:noProof/>
                <w:webHidden/>
              </w:rPr>
              <w:fldChar w:fldCharType="begin"/>
            </w:r>
            <w:r>
              <w:rPr>
                <w:noProof/>
                <w:webHidden/>
              </w:rPr>
              <w:instrText xml:space="preserve"> PAGEREF _Toc222756069 \h </w:instrText>
            </w:r>
            <w:r>
              <w:rPr>
                <w:noProof/>
                <w:webHidden/>
              </w:rPr>
            </w:r>
            <w:r>
              <w:rPr>
                <w:noProof/>
                <w:webHidden/>
              </w:rPr>
              <w:fldChar w:fldCharType="separate"/>
            </w:r>
            <w:r>
              <w:rPr>
                <w:noProof/>
                <w:webHidden/>
              </w:rPr>
              <w:t>10</w:t>
            </w:r>
            <w:r>
              <w:rPr>
                <w:noProof/>
                <w:webHidden/>
              </w:rPr>
              <w:fldChar w:fldCharType="end"/>
            </w:r>
          </w:hyperlink>
        </w:p>
        <w:p w14:paraId="406C255A" w14:textId="4265EAB1" w:rsidR="0053516C" w:rsidRDefault="0053516C">
          <w:pPr>
            <w:pStyle w:val="TOC1"/>
            <w:tabs>
              <w:tab w:val="right" w:leader="dot" w:pos="9016"/>
            </w:tabs>
            <w:rPr>
              <w:rFonts w:asciiTheme="minorHAnsi" w:eastAsiaTheme="minorEastAsia" w:hAnsiTheme="minorHAnsi"/>
              <w:noProof/>
              <w:szCs w:val="24"/>
              <w:lang w:eastAsia="en-IN"/>
            </w:rPr>
          </w:pPr>
          <w:hyperlink w:anchor="_Toc222756070" w:history="1">
            <w:r w:rsidRPr="00DE487D">
              <w:rPr>
                <w:rStyle w:val="Hyperlink"/>
                <w:noProof/>
              </w:rPr>
              <w:t>6. Strategic Responses to Macro Forces</w:t>
            </w:r>
            <w:r>
              <w:rPr>
                <w:noProof/>
                <w:webHidden/>
              </w:rPr>
              <w:tab/>
            </w:r>
            <w:r>
              <w:rPr>
                <w:noProof/>
                <w:webHidden/>
              </w:rPr>
              <w:fldChar w:fldCharType="begin"/>
            </w:r>
            <w:r>
              <w:rPr>
                <w:noProof/>
                <w:webHidden/>
              </w:rPr>
              <w:instrText xml:space="preserve"> PAGEREF _Toc222756070 \h </w:instrText>
            </w:r>
            <w:r>
              <w:rPr>
                <w:noProof/>
                <w:webHidden/>
              </w:rPr>
            </w:r>
            <w:r>
              <w:rPr>
                <w:noProof/>
                <w:webHidden/>
              </w:rPr>
              <w:fldChar w:fldCharType="separate"/>
            </w:r>
            <w:r>
              <w:rPr>
                <w:noProof/>
                <w:webHidden/>
              </w:rPr>
              <w:t>10</w:t>
            </w:r>
            <w:r>
              <w:rPr>
                <w:noProof/>
                <w:webHidden/>
              </w:rPr>
              <w:fldChar w:fldCharType="end"/>
            </w:r>
          </w:hyperlink>
        </w:p>
        <w:p w14:paraId="0FE1D3C0" w14:textId="459AB9EF" w:rsidR="0053516C" w:rsidRDefault="0053516C">
          <w:pPr>
            <w:pStyle w:val="TOC2"/>
            <w:tabs>
              <w:tab w:val="right" w:leader="dot" w:pos="9016"/>
            </w:tabs>
            <w:rPr>
              <w:rFonts w:asciiTheme="minorHAnsi" w:eastAsiaTheme="minorEastAsia" w:hAnsiTheme="minorHAnsi"/>
              <w:noProof/>
              <w:szCs w:val="24"/>
              <w:lang w:eastAsia="en-IN"/>
            </w:rPr>
          </w:pPr>
          <w:hyperlink w:anchor="_Toc222756071" w:history="1">
            <w:r w:rsidRPr="00DE487D">
              <w:rPr>
                <w:rStyle w:val="Hyperlink"/>
                <w:noProof/>
              </w:rPr>
              <w:t>6.1 Porter’s Generic Strategies</w:t>
            </w:r>
            <w:r>
              <w:rPr>
                <w:noProof/>
                <w:webHidden/>
              </w:rPr>
              <w:tab/>
            </w:r>
            <w:r>
              <w:rPr>
                <w:noProof/>
                <w:webHidden/>
              </w:rPr>
              <w:fldChar w:fldCharType="begin"/>
            </w:r>
            <w:r>
              <w:rPr>
                <w:noProof/>
                <w:webHidden/>
              </w:rPr>
              <w:instrText xml:space="preserve"> PAGEREF _Toc222756071 \h </w:instrText>
            </w:r>
            <w:r>
              <w:rPr>
                <w:noProof/>
                <w:webHidden/>
              </w:rPr>
            </w:r>
            <w:r>
              <w:rPr>
                <w:noProof/>
                <w:webHidden/>
              </w:rPr>
              <w:fldChar w:fldCharType="separate"/>
            </w:r>
            <w:r>
              <w:rPr>
                <w:noProof/>
                <w:webHidden/>
              </w:rPr>
              <w:t>10</w:t>
            </w:r>
            <w:r>
              <w:rPr>
                <w:noProof/>
                <w:webHidden/>
              </w:rPr>
              <w:fldChar w:fldCharType="end"/>
            </w:r>
          </w:hyperlink>
        </w:p>
        <w:p w14:paraId="65852F5C" w14:textId="1AEA07E9" w:rsidR="0053516C" w:rsidRDefault="0053516C">
          <w:pPr>
            <w:pStyle w:val="TOC2"/>
            <w:tabs>
              <w:tab w:val="right" w:leader="dot" w:pos="9016"/>
            </w:tabs>
            <w:rPr>
              <w:rFonts w:asciiTheme="minorHAnsi" w:eastAsiaTheme="minorEastAsia" w:hAnsiTheme="minorHAnsi"/>
              <w:noProof/>
              <w:szCs w:val="24"/>
              <w:lang w:eastAsia="en-IN"/>
            </w:rPr>
          </w:pPr>
          <w:hyperlink w:anchor="_Toc222756072" w:history="1">
            <w:r w:rsidRPr="00DE487D">
              <w:rPr>
                <w:rStyle w:val="Hyperlink"/>
                <w:noProof/>
              </w:rPr>
              <w:t>6.2 Ansoff Growth Matrix</w:t>
            </w:r>
            <w:r>
              <w:rPr>
                <w:noProof/>
                <w:webHidden/>
              </w:rPr>
              <w:tab/>
            </w:r>
            <w:r>
              <w:rPr>
                <w:noProof/>
                <w:webHidden/>
              </w:rPr>
              <w:fldChar w:fldCharType="begin"/>
            </w:r>
            <w:r>
              <w:rPr>
                <w:noProof/>
                <w:webHidden/>
              </w:rPr>
              <w:instrText xml:space="preserve"> PAGEREF _Toc222756072 \h </w:instrText>
            </w:r>
            <w:r>
              <w:rPr>
                <w:noProof/>
                <w:webHidden/>
              </w:rPr>
            </w:r>
            <w:r>
              <w:rPr>
                <w:noProof/>
                <w:webHidden/>
              </w:rPr>
              <w:fldChar w:fldCharType="separate"/>
            </w:r>
            <w:r>
              <w:rPr>
                <w:noProof/>
                <w:webHidden/>
              </w:rPr>
              <w:t>12</w:t>
            </w:r>
            <w:r>
              <w:rPr>
                <w:noProof/>
                <w:webHidden/>
              </w:rPr>
              <w:fldChar w:fldCharType="end"/>
            </w:r>
          </w:hyperlink>
        </w:p>
        <w:p w14:paraId="4176C89E" w14:textId="2F99B1FA" w:rsidR="0053516C" w:rsidRDefault="0053516C">
          <w:pPr>
            <w:pStyle w:val="TOC1"/>
            <w:tabs>
              <w:tab w:val="right" w:leader="dot" w:pos="9016"/>
            </w:tabs>
            <w:rPr>
              <w:rFonts w:asciiTheme="minorHAnsi" w:eastAsiaTheme="minorEastAsia" w:hAnsiTheme="minorHAnsi"/>
              <w:noProof/>
              <w:szCs w:val="24"/>
              <w:lang w:eastAsia="en-IN"/>
            </w:rPr>
          </w:pPr>
          <w:hyperlink w:anchor="_Toc222756073" w:history="1">
            <w:r w:rsidRPr="00DE487D">
              <w:rPr>
                <w:rStyle w:val="Hyperlink"/>
                <w:noProof/>
              </w:rPr>
              <w:t>7. Critical Strategic Judgement</w:t>
            </w:r>
            <w:r>
              <w:rPr>
                <w:noProof/>
                <w:webHidden/>
              </w:rPr>
              <w:tab/>
            </w:r>
            <w:r>
              <w:rPr>
                <w:noProof/>
                <w:webHidden/>
              </w:rPr>
              <w:fldChar w:fldCharType="begin"/>
            </w:r>
            <w:r>
              <w:rPr>
                <w:noProof/>
                <w:webHidden/>
              </w:rPr>
              <w:instrText xml:space="preserve"> PAGEREF _Toc222756073 \h </w:instrText>
            </w:r>
            <w:r>
              <w:rPr>
                <w:noProof/>
                <w:webHidden/>
              </w:rPr>
            </w:r>
            <w:r>
              <w:rPr>
                <w:noProof/>
                <w:webHidden/>
              </w:rPr>
              <w:fldChar w:fldCharType="separate"/>
            </w:r>
            <w:r>
              <w:rPr>
                <w:noProof/>
                <w:webHidden/>
              </w:rPr>
              <w:t>13</w:t>
            </w:r>
            <w:r>
              <w:rPr>
                <w:noProof/>
                <w:webHidden/>
              </w:rPr>
              <w:fldChar w:fldCharType="end"/>
            </w:r>
          </w:hyperlink>
        </w:p>
        <w:p w14:paraId="04FB3A55" w14:textId="590560D1" w:rsidR="0053516C" w:rsidRDefault="0053516C">
          <w:pPr>
            <w:pStyle w:val="TOC1"/>
            <w:tabs>
              <w:tab w:val="right" w:leader="dot" w:pos="9016"/>
            </w:tabs>
            <w:rPr>
              <w:rFonts w:asciiTheme="minorHAnsi" w:eastAsiaTheme="minorEastAsia" w:hAnsiTheme="minorHAnsi"/>
              <w:noProof/>
              <w:szCs w:val="24"/>
              <w:lang w:eastAsia="en-IN"/>
            </w:rPr>
          </w:pPr>
          <w:hyperlink w:anchor="_Toc222756074" w:history="1">
            <w:r w:rsidRPr="00DE487D">
              <w:rPr>
                <w:rStyle w:val="Hyperlink"/>
                <w:noProof/>
              </w:rPr>
              <w:t>8. Conclusion</w:t>
            </w:r>
            <w:r>
              <w:rPr>
                <w:noProof/>
                <w:webHidden/>
              </w:rPr>
              <w:tab/>
            </w:r>
            <w:r>
              <w:rPr>
                <w:noProof/>
                <w:webHidden/>
              </w:rPr>
              <w:fldChar w:fldCharType="begin"/>
            </w:r>
            <w:r>
              <w:rPr>
                <w:noProof/>
                <w:webHidden/>
              </w:rPr>
              <w:instrText xml:space="preserve"> PAGEREF _Toc222756074 \h </w:instrText>
            </w:r>
            <w:r>
              <w:rPr>
                <w:noProof/>
                <w:webHidden/>
              </w:rPr>
            </w:r>
            <w:r>
              <w:rPr>
                <w:noProof/>
                <w:webHidden/>
              </w:rPr>
              <w:fldChar w:fldCharType="separate"/>
            </w:r>
            <w:r>
              <w:rPr>
                <w:noProof/>
                <w:webHidden/>
              </w:rPr>
              <w:t>14</w:t>
            </w:r>
            <w:r>
              <w:rPr>
                <w:noProof/>
                <w:webHidden/>
              </w:rPr>
              <w:fldChar w:fldCharType="end"/>
            </w:r>
          </w:hyperlink>
        </w:p>
        <w:p w14:paraId="34F975B1" w14:textId="08EEEA81" w:rsidR="0053516C" w:rsidRDefault="0053516C">
          <w:pPr>
            <w:pStyle w:val="TOC1"/>
            <w:tabs>
              <w:tab w:val="right" w:leader="dot" w:pos="9016"/>
            </w:tabs>
            <w:rPr>
              <w:rFonts w:asciiTheme="minorHAnsi" w:eastAsiaTheme="minorEastAsia" w:hAnsiTheme="minorHAnsi"/>
              <w:noProof/>
              <w:szCs w:val="24"/>
              <w:lang w:eastAsia="en-IN"/>
            </w:rPr>
          </w:pPr>
          <w:hyperlink w:anchor="_Toc222756075" w:history="1">
            <w:r w:rsidRPr="00DE487D">
              <w:rPr>
                <w:rStyle w:val="Hyperlink"/>
                <w:noProof/>
              </w:rPr>
              <w:t>References</w:t>
            </w:r>
            <w:r>
              <w:rPr>
                <w:noProof/>
                <w:webHidden/>
              </w:rPr>
              <w:tab/>
            </w:r>
            <w:r>
              <w:rPr>
                <w:noProof/>
                <w:webHidden/>
              </w:rPr>
              <w:fldChar w:fldCharType="begin"/>
            </w:r>
            <w:r>
              <w:rPr>
                <w:noProof/>
                <w:webHidden/>
              </w:rPr>
              <w:instrText xml:space="preserve"> PAGEREF _Toc222756075 \h </w:instrText>
            </w:r>
            <w:r>
              <w:rPr>
                <w:noProof/>
                <w:webHidden/>
              </w:rPr>
            </w:r>
            <w:r>
              <w:rPr>
                <w:noProof/>
                <w:webHidden/>
              </w:rPr>
              <w:fldChar w:fldCharType="separate"/>
            </w:r>
            <w:r>
              <w:rPr>
                <w:noProof/>
                <w:webHidden/>
              </w:rPr>
              <w:t>15</w:t>
            </w:r>
            <w:r>
              <w:rPr>
                <w:noProof/>
                <w:webHidden/>
              </w:rPr>
              <w:fldChar w:fldCharType="end"/>
            </w:r>
          </w:hyperlink>
        </w:p>
        <w:p w14:paraId="435B8093" w14:textId="6124E496" w:rsidR="0092167B" w:rsidRPr="00070A0A" w:rsidRDefault="0092167B">
          <w:pPr>
            <w:rPr>
              <w:rFonts w:cs="Arial"/>
            </w:rPr>
          </w:pPr>
          <w:r w:rsidRPr="00070A0A">
            <w:rPr>
              <w:rFonts w:cs="Arial"/>
              <w:b/>
              <w:bCs/>
              <w:noProof/>
            </w:rPr>
            <w:fldChar w:fldCharType="end"/>
          </w:r>
        </w:p>
      </w:sdtContent>
    </w:sdt>
    <w:p w14:paraId="4DAC6933" w14:textId="77777777" w:rsidR="006924FA" w:rsidRDefault="006924FA">
      <w:pPr>
        <w:spacing w:line="259" w:lineRule="auto"/>
        <w:jc w:val="left"/>
        <w:rPr>
          <w:rFonts w:cs="Arial"/>
          <w:b/>
          <w:bCs/>
        </w:rPr>
      </w:pPr>
    </w:p>
    <w:p w14:paraId="39EAEACB" w14:textId="77777777" w:rsidR="006244A0" w:rsidRDefault="006244A0">
      <w:pPr>
        <w:spacing w:line="259" w:lineRule="auto"/>
        <w:jc w:val="left"/>
        <w:rPr>
          <w:rFonts w:cs="Arial"/>
          <w:b/>
          <w:bCs/>
        </w:rPr>
      </w:pPr>
      <w:r>
        <w:rPr>
          <w:rFonts w:cs="Arial"/>
          <w:b/>
          <w:bCs/>
        </w:rPr>
        <w:br w:type="page"/>
      </w:r>
    </w:p>
    <w:p w14:paraId="6594C86B" w14:textId="0CB96B10" w:rsidR="006244A0" w:rsidRDefault="006244A0">
      <w:pPr>
        <w:spacing w:line="259" w:lineRule="auto"/>
        <w:jc w:val="left"/>
        <w:rPr>
          <w:rFonts w:cs="Arial"/>
          <w:b/>
          <w:bCs/>
        </w:rPr>
      </w:pPr>
      <w:r>
        <w:rPr>
          <w:rFonts w:cs="Arial"/>
          <w:b/>
          <w:bCs/>
        </w:rPr>
        <w:lastRenderedPageBreak/>
        <w:t>List of Figures</w:t>
      </w:r>
    </w:p>
    <w:p w14:paraId="03BB2CF5" w14:textId="5747BB68" w:rsidR="006244A0" w:rsidRDefault="006244A0">
      <w:pPr>
        <w:pStyle w:val="TableofFigures"/>
        <w:tabs>
          <w:tab w:val="right" w:leader="dot" w:pos="9016"/>
        </w:tabs>
        <w:rPr>
          <w:rFonts w:asciiTheme="minorHAnsi" w:eastAsiaTheme="minorEastAsia" w:hAnsiTheme="minorHAnsi"/>
          <w:noProof/>
          <w:szCs w:val="24"/>
          <w:lang w:eastAsia="en-IN"/>
        </w:rPr>
      </w:pPr>
      <w:r>
        <w:rPr>
          <w:rFonts w:cs="Arial"/>
        </w:rPr>
        <w:fldChar w:fldCharType="begin"/>
      </w:r>
      <w:r>
        <w:rPr>
          <w:rFonts w:cs="Arial"/>
        </w:rPr>
        <w:instrText xml:space="preserve"> TOC \h \z \c "Figure" </w:instrText>
      </w:r>
      <w:r>
        <w:rPr>
          <w:rFonts w:cs="Arial"/>
        </w:rPr>
        <w:fldChar w:fldCharType="separate"/>
      </w:r>
      <w:hyperlink w:anchor="_Toc222756047" w:history="1">
        <w:r w:rsidRPr="003E13F9">
          <w:rPr>
            <w:rStyle w:val="Hyperlink"/>
            <w:noProof/>
          </w:rPr>
          <w:t>Figure 1 Tesla vs BYD</w:t>
        </w:r>
        <w:r>
          <w:rPr>
            <w:noProof/>
            <w:webHidden/>
          </w:rPr>
          <w:tab/>
        </w:r>
        <w:r>
          <w:rPr>
            <w:noProof/>
            <w:webHidden/>
          </w:rPr>
          <w:fldChar w:fldCharType="begin"/>
        </w:r>
        <w:r>
          <w:rPr>
            <w:noProof/>
            <w:webHidden/>
          </w:rPr>
          <w:instrText xml:space="preserve"> PAGEREF _Toc222756047 \h </w:instrText>
        </w:r>
        <w:r>
          <w:rPr>
            <w:noProof/>
            <w:webHidden/>
          </w:rPr>
        </w:r>
        <w:r>
          <w:rPr>
            <w:noProof/>
            <w:webHidden/>
          </w:rPr>
          <w:fldChar w:fldCharType="separate"/>
        </w:r>
        <w:r>
          <w:rPr>
            <w:noProof/>
            <w:webHidden/>
          </w:rPr>
          <w:t>5</w:t>
        </w:r>
        <w:r>
          <w:rPr>
            <w:noProof/>
            <w:webHidden/>
          </w:rPr>
          <w:fldChar w:fldCharType="end"/>
        </w:r>
      </w:hyperlink>
    </w:p>
    <w:p w14:paraId="3EB85DCA" w14:textId="2D59B6B0" w:rsidR="006244A0" w:rsidRDefault="006244A0">
      <w:pPr>
        <w:pStyle w:val="TableofFigures"/>
        <w:tabs>
          <w:tab w:val="right" w:leader="dot" w:pos="9016"/>
        </w:tabs>
        <w:rPr>
          <w:rFonts w:asciiTheme="minorHAnsi" w:eastAsiaTheme="minorEastAsia" w:hAnsiTheme="minorHAnsi"/>
          <w:noProof/>
          <w:szCs w:val="24"/>
          <w:lang w:eastAsia="en-IN"/>
        </w:rPr>
      </w:pPr>
      <w:hyperlink w:anchor="_Toc222756048" w:history="1">
        <w:r w:rsidRPr="003E13F9">
          <w:rPr>
            <w:rStyle w:val="Hyperlink"/>
            <w:noProof/>
          </w:rPr>
          <w:t>Figure 2 Global EV Sales Comparison – BYD vs Tesla</w:t>
        </w:r>
        <w:r>
          <w:rPr>
            <w:noProof/>
            <w:webHidden/>
          </w:rPr>
          <w:tab/>
        </w:r>
        <w:r>
          <w:rPr>
            <w:noProof/>
            <w:webHidden/>
          </w:rPr>
          <w:fldChar w:fldCharType="begin"/>
        </w:r>
        <w:r>
          <w:rPr>
            <w:noProof/>
            <w:webHidden/>
          </w:rPr>
          <w:instrText xml:space="preserve"> PAGEREF _Toc222756048 \h </w:instrText>
        </w:r>
        <w:r>
          <w:rPr>
            <w:noProof/>
            <w:webHidden/>
          </w:rPr>
        </w:r>
        <w:r>
          <w:rPr>
            <w:noProof/>
            <w:webHidden/>
          </w:rPr>
          <w:fldChar w:fldCharType="separate"/>
        </w:r>
        <w:r>
          <w:rPr>
            <w:noProof/>
            <w:webHidden/>
          </w:rPr>
          <w:t>7</w:t>
        </w:r>
        <w:r>
          <w:rPr>
            <w:noProof/>
            <w:webHidden/>
          </w:rPr>
          <w:fldChar w:fldCharType="end"/>
        </w:r>
      </w:hyperlink>
    </w:p>
    <w:p w14:paraId="57E654DC" w14:textId="65C23E4D" w:rsidR="006244A0" w:rsidRPr="006244A0" w:rsidRDefault="006244A0">
      <w:pPr>
        <w:spacing w:line="259" w:lineRule="auto"/>
        <w:jc w:val="left"/>
        <w:rPr>
          <w:rFonts w:cs="Arial"/>
        </w:rPr>
      </w:pPr>
      <w:r>
        <w:rPr>
          <w:rFonts w:cs="Arial"/>
        </w:rPr>
        <w:fldChar w:fldCharType="end"/>
      </w:r>
    </w:p>
    <w:p w14:paraId="61E18D54" w14:textId="043E5022" w:rsidR="006924FA" w:rsidRDefault="006924FA">
      <w:pPr>
        <w:spacing w:line="259" w:lineRule="auto"/>
        <w:jc w:val="left"/>
        <w:rPr>
          <w:rFonts w:cs="Arial"/>
          <w:b/>
          <w:bCs/>
        </w:rPr>
      </w:pPr>
      <w:r>
        <w:rPr>
          <w:rFonts w:cs="Arial"/>
          <w:b/>
          <w:bCs/>
        </w:rPr>
        <w:t>List of Tables</w:t>
      </w:r>
    </w:p>
    <w:p w14:paraId="0B22B5D5" w14:textId="3DFB6DDD" w:rsidR="006924FA" w:rsidRDefault="006924FA">
      <w:pPr>
        <w:pStyle w:val="TableofFigures"/>
        <w:tabs>
          <w:tab w:val="right" w:leader="dot" w:pos="9016"/>
        </w:tabs>
        <w:rPr>
          <w:noProof/>
        </w:rPr>
      </w:pPr>
      <w:r>
        <w:rPr>
          <w:rFonts w:cs="Arial"/>
          <w:b/>
          <w:bCs/>
        </w:rPr>
        <w:fldChar w:fldCharType="begin"/>
      </w:r>
      <w:r>
        <w:rPr>
          <w:rFonts w:cs="Arial"/>
          <w:b/>
          <w:bCs/>
        </w:rPr>
        <w:instrText xml:space="preserve"> TOC \h \z \c "Table" </w:instrText>
      </w:r>
      <w:r>
        <w:rPr>
          <w:rFonts w:cs="Arial"/>
          <w:b/>
          <w:bCs/>
        </w:rPr>
        <w:fldChar w:fldCharType="separate"/>
      </w:r>
      <w:hyperlink w:anchor="_Toc222754750" w:history="1">
        <w:r w:rsidRPr="00477417">
          <w:rPr>
            <w:rStyle w:val="Hyperlink"/>
            <w:noProof/>
          </w:rPr>
          <w:t>Table 1 Political–Regulatory Impact on Competitive Position</w:t>
        </w:r>
        <w:r>
          <w:rPr>
            <w:noProof/>
            <w:webHidden/>
          </w:rPr>
          <w:tab/>
        </w:r>
        <w:r>
          <w:rPr>
            <w:noProof/>
            <w:webHidden/>
          </w:rPr>
          <w:fldChar w:fldCharType="begin"/>
        </w:r>
        <w:r>
          <w:rPr>
            <w:noProof/>
            <w:webHidden/>
          </w:rPr>
          <w:instrText xml:space="preserve"> PAGEREF _Toc222754750 \h </w:instrText>
        </w:r>
        <w:r>
          <w:rPr>
            <w:noProof/>
            <w:webHidden/>
          </w:rPr>
        </w:r>
        <w:r>
          <w:rPr>
            <w:noProof/>
            <w:webHidden/>
          </w:rPr>
          <w:fldChar w:fldCharType="separate"/>
        </w:r>
        <w:r>
          <w:rPr>
            <w:noProof/>
            <w:webHidden/>
          </w:rPr>
          <w:t>6</w:t>
        </w:r>
        <w:r>
          <w:rPr>
            <w:noProof/>
            <w:webHidden/>
          </w:rPr>
          <w:fldChar w:fldCharType="end"/>
        </w:r>
      </w:hyperlink>
    </w:p>
    <w:p w14:paraId="4DA665A0" w14:textId="6B7EBE66" w:rsidR="006924FA" w:rsidRDefault="006924FA">
      <w:pPr>
        <w:pStyle w:val="TableofFigures"/>
        <w:tabs>
          <w:tab w:val="right" w:leader="dot" w:pos="9016"/>
        </w:tabs>
        <w:rPr>
          <w:noProof/>
        </w:rPr>
      </w:pPr>
      <w:hyperlink w:anchor="_Toc222754751" w:history="1">
        <w:r w:rsidRPr="00477417">
          <w:rPr>
            <w:rStyle w:val="Hyperlink"/>
            <w:noProof/>
          </w:rPr>
          <w:t>Table 2 Economic Environment Impact on Tesla vs BYD</w:t>
        </w:r>
        <w:r>
          <w:rPr>
            <w:noProof/>
            <w:webHidden/>
          </w:rPr>
          <w:tab/>
        </w:r>
        <w:r>
          <w:rPr>
            <w:noProof/>
            <w:webHidden/>
          </w:rPr>
          <w:fldChar w:fldCharType="begin"/>
        </w:r>
        <w:r>
          <w:rPr>
            <w:noProof/>
            <w:webHidden/>
          </w:rPr>
          <w:instrText xml:space="preserve"> PAGEREF _Toc222754751 \h </w:instrText>
        </w:r>
        <w:r>
          <w:rPr>
            <w:noProof/>
            <w:webHidden/>
          </w:rPr>
        </w:r>
        <w:r>
          <w:rPr>
            <w:noProof/>
            <w:webHidden/>
          </w:rPr>
          <w:fldChar w:fldCharType="separate"/>
        </w:r>
        <w:r>
          <w:rPr>
            <w:noProof/>
            <w:webHidden/>
          </w:rPr>
          <w:t>8</w:t>
        </w:r>
        <w:r>
          <w:rPr>
            <w:noProof/>
            <w:webHidden/>
          </w:rPr>
          <w:fldChar w:fldCharType="end"/>
        </w:r>
      </w:hyperlink>
    </w:p>
    <w:p w14:paraId="03957C47" w14:textId="5CDDA3B2" w:rsidR="006924FA" w:rsidRDefault="006924FA">
      <w:pPr>
        <w:pStyle w:val="TableofFigures"/>
        <w:tabs>
          <w:tab w:val="right" w:leader="dot" w:pos="9016"/>
        </w:tabs>
        <w:rPr>
          <w:noProof/>
        </w:rPr>
      </w:pPr>
      <w:hyperlink w:anchor="_Toc222754752" w:history="1">
        <w:r w:rsidRPr="00477417">
          <w:rPr>
            <w:rStyle w:val="Hyperlink"/>
            <w:noProof/>
          </w:rPr>
          <w:t>Table 3 Porter’s Generic Strategy Positioning</w:t>
        </w:r>
        <w:r>
          <w:rPr>
            <w:noProof/>
            <w:webHidden/>
          </w:rPr>
          <w:tab/>
        </w:r>
        <w:r>
          <w:rPr>
            <w:noProof/>
            <w:webHidden/>
          </w:rPr>
          <w:fldChar w:fldCharType="begin"/>
        </w:r>
        <w:r>
          <w:rPr>
            <w:noProof/>
            <w:webHidden/>
          </w:rPr>
          <w:instrText xml:space="preserve"> PAGEREF _Toc222754752 \h </w:instrText>
        </w:r>
        <w:r>
          <w:rPr>
            <w:noProof/>
            <w:webHidden/>
          </w:rPr>
        </w:r>
        <w:r>
          <w:rPr>
            <w:noProof/>
            <w:webHidden/>
          </w:rPr>
          <w:fldChar w:fldCharType="separate"/>
        </w:r>
        <w:r>
          <w:rPr>
            <w:noProof/>
            <w:webHidden/>
          </w:rPr>
          <w:t>9</w:t>
        </w:r>
        <w:r>
          <w:rPr>
            <w:noProof/>
            <w:webHidden/>
          </w:rPr>
          <w:fldChar w:fldCharType="end"/>
        </w:r>
      </w:hyperlink>
    </w:p>
    <w:p w14:paraId="18CD5868" w14:textId="7FA1C52F" w:rsidR="006924FA" w:rsidRDefault="006924FA">
      <w:pPr>
        <w:pStyle w:val="TableofFigures"/>
        <w:tabs>
          <w:tab w:val="right" w:leader="dot" w:pos="9016"/>
        </w:tabs>
        <w:rPr>
          <w:noProof/>
        </w:rPr>
      </w:pPr>
      <w:hyperlink w:anchor="_Toc222754753" w:history="1">
        <w:r w:rsidRPr="00477417">
          <w:rPr>
            <w:rStyle w:val="Hyperlink"/>
            <w:noProof/>
          </w:rPr>
          <w:t>Table 4 Ansoff Growth Strategies in UK Context</w:t>
        </w:r>
        <w:r>
          <w:rPr>
            <w:noProof/>
            <w:webHidden/>
          </w:rPr>
          <w:tab/>
        </w:r>
        <w:r>
          <w:rPr>
            <w:noProof/>
            <w:webHidden/>
          </w:rPr>
          <w:fldChar w:fldCharType="begin"/>
        </w:r>
        <w:r>
          <w:rPr>
            <w:noProof/>
            <w:webHidden/>
          </w:rPr>
          <w:instrText xml:space="preserve"> PAGEREF _Toc222754753 \h </w:instrText>
        </w:r>
        <w:r>
          <w:rPr>
            <w:noProof/>
            <w:webHidden/>
          </w:rPr>
        </w:r>
        <w:r>
          <w:rPr>
            <w:noProof/>
            <w:webHidden/>
          </w:rPr>
          <w:fldChar w:fldCharType="separate"/>
        </w:r>
        <w:r>
          <w:rPr>
            <w:noProof/>
            <w:webHidden/>
          </w:rPr>
          <w:t>11</w:t>
        </w:r>
        <w:r>
          <w:rPr>
            <w:noProof/>
            <w:webHidden/>
          </w:rPr>
          <w:fldChar w:fldCharType="end"/>
        </w:r>
      </w:hyperlink>
    </w:p>
    <w:p w14:paraId="6ECB7FA5" w14:textId="18C5527E" w:rsidR="0092167B" w:rsidRPr="00070A0A" w:rsidRDefault="006924FA">
      <w:pPr>
        <w:spacing w:line="259" w:lineRule="auto"/>
        <w:jc w:val="left"/>
        <w:rPr>
          <w:rFonts w:cs="Arial"/>
          <w:b/>
          <w:bCs/>
        </w:rPr>
      </w:pPr>
      <w:r>
        <w:rPr>
          <w:rFonts w:cs="Arial"/>
          <w:b/>
          <w:bCs/>
        </w:rPr>
        <w:fldChar w:fldCharType="end"/>
      </w:r>
      <w:r w:rsidR="0092167B" w:rsidRPr="00070A0A">
        <w:rPr>
          <w:rFonts w:cs="Arial"/>
          <w:b/>
          <w:bCs/>
        </w:rPr>
        <w:br w:type="page"/>
      </w:r>
    </w:p>
    <w:p w14:paraId="6CF1C0CA" w14:textId="0463B037" w:rsidR="0092167B" w:rsidRDefault="00E847EC" w:rsidP="0092167B">
      <w:pPr>
        <w:pStyle w:val="Heading1"/>
        <w:rPr>
          <w:rFonts w:cs="Arial"/>
        </w:rPr>
      </w:pPr>
      <w:bookmarkStart w:id="0" w:name="_Toc222756058"/>
      <w:r>
        <w:rPr>
          <w:rFonts w:cs="Arial"/>
        </w:rPr>
        <w:lastRenderedPageBreak/>
        <w:t xml:space="preserve">1. </w:t>
      </w:r>
      <w:r w:rsidR="0092167B" w:rsidRPr="00070A0A">
        <w:rPr>
          <w:rFonts w:cs="Arial"/>
        </w:rPr>
        <w:t>Introduction</w:t>
      </w:r>
      <w:bookmarkEnd w:id="0"/>
      <w:r w:rsidR="0092167B" w:rsidRPr="00070A0A">
        <w:rPr>
          <w:rFonts w:cs="Arial"/>
        </w:rPr>
        <w:t xml:space="preserve"> </w:t>
      </w:r>
    </w:p>
    <w:p w14:paraId="60C26119" w14:textId="577A1A2F" w:rsidR="001F77CB" w:rsidRDefault="00A32926" w:rsidP="00A32926">
      <w:r>
        <w:t>Strategic marketing management demands organisations to constantly observe and react to the change in the macro-environment. High-technology products like electric vehicles (EVs), due to rapid innovation and capital-intensive nature are highly susceptible to regulatory and economic forces that would substantially alter competitive advantage and sustainability in the long term. The case of the UK EV market demonstrates how the industry is being impacted by an incoming policy and the uncertainty of the economy. Electrification has been expedited by the Net Zero 2050 promise given by the government and a stage-by-stage back off of new petrol and diesel motor vehicles by 20302035 (Department for Transport, 2024). Even though EV market share records are at their highest point, the demand is still vulnerable to the general economic trends (SMMT, 2025). In this context, Tesla is the first company that possesses early technological and brand superiority, and BYD is a low-cost company-follower which has vertically integrated battery production (BYD, 2024)</w:t>
      </w:r>
      <w:r w:rsidR="00E847EC">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751747" w14:paraId="0B5DA959" w14:textId="77777777" w:rsidTr="00751747">
        <w:tc>
          <w:tcPr>
            <w:tcW w:w="9016" w:type="dxa"/>
          </w:tcPr>
          <w:p w14:paraId="27D40201" w14:textId="6FA645AA" w:rsidR="00751747" w:rsidRDefault="00751747" w:rsidP="001F77CB">
            <w:r>
              <w:rPr>
                <w:noProof/>
              </w:rPr>
              <w:drawing>
                <wp:inline distT="0" distB="0" distL="0" distR="0" wp14:anchorId="58CB821E" wp14:editId="582D7F39">
                  <wp:extent cx="5543550" cy="2342870"/>
                  <wp:effectExtent l="0" t="0" r="0" b="635"/>
                  <wp:docPr id="370490805" name="Picture 4" descr="Tesla Supercharger network: where can I charge in the UK? | Top G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Tesla Supercharger network: where can I charge in the UK? | Top Gea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38373" cy="2382945"/>
                          </a:xfrm>
                          <a:prstGeom prst="rect">
                            <a:avLst/>
                          </a:prstGeom>
                          <a:noFill/>
                          <a:ln>
                            <a:noFill/>
                          </a:ln>
                        </pic:spPr>
                      </pic:pic>
                    </a:graphicData>
                  </a:graphic>
                </wp:inline>
              </w:drawing>
            </w:r>
          </w:p>
        </w:tc>
      </w:tr>
      <w:tr w:rsidR="00751747" w14:paraId="01E217FA" w14:textId="77777777" w:rsidTr="00751747">
        <w:tc>
          <w:tcPr>
            <w:tcW w:w="9016" w:type="dxa"/>
          </w:tcPr>
          <w:p w14:paraId="023D39E1" w14:textId="73CB6928" w:rsidR="00751747" w:rsidRDefault="00751747" w:rsidP="00751747">
            <w:pPr>
              <w:keepNext/>
              <w:rPr>
                <w:noProof/>
              </w:rPr>
            </w:pPr>
            <w:r>
              <w:rPr>
                <w:noProof/>
              </w:rPr>
              <w:lastRenderedPageBreak/>
              <w:drawing>
                <wp:inline distT="0" distB="0" distL="0" distR="0" wp14:anchorId="5D8E11D3" wp14:editId="3ACFFD19">
                  <wp:extent cx="5562600" cy="2162175"/>
                  <wp:effectExtent l="0" t="0" r="0" b="9525"/>
                  <wp:docPr id="697154892" name="Picture 5" descr="BYD Opens New Branch in Bristol and Warwick, UK, Marking a Milestone in  Electric Vehicle Expa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BYD Opens New Branch in Bristol and Warwick, UK, Marking a Milestone in  Electric Vehicle Expans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7293" cy="2183434"/>
                          </a:xfrm>
                          <a:prstGeom prst="rect">
                            <a:avLst/>
                          </a:prstGeom>
                          <a:noFill/>
                          <a:ln>
                            <a:noFill/>
                          </a:ln>
                        </pic:spPr>
                      </pic:pic>
                    </a:graphicData>
                  </a:graphic>
                </wp:inline>
              </w:drawing>
            </w:r>
          </w:p>
        </w:tc>
      </w:tr>
    </w:tbl>
    <w:p w14:paraId="503157C3" w14:textId="6C45C65F" w:rsidR="00751747" w:rsidRPr="00751747" w:rsidRDefault="00751747" w:rsidP="00751747">
      <w:pPr>
        <w:pStyle w:val="Caption"/>
        <w:jc w:val="center"/>
        <w:rPr>
          <w:sz w:val="20"/>
          <w:szCs w:val="20"/>
        </w:rPr>
      </w:pPr>
      <w:bookmarkStart w:id="1" w:name="_Toc222756047"/>
      <w:r w:rsidRPr="00751747">
        <w:rPr>
          <w:sz w:val="20"/>
          <w:szCs w:val="20"/>
        </w:rPr>
        <w:t xml:space="preserve">Figure </w:t>
      </w:r>
      <w:r w:rsidRPr="00751747">
        <w:rPr>
          <w:sz w:val="20"/>
          <w:szCs w:val="20"/>
        </w:rPr>
        <w:fldChar w:fldCharType="begin"/>
      </w:r>
      <w:r w:rsidRPr="00751747">
        <w:rPr>
          <w:sz w:val="20"/>
          <w:szCs w:val="20"/>
        </w:rPr>
        <w:instrText xml:space="preserve"> SEQ Figure \* ARABIC </w:instrText>
      </w:r>
      <w:r w:rsidRPr="00751747">
        <w:rPr>
          <w:sz w:val="20"/>
          <w:szCs w:val="20"/>
        </w:rPr>
        <w:fldChar w:fldCharType="separate"/>
      </w:r>
      <w:r w:rsidRPr="00751747">
        <w:rPr>
          <w:noProof/>
          <w:sz w:val="20"/>
          <w:szCs w:val="20"/>
        </w:rPr>
        <w:t>1</w:t>
      </w:r>
      <w:r w:rsidRPr="00751747">
        <w:rPr>
          <w:sz w:val="20"/>
          <w:szCs w:val="20"/>
        </w:rPr>
        <w:fldChar w:fldCharType="end"/>
      </w:r>
      <w:r w:rsidRPr="00751747">
        <w:rPr>
          <w:sz w:val="20"/>
          <w:szCs w:val="20"/>
        </w:rPr>
        <w:t xml:space="preserve"> Tesla vs BYD</w:t>
      </w:r>
      <w:bookmarkEnd w:id="1"/>
    </w:p>
    <w:p w14:paraId="2B7BB23B" w14:textId="7B811CDD" w:rsidR="00751747" w:rsidRPr="001F77CB" w:rsidRDefault="00751747" w:rsidP="001F77CB">
      <w:r>
        <w:t xml:space="preserve">Source: </w:t>
      </w:r>
      <w:r w:rsidRPr="00751747">
        <w:t>(Gear, 2023; StreetInsider.com, 2021)</w:t>
      </w:r>
    </w:p>
    <w:p w14:paraId="1C13D373" w14:textId="50BC1F90" w:rsidR="001F77CB" w:rsidRPr="001F77CB" w:rsidRDefault="001F77CB" w:rsidP="00E847EC">
      <w:pPr>
        <w:pStyle w:val="Heading1"/>
      </w:pPr>
      <w:bookmarkStart w:id="2" w:name="_Toc222756059"/>
      <w:r w:rsidRPr="001F77CB">
        <w:t>2. Conceptual Foundation: Macro Environment &amp; Pioneer–Follower Theory</w:t>
      </w:r>
      <w:bookmarkEnd w:id="2"/>
      <w:r w:rsidRPr="001F77CB">
        <w:t xml:space="preserve"> </w:t>
      </w:r>
    </w:p>
    <w:p w14:paraId="65737F37" w14:textId="41513579" w:rsidR="00F1489F" w:rsidRDefault="00F1489F" w:rsidP="00F1489F">
      <w:r>
        <w:t>Macro-environment is defined as forces which are of the external nature and influence the organisational performance but are not in the control of the managers. To facilitate systematic scanning of the environment, these forces are classified under Political, Economic, Social, Technological, Legal and Environment PESTLE framework promotes environmental scanning. In industries with high technology like electric vehicles, Political and Economic factors particularly affect it because of the regulatory requirements and the intensity of the capital (Sun et al., 2024).</w:t>
      </w:r>
    </w:p>
    <w:p w14:paraId="4201ACD4" w14:textId="63154050" w:rsidR="00F1489F" w:rsidRDefault="00F1489F" w:rsidP="00F1489F">
      <w:r>
        <w:t>The theory of First-Mover Advantage suggests that first-to-market companies assume technological innovation, brand reputation and switching costs (Halberstadt et al., 2022). Nevertheless, these benefits do not exist in the long-term because follower firms can use the technological learning and reduced entry costs to reduce gaps in competition (Halberstadt et al., 2022).</w:t>
      </w:r>
    </w:p>
    <w:p w14:paraId="5AA9819E" w14:textId="7F8D196C" w:rsidR="001F77CB" w:rsidRPr="001F77CB" w:rsidRDefault="00F1489F" w:rsidP="00F1489F">
      <w:r>
        <w:t>The adoption studies by consumers have shown that the sensitivity to price, necessarily as status perception and the availability of infrastructure has a great impact on buying EVs (</w:t>
      </w:r>
      <w:proofErr w:type="spellStart"/>
      <w:r>
        <w:t>Bryła</w:t>
      </w:r>
      <w:proofErr w:type="spellEnd"/>
      <w:r>
        <w:t xml:space="preserve"> et al., 2022; Buhmann and Criado, 2023). Dynamic Capabilities theory also indicates that strategic resilience relies on the potential of the firms to reorganize resources as a reaction to macro shocks (Huang and Qian, 2021)</w:t>
      </w:r>
      <w:r w:rsidR="00E847EC">
        <w:t>.</w:t>
      </w:r>
    </w:p>
    <w:p w14:paraId="7525B06D" w14:textId="6E4C9837" w:rsidR="001F77CB" w:rsidRPr="001F77CB" w:rsidRDefault="001F77CB" w:rsidP="00E847EC">
      <w:pPr>
        <w:pStyle w:val="Heading1"/>
      </w:pPr>
      <w:bookmarkStart w:id="3" w:name="_Toc222756060"/>
      <w:r w:rsidRPr="001F77CB">
        <w:lastRenderedPageBreak/>
        <w:t>TASK 1</w:t>
      </w:r>
      <w:bookmarkEnd w:id="3"/>
    </w:p>
    <w:p w14:paraId="41EE3158" w14:textId="1E57C635" w:rsidR="001F77CB" w:rsidRPr="001F77CB" w:rsidRDefault="001F77CB" w:rsidP="00E847EC">
      <w:pPr>
        <w:pStyle w:val="Heading1"/>
      </w:pPr>
      <w:bookmarkStart w:id="4" w:name="_Toc222756061"/>
      <w:r w:rsidRPr="001F77CB">
        <w:t>3. UK EV Industry Overview &amp; Competitive Context</w:t>
      </w:r>
      <w:bookmarkEnd w:id="4"/>
    </w:p>
    <w:p w14:paraId="5392589C" w14:textId="5FECDC47" w:rsidR="00C64A24" w:rsidRDefault="00C64A24" w:rsidP="00C64A24">
      <w:r>
        <w:t>There has been a hasty rise in the UK EV market due to the action of the regulation and the environmental policy. The government requirements of the market to switch to internal combustion engine transition have spurred demand and shaped industry trends in terms of investment (Department for Transport, 2024). Nonetheless, the diffusion of EVs is still vulnerable to the system of charging and consumer trust. The experimental modelling evidences that when the infrastructure growth is high, the adoption rates grow significantly (Zheng et al., 2025).</w:t>
      </w:r>
    </w:p>
    <w:p w14:paraId="27602D4D" w14:textId="4201F3A5" w:rsidR="00C64A24" w:rsidRDefault="00C64A24" w:rsidP="00C64A24">
      <w:r>
        <w:t>The market projections show that the industry will continue to expand in Europe, which will make EVs one of the primary growth parts of the automotive market (</w:t>
      </w:r>
      <w:proofErr w:type="spellStart"/>
      <w:r>
        <w:t>Tschiesner</w:t>
      </w:r>
      <w:proofErr w:type="spellEnd"/>
      <w:r>
        <w:t xml:space="preserve"> et al., 2024). According to </w:t>
      </w:r>
      <w:proofErr w:type="spellStart"/>
      <w:r>
        <w:t>BloombergNEF</w:t>
      </w:r>
      <w:proofErr w:type="spellEnd"/>
      <w:r>
        <w:t xml:space="preserve"> (2025) the experience of long-term electrification in the face of temporary economic fluctuations continues to benefit sustained growth in EVs globally economically.</w:t>
      </w:r>
    </w:p>
    <w:p w14:paraId="0C7CB705" w14:textId="6CDEFFA3" w:rsidR="00C64A24" w:rsidRDefault="00C64A24" w:rsidP="00C64A24">
      <w:r>
        <w:t>In the UK, Tesla has established itself as a high-quality, technologies-oriented brand, capitalizing on its own proprietary software, battery advanced technology, and Supercharger network (Tesla, 2024). In the UK, BYD is a newcomer, and the company focuses more on price and self-contained battery manufacturing to lower the production expenses (BYD UK, 2024).</w:t>
      </w:r>
    </w:p>
    <w:p w14:paraId="7689332F" w14:textId="7FB5648A" w:rsidR="001F77CB" w:rsidRDefault="00C64A24" w:rsidP="001F77CB">
      <w:r w:rsidRPr="00C64A24">
        <w:t>The intensity of competition is also growing with the old producers and the newcomers playing the price of the product and rivalry based on technology and brand popularity. The regulatory dependency is also high, and switching costs are being affected by charging compatibility and integration into an ecosystem. The volatility in the industry thus poses strategic tension between the differentiation of the premium and the market expansion through lowering the cost</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490"/>
      </w:tblGrid>
      <w:tr w:rsidR="00307A2E" w14:paraId="711BFA48" w14:textId="77777777" w:rsidTr="00CA7F13">
        <w:tc>
          <w:tcPr>
            <w:tcW w:w="4508" w:type="dxa"/>
          </w:tcPr>
          <w:p w14:paraId="508FE4C9" w14:textId="5D4E4672" w:rsidR="00307A2E" w:rsidRDefault="00307A2E" w:rsidP="001F77CB">
            <w:r>
              <w:rPr>
                <w:noProof/>
              </w:rPr>
              <w:lastRenderedPageBreak/>
              <w:drawing>
                <wp:inline distT="0" distB="0" distL="0" distR="0" wp14:anchorId="28AAC355" wp14:editId="6CF6B160">
                  <wp:extent cx="2743200" cy="2857500"/>
                  <wp:effectExtent l="0" t="0" r="0" b="0"/>
                  <wp:docPr id="900348398" name="Picture 3" descr="BYD vs Tesla 2025 – Why BYD May Crush Tesla in Global 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BYD vs Tesla 2025 – Why BYD May Crush Tesla in Global EV"/>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200" cy="2857500"/>
                          </a:xfrm>
                          <a:prstGeom prst="rect">
                            <a:avLst/>
                          </a:prstGeom>
                          <a:noFill/>
                          <a:ln>
                            <a:noFill/>
                          </a:ln>
                        </pic:spPr>
                      </pic:pic>
                    </a:graphicData>
                  </a:graphic>
                </wp:inline>
              </w:drawing>
            </w:r>
          </w:p>
        </w:tc>
        <w:tc>
          <w:tcPr>
            <w:tcW w:w="4508" w:type="dxa"/>
          </w:tcPr>
          <w:p w14:paraId="3B48C0DF" w14:textId="17266BE6" w:rsidR="00307A2E" w:rsidRDefault="00307A2E" w:rsidP="00EF2C01">
            <w:pPr>
              <w:keepNext/>
            </w:pPr>
            <w:r>
              <w:rPr>
                <w:noProof/>
              </w:rPr>
              <w:drawing>
                <wp:inline distT="0" distB="0" distL="0" distR="0" wp14:anchorId="7482391E" wp14:editId="2BD38734">
                  <wp:extent cx="2712085" cy="2838450"/>
                  <wp:effectExtent l="0" t="0" r="0" b="0"/>
                  <wp:docPr id="652099127" name="Picture 2" descr="Chart: BYD Surpasses Tesla to Become EV Market Leader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hart: BYD Surpasses Tesla to Become EV Market Leader | Statist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2085" cy="2838450"/>
                          </a:xfrm>
                          <a:prstGeom prst="rect">
                            <a:avLst/>
                          </a:prstGeom>
                          <a:noFill/>
                          <a:ln>
                            <a:noFill/>
                          </a:ln>
                        </pic:spPr>
                      </pic:pic>
                    </a:graphicData>
                  </a:graphic>
                </wp:inline>
              </w:drawing>
            </w:r>
          </w:p>
        </w:tc>
      </w:tr>
    </w:tbl>
    <w:p w14:paraId="16E07970" w14:textId="45286C4F" w:rsidR="00307A2E" w:rsidRDefault="00EF2C01" w:rsidP="00EF2C01">
      <w:pPr>
        <w:pStyle w:val="Caption"/>
        <w:jc w:val="center"/>
        <w:rPr>
          <w:sz w:val="20"/>
          <w:szCs w:val="20"/>
        </w:rPr>
      </w:pPr>
      <w:bookmarkStart w:id="5" w:name="_Toc222756048"/>
      <w:r w:rsidRPr="00EF2C01">
        <w:rPr>
          <w:sz w:val="20"/>
          <w:szCs w:val="20"/>
        </w:rPr>
        <w:t xml:space="preserve">Figure </w:t>
      </w:r>
      <w:r w:rsidRPr="00EF2C01">
        <w:rPr>
          <w:sz w:val="20"/>
          <w:szCs w:val="20"/>
        </w:rPr>
        <w:fldChar w:fldCharType="begin"/>
      </w:r>
      <w:r w:rsidRPr="00EF2C01">
        <w:rPr>
          <w:sz w:val="20"/>
          <w:szCs w:val="20"/>
        </w:rPr>
        <w:instrText xml:space="preserve"> SEQ Figure \* ARABIC </w:instrText>
      </w:r>
      <w:r w:rsidRPr="00EF2C01">
        <w:rPr>
          <w:sz w:val="20"/>
          <w:szCs w:val="20"/>
        </w:rPr>
        <w:fldChar w:fldCharType="separate"/>
      </w:r>
      <w:r w:rsidR="00751747">
        <w:rPr>
          <w:noProof/>
          <w:sz w:val="20"/>
          <w:szCs w:val="20"/>
        </w:rPr>
        <w:t>2</w:t>
      </w:r>
      <w:r w:rsidRPr="00EF2C01">
        <w:rPr>
          <w:sz w:val="20"/>
          <w:szCs w:val="20"/>
        </w:rPr>
        <w:fldChar w:fldCharType="end"/>
      </w:r>
      <w:r w:rsidRPr="00EF2C01">
        <w:rPr>
          <w:sz w:val="20"/>
          <w:szCs w:val="20"/>
        </w:rPr>
        <w:t xml:space="preserve"> Global EV Sales Comparison – BYD vs Tesla</w:t>
      </w:r>
      <w:bookmarkEnd w:id="5"/>
    </w:p>
    <w:p w14:paraId="7EFB2689" w14:textId="55227F8C" w:rsidR="00336FAB" w:rsidRPr="001F77CB" w:rsidRDefault="00336FAB" w:rsidP="00336FAB">
      <w:pPr>
        <w:jc w:val="center"/>
      </w:pPr>
      <w:r>
        <w:t>Source: (Statista, 2025)</w:t>
      </w:r>
    </w:p>
    <w:p w14:paraId="087D84CB" w14:textId="77777777" w:rsidR="001F77CB" w:rsidRPr="001F77CB" w:rsidRDefault="001F77CB" w:rsidP="00767D27">
      <w:pPr>
        <w:pStyle w:val="Heading1"/>
      </w:pPr>
      <w:bookmarkStart w:id="6" w:name="_Toc222756062"/>
      <w:r w:rsidRPr="001F77CB">
        <w:t>4. Macro Factor 1: Political–Regulatory Environment (400 words)</w:t>
      </w:r>
      <w:bookmarkEnd w:id="6"/>
    </w:p>
    <w:p w14:paraId="525C16D1" w14:textId="77777777" w:rsidR="001F77CB" w:rsidRPr="001F77CB" w:rsidRDefault="001F77CB" w:rsidP="00767D27">
      <w:pPr>
        <w:pStyle w:val="Heading2"/>
      </w:pPr>
      <w:bookmarkStart w:id="7" w:name="_Toc222756063"/>
      <w:r w:rsidRPr="001F77CB">
        <w:t>4.1 Impact on Tesla</w:t>
      </w:r>
      <w:bookmarkEnd w:id="7"/>
    </w:p>
    <w:p w14:paraId="24A0956B" w14:textId="082974EE" w:rsidR="00767D27" w:rsidRDefault="00767D27" w:rsidP="00767D27">
      <w:r>
        <w:t>The internal combustion engine (ICE) ban in the UK (2035) presents structural opportunity to Tesla in terms of speeding the fully electric car demand due to the policy (Department for Transport, 2024). Tesla commands the legacy of brand credibility as a pioneering company in the industry of EVs related to sustainability and innovation.</w:t>
      </w:r>
    </w:p>
    <w:p w14:paraId="380EDCE3" w14:textId="265E3BD1" w:rsidR="00767D27" w:rsidRDefault="00767D27" w:rsidP="00767D27">
      <w:r>
        <w:t>Also, policies of the charging infrastructure development strengthen the competitive edge of Tesla, since the availability of infrastructure raises adoption rates (Gifford, 2022). Tesla has its own charging system, which enables resistance to switching.</w:t>
      </w:r>
    </w:p>
    <w:p w14:paraId="0E6C580E" w14:textId="5C50E496" w:rsidR="00767D27" w:rsidRDefault="00767D27" w:rsidP="00767D27">
      <w:r>
        <w:t>Nevertheless, decreased EV garnered subsidies and heightened regulation negatively affect it. Policy changes can squeeze the expansion of the demand and exaggerate competition over the price. Moreover, other post-Brexit trade complexities might also be an impact on supply chain and regulatory compliance.</w:t>
      </w:r>
    </w:p>
    <w:p w14:paraId="618652F6" w14:textId="41B87442" w:rsidR="001F77CB" w:rsidRPr="001F77CB" w:rsidRDefault="00767D27" w:rsidP="00767D27">
      <w:r>
        <w:t>In strategic terms the premium positioning of Tesla is being strengthened by a policy that is solving more towards no-emission vehicles but, by expensive price set up, Tesla becomes susceptible to a fall in subsidies.</w:t>
      </w:r>
      <w:r w:rsidRPr="001F77CB">
        <w:t xml:space="preserve"> </w:t>
      </w:r>
    </w:p>
    <w:p w14:paraId="7929A265" w14:textId="77777777" w:rsidR="001F77CB" w:rsidRPr="001F77CB" w:rsidRDefault="001F77CB" w:rsidP="00767D27">
      <w:pPr>
        <w:pStyle w:val="Heading2"/>
      </w:pPr>
      <w:bookmarkStart w:id="8" w:name="_Toc222756064"/>
      <w:r w:rsidRPr="001F77CB">
        <w:lastRenderedPageBreak/>
        <w:t>4.2 Impact on BYD</w:t>
      </w:r>
      <w:bookmarkEnd w:id="8"/>
    </w:p>
    <w:p w14:paraId="4329D075" w14:textId="63F214F9" w:rsidR="00767D27" w:rsidRDefault="00767D27" w:rsidP="00767D27">
      <w:r>
        <w:t>Political control also opens opportunity to BYD because of the increasing EV demand. The lower price positioning means that BYD will be able to compete in case consumer incentives are reduced.</w:t>
      </w:r>
    </w:p>
    <w:p w14:paraId="448F2F0F" w14:textId="10E2B2CD" w:rsidR="00767D27" w:rsidRDefault="00767D27" w:rsidP="00767D27">
      <w:r>
        <w:t>Nevertheless, reputational and tariff risks are brought in by political sensitivity of Chinese imports. Friction in trade might establish regulatory impediments to the legitimacy of the market.</w:t>
      </w:r>
    </w:p>
    <w:p w14:paraId="4B1E6309" w14:textId="30037D17" w:rsidR="001F77CB" w:rsidRPr="001F77CB" w:rsidRDefault="00767D27" w:rsidP="00767D27">
      <w:r>
        <w:t>Facing the problem of brand trust and passing through the political examination is the strategic limitation of BYD. However, this exposure to supply chain volatility can be addressed by vertical integration (BYD, 2024).</w:t>
      </w:r>
      <w:r w:rsidRPr="001F77CB">
        <w:t xml:space="preserve"> </w:t>
      </w:r>
    </w:p>
    <w:p w14:paraId="67CA33B3" w14:textId="77777777" w:rsidR="001F77CB" w:rsidRPr="001F77CB" w:rsidRDefault="001F77CB" w:rsidP="00767D27">
      <w:pPr>
        <w:pStyle w:val="Heading2"/>
      </w:pPr>
      <w:bookmarkStart w:id="9" w:name="_Toc222756065"/>
      <w:r w:rsidRPr="001F77CB">
        <w:t>4.3 Critical Comparison</w:t>
      </w:r>
      <w:bookmarkEnd w:id="9"/>
    </w:p>
    <w:p w14:paraId="6CFD00BC" w14:textId="13F66E5D" w:rsidR="00606BD1" w:rsidRDefault="00767D27" w:rsidP="001F77CB">
      <w:r w:rsidRPr="00767D27">
        <w:t>The policy frameworks promote innovation as well as affordability. Where Tesla is advantageous due to the initial investment in infrastructure and the connection of the brand with sustainability, the cost leadership of BYD will be prosperous in the event of the reduction of subsidies. Political risk seems to be more structurally higher in the case of BYD because of the geopolitical sensitivity around it, but Tesla has a greater premium pricing model which can be exposed more to regulatory withdrawal of incentives. In that way, regulatory convergence is beneficial to the technological dominance of Tesla, yet the ability to withstand changes in policy could have an advantage on the cost model of BYD</w:t>
      </w:r>
      <w:r w:rsidR="001F77CB" w:rsidRPr="001F77CB">
        <w:t>.</w:t>
      </w:r>
    </w:p>
    <w:p w14:paraId="506801A9" w14:textId="7D2E3C69" w:rsidR="00D77F58" w:rsidRPr="00D77F58" w:rsidRDefault="00D77F58" w:rsidP="00D77F58">
      <w:pPr>
        <w:pStyle w:val="Caption"/>
        <w:keepNext/>
        <w:jc w:val="center"/>
        <w:rPr>
          <w:sz w:val="20"/>
          <w:szCs w:val="20"/>
        </w:rPr>
      </w:pPr>
      <w:bookmarkStart w:id="10" w:name="_Toc222754750"/>
      <w:r w:rsidRPr="00D77F58">
        <w:rPr>
          <w:sz w:val="20"/>
          <w:szCs w:val="20"/>
        </w:rPr>
        <w:t xml:space="preserve">Table </w:t>
      </w:r>
      <w:r w:rsidRPr="00D77F58">
        <w:rPr>
          <w:sz w:val="20"/>
          <w:szCs w:val="20"/>
        </w:rPr>
        <w:fldChar w:fldCharType="begin"/>
      </w:r>
      <w:r w:rsidRPr="00D77F58">
        <w:rPr>
          <w:sz w:val="20"/>
          <w:szCs w:val="20"/>
        </w:rPr>
        <w:instrText xml:space="preserve"> SEQ Table \* ARABIC </w:instrText>
      </w:r>
      <w:r w:rsidRPr="00D77F58">
        <w:rPr>
          <w:sz w:val="20"/>
          <w:szCs w:val="20"/>
        </w:rPr>
        <w:fldChar w:fldCharType="separate"/>
      </w:r>
      <w:r w:rsidR="008D365F">
        <w:rPr>
          <w:noProof/>
          <w:sz w:val="20"/>
          <w:szCs w:val="20"/>
        </w:rPr>
        <w:t>1</w:t>
      </w:r>
      <w:r w:rsidRPr="00D77F58">
        <w:rPr>
          <w:sz w:val="20"/>
          <w:szCs w:val="20"/>
        </w:rPr>
        <w:fldChar w:fldCharType="end"/>
      </w:r>
      <w:r w:rsidRPr="00D77F58">
        <w:rPr>
          <w:sz w:val="20"/>
          <w:szCs w:val="20"/>
        </w:rPr>
        <w:t xml:space="preserve"> Political–Regulatory Impact on Competitive Position</w:t>
      </w:r>
      <w:bookmarkEnd w:id="10"/>
    </w:p>
    <w:tbl>
      <w:tblPr>
        <w:tblStyle w:val="TableGrid"/>
        <w:tblW w:w="0" w:type="auto"/>
        <w:tblLook w:val="04A0" w:firstRow="1" w:lastRow="0" w:firstColumn="1" w:lastColumn="0" w:noHBand="0" w:noVBand="1"/>
      </w:tblPr>
      <w:tblGrid>
        <w:gridCol w:w="2003"/>
        <w:gridCol w:w="2240"/>
        <w:gridCol w:w="2354"/>
        <w:gridCol w:w="2419"/>
      </w:tblGrid>
      <w:tr w:rsidR="00D77F58" w:rsidRPr="00D77F58" w14:paraId="552F115D" w14:textId="77777777" w:rsidTr="00D77F58">
        <w:tc>
          <w:tcPr>
            <w:tcW w:w="0" w:type="auto"/>
            <w:hideMark/>
          </w:tcPr>
          <w:p w14:paraId="34AABC59" w14:textId="77777777" w:rsidR="00D77F58" w:rsidRPr="00D77F58" w:rsidRDefault="00D77F58" w:rsidP="00D77F58">
            <w:pPr>
              <w:spacing w:after="160"/>
              <w:rPr>
                <w:b/>
                <w:bCs/>
              </w:rPr>
            </w:pPr>
            <w:r w:rsidRPr="00D77F58">
              <w:rPr>
                <w:b/>
                <w:bCs/>
              </w:rPr>
              <w:t>Factor</w:t>
            </w:r>
          </w:p>
        </w:tc>
        <w:tc>
          <w:tcPr>
            <w:tcW w:w="0" w:type="auto"/>
            <w:hideMark/>
          </w:tcPr>
          <w:p w14:paraId="1508798D" w14:textId="77777777" w:rsidR="00D77F58" w:rsidRPr="00D77F58" w:rsidRDefault="00D77F58" w:rsidP="00D77F58">
            <w:pPr>
              <w:spacing w:after="160"/>
              <w:rPr>
                <w:b/>
                <w:bCs/>
              </w:rPr>
            </w:pPr>
            <w:r w:rsidRPr="00D77F58">
              <w:rPr>
                <w:b/>
                <w:bCs/>
              </w:rPr>
              <w:t>Impact on Tesla</w:t>
            </w:r>
          </w:p>
        </w:tc>
        <w:tc>
          <w:tcPr>
            <w:tcW w:w="0" w:type="auto"/>
            <w:hideMark/>
          </w:tcPr>
          <w:p w14:paraId="012BDA30" w14:textId="77777777" w:rsidR="00D77F58" w:rsidRPr="00D77F58" w:rsidRDefault="00D77F58" w:rsidP="00D77F58">
            <w:pPr>
              <w:spacing w:after="160"/>
              <w:rPr>
                <w:b/>
                <w:bCs/>
              </w:rPr>
            </w:pPr>
            <w:r w:rsidRPr="00D77F58">
              <w:rPr>
                <w:b/>
                <w:bCs/>
              </w:rPr>
              <w:t>Impact on BYD</w:t>
            </w:r>
          </w:p>
        </w:tc>
        <w:tc>
          <w:tcPr>
            <w:tcW w:w="0" w:type="auto"/>
            <w:hideMark/>
          </w:tcPr>
          <w:p w14:paraId="0A5E0D40" w14:textId="77777777" w:rsidR="00D77F58" w:rsidRPr="00D77F58" w:rsidRDefault="00D77F58" w:rsidP="00D77F58">
            <w:pPr>
              <w:spacing w:after="160"/>
              <w:rPr>
                <w:b/>
                <w:bCs/>
              </w:rPr>
            </w:pPr>
            <w:r w:rsidRPr="00D77F58">
              <w:rPr>
                <w:b/>
                <w:bCs/>
              </w:rPr>
              <w:t>Competitive Outcome</w:t>
            </w:r>
          </w:p>
        </w:tc>
      </w:tr>
      <w:tr w:rsidR="00D77F58" w:rsidRPr="00D77F58" w14:paraId="33898C36" w14:textId="77777777" w:rsidTr="00D77F58">
        <w:tc>
          <w:tcPr>
            <w:tcW w:w="0" w:type="auto"/>
            <w:hideMark/>
          </w:tcPr>
          <w:p w14:paraId="09B9FC36" w14:textId="77777777" w:rsidR="00D77F58" w:rsidRPr="00D77F58" w:rsidRDefault="00D77F58" w:rsidP="00D77F58">
            <w:pPr>
              <w:spacing w:after="160"/>
            </w:pPr>
            <w:r w:rsidRPr="00D77F58">
              <w:t>2035 ICE Ban</w:t>
            </w:r>
          </w:p>
        </w:tc>
        <w:tc>
          <w:tcPr>
            <w:tcW w:w="0" w:type="auto"/>
            <w:hideMark/>
          </w:tcPr>
          <w:p w14:paraId="3F0D5020" w14:textId="77777777" w:rsidR="00D77F58" w:rsidRPr="00D77F58" w:rsidRDefault="00D77F58" w:rsidP="00D77F58">
            <w:pPr>
              <w:spacing w:after="160"/>
            </w:pPr>
            <w:r w:rsidRPr="00D77F58">
              <w:t>Reinforces EV demand</w:t>
            </w:r>
          </w:p>
        </w:tc>
        <w:tc>
          <w:tcPr>
            <w:tcW w:w="0" w:type="auto"/>
            <w:hideMark/>
          </w:tcPr>
          <w:p w14:paraId="7CC7B16A" w14:textId="77777777" w:rsidR="00D77F58" w:rsidRPr="00D77F58" w:rsidRDefault="00D77F58" w:rsidP="00D77F58">
            <w:pPr>
              <w:spacing w:after="160"/>
            </w:pPr>
            <w:r w:rsidRPr="00D77F58">
              <w:t>Expands market entry opportunity</w:t>
            </w:r>
          </w:p>
        </w:tc>
        <w:tc>
          <w:tcPr>
            <w:tcW w:w="0" w:type="auto"/>
            <w:hideMark/>
          </w:tcPr>
          <w:p w14:paraId="13EE2EE4" w14:textId="77777777" w:rsidR="00D77F58" w:rsidRPr="00D77F58" w:rsidRDefault="00D77F58" w:rsidP="00D77F58">
            <w:pPr>
              <w:spacing w:after="160"/>
            </w:pPr>
            <w:r w:rsidRPr="00D77F58">
              <w:t xml:space="preserve">Both </w:t>
            </w:r>
            <w:proofErr w:type="gramStart"/>
            <w:r w:rsidRPr="00D77F58">
              <w:t>benefit</w:t>
            </w:r>
            <w:proofErr w:type="gramEnd"/>
            <w:r w:rsidRPr="00D77F58">
              <w:t xml:space="preserve"> structurally</w:t>
            </w:r>
          </w:p>
        </w:tc>
      </w:tr>
      <w:tr w:rsidR="00D77F58" w:rsidRPr="00D77F58" w14:paraId="2C834F52" w14:textId="77777777" w:rsidTr="00D77F58">
        <w:tc>
          <w:tcPr>
            <w:tcW w:w="0" w:type="auto"/>
            <w:hideMark/>
          </w:tcPr>
          <w:p w14:paraId="3ED4D3FA" w14:textId="77777777" w:rsidR="00D77F58" w:rsidRPr="00D77F58" w:rsidRDefault="00D77F58" w:rsidP="00D77F58">
            <w:pPr>
              <w:spacing w:after="160"/>
            </w:pPr>
            <w:r w:rsidRPr="00D77F58">
              <w:t>EV Subsidy Reduction</w:t>
            </w:r>
          </w:p>
        </w:tc>
        <w:tc>
          <w:tcPr>
            <w:tcW w:w="0" w:type="auto"/>
            <w:hideMark/>
          </w:tcPr>
          <w:p w14:paraId="05D4E7EE" w14:textId="77777777" w:rsidR="00D77F58" w:rsidRPr="00D77F58" w:rsidRDefault="00D77F58" w:rsidP="00D77F58">
            <w:pPr>
              <w:spacing w:after="160"/>
            </w:pPr>
            <w:r w:rsidRPr="00D77F58">
              <w:t>Threatens premium pricing</w:t>
            </w:r>
          </w:p>
        </w:tc>
        <w:tc>
          <w:tcPr>
            <w:tcW w:w="0" w:type="auto"/>
            <w:hideMark/>
          </w:tcPr>
          <w:p w14:paraId="53D23B39" w14:textId="77777777" w:rsidR="00D77F58" w:rsidRPr="00D77F58" w:rsidRDefault="00D77F58" w:rsidP="00D77F58">
            <w:pPr>
              <w:spacing w:after="160"/>
            </w:pPr>
            <w:r w:rsidRPr="00D77F58">
              <w:t>Strengthens low-cost appeal</w:t>
            </w:r>
          </w:p>
        </w:tc>
        <w:tc>
          <w:tcPr>
            <w:tcW w:w="0" w:type="auto"/>
            <w:hideMark/>
          </w:tcPr>
          <w:p w14:paraId="4336E887" w14:textId="77777777" w:rsidR="00D77F58" w:rsidRPr="00D77F58" w:rsidRDefault="00D77F58" w:rsidP="00D77F58">
            <w:pPr>
              <w:spacing w:after="160"/>
            </w:pPr>
            <w:r w:rsidRPr="00D77F58">
              <w:t>BYD advantage in subsidy withdrawal</w:t>
            </w:r>
          </w:p>
        </w:tc>
      </w:tr>
      <w:tr w:rsidR="00D77F58" w:rsidRPr="00D77F58" w14:paraId="5E7D9C2A" w14:textId="77777777" w:rsidTr="00D77F58">
        <w:tc>
          <w:tcPr>
            <w:tcW w:w="0" w:type="auto"/>
            <w:hideMark/>
          </w:tcPr>
          <w:p w14:paraId="4486D32E" w14:textId="77777777" w:rsidR="00D77F58" w:rsidRPr="00D77F58" w:rsidRDefault="00D77F58" w:rsidP="00D77F58">
            <w:pPr>
              <w:spacing w:after="160"/>
            </w:pPr>
            <w:r w:rsidRPr="00D77F58">
              <w:t>Infrastructure Expansion</w:t>
            </w:r>
          </w:p>
        </w:tc>
        <w:tc>
          <w:tcPr>
            <w:tcW w:w="0" w:type="auto"/>
            <w:hideMark/>
          </w:tcPr>
          <w:p w14:paraId="0360761D" w14:textId="77777777" w:rsidR="00D77F58" w:rsidRPr="00D77F58" w:rsidRDefault="00D77F58" w:rsidP="00D77F58">
            <w:pPr>
              <w:spacing w:after="160"/>
            </w:pPr>
            <w:r w:rsidRPr="00D77F58">
              <w:t>Tesla Supercharger advantage</w:t>
            </w:r>
          </w:p>
        </w:tc>
        <w:tc>
          <w:tcPr>
            <w:tcW w:w="0" w:type="auto"/>
            <w:hideMark/>
          </w:tcPr>
          <w:p w14:paraId="269FE751" w14:textId="77777777" w:rsidR="00D77F58" w:rsidRPr="00D77F58" w:rsidRDefault="00D77F58" w:rsidP="00D77F58">
            <w:pPr>
              <w:spacing w:after="160"/>
            </w:pPr>
            <w:r w:rsidRPr="00D77F58">
              <w:t>Relies on public infrastructure</w:t>
            </w:r>
          </w:p>
        </w:tc>
        <w:tc>
          <w:tcPr>
            <w:tcW w:w="0" w:type="auto"/>
            <w:hideMark/>
          </w:tcPr>
          <w:p w14:paraId="5F79CB6A" w14:textId="77777777" w:rsidR="00D77F58" w:rsidRPr="00D77F58" w:rsidRDefault="00D77F58" w:rsidP="00D77F58">
            <w:pPr>
              <w:spacing w:after="160"/>
            </w:pPr>
            <w:r w:rsidRPr="00D77F58">
              <w:t>Tesla switching cost benefit</w:t>
            </w:r>
          </w:p>
        </w:tc>
      </w:tr>
      <w:tr w:rsidR="00D77F58" w:rsidRPr="00D77F58" w14:paraId="4C90FB6B" w14:textId="77777777" w:rsidTr="00D77F58">
        <w:tc>
          <w:tcPr>
            <w:tcW w:w="0" w:type="auto"/>
            <w:hideMark/>
          </w:tcPr>
          <w:p w14:paraId="13DCDE5D" w14:textId="77777777" w:rsidR="00D77F58" w:rsidRPr="00D77F58" w:rsidRDefault="00D77F58" w:rsidP="00D77F58">
            <w:pPr>
              <w:spacing w:after="160"/>
            </w:pPr>
            <w:r w:rsidRPr="00D77F58">
              <w:lastRenderedPageBreak/>
              <w:t>Trade &amp; Geopolitics</w:t>
            </w:r>
          </w:p>
        </w:tc>
        <w:tc>
          <w:tcPr>
            <w:tcW w:w="0" w:type="auto"/>
            <w:hideMark/>
          </w:tcPr>
          <w:p w14:paraId="1B4B46DE" w14:textId="77777777" w:rsidR="00D77F58" w:rsidRPr="00D77F58" w:rsidRDefault="00D77F58" w:rsidP="00D77F58">
            <w:pPr>
              <w:spacing w:after="160"/>
            </w:pPr>
            <w:r w:rsidRPr="00D77F58">
              <w:t>Moderate exposure</w:t>
            </w:r>
          </w:p>
        </w:tc>
        <w:tc>
          <w:tcPr>
            <w:tcW w:w="0" w:type="auto"/>
            <w:hideMark/>
          </w:tcPr>
          <w:p w14:paraId="31EA6527" w14:textId="77777777" w:rsidR="00D77F58" w:rsidRPr="00D77F58" w:rsidRDefault="00D77F58" w:rsidP="00D77F58">
            <w:pPr>
              <w:spacing w:after="160"/>
            </w:pPr>
            <w:r w:rsidRPr="00D77F58">
              <w:t>Higher scrutiny for Chinese imports</w:t>
            </w:r>
          </w:p>
        </w:tc>
        <w:tc>
          <w:tcPr>
            <w:tcW w:w="0" w:type="auto"/>
            <w:hideMark/>
          </w:tcPr>
          <w:p w14:paraId="08374CFB" w14:textId="77777777" w:rsidR="00D77F58" w:rsidRPr="00D77F58" w:rsidRDefault="00D77F58" w:rsidP="00D77F58">
            <w:pPr>
              <w:spacing w:after="160"/>
            </w:pPr>
            <w:r w:rsidRPr="00D77F58">
              <w:t>Higher political risk for BYD</w:t>
            </w:r>
          </w:p>
        </w:tc>
      </w:tr>
    </w:tbl>
    <w:p w14:paraId="0F81A936" w14:textId="77777777" w:rsidR="00D77F58" w:rsidRPr="001F77CB" w:rsidRDefault="00D77F58" w:rsidP="001F77CB"/>
    <w:p w14:paraId="6F78803F" w14:textId="6274915F" w:rsidR="001F77CB" w:rsidRPr="001F77CB" w:rsidRDefault="001F77CB" w:rsidP="00767D27">
      <w:pPr>
        <w:pStyle w:val="Heading1"/>
      </w:pPr>
      <w:bookmarkStart w:id="11" w:name="_Toc222756066"/>
      <w:r w:rsidRPr="001F77CB">
        <w:t>5. Macro Factor 2: Economic Environment</w:t>
      </w:r>
      <w:bookmarkEnd w:id="11"/>
    </w:p>
    <w:p w14:paraId="0A9118A1" w14:textId="7A3AEEB1" w:rsidR="001F77CB" w:rsidRPr="001F77CB" w:rsidRDefault="00636087" w:rsidP="001F77CB">
      <w:r w:rsidRPr="00636087">
        <w:t>The economic conditions in the UK are characterised by inflationary pressures, elevated interest and cost-of-living restrictions. TOA and source availability of finance among other factors are sensitive to EV adoption. The investigations into cost competitiveness indicate that the affordability of EVs continues to be the main factor in the process of adoption (</w:t>
      </w:r>
      <w:proofErr w:type="spellStart"/>
      <w:r w:rsidRPr="00636087">
        <w:t>Franzò</w:t>
      </w:r>
      <w:proofErr w:type="spellEnd"/>
      <w:r w:rsidRPr="00636087">
        <w:t xml:space="preserve"> et al., 2022).</w:t>
      </w:r>
    </w:p>
    <w:p w14:paraId="7B6A9D7E" w14:textId="77777777" w:rsidR="001F77CB" w:rsidRPr="001F77CB" w:rsidRDefault="001F77CB" w:rsidP="00636087">
      <w:pPr>
        <w:pStyle w:val="Heading2"/>
      </w:pPr>
      <w:bookmarkStart w:id="12" w:name="_Toc222756067"/>
      <w:r w:rsidRPr="001F77CB">
        <w:t>5.1 Impact on Tesla</w:t>
      </w:r>
      <w:bookmarkEnd w:id="12"/>
    </w:p>
    <w:p w14:paraId="47C2A84A" w14:textId="3D688B1F" w:rsidR="001F77CB" w:rsidRPr="001F77CB" w:rsidRDefault="00636087" w:rsidP="001F77CB">
      <w:r w:rsidRPr="00636087">
        <w:t xml:space="preserve">A decrease in the price-elasticity of demand can affect the growth of the premium segment in Tesla in times of inflation. The funding expenses raise monthly payments that may end up deterring the middle-income consumers. The primary statistical analysis of the trends in costs reveals that the dynamics in EV pricing can have an impact on the purchasing behaviour (Goetze and </w:t>
      </w:r>
      <w:proofErr w:type="spellStart"/>
      <w:r w:rsidRPr="00636087">
        <w:t>Hasanuzzaman</w:t>
      </w:r>
      <w:proofErr w:type="spellEnd"/>
      <w:r w:rsidRPr="00636087">
        <w:t>, 2022). One measure that Tesla has undertaken is price cuts to sustain volume. Nonetheless, this type of reduction shrinks margins, with the vehicle of crushing premium differentiation.</w:t>
      </w:r>
    </w:p>
    <w:p w14:paraId="11BEE8FD" w14:textId="77777777" w:rsidR="001F77CB" w:rsidRPr="001F77CB" w:rsidRDefault="001F77CB" w:rsidP="00636087">
      <w:pPr>
        <w:pStyle w:val="Heading2"/>
      </w:pPr>
      <w:bookmarkStart w:id="13" w:name="_Toc222756068"/>
      <w:r w:rsidRPr="001F77CB">
        <w:t>5.2 Impact on BYD</w:t>
      </w:r>
      <w:bookmarkEnd w:id="13"/>
    </w:p>
    <w:p w14:paraId="0EB64044" w14:textId="31CB9370" w:rsidR="00636087" w:rsidRDefault="00636087" w:rsidP="00636087">
      <w:r>
        <w:t>The cost leadership strategy used by BYD is in line with the inflationary pressure. The low-end models are also attractive to the price sensitive consumers, which improves their competitive position in times of economic recession.</w:t>
      </w:r>
    </w:p>
    <w:p w14:paraId="3327D633" w14:textId="00CC1EF0" w:rsidR="00636087" w:rsidRDefault="00636087" w:rsidP="00636087">
      <w:r>
        <w:t>Slim margins and exposure to currency are however risky. Price war can be triggered by the cost-based competition which limits long-term profitability.</w:t>
      </w:r>
    </w:p>
    <w:p w14:paraId="295F75F8" w14:textId="5B785A2A" w:rsidR="001F77CB" w:rsidRPr="001F77CB" w:rsidRDefault="001F77CB" w:rsidP="001F77CB">
      <w:pPr>
        <w:rPr>
          <w:b/>
          <w:bCs/>
        </w:rPr>
      </w:pPr>
      <w:r w:rsidRPr="001F77CB">
        <w:rPr>
          <w:b/>
          <w:bCs/>
        </w:rPr>
        <w:t>5.3 Critical Evaluation</w:t>
      </w:r>
    </w:p>
    <w:p w14:paraId="2F417101" w14:textId="302F9B8B" w:rsidR="00636087" w:rsidRDefault="00636087" w:rsidP="00636087">
      <w:r>
        <w:t xml:space="preserve">The impact of inflation is arguably that it dilutes the </w:t>
      </w:r>
      <w:proofErr w:type="spellStart"/>
      <w:r>
        <w:t>variousiation</w:t>
      </w:r>
      <w:proofErr w:type="spellEnd"/>
      <w:r>
        <w:t xml:space="preserve"> on premiums whilst enhancing the affordability positioning. Status perception according to consumer preference research that modulates EV buying also has an impact on sales, although the effect is softened on economic constraints (Buhmann and Criado, 2023).</w:t>
      </w:r>
    </w:p>
    <w:p w14:paraId="06620E2B" w14:textId="7307FA89" w:rsidR="001F77CB" w:rsidRDefault="00636087" w:rsidP="001F77CB">
      <w:r>
        <w:t>The brand equity of Tesla partially compensates the price sensitivity, but the continued inflation adds pressure on the high-end pricing model. BYD seems to be better-</w:t>
      </w:r>
      <w:r>
        <w:lastRenderedPageBreak/>
        <w:t>structurally placed to survive in the circumstances of a downturn, although its sustainability in terms of profitability is questionable</w:t>
      </w:r>
      <w:r w:rsidR="001F77CB" w:rsidRPr="001F77CB">
        <w:t>.</w:t>
      </w:r>
    </w:p>
    <w:p w14:paraId="1B321C37" w14:textId="0BDB45E5" w:rsidR="00463ECD" w:rsidRPr="00463ECD" w:rsidRDefault="00463ECD" w:rsidP="00463ECD">
      <w:pPr>
        <w:pStyle w:val="Caption"/>
        <w:keepNext/>
        <w:jc w:val="center"/>
        <w:rPr>
          <w:sz w:val="20"/>
          <w:szCs w:val="20"/>
        </w:rPr>
      </w:pPr>
      <w:bookmarkStart w:id="14" w:name="_Toc222754751"/>
      <w:r w:rsidRPr="00463ECD">
        <w:rPr>
          <w:sz w:val="20"/>
          <w:szCs w:val="20"/>
        </w:rPr>
        <w:t xml:space="preserve">Table </w:t>
      </w:r>
      <w:r w:rsidRPr="00463ECD">
        <w:rPr>
          <w:sz w:val="20"/>
          <w:szCs w:val="20"/>
        </w:rPr>
        <w:fldChar w:fldCharType="begin"/>
      </w:r>
      <w:r w:rsidRPr="00463ECD">
        <w:rPr>
          <w:sz w:val="20"/>
          <w:szCs w:val="20"/>
        </w:rPr>
        <w:instrText xml:space="preserve"> SEQ Table \* ARABIC </w:instrText>
      </w:r>
      <w:r w:rsidRPr="00463ECD">
        <w:rPr>
          <w:sz w:val="20"/>
          <w:szCs w:val="20"/>
        </w:rPr>
        <w:fldChar w:fldCharType="separate"/>
      </w:r>
      <w:r w:rsidR="008D365F">
        <w:rPr>
          <w:noProof/>
          <w:sz w:val="20"/>
          <w:szCs w:val="20"/>
        </w:rPr>
        <w:t>2</w:t>
      </w:r>
      <w:r w:rsidRPr="00463ECD">
        <w:rPr>
          <w:sz w:val="20"/>
          <w:szCs w:val="20"/>
        </w:rPr>
        <w:fldChar w:fldCharType="end"/>
      </w:r>
      <w:r w:rsidRPr="00463ECD">
        <w:rPr>
          <w:sz w:val="20"/>
          <w:szCs w:val="20"/>
        </w:rPr>
        <w:t xml:space="preserve"> Economic Environment Impact on Tesla vs BYD</w:t>
      </w:r>
      <w:bookmarkEnd w:id="14"/>
    </w:p>
    <w:tbl>
      <w:tblPr>
        <w:tblStyle w:val="TableGrid"/>
        <w:tblW w:w="0" w:type="auto"/>
        <w:tblLook w:val="04A0" w:firstRow="1" w:lastRow="0" w:firstColumn="1" w:lastColumn="0" w:noHBand="0" w:noVBand="1"/>
      </w:tblPr>
      <w:tblGrid>
        <w:gridCol w:w="1882"/>
        <w:gridCol w:w="2587"/>
        <w:gridCol w:w="2328"/>
        <w:gridCol w:w="2219"/>
      </w:tblGrid>
      <w:tr w:rsidR="00463ECD" w:rsidRPr="00463ECD" w14:paraId="41D0B76B" w14:textId="77777777" w:rsidTr="00463ECD">
        <w:tc>
          <w:tcPr>
            <w:tcW w:w="0" w:type="auto"/>
            <w:hideMark/>
          </w:tcPr>
          <w:p w14:paraId="0D7877B7" w14:textId="77777777" w:rsidR="00463ECD" w:rsidRPr="00463ECD" w:rsidRDefault="00463ECD" w:rsidP="00463ECD">
            <w:pPr>
              <w:spacing w:after="160"/>
              <w:rPr>
                <w:b/>
                <w:bCs/>
              </w:rPr>
            </w:pPr>
            <w:r w:rsidRPr="00463ECD">
              <w:rPr>
                <w:b/>
                <w:bCs/>
              </w:rPr>
              <w:t>Economic Variable</w:t>
            </w:r>
          </w:p>
        </w:tc>
        <w:tc>
          <w:tcPr>
            <w:tcW w:w="0" w:type="auto"/>
            <w:hideMark/>
          </w:tcPr>
          <w:p w14:paraId="61957182" w14:textId="77777777" w:rsidR="00463ECD" w:rsidRPr="00463ECD" w:rsidRDefault="00463ECD" w:rsidP="00463ECD">
            <w:pPr>
              <w:spacing w:after="160"/>
              <w:rPr>
                <w:b/>
                <w:bCs/>
              </w:rPr>
            </w:pPr>
            <w:r w:rsidRPr="00463ECD">
              <w:rPr>
                <w:b/>
                <w:bCs/>
              </w:rPr>
              <w:t>Tesla</w:t>
            </w:r>
          </w:p>
        </w:tc>
        <w:tc>
          <w:tcPr>
            <w:tcW w:w="0" w:type="auto"/>
            <w:hideMark/>
          </w:tcPr>
          <w:p w14:paraId="3D3073C0" w14:textId="77777777" w:rsidR="00463ECD" w:rsidRPr="00463ECD" w:rsidRDefault="00463ECD" w:rsidP="00463ECD">
            <w:pPr>
              <w:spacing w:after="160"/>
              <w:rPr>
                <w:b/>
                <w:bCs/>
              </w:rPr>
            </w:pPr>
            <w:r w:rsidRPr="00463ECD">
              <w:rPr>
                <w:b/>
                <w:bCs/>
              </w:rPr>
              <w:t>BYD</w:t>
            </w:r>
          </w:p>
        </w:tc>
        <w:tc>
          <w:tcPr>
            <w:tcW w:w="0" w:type="auto"/>
            <w:hideMark/>
          </w:tcPr>
          <w:p w14:paraId="06D55955" w14:textId="77777777" w:rsidR="00463ECD" w:rsidRPr="00463ECD" w:rsidRDefault="00463ECD" w:rsidP="00463ECD">
            <w:pPr>
              <w:spacing w:after="160"/>
              <w:rPr>
                <w:b/>
                <w:bCs/>
              </w:rPr>
            </w:pPr>
            <w:r w:rsidRPr="00463ECD">
              <w:rPr>
                <w:b/>
                <w:bCs/>
              </w:rPr>
              <w:t>Strategic Implication</w:t>
            </w:r>
          </w:p>
        </w:tc>
      </w:tr>
      <w:tr w:rsidR="00463ECD" w:rsidRPr="00463ECD" w14:paraId="2F654B8B" w14:textId="77777777" w:rsidTr="00463ECD">
        <w:tc>
          <w:tcPr>
            <w:tcW w:w="0" w:type="auto"/>
            <w:hideMark/>
          </w:tcPr>
          <w:p w14:paraId="7F195DC8" w14:textId="77777777" w:rsidR="00463ECD" w:rsidRPr="00463ECD" w:rsidRDefault="00463ECD" w:rsidP="00463ECD">
            <w:pPr>
              <w:spacing w:after="160"/>
            </w:pPr>
            <w:r w:rsidRPr="00463ECD">
              <w:t>Inflation</w:t>
            </w:r>
          </w:p>
        </w:tc>
        <w:tc>
          <w:tcPr>
            <w:tcW w:w="0" w:type="auto"/>
            <w:hideMark/>
          </w:tcPr>
          <w:p w14:paraId="0B2FC0AA" w14:textId="77777777" w:rsidR="00463ECD" w:rsidRPr="00463ECD" w:rsidRDefault="00463ECD" w:rsidP="00463ECD">
            <w:pPr>
              <w:spacing w:after="160"/>
            </w:pPr>
            <w:r w:rsidRPr="00463ECD">
              <w:t>Weakens affordability</w:t>
            </w:r>
          </w:p>
        </w:tc>
        <w:tc>
          <w:tcPr>
            <w:tcW w:w="0" w:type="auto"/>
            <w:hideMark/>
          </w:tcPr>
          <w:p w14:paraId="41FEE8BD" w14:textId="77777777" w:rsidR="00463ECD" w:rsidRPr="00463ECD" w:rsidRDefault="00463ECD" w:rsidP="00463ECD">
            <w:pPr>
              <w:spacing w:after="160"/>
            </w:pPr>
            <w:r w:rsidRPr="00463ECD">
              <w:t>Supports cost positioning</w:t>
            </w:r>
          </w:p>
        </w:tc>
        <w:tc>
          <w:tcPr>
            <w:tcW w:w="0" w:type="auto"/>
            <w:hideMark/>
          </w:tcPr>
          <w:p w14:paraId="6B33703A" w14:textId="77777777" w:rsidR="00463ECD" w:rsidRPr="00463ECD" w:rsidRDefault="00463ECD" w:rsidP="00463ECD">
            <w:pPr>
              <w:spacing w:after="160"/>
            </w:pPr>
            <w:r w:rsidRPr="00463ECD">
              <w:t>BYD short-term advantage</w:t>
            </w:r>
          </w:p>
        </w:tc>
      </w:tr>
      <w:tr w:rsidR="00463ECD" w:rsidRPr="00463ECD" w14:paraId="18037750" w14:textId="77777777" w:rsidTr="00463ECD">
        <w:tc>
          <w:tcPr>
            <w:tcW w:w="0" w:type="auto"/>
            <w:hideMark/>
          </w:tcPr>
          <w:p w14:paraId="5C0FF1AE" w14:textId="77777777" w:rsidR="00463ECD" w:rsidRPr="00463ECD" w:rsidRDefault="00463ECD" w:rsidP="00463ECD">
            <w:pPr>
              <w:spacing w:after="160"/>
            </w:pPr>
            <w:r w:rsidRPr="00463ECD">
              <w:t>Interest Rates</w:t>
            </w:r>
          </w:p>
        </w:tc>
        <w:tc>
          <w:tcPr>
            <w:tcW w:w="0" w:type="auto"/>
            <w:hideMark/>
          </w:tcPr>
          <w:p w14:paraId="6AB78669" w14:textId="77777777" w:rsidR="00463ECD" w:rsidRPr="00463ECD" w:rsidRDefault="00463ECD" w:rsidP="00463ECD">
            <w:pPr>
              <w:spacing w:after="160"/>
            </w:pPr>
            <w:r w:rsidRPr="00463ECD">
              <w:t>Higher financing cost for premium models</w:t>
            </w:r>
          </w:p>
        </w:tc>
        <w:tc>
          <w:tcPr>
            <w:tcW w:w="0" w:type="auto"/>
            <w:hideMark/>
          </w:tcPr>
          <w:p w14:paraId="1DAC610F" w14:textId="77777777" w:rsidR="00463ECD" w:rsidRPr="00463ECD" w:rsidRDefault="00463ECD" w:rsidP="00463ECD">
            <w:pPr>
              <w:spacing w:after="160"/>
            </w:pPr>
            <w:r w:rsidRPr="00463ECD">
              <w:t>Lower priced models less affected</w:t>
            </w:r>
          </w:p>
        </w:tc>
        <w:tc>
          <w:tcPr>
            <w:tcW w:w="0" w:type="auto"/>
            <w:hideMark/>
          </w:tcPr>
          <w:p w14:paraId="79143A0A" w14:textId="77777777" w:rsidR="00463ECD" w:rsidRPr="00463ECD" w:rsidRDefault="00463ECD" w:rsidP="00463ECD">
            <w:pPr>
              <w:spacing w:after="160"/>
            </w:pPr>
            <w:r w:rsidRPr="00463ECD">
              <w:t>BYD demand resilience</w:t>
            </w:r>
          </w:p>
        </w:tc>
      </w:tr>
      <w:tr w:rsidR="00463ECD" w:rsidRPr="00463ECD" w14:paraId="166F729D" w14:textId="77777777" w:rsidTr="00463ECD">
        <w:tc>
          <w:tcPr>
            <w:tcW w:w="0" w:type="auto"/>
            <w:hideMark/>
          </w:tcPr>
          <w:p w14:paraId="5804FE45" w14:textId="77777777" w:rsidR="00463ECD" w:rsidRPr="00463ECD" w:rsidRDefault="00463ECD" w:rsidP="00463ECD">
            <w:pPr>
              <w:spacing w:after="160"/>
            </w:pPr>
            <w:r w:rsidRPr="00463ECD">
              <w:t>Consumer Affordability</w:t>
            </w:r>
          </w:p>
        </w:tc>
        <w:tc>
          <w:tcPr>
            <w:tcW w:w="0" w:type="auto"/>
            <w:hideMark/>
          </w:tcPr>
          <w:p w14:paraId="529B7E79" w14:textId="77777777" w:rsidR="00463ECD" w:rsidRPr="00463ECD" w:rsidRDefault="00463ECD" w:rsidP="00463ECD">
            <w:pPr>
              <w:spacing w:after="160"/>
            </w:pPr>
            <w:r w:rsidRPr="00463ECD">
              <w:t>Price sensitivity increases</w:t>
            </w:r>
          </w:p>
        </w:tc>
        <w:tc>
          <w:tcPr>
            <w:tcW w:w="0" w:type="auto"/>
            <w:hideMark/>
          </w:tcPr>
          <w:p w14:paraId="324FC6E4" w14:textId="77777777" w:rsidR="00463ECD" w:rsidRPr="00463ECD" w:rsidRDefault="00463ECD" w:rsidP="00463ECD">
            <w:pPr>
              <w:spacing w:after="160"/>
            </w:pPr>
            <w:r w:rsidRPr="00463ECD">
              <w:t>Competitive appeal strengthens</w:t>
            </w:r>
          </w:p>
        </w:tc>
        <w:tc>
          <w:tcPr>
            <w:tcW w:w="0" w:type="auto"/>
            <w:hideMark/>
          </w:tcPr>
          <w:p w14:paraId="398DF7FD" w14:textId="77777777" w:rsidR="00463ECD" w:rsidRPr="00463ECD" w:rsidRDefault="00463ECD" w:rsidP="00463ECD">
            <w:pPr>
              <w:spacing w:after="160"/>
            </w:pPr>
            <w:r w:rsidRPr="00463ECD">
              <w:t>Cost leadership more attractive</w:t>
            </w:r>
          </w:p>
        </w:tc>
      </w:tr>
      <w:tr w:rsidR="00463ECD" w:rsidRPr="00463ECD" w14:paraId="1972F5EA" w14:textId="77777777" w:rsidTr="00463ECD">
        <w:tc>
          <w:tcPr>
            <w:tcW w:w="0" w:type="auto"/>
            <w:hideMark/>
          </w:tcPr>
          <w:p w14:paraId="4C8CB25F" w14:textId="77777777" w:rsidR="00463ECD" w:rsidRPr="00463ECD" w:rsidRDefault="00463ECD" w:rsidP="00463ECD">
            <w:pPr>
              <w:spacing w:after="160"/>
            </w:pPr>
            <w:r w:rsidRPr="00463ECD">
              <w:t>Margin Pressure</w:t>
            </w:r>
          </w:p>
        </w:tc>
        <w:tc>
          <w:tcPr>
            <w:tcW w:w="0" w:type="auto"/>
            <w:hideMark/>
          </w:tcPr>
          <w:p w14:paraId="4CA3CF56" w14:textId="77777777" w:rsidR="00463ECD" w:rsidRPr="00463ECD" w:rsidRDefault="00463ECD" w:rsidP="00463ECD">
            <w:pPr>
              <w:spacing w:after="160"/>
            </w:pPr>
            <w:r w:rsidRPr="00463ECD">
              <w:t>Price cuts reduce profitability</w:t>
            </w:r>
          </w:p>
        </w:tc>
        <w:tc>
          <w:tcPr>
            <w:tcW w:w="0" w:type="auto"/>
            <w:hideMark/>
          </w:tcPr>
          <w:p w14:paraId="4355F481" w14:textId="77777777" w:rsidR="00463ECD" w:rsidRPr="00463ECD" w:rsidRDefault="00463ECD" w:rsidP="00463ECD">
            <w:pPr>
              <w:spacing w:after="160"/>
            </w:pPr>
            <w:r w:rsidRPr="00463ECD">
              <w:t>Thin margins already constrained</w:t>
            </w:r>
          </w:p>
        </w:tc>
        <w:tc>
          <w:tcPr>
            <w:tcW w:w="0" w:type="auto"/>
            <w:hideMark/>
          </w:tcPr>
          <w:p w14:paraId="5391BFAB" w14:textId="77777777" w:rsidR="00463ECD" w:rsidRPr="00463ECD" w:rsidRDefault="00463ECD" w:rsidP="00463ECD">
            <w:pPr>
              <w:spacing w:after="160"/>
            </w:pPr>
            <w:r w:rsidRPr="00463ECD">
              <w:t>Both face profit risk</w:t>
            </w:r>
          </w:p>
        </w:tc>
      </w:tr>
    </w:tbl>
    <w:p w14:paraId="304E34AC" w14:textId="77777777" w:rsidR="00082275" w:rsidRPr="001F77CB" w:rsidRDefault="00082275" w:rsidP="001F77CB"/>
    <w:p w14:paraId="21AAE1B2" w14:textId="3C931E8E" w:rsidR="001F77CB" w:rsidRPr="001F77CB" w:rsidRDefault="001F77CB" w:rsidP="00636087">
      <w:pPr>
        <w:pStyle w:val="Heading1"/>
      </w:pPr>
      <w:bookmarkStart w:id="15" w:name="_Toc222756069"/>
      <w:r w:rsidRPr="001F77CB">
        <w:t>TASK 2</w:t>
      </w:r>
      <w:bookmarkEnd w:id="15"/>
    </w:p>
    <w:p w14:paraId="706B6876" w14:textId="4FFF8137" w:rsidR="001F77CB" w:rsidRPr="001F77CB" w:rsidRDefault="001F77CB" w:rsidP="00BB1F91">
      <w:pPr>
        <w:pStyle w:val="Heading1"/>
      </w:pPr>
      <w:bookmarkStart w:id="16" w:name="_Toc222756070"/>
      <w:r w:rsidRPr="001F77CB">
        <w:t>6. Strategic Responses to Macro Forces</w:t>
      </w:r>
      <w:bookmarkEnd w:id="16"/>
    </w:p>
    <w:p w14:paraId="63936BC1" w14:textId="180CF5CC" w:rsidR="001F77CB" w:rsidRPr="001F77CB" w:rsidRDefault="001F77CB" w:rsidP="00BB1F91">
      <w:pPr>
        <w:pStyle w:val="Heading2"/>
      </w:pPr>
      <w:bookmarkStart w:id="17" w:name="_Toc222756071"/>
      <w:r w:rsidRPr="001F77CB">
        <w:t>6.1 Porter’s Generic Strategies</w:t>
      </w:r>
      <w:bookmarkEnd w:id="17"/>
      <w:r w:rsidRPr="001F77CB">
        <w:t xml:space="preserve"> </w:t>
      </w:r>
    </w:p>
    <w:p w14:paraId="2999B2BE" w14:textId="14C44319" w:rsidR="001F77CB" w:rsidRPr="001F77CB" w:rsidRDefault="00BB1F91" w:rsidP="001F77CB">
      <w:pPr>
        <w:rPr>
          <w:b/>
          <w:bCs/>
        </w:rPr>
      </w:pPr>
      <w:r w:rsidRPr="00BB1F91">
        <w:rPr>
          <w:b/>
          <w:bCs/>
        </w:rPr>
        <w:t>Tesla: Differentiation Strategy</w:t>
      </w:r>
    </w:p>
    <w:p w14:paraId="1CFCB52A" w14:textId="5A07913E" w:rsidR="001F77CB" w:rsidRPr="001F77CB" w:rsidRDefault="00BB1F91" w:rsidP="001F77CB">
      <w:r w:rsidRPr="00BB1F91">
        <w:t xml:space="preserve">The model proposed by Porter determines differentiation and cost leadership as the main tracks to the competitive advantage (Acar, 2024). Tesla focuses on its differentiation strategy in the UK EV market, where their main approach is highly developed battery technology, the uniqueness of software working with it, and the high brand image. Its ecosystem strategy, the connectivity between vehicles, an over-the-air update system and charging networks, contributes to an idea of technological superiority. Minor vertical integration enhances the control of the supply chain and promotes the uniformity of quality (Tesla, 2024). Nonetheless, the ongoing price cuts are pointing to the tactical convergence into the realm of competitiveness in terms of costs. Although this kind of adjustment boosts volume and market penetration in the </w:t>
      </w:r>
      <w:r w:rsidRPr="00BB1F91">
        <w:lastRenderedPageBreak/>
        <w:t>short-term perspective, it may jeopardise the premium positioning. The key strategic dilemma is whether in a market that is growing more price-sensitive differentiation is defensible.</w:t>
      </w:r>
    </w:p>
    <w:p w14:paraId="25BEDCE2" w14:textId="0C23837F" w:rsidR="001F77CB" w:rsidRPr="001F77CB" w:rsidRDefault="00BB1F91" w:rsidP="001F77CB">
      <w:pPr>
        <w:rPr>
          <w:b/>
          <w:bCs/>
        </w:rPr>
      </w:pPr>
      <w:r w:rsidRPr="00BB1F91">
        <w:rPr>
          <w:b/>
          <w:bCs/>
        </w:rPr>
        <w:t>BYD: Leadership Strategy Cost</w:t>
      </w:r>
    </w:p>
    <w:p w14:paraId="5892AF10" w14:textId="724634F2" w:rsidR="001F77CB" w:rsidRPr="001F77CB" w:rsidRDefault="00BB1F91" w:rsidP="001F77CB">
      <w:r w:rsidRPr="00BB1F91">
        <w:t>In comparison, BYD pursues the strategy of cost leadership, which is backed up by mass battery production and integrated manufacturing (BYD, 2024). The structure allows the company to produce cheaply, and offer competitive prices during inflation. The future of this benefit lies in the ability to sustain the scale efficiencies without eroding the margins. Overcapacity competition on prices would lead to commoditisation in the industry.</w:t>
      </w:r>
    </w:p>
    <w:p w14:paraId="0E52E8C2" w14:textId="77777777" w:rsidR="001F77CB" w:rsidRPr="00866BF5" w:rsidRDefault="001F77CB" w:rsidP="00866BF5">
      <w:pPr>
        <w:rPr>
          <w:b/>
          <w:bCs/>
        </w:rPr>
      </w:pPr>
      <w:r w:rsidRPr="00866BF5">
        <w:rPr>
          <w:b/>
          <w:bCs/>
        </w:rPr>
        <w:t>Critical Comparison</w:t>
      </w:r>
    </w:p>
    <w:p w14:paraId="274D426C" w14:textId="45FA257E" w:rsidR="001F77CB" w:rsidRPr="001F77CB" w:rsidRDefault="00BB1F91" w:rsidP="00BB1F91">
      <w:r w:rsidRPr="00BB1F91">
        <w:t xml:space="preserve">The inflationary forces within the UK have favoured affordability-oriented strategies which indicates that the position of BYD can be resilient in the short run. Nonetheless, when the regulatory changes are directed towards electrification, innovative ecosystems are </w:t>
      </w:r>
      <w:proofErr w:type="spellStart"/>
      <w:r w:rsidRPr="00BB1F91">
        <w:t>favored</w:t>
      </w:r>
      <w:proofErr w:type="spellEnd"/>
      <w:r w:rsidRPr="00BB1F91">
        <w:t xml:space="preserve">. Hybrid approaches make the EV industry more reflective of harder-to-categorise approaches typical of </w:t>
      </w:r>
      <w:proofErr w:type="spellStart"/>
      <w:r w:rsidRPr="00BB1F91">
        <w:t>Porterian</w:t>
      </w:r>
      <w:proofErr w:type="spellEnd"/>
      <w:r w:rsidRPr="00BB1F91">
        <w:t>. The long-run benefit might not rely quite on direct cost or distinction but rather be found in combination of technological innovation and efficiency in the operations.</w:t>
      </w:r>
    </w:p>
    <w:p w14:paraId="596DFFDA" w14:textId="07FA6876" w:rsidR="00606DB8" w:rsidRPr="00606DB8" w:rsidRDefault="00606DB8" w:rsidP="00606DB8">
      <w:pPr>
        <w:pStyle w:val="Caption"/>
        <w:keepNext/>
        <w:jc w:val="center"/>
        <w:rPr>
          <w:sz w:val="20"/>
          <w:szCs w:val="20"/>
        </w:rPr>
      </w:pPr>
      <w:bookmarkStart w:id="18" w:name="_Toc222754752"/>
      <w:r w:rsidRPr="00606DB8">
        <w:rPr>
          <w:sz w:val="20"/>
          <w:szCs w:val="20"/>
        </w:rPr>
        <w:t xml:space="preserve">Table </w:t>
      </w:r>
      <w:r w:rsidRPr="00606DB8">
        <w:rPr>
          <w:sz w:val="20"/>
          <w:szCs w:val="20"/>
        </w:rPr>
        <w:fldChar w:fldCharType="begin"/>
      </w:r>
      <w:r w:rsidRPr="00606DB8">
        <w:rPr>
          <w:sz w:val="20"/>
          <w:szCs w:val="20"/>
        </w:rPr>
        <w:instrText xml:space="preserve"> SEQ Table \* ARABIC </w:instrText>
      </w:r>
      <w:r w:rsidRPr="00606DB8">
        <w:rPr>
          <w:sz w:val="20"/>
          <w:szCs w:val="20"/>
        </w:rPr>
        <w:fldChar w:fldCharType="separate"/>
      </w:r>
      <w:r w:rsidR="008D365F">
        <w:rPr>
          <w:noProof/>
          <w:sz w:val="20"/>
          <w:szCs w:val="20"/>
        </w:rPr>
        <w:t>3</w:t>
      </w:r>
      <w:r w:rsidRPr="00606DB8">
        <w:rPr>
          <w:sz w:val="20"/>
          <w:szCs w:val="20"/>
        </w:rPr>
        <w:fldChar w:fldCharType="end"/>
      </w:r>
      <w:r w:rsidRPr="00606DB8">
        <w:rPr>
          <w:sz w:val="20"/>
          <w:szCs w:val="20"/>
        </w:rPr>
        <w:t xml:space="preserve"> Porter’s Generic Strategy Positioning</w:t>
      </w:r>
      <w:bookmarkEnd w:id="18"/>
    </w:p>
    <w:tbl>
      <w:tblPr>
        <w:tblStyle w:val="TableGrid"/>
        <w:tblW w:w="0" w:type="auto"/>
        <w:tblLook w:val="04A0" w:firstRow="1" w:lastRow="0" w:firstColumn="1" w:lastColumn="0" w:noHBand="0" w:noVBand="1"/>
      </w:tblPr>
      <w:tblGrid>
        <w:gridCol w:w="1508"/>
        <w:gridCol w:w="1832"/>
        <w:gridCol w:w="2973"/>
        <w:gridCol w:w="2703"/>
      </w:tblGrid>
      <w:tr w:rsidR="00606DB8" w:rsidRPr="00606DB8" w14:paraId="711FDE68" w14:textId="77777777" w:rsidTr="00606DB8">
        <w:tc>
          <w:tcPr>
            <w:tcW w:w="0" w:type="auto"/>
            <w:hideMark/>
          </w:tcPr>
          <w:p w14:paraId="6AD99DBD" w14:textId="77777777" w:rsidR="00606DB8" w:rsidRPr="00606DB8" w:rsidRDefault="00606DB8" w:rsidP="00606DB8">
            <w:pPr>
              <w:spacing w:after="160"/>
              <w:rPr>
                <w:b/>
                <w:bCs/>
              </w:rPr>
            </w:pPr>
            <w:r w:rsidRPr="00606DB8">
              <w:rPr>
                <w:b/>
                <w:bCs/>
              </w:rPr>
              <w:t>Firm</w:t>
            </w:r>
          </w:p>
        </w:tc>
        <w:tc>
          <w:tcPr>
            <w:tcW w:w="0" w:type="auto"/>
            <w:hideMark/>
          </w:tcPr>
          <w:p w14:paraId="39854649" w14:textId="77777777" w:rsidR="00606DB8" w:rsidRPr="00606DB8" w:rsidRDefault="00606DB8" w:rsidP="00606DB8">
            <w:pPr>
              <w:spacing w:after="160"/>
              <w:rPr>
                <w:b/>
                <w:bCs/>
              </w:rPr>
            </w:pPr>
            <w:r w:rsidRPr="00606DB8">
              <w:rPr>
                <w:b/>
                <w:bCs/>
              </w:rPr>
              <w:t>Primary Strategy</w:t>
            </w:r>
          </w:p>
        </w:tc>
        <w:tc>
          <w:tcPr>
            <w:tcW w:w="0" w:type="auto"/>
            <w:hideMark/>
          </w:tcPr>
          <w:p w14:paraId="48E62447" w14:textId="77777777" w:rsidR="00606DB8" w:rsidRPr="00606DB8" w:rsidRDefault="00606DB8" w:rsidP="00606DB8">
            <w:pPr>
              <w:spacing w:after="160"/>
              <w:rPr>
                <w:b/>
                <w:bCs/>
              </w:rPr>
            </w:pPr>
            <w:r w:rsidRPr="00606DB8">
              <w:rPr>
                <w:b/>
                <w:bCs/>
              </w:rPr>
              <w:t>Supporting Capabilities</w:t>
            </w:r>
          </w:p>
        </w:tc>
        <w:tc>
          <w:tcPr>
            <w:tcW w:w="0" w:type="auto"/>
            <w:hideMark/>
          </w:tcPr>
          <w:p w14:paraId="400A95C1" w14:textId="77777777" w:rsidR="00606DB8" w:rsidRPr="00606DB8" w:rsidRDefault="00606DB8" w:rsidP="00606DB8">
            <w:pPr>
              <w:spacing w:after="160"/>
              <w:rPr>
                <w:b/>
                <w:bCs/>
              </w:rPr>
            </w:pPr>
            <w:r w:rsidRPr="00606DB8">
              <w:rPr>
                <w:b/>
                <w:bCs/>
              </w:rPr>
              <w:t>Risk Under UK Macro Conditions</w:t>
            </w:r>
          </w:p>
        </w:tc>
      </w:tr>
      <w:tr w:rsidR="00606DB8" w:rsidRPr="00606DB8" w14:paraId="24149374" w14:textId="77777777" w:rsidTr="00606DB8">
        <w:tc>
          <w:tcPr>
            <w:tcW w:w="0" w:type="auto"/>
            <w:hideMark/>
          </w:tcPr>
          <w:p w14:paraId="6EA43F0E" w14:textId="77777777" w:rsidR="00606DB8" w:rsidRPr="00606DB8" w:rsidRDefault="00606DB8" w:rsidP="00606DB8">
            <w:pPr>
              <w:spacing w:after="160"/>
            </w:pPr>
            <w:r w:rsidRPr="00606DB8">
              <w:t>Tesla</w:t>
            </w:r>
          </w:p>
        </w:tc>
        <w:tc>
          <w:tcPr>
            <w:tcW w:w="0" w:type="auto"/>
            <w:hideMark/>
          </w:tcPr>
          <w:p w14:paraId="2E13DEEB" w14:textId="77777777" w:rsidR="00606DB8" w:rsidRPr="00606DB8" w:rsidRDefault="00606DB8" w:rsidP="00606DB8">
            <w:pPr>
              <w:spacing w:after="160"/>
            </w:pPr>
            <w:r w:rsidRPr="00606DB8">
              <w:t>Differentiation</w:t>
            </w:r>
          </w:p>
        </w:tc>
        <w:tc>
          <w:tcPr>
            <w:tcW w:w="0" w:type="auto"/>
            <w:hideMark/>
          </w:tcPr>
          <w:p w14:paraId="4B5BA753" w14:textId="77777777" w:rsidR="00606DB8" w:rsidRPr="00606DB8" w:rsidRDefault="00606DB8" w:rsidP="00606DB8">
            <w:pPr>
              <w:spacing w:after="160"/>
            </w:pPr>
            <w:r w:rsidRPr="00606DB8">
              <w:t>Software integration, brand equity, charging ecosystem</w:t>
            </w:r>
          </w:p>
        </w:tc>
        <w:tc>
          <w:tcPr>
            <w:tcW w:w="0" w:type="auto"/>
            <w:hideMark/>
          </w:tcPr>
          <w:p w14:paraId="162EFFB6" w14:textId="77777777" w:rsidR="00606DB8" w:rsidRPr="00606DB8" w:rsidRDefault="00606DB8" w:rsidP="00606DB8">
            <w:pPr>
              <w:spacing w:after="160"/>
            </w:pPr>
            <w:r w:rsidRPr="00606DB8">
              <w:t>Margin erosion from price competition</w:t>
            </w:r>
          </w:p>
        </w:tc>
      </w:tr>
      <w:tr w:rsidR="00606DB8" w:rsidRPr="00606DB8" w14:paraId="6E04AB23" w14:textId="77777777" w:rsidTr="00606DB8">
        <w:tc>
          <w:tcPr>
            <w:tcW w:w="0" w:type="auto"/>
            <w:hideMark/>
          </w:tcPr>
          <w:p w14:paraId="446994AB" w14:textId="77777777" w:rsidR="00606DB8" w:rsidRPr="00606DB8" w:rsidRDefault="00606DB8" w:rsidP="00606DB8">
            <w:pPr>
              <w:spacing w:after="160"/>
            </w:pPr>
            <w:r w:rsidRPr="00606DB8">
              <w:t>BYD</w:t>
            </w:r>
          </w:p>
        </w:tc>
        <w:tc>
          <w:tcPr>
            <w:tcW w:w="0" w:type="auto"/>
            <w:hideMark/>
          </w:tcPr>
          <w:p w14:paraId="2179418F" w14:textId="77777777" w:rsidR="00606DB8" w:rsidRPr="00606DB8" w:rsidRDefault="00606DB8" w:rsidP="00606DB8">
            <w:pPr>
              <w:spacing w:after="160"/>
            </w:pPr>
            <w:r w:rsidRPr="00606DB8">
              <w:t>Cost Leadership</w:t>
            </w:r>
          </w:p>
        </w:tc>
        <w:tc>
          <w:tcPr>
            <w:tcW w:w="0" w:type="auto"/>
            <w:hideMark/>
          </w:tcPr>
          <w:p w14:paraId="43D4D1D5" w14:textId="77777777" w:rsidR="00606DB8" w:rsidRPr="00606DB8" w:rsidRDefault="00606DB8" w:rsidP="00606DB8">
            <w:pPr>
              <w:spacing w:after="160"/>
            </w:pPr>
            <w:r w:rsidRPr="00606DB8">
              <w:t>Battery vertical integration, scale production</w:t>
            </w:r>
          </w:p>
        </w:tc>
        <w:tc>
          <w:tcPr>
            <w:tcW w:w="0" w:type="auto"/>
            <w:hideMark/>
          </w:tcPr>
          <w:p w14:paraId="5682ABC6" w14:textId="77777777" w:rsidR="00606DB8" w:rsidRPr="00606DB8" w:rsidRDefault="00606DB8" w:rsidP="00606DB8">
            <w:pPr>
              <w:spacing w:after="160"/>
            </w:pPr>
            <w:r w:rsidRPr="00606DB8">
              <w:t>Commoditisation and price wars</w:t>
            </w:r>
          </w:p>
        </w:tc>
      </w:tr>
      <w:tr w:rsidR="00606DB8" w:rsidRPr="00606DB8" w14:paraId="30CFB2A3" w14:textId="77777777" w:rsidTr="00606DB8">
        <w:tc>
          <w:tcPr>
            <w:tcW w:w="0" w:type="auto"/>
            <w:hideMark/>
          </w:tcPr>
          <w:p w14:paraId="4426403F" w14:textId="77777777" w:rsidR="00606DB8" w:rsidRPr="00606DB8" w:rsidRDefault="00606DB8" w:rsidP="00606DB8">
            <w:pPr>
              <w:spacing w:after="160"/>
            </w:pPr>
            <w:r w:rsidRPr="00606DB8">
              <w:t>Emerging Pattern</w:t>
            </w:r>
          </w:p>
        </w:tc>
        <w:tc>
          <w:tcPr>
            <w:tcW w:w="0" w:type="auto"/>
            <w:hideMark/>
          </w:tcPr>
          <w:p w14:paraId="0A7B8556" w14:textId="77777777" w:rsidR="00606DB8" w:rsidRPr="00606DB8" w:rsidRDefault="00606DB8" w:rsidP="00606DB8">
            <w:pPr>
              <w:spacing w:after="160"/>
            </w:pPr>
            <w:r w:rsidRPr="00606DB8">
              <w:t>Hybridisation</w:t>
            </w:r>
          </w:p>
        </w:tc>
        <w:tc>
          <w:tcPr>
            <w:tcW w:w="0" w:type="auto"/>
            <w:hideMark/>
          </w:tcPr>
          <w:p w14:paraId="3FB6DC8E" w14:textId="77777777" w:rsidR="00606DB8" w:rsidRPr="00606DB8" w:rsidRDefault="00606DB8" w:rsidP="00606DB8">
            <w:pPr>
              <w:spacing w:after="160"/>
            </w:pPr>
            <w:r w:rsidRPr="00606DB8">
              <w:t>Price adjustments + innovation</w:t>
            </w:r>
          </w:p>
        </w:tc>
        <w:tc>
          <w:tcPr>
            <w:tcW w:w="0" w:type="auto"/>
            <w:hideMark/>
          </w:tcPr>
          <w:p w14:paraId="653802C8" w14:textId="77777777" w:rsidR="00606DB8" w:rsidRPr="00606DB8" w:rsidRDefault="00606DB8" w:rsidP="00606DB8">
            <w:pPr>
              <w:spacing w:after="160"/>
            </w:pPr>
            <w:r w:rsidRPr="00606DB8">
              <w:t>Industry convergence risk</w:t>
            </w:r>
          </w:p>
        </w:tc>
      </w:tr>
    </w:tbl>
    <w:p w14:paraId="59F9F5CF" w14:textId="78D17BB9" w:rsidR="001F77CB" w:rsidRPr="001F77CB" w:rsidRDefault="001F77CB" w:rsidP="001F77CB"/>
    <w:p w14:paraId="6557F877" w14:textId="5BCFFE86" w:rsidR="001F77CB" w:rsidRPr="001F77CB" w:rsidRDefault="001F77CB" w:rsidP="003A5A71">
      <w:pPr>
        <w:pStyle w:val="Heading2"/>
      </w:pPr>
      <w:bookmarkStart w:id="19" w:name="_Toc222756072"/>
      <w:r w:rsidRPr="001F77CB">
        <w:lastRenderedPageBreak/>
        <w:t>6.2 Ansoff Growth Matrix</w:t>
      </w:r>
      <w:bookmarkEnd w:id="19"/>
      <w:r w:rsidRPr="001F77CB">
        <w:t xml:space="preserve"> </w:t>
      </w:r>
    </w:p>
    <w:p w14:paraId="6FCD7CF5" w14:textId="72842440" w:rsidR="003A5A71" w:rsidRDefault="003A5A71" w:rsidP="003A5A71">
      <w:r>
        <w:t>The Growth Matrix conceptualisation of growth at Ansoff considers the four strategic options available to corporations to grow, including market penetration, product development, market development and diversification (</w:t>
      </w:r>
      <w:proofErr w:type="spellStart"/>
      <w:r>
        <w:t>Zupic</w:t>
      </w:r>
      <w:proofErr w:type="spellEnd"/>
      <w:r>
        <w:t xml:space="preserve"> et al., 2025). Using this framework on the UK EV market can be used to identify discordant growth orientations between Tesla and BYD due to existing macro pressures.</w:t>
      </w:r>
    </w:p>
    <w:p w14:paraId="5F0DEFF7" w14:textId="526FA4C8" w:rsidR="003A5A71" w:rsidRPr="003A5A71" w:rsidRDefault="003A5A71" w:rsidP="003A5A71">
      <w:pPr>
        <w:rPr>
          <w:b/>
          <w:bCs/>
        </w:rPr>
      </w:pPr>
      <w:r w:rsidRPr="003A5A71">
        <w:rPr>
          <w:b/>
          <w:bCs/>
        </w:rPr>
        <w:t>Tesla’s Growth Approach</w:t>
      </w:r>
    </w:p>
    <w:p w14:paraId="23909340" w14:textId="20117E79" w:rsidR="003A5A71" w:rsidRDefault="003A5A71" w:rsidP="003A5A71">
      <w:r>
        <w:t xml:space="preserve">The recent UK price cuts by Tesla are an effort to enter the market penetration strategy so that share can be read between the established customer segments. Technological differentiation is strengthened by concurrent product development, both via the model updates and software improvements. Customer lock-in and long-term ecosystem control is enhanced by the infrastructure growth, specifically the integration of charging ecosystem. The strategies are however capital intensive and they expose the firm to loss of margin during an inflationary environment. </w:t>
      </w:r>
      <w:proofErr w:type="gramStart"/>
      <w:r>
        <w:t>Also</w:t>
      </w:r>
      <w:proofErr w:type="gramEnd"/>
      <w:r>
        <w:t xml:space="preserve"> with a rise in market maturity, there is a risk of saturation in penetration strategies especially in high-end divisions.</w:t>
      </w:r>
    </w:p>
    <w:p w14:paraId="1A86B8DF" w14:textId="5A2DBE6C" w:rsidR="003A5A71" w:rsidRDefault="003A5A71" w:rsidP="003A5A71">
      <w:r>
        <w:t>BYD’s Growth Approach</w:t>
      </w:r>
    </w:p>
    <w:p w14:paraId="64A26EB4" w14:textId="27EF269A" w:rsidR="003A5A71" w:rsidRDefault="003A5A71" w:rsidP="003A5A71">
      <w:r>
        <w:t>The entry to the UK makes BYD an inherent activity of market development by expanding the existing products into a new market framework (BYD UK, 2024). Continued battery development indicates product development, which contributes to cost-ease and technological competitiveness. Long term wellbeing can be improved by potential diversification into energy storage. The expansion is however limited to brand legitimacy issues and potential political uncertainty in the UK regulatory landscape.</w:t>
      </w:r>
    </w:p>
    <w:p w14:paraId="6297EE5D" w14:textId="1CA8B4F8" w:rsidR="003A5A71" w:rsidRPr="003A5A71" w:rsidRDefault="003A5A71" w:rsidP="003A5A71">
      <w:pPr>
        <w:rPr>
          <w:b/>
          <w:bCs/>
        </w:rPr>
      </w:pPr>
      <w:r w:rsidRPr="003A5A71">
        <w:rPr>
          <w:b/>
          <w:bCs/>
        </w:rPr>
        <w:t>Critical Insight</w:t>
      </w:r>
    </w:p>
    <w:p w14:paraId="391AC086" w14:textId="79A0476A" w:rsidR="001F77CB" w:rsidRPr="001F77CB" w:rsidRDefault="003A5A71" w:rsidP="003A5A71">
      <w:r>
        <w:t xml:space="preserve">Tesla depends on its strategy that is more capital intensive and vulnerable to macroeconomic swings, but BYD takes advantage of its </w:t>
      </w:r>
      <w:proofErr w:type="spellStart"/>
      <w:r>
        <w:t>expansian</w:t>
      </w:r>
      <w:proofErr w:type="spellEnd"/>
      <w:r>
        <w:t xml:space="preserve"> capabilities using scale efficiencies and lower cost to its benefit. The strategy adopted by BYD does not seem to be so macro sensitive to the current conditions of the UK economy, but </w:t>
      </w:r>
      <w:proofErr w:type="gramStart"/>
      <w:r>
        <w:t>long term</w:t>
      </w:r>
      <w:proofErr w:type="gramEnd"/>
      <w:r>
        <w:t xml:space="preserve"> sustainability will be affected by the need to uphold the legitimacy through supporting profitability and growth.</w:t>
      </w:r>
    </w:p>
    <w:p w14:paraId="3CE1EC6F" w14:textId="146D1835" w:rsidR="008D365F" w:rsidRDefault="008D365F" w:rsidP="008D365F">
      <w:pPr>
        <w:pStyle w:val="Caption"/>
        <w:keepNext/>
        <w:jc w:val="center"/>
      </w:pPr>
      <w:bookmarkStart w:id="20" w:name="_Toc222754753"/>
      <w:r>
        <w:lastRenderedPageBreak/>
        <w:t xml:space="preserve">Table </w:t>
      </w:r>
      <w:fldSimple w:instr=" SEQ Table \* ARABIC ">
        <w:r>
          <w:rPr>
            <w:noProof/>
          </w:rPr>
          <w:t>4</w:t>
        </w:r>
      </w:fldSimple>
      <w:r>
        <w:t xml:space="preserve"> </w:t>
      </w:r>
      <w:r w:rsidRPr="00135AB5">
        <w:t>Ansoff Growth Strategies in UK Context</w:t>
      </w:r>
      <w:bookmarkEnd w:id="20"/>
    </w:p>
    <w:tbl>
      <w:tblPr>
        <w:tblStyle w:val="TableGrid"/>
        <w:tblW w:w="0" w:type="auto"/>
        <w:tblLook w:val="04A0" w:firstRow="1" w:lastRow="0" w:firstColumn="1" w:lastColumn="0" w:noHBand="0" w:noVBand="1"/>
      </w:tblPr>
      <w:tblGrid>
        <w:gridCol w:w="1991"/>
        <w:gridCol w:w="2317"/>
        <w:gridCol w:w="2236"/>
        <w:gridCol w:w="2472"/>
      </w:tblGrid>
      <w:tr w:rsidR="008D365F" w:rsidRPr="008D365F" w14:paraId="6E8A3763" w14:textId="77777777" w:rsidTr="008D365F">
        <w:tc>
          <w:tcPr>
            <w:tcW w:w="0" w:type="auto"/>
            <w:hideMark/>
          </w:tcPr>
          <w:p w14:paraId="09DC0632" w14:textId="77777777" w:rsidR="008D365F" w:rsidRPr="008D365F" w:rsidRDefault="008D365F" w:rsidP="008D365F">
            <w:pPr>
              <w:spacing w:after="160"/>
              <w:rPr>
                <w:b/>
                <w:bCs/>
              </w:rPr>
            </w:pPr>
            <w:r w:rsidRPr="008D365F">
              <w:rPr>
                <w:b/>
                <w:bCs/>
              </w:rPr>
              <w:t>Growth Strategy</w:t>
            </w:r>
          </w:p>
        </w:tc>
        <w:tc>
          <w:tcPr>
            <w:tcW w:w="0" w:type="auto"/>
            <w:hideMark/>
          </w:tcPr>
          <w:p w14:paraId="58E664A9" w14:textId="77777777" w:rsidR="008D365F" w:rsidRPr="008D365F" w:rsidRDefault="008D365F" w:rsidP="008D365F">
            <w:pPr>
              <w:spacing w:after="160"/>
              <w:rPr>
                <w:b/>
                <w:bCs/>
              </w:rPr>
            </w:pPr>
            <w:r w:rsidRPr="008D365F">
              <w:rPr>
                <w:b/>
                <w:bCs/>
              </w:rPr>
              <w:t>Tesla</w:t>
            </w:r>
          </w:p>
        </w:tc>
        <w:tc>
          <w:tcPr>
            <w:tcW w:w="0" w:type="auto"/>
            <w:hideMark/>
          </w:tcPr>
          <w:p w14:paraId="19B07F96" w14:textId="77777777" w:rsidR="008D365F" w:rsidRPr="008D365F" w:rsidRDefault="008D365F" w:rsidP="008D365F">
            <w:pPr>
              <w:spacing w:after="160"/>
              <w:rPr>
                <w:b/>
                <w:bCs/>
              </w:rPr>
            </w:pPr>
            <w:r w:rsidRPr="008D365F">
              <w:rPr>
                <w:b/>
                <w:bCs/>
              </w:rPr>
              <w:t>BYD</w:t>
            </w:r>
          </w:p>
        </w:tc>
        <w:tc>
          <w:tcPr>
            <w:tcW w:w="0" w:type="auto"/>
            <w:hideMark/>
          </w:tcPr>
          <w:p w14:paraId="231B6F51" w14:textId="77777777" w:rsidR="008D365F" w:rsidRPr="008D365F" w:rsidRDefault="008D365F" w:rsidP="008D365F">
            <w:pPr>
              <w:spacing w:after="160"/>
              <w:rPr>
                <w:b/>
                <w:bCs/>
              </w:rPr>
            </w:pPr>
            <w:r w:rsidRPr="008D365F">
              <w:rPr>
                <w:b/>
                <w:bCs/>
              </w:rPr>
              <w:t>Risk Level</w:t>
            </w:r>
          </w:p>
        </w:tc>
      </w:tr>
      <w:tr w:rsidR="008D365F" w:rsidRPr="008D365F" w14:paraId="3A91CF2B" w14:textId="77777777" w:rsidTr="008D365F">
        <w:tc>
          <w:tcPr>
            <w:tcW w:w="0" w:type="auto"/>
            <w:hideMark/>
          </w:tcPr>
          <w:p w14:paraId="477BBD50" w14:textId="77777777" w:rsidR="008D365F" w:rsidRPr="008D365F" w:rsidRDefault="008D365F" w:rsidP="008D365F">
            <w:pPr>
              <w:spacing w:after="160"/>
            </w:pPr>
            <w:r w:rsidRPr="008D365F">
              <w:t>Market Penetration</w:t>
            </w:r>
          </w:p>
        </w:tc>
        <w:tc>
          <w:tcPr>
            <w:tcW w:w="0" w:type="auto"/>
            <w:hideMark/>
          </w:tcPr>
          <w:p w14:paraId="711A72B6" w14:textId="77777777" w:rsidR="008D365F" w:rsidRPr="008D365F" w:rsidRDefault="008D365F" w:rsidP="008D365F">
            <w:pPr>
              <w:spacing w:after="160"/>
            </w:pPr>
            <w:r w:rsidRPr="008D365F">
              <w:t>UK price reductions</w:t>
            </w:r>
          </w:p>
        </w:tc>
        <w:tc>
          <w:tcPr>
            <w:tcW w:w="0" w:type="auto"/>
            <w:hideMark/>
          </w:tcPr>
          <w:p w14:paraId="1EAFA95B" w14:textId="77777777" w:rsidR="008D365F" w:rsidRPr="008D365F" w:rsidRDefault="008D365F" w:rsidP="008D365F">
            <w:pPr>
              <w:spacing w:after="160"/>
            </w:pPr>
            <w:r w:rsidRPr="008D365F">
              <w:t>Expansion via competitive pricing</w:t>
            </w:r>
          </w:p>
        </w:tc>
        <w:tc>
          <w:tcPr>
            <w:tcW w:w="0" w:type="auto"/>
            <w:hideMark/>
          </w:tcPr>
          <w:p w14:paraId="5400B7A3" w14:textId="77777777" w:rsidR="008D365F" w:rsidRPr="008D365F" w:rsidRDefault="008D365F" w:rsidP="008D365F">
            <w:pPr>
              <w:spacing w:after="160"/>
            </w:pPr>
            <w:r w:rsidRPr="008D365F">
              <w:t>Medium (margin pressure)</w:t>
            </w:r>
          </w:p>
        </w:tc>
      </w:tr>
      <w:tr w:rsidR="008D365F" w:rsidRPr="008D365F" w14:paraId="123AA099" w14:textId="77777777" w:rsidTr="008D365F">
        <w:tc>
          <w:tcPr>
            <w:tcW w:w="0" w:type="auto"/>
            <w:hideMark/>
          </w:tcPr>
          <w:p w14:paraId="06C56E21" w14:textId="77777777" w:rsidR="008D365F" w:rsidRPr="008D365F" w:rsidRDefault="008D365F" w:rsidP="008D365F">
            <w:pPr>
              <w:spacing w:after="160"/>
            </w:pPr>
            <w:r w:rsidRPr="008D365F">
              <w:t>Product Development</w:t>
            </w:r>
          </w:p>
        </w:tc>
        <w:tc>
          <w:tcPr>
            <w:tcW w:w="0" w:type="auto"/>
            <w:hideMark/>
          </w:tcPr>
          <w:p w14:paraId="5F1EA2BB" w14:textId="77777777" w:rsidR="008D365F" w:rsidRPr="008D365F" w:rsidRDefault="008D365F" w:rsidP="008D365F">
            <w:pPr>
              <w:spacing w:after="160"/>
            </w:pPr>
            <w:r w:rsidRPr="008D365F">
              <w:t>Software updates &amp; model refresh</w:t>
            </w:r>
          </w:p>
        </w:tc>
        <w:tc>
          <w:tcPr>
            <w:tcW w:w="0" w:type="auto"/>
            <w:hideMark/>
          </w:tcPr>
          <w:p w14:paraId="3555C95C" w14:textId="77777777" w:rsidR="008D365F" w:rsidRPr="008D365F" w:rsidRDefault="008D365F" w:rsidP="008D365F">
            <w:pPr>
              <w:spacing w:after="160"/>
            </w:pPr>
            <w:r w:rsidRPr="008D365F">
              <w:t>Battery innovation</w:t>
            </w:r>
          </w:p>
        </w:tc>
        <w:tc>
          <w:tcPr>
            <w:tcW w:w="0" w:type="auto"/>
            <w:hideMark/>
          </w:tcPr>
          <w:p w14:paraId="371A97B4" w14:textId="77777777" w:rsidR="008D365F" w:rsidRPr="008D365F" w:rsidRDefault="008D365F" w:rsidP="008D365F">
            <w:pPr>
              <w:spacing w:after="160"/>
            </w:pPr>
            <w:r w:rsidRPr="008D365F">
              <w:t>High capital requirement</w:t>
            </w:r>
          </w:p>
        </w:tc>
      </w:tr>
      <w:tr w:rsidR="008D365F" w:rsidRPr="008D365F" w14:paraId="324F6E8C" w14:textId="77777777" w:rsidTr="008D365F">
        <w:tc>
          <w:tcPr>
            <w:tcW w:w="0" w:type="auto"/>
            <w:hideMark/>
          </w:tcPr>
          <w:p w14:paraId="6E2FB6A4" w14:textId="77777777" w:rsidR="008D365F" w:rsidRPr="008D365F" w:rsidRDefault="008D365F" w:rsidP="008D365F">
            <w:pPr>
              <w:spacing w:after="160"/>
            </w:pPr>
            <w:r w:rsidRPr="008D365F">
              <w:t>Market Development</w:t>
            </w:r>
          </w:p>
        </w:tc>
        <w:tc>
          <w:tcPr>
            <w:tcW w:w="0" w:type="auto"/>
            <w:hideMark/>
          </w:tcPr>
          <w:p w14:paraId="377EA019" w14:textId="77777777" w:rsidR="008D365F" w:rsidRPr="008D365F" w:rsidRDefault="008D365F" w:rsidP="008D365F">
            <w:pPr>
              <w:spacing w:after="160"/>
            </w:pPr>
            <w:r w:rsidRPr="008D365F">
              <w:t>Limited (already established)</w:t>
            </w:r>
          </w:p>
        </w:tc>
        <w:tc>
          <w:tcPr>
            <w:tcW w:w="0" w:type="auto"/>
            <w:hideMark/>
          </w:tcPr>
          <w:p w14:paraId="0FD0B5ED" w14:textId="77777777" w:rsidR="008D365F" w:rsidRPr="008D365F" w:rsidRDefault="008D365F" w:rsidP="008D365F">
            <w:pPr>
              <w:spacing w:after="160"/>
            </w:pPr>
            <w:r w:rsidRPr="008D365F">
              <w:t>UK market entry &amp; expansion</w:t>
            </w:r>
          </w:p>
        </w:tc>
        <w:tc>
          <w:tcPr>
            <w:tcW w:w="0" w:type="auto"/>
            <w:hideMark/>
          </w:tcPr>
          <w:p w14:paraId="54E00C94" w14:textId="77777777" w:rsidR="008D365F" w:rsidRPr="008D365F" w:rsidRDefault="008D365F" w:rsidP="008D365F">
            <w:pPr>
              <w:spacing w:after="160"/>
            </w:pPr>
            <w:r w:rsidRPr="008D365F">
              <w:t>Political/regulatory risk</w:t>
            </w:r>
          </w:p>
        </w:tc>
      </w:tr>
      <w:tr w:rsidR="008D365F" w:rsidRPr="008D365F" w14:paraId="16AD27D8" w14:textId="77777777" w:rsidTr="008D365F">
        <w:tc>
          <w:tcPr>
            <w:tcW w:w="0" w:type="auto"/>
            <w:hideMark/>
          </w:tcPr>
          <w:p w14:paraId="2C50B01A" w14:textId="77777777" w:rsidR="008D365F" w:rsidRPr="008D365F" w:rsidRDefault="008D365F" w:rsidP="008D365F">
            <w:pPr>
              <w:spacing w:after="160"/>
            </w:pPr>
            <w:r w:rsidRPr="008D365F">
              <w:t>Diversification</w:t>
            </w:r>
          </w:p>
        </w:tc>
        <w:tc>
          <w:tcPr>
            <w:tcW w:w="0" w:type="auto"/>
            <w:hideMark/>
          </w:tcPr>
          <w:p w14:paraId="2E80949C" w14:textId="77777777" w:rsidR="008D365F" w:rsidRPr="008D365F" w:rsidRDefault="008D365F" w:rsidP="008D365F">
            <w:pPr>
              <w:spacing w:after="160"/>
            </w:pPr>
            <w:r w:rsidRPr="008D365F">
              <w:t>Energy ecosystem integration</w:t>
            </w:r>
          </w:p>
        </w:tc>
        <w:tc>
          <w:tcPr>
            <w:tcW w:w="0" w:type="auto"/>
            <w:hideMark/>
          </w:tcPr>
          <w:p w14:paraId="15D2033C" w14:textId="77777777" w:rsidR="008D365F" w:rsidRPr="008D365F" w:rsidRDefault="008D365F" w:rsidP="008D365F">
            <w:pPr>
              <w:spacing w:after="160"/>
            </w:pPr>
            <w:r w:rsidRPr="008D365F">
              <w:t>Energy storage potential</w:t>
            </w:r>
          </w:p>
        </w:tc>
        <w:tc>
          <w:tcPr>
            <w:tcW w:w="0" w:type="auto"/>
            <w:hideMark/>
          </w:tcPr>
          <w:p w14:paraId="34D2D11D" w14:textId="77777777" w:rsidR="008D365F" w:rsidRPr="008D365F" w:rsidRDefault="008D365F" w:rsidP="008D365F">
            <w:pPr>
              <w:spacing w:after="160"/>
            </w:pPr>
            <w:r w:rsidRPr="008D365F">
              <w:t>Long-term strategic risk</w:t>
            </w:r>
          </w:p>
        </w:tc>
      </w:tr>
    </w:tbl>
    <w:p w14:paraId="6C47CB1B" w14:textId="77777777" w:rsidR="008D365F" w:rsidRPr="001F77CB" w:rsidRDefault="008D365F" w:rsidP="001F77CB"/>
    <w:p w14:paraId="305CA848" w14:textId="3EB86C13" w:rsidR="001F77CB" w:rsidRPr="001F77CB" w:rsidRDefault="001F77CB" w:rsidP="003A5A71">
      <w:pPr>
        <w:pStyle w:val="Heading1"/>
      </w:pPr>
      <w:bookmarkStart w:id="21" w:name="_Toc222756073"/>
      <w:r w:rsidRPr="001F77CB">
        <w:t xml:space="preserve">7. Critical Strategic </w:t>
      </w:r>
      <w:r w:rsidRPr="003A5A71">
        <w:t>Judgement</w:t>
      </w:r>
      <w:bookmarkEnd w:id="21"/>
    </w:p>
    <w:p w14:paraId="06AF6572" w14:textId="59D076C8" w:rsidR="006924FA" w:rsidRDefault="006924FA" w:rsidP="006924FA">
      <w:r>
        <w:t>Tesla still enjoys the symbolic market leadership in the UK EV market, driven by technological prestige and brand awareness based on its first-mover status. Nevertheless, first-mover benefit is not necessarily sustainable; late movers might utilize the historical industry experience, economies of operation, and lowered levels of uncertainty to defy first-mover impact (Halberstadt et al., 2022).</w:t>
      </w:r>
    </w:p>
    <w:p w14:paraId="78A7751E" w14:textId="4CFE7B64" w:rsidR="006924FA" w:rsidRDefault="006924FA" w:rsidP="006924FA">
      <w:r>
        <w:t>In the existing UK inflationary situation, BYD cost-leadership strategy is more congruent with increased consumer price sensitivity and tightened affordability. It has structurally lower production costs that help it to be resilient during economic capitalism.</w:t>
      </w:r>
    </w:p>
    <w:p w14:paraId="311BF774" w14:textId="6BB65597" w:rsidR="006924FA" w:rsidRDefault="006924FA" w:rsidP="006924FA">
      <w:r>
        <w:t>However, Tesla has created strategic advantages that go beyond the mere price competition due to its dynamic capabilities, especially its integrated software ecosystem, in-house charging infrastructure and never-ending product updates. Such impacts on the ecosystem enhance brand differentiation and customer retention.</w:t>
      </w:r>
    </w:p>
    <w:p w14:paraId="4623756C" w14:textId="18F0DF61" w:rsidR="001F77CB" w:rsidRPr="001F77CB" w:rsidRDefault="006924FA" w:rsidP="006924FA">
      <w:r>
        <w:t>Thus, although BYD might have short-term economic fit, the long-term competitiveness of Tesla will be based on its ability to maintain the innovation-based differentiation. Finally, the adaptive capability stipulates strategic excellence in the UK EV market as opposed to entry timing.</w:t>
      </w:r>
    </w:p>
    <w:p w14:paraId="595C82BB" w14:textId="77D36CFE" w:rsidR="001F77CB" w:rsidRPr="001F77CB" w:rsidRDefault="001F77CB" w:rsidP="003A5A71">
      <w:pPr>
        <w:pStyle w:val="Heading1"/>
      </w:pPr>
      <w:bookmarkStart w:id="22" w:name="_Toc222756074"/>
      <w:r w:rsidRPr="001F77CB">
        <w:lastRenderedPageBreak/>
        <w:t>8. Conclusion</w:t>
      </w:r>
      <w:bookmarkEnd w:id="22"/>
    </w:p>
    <w:p w14:paraId="255DB485" w14:textId="1CD55EE5" w:rsidR="001F77CB" w:rsidRDefault="00D76230" w:rsidP="00571947">
      <w:r w:rsidRPr="00D76230">
        <w:t xml:space="preserve">This analysis has evaluated the influence of the Political-Regulatory and Economic macro-environmental factors on the competitiveness of Tesla and BYD in the EV sector in the UK. Regulatory requirements provide growth prospects to the structure, but they cause dependency on subsidies and trade risks. Economic pressures increase the price </w:t>
      </w:r>
      <w:proofErr w:type="gramStart"/>
      <w:r w:rsidRPr="00D76230">
        <w:t>sensitivity,</w:t>
      </w:r>
      <w:proofErr w:type="gramEnd"/>
      <w:r w:rsidRPr="00D76230">
        <w:t xml:space="preserve"> it proxies the premium positioning and the focus is on cost. Task 1 shows that Tesla enjoys the advantage of the early technological leadership and integration of infrastructure, and BYD takes advantage of its affordability in the context of regulatory growth. Task 2 shows that differentiation and cost leadership do coexist in the shifting macro pressures and strategic hybridity is thus seen. In order to have sustained competitive advantage as a strategic marketing management in technology-intensive industries, pioneering status would not be enough but dynamic capability alignment with macro-environmental change.</w:t>
      </w:r>
    </w:p>
    <w:p w14:paraId="364D133B" w14:textId="77777777" w:rsidR="00571947" w:rsidRPr="00571947" w:rsidRDefault="00571947" w:rsidP="00571947"/>
    <w:p w14:paraId="4F4BA96A" w14:textId="57D72B5A" w:rsidR="0092167B" w:rsidRPr="00070A0A" w:rsidRDefault="0092167B">
      <w:pPr>
        <w:rPr>
          <w:rFonts w:cs="Arial"/>
        </w:rPr>
      </w:pPr>
    </w:p>
    <w:p w14:paraId="2DB36FDD" w14:textId="50F4F302" w:rsidR="00395D3A" w:rsidRPr="00070A0A" w:rsidRDefault="0092167B" w:rsidP="00571947">
      <w:pPr>
        <w:pStyle w:val="Heading1"/>
      </w:pPr>
      <w:r w:rsidRPr="00070A0A">
        <w:br w:type="page"/>
      </w:r>
      <w:bookmarkStart w:id="23" w:name="_Toc222756075"/>
      <w:r w:rsidRPr="00070A0A">
        <w:lastRenderedPageBreak/>
        <w:t>References</w:t>
      </w:r>
      <w:bookmarkEnd w:id="23"/>
    </w:p>
    <w:p w14:paraId="1F23503F" w14:textId="77777777" w:rsidR="006C371C" w:rsidRPr="00070A0A" w:rsidRDefault="006C371C" w:rsidP="00923F7A">
      <w:pPr>
        <w:spacing w:line="240" w:lineRule="auto"/>
        <w:ind w:left="720" w:hanging="720"/>
        <w:rPr>
          <w:rFonts w:cs="Arial"/>
        </w:rPr>
      </w:pPr>
      <w:r w:rsidRPr="00070A0A">
        <w:rPr>
          <w:rFonts w:cs="Arial"/>
        </w:rPr>
        <w:t>Acar, S. (2024). A review of Porter’s generic strategies: Strategy examples in international firms. </w:t>
      </w:r>
      <w:r w:rsidRPr="00070A0A">
        <w:rPr>
          <w:rFonts w:cs="Arial"/>
          <w:i/>
          <w:iCs/>
        </w:rPr>
        <w:t>International Social Sciences Studies Journal</w:t>
      </w:r>
      <w:r w:rsidRPr="00070A0A">
        <w:rPr>
          <w:rFonts w:cs="Arial"/>
        </w:rPr>
        <w:t>, </w:t>
      </w:r>
      <w:r w:rsidRPr="00070A0A">
        <w:rPr>
          <w:rFonts w:cs="Arial"/>
          <w:i/>
          <w:iCs/>
        </w:rPr>
        <w:t>10</w:t>
      </w:r>
      <w:r w:rsidRPr="00070A0A">
        <w:rPr>
          <w:rFonts w:cs="Arial"/>
        </w:rPr>
        <w:t xml:space="preserve">(11), 1902-1918. Available At: </w:t>
      </w:r>
      <w:hyperlink r:id="rId13" w:history="1">
        <w:r w:rsidRPr="00070A0A">
          <w:rPr>
            <w:rStyle w:val="Hyperlink"/>
            <w:rFonts w:cs="Arial"/>
          </w:rPr>
          <w:t>https://sssjournal.com/files/sssjournal/e5935340-8b65-4cf6-a1c1-cf266026257d.pdf</w:t>
        </w:r>
      </w:hyperlink>
      <w:r w:rsidRPr="00070A0A">
        <w:rPr>
          <w:rFonts w:cs="Arial"/>
        </w:rPr>
        <w:t xml:space="preserve"> </w:t>
      </w:r>
      <w:r w:rsidRPr="00336FAB">
        <w:rPr>
          <w:rFonts w:cs="Arial"/>
        </w:rPr>
        <w:t>(Accessed</w:t>
      </w:r>
      <w:r>
        <w:rPr>
          <w:rFonts w:cs="Arial"/>
        </w:rPr>
        <w:t>: 23</w:t>
      </w:r>
      <w:r w:rsidRPr="00336FAB">
        <w:rPr>
          <w:rFonts w:cs="Arial"/>
        </w:rPr>
        <w:t xml:space="preserve"> Feb 2026).</w:t>
      </w:r>
    </w:p>
    <w:p w14:paraId="28CA5209" w14:textId="77777777" w:rsidR="006C371C" w:rsidRPr="00D90D03" w:rsidRDefault="006C371C" w:rsidP="00923F7A">
      <w:pPr>
        <w:spacing w:line="240" w:lineRule="auto"/>
        <w:ind w:left="720" w:hanging="720"/>
        <w:rPr>
          <w:rFonts w:cs="Arial"/>
        </w:rPr>
      </w:pPr>
      <w:proofErr w:type="spellStart"/>
      <w:r w:rsidRPr="00D90D03">
        <w:rPr>
          <w:rFonts w:cs="Arial"/>
        </w:rPr>
        <w:t>BloombergNEF</w:t>
      </w:r>
      <w:proofErr w:type="spellEnd"/>
      <w:r w:rsidRPr="00D90D03">
        <w:rPr>
          <w:rFonts w:cs="Arial"/>
        </w:rPr>
        <w:t xml:space="preserve"> (2025). </w:t>
      </w:r>
      <w:r w:rsidRPr="00D90D03">
        <w:rPr>
          <w:rFonts w:cs="Arial"/>
          <w:i/>
          <w:iCs/>
        </w:rPr>
        <w:t xml:space="preserve">Electric Vehicle Outlook - </w:t>
      </w:r>
      <w:proofErr w:type="spellStart"/>
      <w:r w:rsidRPr="00D90D03">
        <w:rPr>
          <w:rFonts w:cs="Arial"/>
          <w:i/>
          <w:iCs/>
        </w:rPr>
        <w:t>BloombergNEF</w:t>
      </w:r>
      <w:proofErr w:type="spellEnd"/>
      <w:r w:rsidRPr="00D90D03">
        <w:rPr>
          <w:rFonts w:cs="Arial"/>
        </w:rPr>
        <w:t xml:space="preserve">. [online] </w:t>
      </w:r>
      <w:proofErr w:type="spellStart"/>
      <w:r w:rsidRPr="00D90D03">
        <w:rPr>
          <w:rFonts w:cs="Arial"/>
        </w:rPr>
        <w:t>BloombergNEF</w:t>
      </w:r>
      <w:proofErr w:type="spellEnd"/>
      <w:r w:rsidRPr="00D90D03">
        <w:rPr>
          <w:rFonts w:cs="Arial"/>
        </w:rPr>
        <w:t xml:space="preserve">. Available at: </w:t>
      </w:r>
      <w:hyperlink r:id="rId14" w:history="1">
        <w:r w:rsidRPr="00D90D03">
          <w:rPr>
            <w:rStyle w:val="Hyperlink"/>
            <w:rFonts w:cs="Arial"/>
          </w:rPr>
          <w:t>https://about.bnef.com/insights/clean-transport/electric-vehicle-outlook/</w:t>
        </w:r>
      </w:hyperlink>
      <w:r w:rsidRPr="00D90D03">
        <w:rPr>
          <w:rFonts w:cs="Arial"/>
        </w:rPr>
        <w:t>.</w:t>
      </w:r>
      <w:r w:rsidRPr="00070A0A">
        <w:rPr>
          <w:rFonts w:cs="Arial"/>
        </w:rPr>
        <w:t xml:space="preserve"> </w:t>
      </w:r>
    </w:p>
    <w:p w14:paraId="74B9F23E" w14:textId="77777777" w:rsidR="006C371C" w:rsidRPr="00D90D03" w:rsidRDefault="006C371C" w:rsidP="00923F7A">
      <w:pPr>
        <w:spacing w:line="240" w:lineRule="auto"/>
        <w:ind w:left="720" w:hanging="720"/>
        <w:rPr>
          <w:rFonts w:cs="Arial"/>
        </w:rPr>
      </w:pPr>
      <w:proofErr w:type="spellStart"/>
      <w:r w:rsidRPr="00D90D03">
        <w:rPr>
          <w:rFonts w:cs="Arial"/>
        </w:rPr>
        <w:t>Bryła</w:t>
      </w:r>
      <w:proofErr w:type="spellEnd"/>
      <w:r w:rsidRPr="00D90D03">
        <w:rPr>
          <w:rFonts w:cs="Arial"/>
        </w:rPr>
        <w:t xml:space="preserve">, P., Chatterjee, S. and </w:t>
      </w:r>
      <w:proofErr w:type="spellStart"/>
      <w:r w:rsidRPr="00D90D03">
        <w:rPr>
          <w:rFonts w:cs="Arial"/>
        </w:rPr>
        <w:t>Ciabiada-Bryła</w:t>
      </w:r>
      <w:proofErr w:type="spellEnd"/>
      <w:r w:rsidRPr="00D90D03">
        <w:rPr>
          <w:rFonts w:cs="Arial"/>
        </w:rPr>
        <w:t xml:space="preserve">, B. (2022). Consumer Adoption of Electric Vehicles: A Systematic Literature Review. </w:t>
      </w:r>
      <w:r w:rsidRPr="00D90D03">
        <w:rPr>
          <w:rFonts w:cs="Arial"/>
          <w:i/>
          <w:iCs/>
        </w:rPr>
        <w:t>Energies</w:t>
      </w:r>
      <w:r w:rsidRPr="00D90D03">
        <w:rPr>
          <w:rFonts w:cs="Arial"/>
        </w:rPr>
        <w:t xml:space="preserve">, 16(1), p.205. </w:t>
      </w:r>
      <w:proofErr w:type="spellStart"/>
      <w:r w:rsidRPr="00D90D03">
        <w:rPr>
          <w:rFonts w:cs="Arial"/>
        </w:rPr>
        <w:t>doi</w:t>
      </w:r>
      <w:proofErr w:type="spellEnd"/>
      <w:r w:rsidRPr="00D90D03">
        <w:rPr>
          <w:rFonts w:cs="Arial"/>
        </w:rPr>
        <w:t>:</w:t>
      </w:r>
      <w:r w:rsidRPr="00070A0A">
        <w:rPr>
          <w:rFonts w:cs="Arial"/>
        </w:rPr>
        <w:t xml:space="preserve"> </w:t>
      </w:r>
      <w:hyperlink r:id="rId15" w:history="1">
        <w:r w:rsidRPr="00D90D03">
          <w:rPr>
            <w:rStyle w:val="Hyperlink"/>
            <w:rFonts w:cs="Arial"/>
          </w:rPr>
          <w:t>https://doi.org/10.3390/en16010205</w:t>
        </w:r>
      </w:hyperlink>
      <w:r w:rsidRPr="00D90D03">
        <w:rPr>
          <w:rFonts w:cs="Arial"/>
        </w:rPr>
        <w:t>.</w:t>
      </w:r>
      <w:r w:rsidRPr="00070A0A">
        <w:rPr>
          <w:rFonts w:cs="Arial"/>
        </w:rPr>
        <w:t xml:space="preserve"> </w:t>
      </w:r>
    </w:p>
    <w:p w14:paraId="1C8F1F99" w14:textId="77777777" w:rsidR="006C371C" w:rsidRPr="00D90D03" w:rsidRDefault="006C371C" w:rsidP="00923F7A">
      <w:pPr>
        <w:spacing w:line="240" w:lineRule="auto"/>
        <w:ind w:left="720" w:hanging="720"/>
        <w:rPr>
          <w:rFonts w:cs="Arial"/>
        </w:rPr>
      </w:pPr>
      <w:r w:rsidRPr="00D90D03">
        <w:rPr>
          <w:rFonts w:cs="Arial"/>
        </w:rPr>
        <w:t xml:space="preserve">Buhmann, K.M. and Criado, J.R. (2023). Consumers’ preferences for electric vehicles: The role of status and reputation. </w:t>
      </w:r>
      <w:r w:rsidRPr="00D90D03">
        <w:rPr>
          <w:rFonts w:cs="Arial"/>
          <w:i/>
          <w:iCs/>
        </w:rPr>
        <w:t>Transportation Research Part D: Transport and Environment</w:t>
      </w:r>
      <w:r w:rsidRPr="00D90D03">
        <w:rPr>
          <w:rFonts w:cs="Arial"/>
        </w:rPr>
        <w:t xml:space="preserve">, [online] 114(114), p.103530. </w:t>
      </w:r>
      <w:proofErr w:type="spellStart"/>
      <w:r w:rsidRPr="00D90D03">
        <w:rPr>
          <w:rFonts w:cs="Arial"/>
        </w:rPr>
        <w:t>doi</w:t>
      </w:r>
      <w:proofErr w:type="spellEnd"/>
      <w:r w:rsidRPr="00D90D03">
        <w:rPr>
          <w:rFonts w:cs="Arial"/>
        </w:rPr>
        <w:t>:</w:t>
      </w:r>
      <w:r w:rsidRPr="00070A0A">
        <w:rPr>
          <w:rFonts w:cs="Arial"/>
        </w:rPr>
        <w:t xml:space="preserve"> </w:t>
      </w:r>
      <w:hyperlink r:id="rId16" w:history="1">
        <w:r w:rsidRPr="00D90D03">
          <w:rPr>
            <w:rStyle w:val="Hyperlink"/>
            <w:rFonts w:cs="Arial"/>
          </w:rPr>
          <w:t>https://doi.org/10.1016/j.trd.2022.103530</w:t>
        </w:r>
      </w:hyperlink>
      <w:r w:rsidRPr="00D90D03">
        <w:rPr>
          <w:rFonts w:cs="Arial"/>
        </w:rPr>
        <w:t>.</w:t>
      </w:r>
      <w:r w:rsidRPr="00070A0A">
        <w:rPr>
          <w:rFonts w:cs="Arial"/>
        </w:rPr>
        <w:t xml:space="preserve"> </w:t>
      </w:r>
    </w:p>
    <w:p w14:paraId="39BBF9CA" w14:textId="77777777" w:rsidR="006C371C" w:rsidRPr="00D90D03" w:rsidRDefault="006C371C" w:rsidP="00923F7A">
      <w:pPr>
        <w:spacing w:line="240" w:lineRule="auto"/>
        <w:ind w:left="720" w:hanging="720"/>
        <w:rPr>
          <w:rFonts w:cs="Arial"/>
        </w:rPr>
      </w:pPr>
      <w:r w:rsidRPr="00D90D03">
        <w:rPr>
          <w:rFonts w:cs="Arial"/>
        </w:rPr>
        <w:t>Burra, L.T., Al-</w:t>
      </w:r>
      <w:proofErr w:type="spellStart"/>
      <w:r w:rsidRPr="00D90D03">
        <w:rPr>
          <w:rFonts w:cs="Arial"/>
        </w:rPr>
        <w:t>Khasawneh</w:t>
      </w:r>
      <w:proofErr w:type="spellEnd"/>
      <w:r w:rsidRPr="00D90D03">
        <w:rPr>
          <w:rFonts w:cs="Arial"/>
        </w:rPr>
        <w:t xml:space="preserve">, M.B. and Cirillo, C. (2024). Impact of charging infrastructure on electric vehicle adoption: A synthetic population approach. </w:t>
      </w:r>
      <w:r w:rsidRPr="00D90D03">
        <w:rPr>
          <w:rFonts w:cs="Arial"/>
          <w:i/>
          <w:iCs/>
        </w:rPr>
        <w:t>Travel Behaviour and Society</w:t>
      </w:r>
      <w:r w:rsidRPr="00D90D03">
        <w:rPr>
          <w:rFonts w:cs="Arial"/>
        </w:rPr>
        <w:t xml:space="preserve">, 37, pp.100834–100834. </w:t>
      </w:r>
      <w:proofErr w:type="spellStart"/>
      <w:r w:rsidRPr="00D90D03">
        <w:rPr>
          <w:rFonts w:cs="Arial"/>
        </w:rPr>
        <w:t>doi</w:t>
      </w:r>
      <w:proofErr w:type="spellEnd"/>
      <w:r w:rsidRPr="00D90D03">
        <w:rPr>
          <w:rFonts w:cs="Arial"/>
        </w:rPr>
        <w:t>:</w:t>
      </w:r>
      <w:r w:rsidRPr="00070A0A">
        <w:rPr>
          <w:rFonts w:cs="Arial"/>
        </w:rPr>
        <w:t xml:space="preserve"> </w:t>
      </w:r>
      <w:hyperlink r:id="rId17" w:history="1">
        <w:r w:rsidRPr="00D90D03">
          <w:rPr>
            <w:rStyle w:val="Hyperlink"/>
            <w:rFonts w:cs="Arial"/>
          </w:rPr>
          <w:t>https://doi.org/10.1016/j.tbs.2024.100834</w:t>
        </w:r>
      </w:hyperlink>
      <w:r w:rsidRPr="00D90D03">
        <w:rPr>
          <w:rFonts w:cs="Arial"/>
        </w:rPr>
        <w:t>.</w:t>
      </w:r>
      <w:r w:rsidRPr="00070A0A">
        <w:rPr>
          <w:rFonts w:cs="Arial"/>
        </w:rPr>
        <w:t xml:space="preserve"> </w:t>
      </w:r>
    </w:p>
    <w:p w14:paraId="7B6A7F9D" w14:textId="77777777" w:rsidR="006C371C" w:rsidRPr="00D90D03" w:rsidRDefault="006C371C" w:rsidP="00923F7A">
      <w:pPr>
        <w:spacing w:line="240" w:lineRule="auto"/>
        <w:ind w:left="720" w:hanging="720"/>
        <w:rPr>
          <w:rFonts w:cs="Arial"/>
        </w:rPr>
      </w:pPr>
      <w:r w:rsidRPr="00D90D03">
        <w:rPr>
          <w:rFonts w:cs="Arial"/>
        </w:rPr>
        <w:t xml:space="preserve">BYD (2024). </w:t>
      </w:r>
      <w:r w:rsidRPr="00D90D03">
        <w:rPr>
          <w:rFonts w:cs="Arial"/>
          <w:i/>
          <w:iCs/>
        </w:rPr>
        <w:t>Periodic reports-BYD</w:t>
      </w:r>
      <w:r w:rsidRPr="00D90D03">
        <w:rPr>
          <w:rFonts w:cs="Arial"/>
        </w:rPr>
        <w:t xml:space="preserve">. [online] www.bydglobal.com. Available at: </w:t>
      </w:r>
      <w:hyperlink r:id="rId18" w:history="1">
        <w:r w:rsidRPr="00D90D03">
          <w:rPr>
            <w:rStyle w:val="Hyperlink"/>
            <w:rFonts w:cs="Arial"/>
          </w:rPr>
          <w:t>https://www.bydglobal.com/cn/en/BYD_ENInvestor/InvestorAnnals_mob.html</w:t>
        </w:r>
      </w:hyperlink>
      <w:r w:rsidRPr="00D90D03">
        <w:rPr>
          <w:rFonts w:cs="Arial"/>
        </w:rPr>
        <w:t>.</w:t>
      </w:r>
      <w:r w:rsidRPr="00070A0A">
        <w:rPr>
          <w:rFonts w:cs="Arial"/>
        </w:rPr>
        <w:t xml:space="preserve"> </w:t>
      </w:r>
      <w:r w:rsidRPr="00336FAB">
        <w:rPr>
          <w:rFonts w:cs="Arial"/>
        </w:rPr>
        <w:t>(Accessed</w:t>
      </w:r>
      <w:r>
        <w:rPr>
          <w:rFonts w:cs="Arial"/>
        </w:rPr>
        <w:t>: 23</w:t>
      </w:r>
      <w:r w:rsidRPr="00336FAB">
        <w:rPr>
          <w:rFonts w:cs="Arial"/>
        </w:rPr>
        <w:t xml:space="preserve"> Feb 2026).</w:t>
      </w:r>
    </w:p>
    <w:p w14:paraId="3FAEA3F2" w14:textId="77777777" w:rsidR="006C371C" w:rsidRPr="00D90D03" w:rsidRDefault="006C371C" w:rsidP="00923F7A">
      <w:pPr>
        <w:spacing w:line="240" w:lineRule="auto"/>
        <w:ind w:left="720" w:hanging="720"/>
        <w:rPr>
          <w:rFonts w:cs="Arial"/>
        </w:rPr>
      </w:pPr>
      <w:r w:rsidRPr="00D90D03">
        <w:rPr>
          <w:rFonts w:cs="Arial"/>
        </w:rPr>
        <w:t xml:space="preserve">BYD UK (2024). </w:t>
      </w:r>
      <w:r w:rsidRPr="00D90D03">
        <w:rPr>
          <w:rFonts w:cs="Arial"/>
          <w:i/>
          <w:iCs/>
        </w:rPr>
        <w:t>BYD UK Continues Rapid Growth In 2024 - BYD</w:t>
      </w:r>
      <w:r w:rsidRPr="00D90D03">
        <w:rPr>
          <w:rFonts w:cs="Arial"/>
        </w:rPr>
        <w:t xml:space="preserve">. [online] Bydukmedia.com. Available at: </w:t>
      </w:r>
      <w:hyperlink r:id="rId19" w:history="1">
        <w:r w:rsidRPr="00D90D03">
          <w:rPr>
            <w:rStyle w:val="Hyperlink"/>
            <w:rFonts w:cs="Arial"/>
          </w:rPr>
          <w:t>https://bydukmedia.com/en/news-articles/byd-uk-continues-rapid-growth-in-2024.html</w:t>
        </w:r>
      </w:hyperlink>
      <w:r w:rsidRPr="00D90D03">
        <w:rPr>
          <w:rFonts w:cs="Arial"/>
        </w:rPr>
        <w:t>.</w:t>
      </w:r>
      <w:r w:rsidRPr="00070A0A">
        <w:rPr>
          <w:rFonts w:cs="Arial"/>
        </w:rPr>
        <w:t xml:space="preserve"> </w:t>
      </w:r>
      <w:r w:rsidRPr="00336FAB">
        <w:rPr>
          <w:rFonts w:cs="Arial"/>
        </w:rPr>
        <w:t>(Accessed</w:t>
      </w:r>
      <w:r>
        <w:rPr>
          <w:rFonts w:cs="Arial"/>
        </w:rPr>
        <w:t>: 23</w:t>
      </w:r>
      <w:r w:rsidRPr="00336FAB">
        <w:rPr>
          <w:rFonts w:cs="Arial"/>
        </w:rPr>
        <w:t xml:space="preserve"> Feb 2026).</w:t>
      </w:r>
    </w:p>
    <w:p w14:paraId="29D442C6" w14:textId="77777777" w:rsidR="006C371C" w:rsidRPr="00D90D03" w:rsidRDefault="006C371C" w:rsidP="00923F7A">
      <w:pPr>
        <w:spacing w:line="240" w:lineRule="auto"/>
        <w:ind w:left="720" w:hanging="720"/>
        <w:rPr>
          <w:rFonts w:cs="Arial"/>
        </w:rPr>
      </w:pPr>
      <w:r w:rsidRPr="00D90D03">
        <w:rPr>
          <w:rFonts w:cs="Arial"/>
        </w:rPr>
        <w:t xml:space="preserve">Department for Transport (2024). </w:t>
      </w:r>
      <w:r w:rsidRPr="00D90D03">
        <w:rPr>
          <w:rFonts w:cs="Arial"/>
          <w:i/>
          <w:iCs/>
        </w:rPr>
        <w:t>Phasing out the sale of new petrol and diesel cars from 2030 and Support for the Zero Emission Transition</w:t>
      </w:r>
      <w:r w:rsidRPr="00D90D03">
        <w:rPr>
          <w:rFonts w:cs="Arial"/>
        </w:rPr>
        <w:t xml:space="preserve">. [online] Available at: </w:t>
      </w:r>
      <w:hyperlink r:id="rId20" w:history="1">
        <w:r w:rsidRPr="00D90D03">
          <w:rPr>
            <w:rStyle w:val="Hyperlink"/>
            <w:rFonts w:cs="Arial"/>
          </w:rPr>
          <w:t>https://assets.publishing.service.gov.uk/media/679382182de28ea2d392f37f/phasing-out-the-sale-of-new-petrol-and-diesel-cars-from-2030-and-support-for-the-zero-emission-transition.pdf</w:t>
        </w:r>
      </w:hyperlink>
      <w:r w:rsidRPr="00D90D03">
        <w:rPr>
          <w:rFonts w:cs="Arial"/>
        </w:rPr>
        <w:t>.</w:t>
      </w:r>
      <w:r w:rsidRPr="00070A0A">
        <w:rPr>
          <w:rFonts w:cs="Arial"/>
        </w:rPr>
        <w:t xml:space="preserve"> </w:t>
      </w:r>
      <w:r w:rsidRPr="00336FAB">
        <w:rPr>
          <w:rFonts w:cs="Arial"/>
        </w:rPr>
        <w:t>(Accessed</w:t>
      </w:r>
      <w:r>
        <w:rPr>
          <w:rFonts w:cs="Arial"/>
        </w:rPr>
        <w:t>: 23</w:t>
      </w:r>
      <w:r w:rsidRPr="00336FAB">
        <w:rPr>
          <w:rFonts w:cs="Arial"/>
        </w:rPr>
        <w:t xml:space="preserve"> Feb 2026).</w:t>
      </w:r>
    </w:p>
    <w:p w14:paraId="4F1260D3" w14:textId="77777777" w:rsidR="006C371C" w:rsidRPr="00D90D03" w:rsidRDefault="006C371C" w:rsidP="00923F7A">
      <w:pPr>
        <w:spacing w:line="240" w:lineRule="auto"/>
        <w:ind w:left="720" w:hanging="720"/>
        <w:rPr>
          <w:rFonts w:cs="Arial"/>
        </w:rPr>
      </w:pPr>
      <w:proofErr w:type="spellStart"/>
      <w:r w:rsidRPr="00D90D03">
        <w:rPr>
          <w:rFonts w:cs="Arial"/>
        </w:rPr>
        <w:t>Franzò</w:t>
      </w:r>
      <w:proofErr w:type="spellEnd"/>
      <w:r w:rsidRPr="00D90D03">
        <w:rPr>
          <w:rFonts w:cs="Arial"/>
        </w:rPr>
        <w:t xml:space="preserve">, S., Nasca, A. and Chiesa, V. (2022). Factors affecting cost competitiveness of electric vehicles against alternative powertrains: A total cost of ownership-based assessment in the Italian market. </w:t>
      </w:r>
      <w:r w:rsidRPr="00D90D03">
        <w:rPr>
          <w:rFonts w:cs="Arial"/>
          <w:i/>
          <w:iCs/>
        </w:rPr>
        <w:t>Journal of Cleaner Production</w:t>
      </w:r>
      <w:r w:rsidRPr="00D90D03">
        <w:rPr>
          <w:rFonts w:cs="Arial"/>
        </w:rPr>
        <w:t xml:space="preserve">, 363, p.132559. </w:t>
      </w:r>
      <w:proofErr w:type="spellStart"/>
      <w:r w:rsidRPr="00D90D03">
        <w:rPr>
          <w:rFonts w:cs="Arial"/>
        </w:rPr>
        <w:t>doi</w:t>
      </w:r>
      <w:proofErr w:type="spellEnd"/>
      <w:r w:rsidRPr="00D90D03">
        <w:rPr>
          <w:rFonts w:cs="Arial"/>
        </w:rPr>
        <w:t>:</w:t>
      </w:r>
      <w:r w:rsidRPr="00070A0A">
        <w:rPr>
          <w:rFonts w:cs="Arial"/>
        </w:rPr>
        <w:t xml:space="preserve"> </w:t>
      </w:r>
      <w:hyperlink r:id="rId21" w:history="1">
        <w:r w:rsidRPr="00D90D03">
          <w:rPr>
            <w:rStyle w:val="Hyperlink"/>
            <w:rFonts w:cs="Arial"/>
          </w:rPr>
          <w:t>https://doi.org/10.1016/j.jclepro.2022.132559</w:t>
        </w:r>
      </w:hyperlink>
      <w:r w:rsidRPr="00D90D03">
        <w:rPr>
          <w:rFonts w:cs="Arial"/>
        </w:rPr>
        <w:t>.</w:t>
      </w:r>
      <w:r w:rsidRPr="00070A0A">
        <w:rPr>
          <w:rFonts w:cs="Arial"/>
        </w:rPr>
        <w:t xml:space="preserve"> </w:t>
      </w:r>
    </w:p>
    <w:p w14:paraId="0F194FA7" w14:textId="77777777" w:rsidR="006C371C" w:rsidRPr="006C371C" w:rsidRDefault="006C371C" w:rsidP="006C371C">
      <w:pPr>
        <w:spacing w:line="240" w:lineRule="auto"/>
        <w:ind w:left="720" w:hanging="720"/>
        <w:rPr>
          <w:rFonts w:cs="Arial"/>
        </w:rPr>
      </w:pPr>
      <w:r w:rsidRPr="006C371C">
        <w:rPr>
          <w:rFonts w:cs="Arial"/>
        </w:rPr>
        <w:t xml:space="preserve">Gear, T. (2023). </w:t>
      </w:r>
      <w:r w:rsidRPr="006C371C">
        <w:rPr>
          <w:rFonts w:cs="Arial"/>
          <w:i/>
          <w:iCs/>
        </w:rPr>
        <w:t>Tesla Supercharger network: where can I charge in the UK?</w:t>
      </w:r>
      <w:r w:rsidRPr="006C371C">
        <w:rPr>
          <w:rFonts w:cs="Arial"/>
        </w:rPr>
        <w:t xml:space="preserve"> [online] Top Gear. Available at: </w:t>
      </w:r>
      <w:hyperlink r:id="rId22" w:history="1">
        <w:r w:rsidRPr="006C371C">
          <w:rPr>
            <w:rStyle w:val="Hyperlink"/>
            <w:rFonts w:cs="Arial"/>
          </w:rPr>
          <w:t>https://www.topgear.com/car-news/Tesla-supercharger-network-uk</w:t>
        </w:r>
      </w:hyperlink>
      <w:r w:rsidRPr="006C371C">
        <w:rPr>
          <w:rFonts w:cs="Arial"/>
        </w:rPr>
        <w:t>.</w:t>
      </w:r>
      <w:r>
        <w:rPr>
          <w:rFonts w:cs="Arial"/>
        </w:rPr>
        <w:t xml:space="preserve"> </w:t>
      </w:r>
      <w:r w:rsidRPr="00336FAB">
        <w:rPr>
          <w:rFonts w:cs="Arial"/>
        </w:rPr>
        <w:t>(Accessed</w:t>
      </w:r>
      <w:r>
        <w:rPr>
          <w:rFonts w:cs="Arial"/>
        </w:rPr>
        <w:t>: 23</w:t>
      </w:r>
      <w:r w:rsidRPr="00336FAB">
        <w:rPr>
          <w:rFonts w:cs="Arial"/>
        </w:rPr>
        <w:t xml:space="preserve"> Feb 2026).</w:t>
      </w:r>
    </w:p>
    <w:p w14:paraId="59117AB4" w14:textId="77777777" w:rsidR="006C371C" w:rsidRPr="00D90D03" w:rsidRDefault="006C371C" w:rsidP="00923F7A">
      <w:pPr>
        <w:spacing w:line="240" w:lineRule="auto"/>
        <w:ind w:left="720" w:hanging="720"/>
        <w:rPr>
          <w:rFonts w:cs="Arial"/>
        </w:rPr>
      </w:pPr>
      <w:r w:rsidRPr="00D90D03">
        <w:rPr>
          <w:rFonts w:cs="Arial"/>
        </w:rPr>
        <w:t xml:space="preserve">Gifford, S. (2022). </w:t>
      </w:r>
      <w:r w:rsidRPr="00D90D03">
        <w:rPr>
          <w:rFonts w:cs="Arial"/>
          <w:i/>
          <w:iCs/>
        </w:rPr>
        <w:t>The Importance of Charging Infrastructure to the Electric Vehicle Revolution</w:t>
      </w:r>
      <w:r w:rsidRPr="00D90D03">
        <w:rPr>
          <w:rFonts w:cs="Arial"/>
        </w:rPr>
        <w:t xml:space="preserve">. [online] Available at: </w:t>
      </w:r>
      <w:hyperlink r:id="rId23" w:history="1">
        <w:r w:rsidRPr="00D90D03">
          <w:rPr>
            <w:rStyle w:val="Hyperlink"/>
            <w:rFonts w:cs="Arial"/>
          </w:rPr>
          <w:t>https://www.faraday.ac.uk/wp-content/uploads/2022/11/Faraday_Insights_14_FINAL.pdf</w:t>
        </w:r>
      </w:hyperlink>
      <w:r w:rsidRPr="00D90D03">
        <w:rPr>
          <w:rFonts w:cs="Arial"/>
        </w:rPr>
        <w:t>.</w:t>
      </w:r>
      <w:r w:rsidRPr="00070A0A">
        <w:rPr>
          <w:rFonts w:cs="Arial"/>
        </w:rPr>
        <w:t xml:space="preserve"> </w:t>
      </w:r>
      <w:r w:rsidRPr="00336FAB">
        <w:rPr>
          <w:rFonts w:cs="Arial"/>
        </w:rPr>
        <w:t>(Accessed</w:t>
      </w:r>
      <w:r>
        <w:rPr>
          <w:rFonts w:cs="Arial"/>
        </w:rPr>
        <w:t>: 23</w:t>
      </w:r>
      <w:r w:rsidRPr="00336FAB">
        <w:rPr>
          <w:rFonts w:cs="Arial"/>
        </w:rPr>
        <w:t xml:space="preserve"> Feb 2026).</w:t>
      </w:r>
    </w:p>
    <w:p w14:paraId="0E9D3EB5" w14:textId="77777777" w:rsidR="006C371C" w:rsidRPr="00D90D03" w:rsidRDefault="006C371C" w:rsidP="00923F7A">
      <w:pPr>
        <w:spacing w:line="240" w:lineRule="auto"/>
        <w:ind w:left="720" w:hanging="720"/>
        <w:rPr>
          <w:rFonts w:cs="Arial"/>
        </w:rPr>
      </w:pPr>
      <w:r w:rsidRPr="00D90D03">
        <w:rPr>
          <w:rFonts w:cs="Arial"/>
        </w:rPr>
        <w:lastRenderedPageBreak/>
        <w:t xml:space="preserve">Goetzel, N. and </w:t>
      </w:r>
      <w:proofErr w:type="spellStart"/>
      <w:r w:rsidRPr="00D90D03">
        <w:rPr>
          <w:rFonts w:cs="Arial"/>
        </w:rPr>
        <w:t>Hasanuzzaman</w:t>
      </w:r>
      <w:proofErr w:type="spellEnd"/>
      <w:r w:rsidRPr="00D90D03">
        <w:rPr>
          <w:rFonts w:cs="Arial"/>
        </w:rPr>
        <w:t xml:space="preserve">, M. (2022). An empirical analysis of electric vehicle cost trends: A case study in Germany. </w:t>
      </w:r>
      <w:r w:rsidRPr="00D90D03">
        <w:rPr>
          <w:rFonts w:cs="Arial"/>
          <w:i/>
          <w:iCs/>
        </w:rPr>
        <w:t>Research in Transportation Business &amp; Management</w:t>
      </w:r>
      <w:r w:rsidRPr="00D90D03">
        <w:rPr>
          <w:rFonts w:cs="Arial"/>
        </w:rPr>
        <w:t xml:space="preserve">, 43, p.100825. </w:t>
      </w:r>
      <w:proofErr w:type="spellStart"/>
      <w:r w:rsidRPr="00D90D03">
        <w:rPr>
          <w:rFonts w:cs="Arial"/>
        </w:rPr>
        <w:t>doi</w:t>
      </w:r>
      <w:proofErr w:type="spellEnd"/>
      <w:r w:rsidRPr="00D90D03">
        <w:rPr>
          <w:rFonts w:cs="Arial"/>
        </w:rPr>
        <w:t>:</w:t>
      </w:r>
      <w:r w:rsidRPr="00070A0A">
        <w:rPr>
          <w:rFonts w:cs="Arial"/>
        </w:rPr>
        <w:t xml:space="preserve"> </w:t>
      </w:r>
      <w:hyperlink r:id="rId24" w:history="1">
        <w:r w:rsidRPr="00D90D03">
          <w:rPr>
            <w:rStyle w:val="Hyperlink"/>
            <w:rFonts w:cs="Arial"/>
          </w:rPr>
          <w:t>https://doi.org/10.1016/j.rtbm.2022.100825</w:t>
        </w:r>
      </w:hyperlink>
      <w:r w:rsidRPr="00D90D03">
        <w:rPr>
          <w:rFonts w:cs="Arial"/>
        </w:rPr>
        <w:t>.</w:t>
      </w:r>
      <w:r w:rsidRPr="00070A0A">
        <w:rPr>
          <w:rFonts w:cs="Arial"/>
        </w:rPr>
        <w:t xml:space="preserve"> </w:t>
      </w:r>
    </w:p>
    <w:p w14:paraId="417B6E23" w14:textId="77777777" w:rsidR="006C371C" w:rsidRPr="00D90D03" w:rsidRDefault="006C371C" w:rsidP="00923F7A">
      <w:pPr>
        <w:spacing w:line="240" w:lineRule="auto"/>
        <w:ind w:left="720" w:hanging="720"/>
        <w:rPr>
          <w:rFonts w:cs="Arial"/>
        </w:rPr>
      </w:pPr>
      <w:r w:rsidRPr="00D90D03">
        <w:rPr>
          <w:rFonts w:cs="Arial"/>
        </w:rPr>
        <w:t xml:space="preserve">Halberstadt, J., Kollhoff, S., Kraus, S. and Dhir, A. (2022). Early bird or early worm? First-mover (dis)advantages and the success of web-based social enterprises. </w:t>
      </w:r>
      <w:r w:rsidRPr="00D90D03">
        <w:rPr>
          <w:rFonts w:cs="Arial"/>
          <w:i/>
          <w:iCs/>
        </w:rPr>
        <w:t>Technological Forecasting and Social Change</w:t>
      </w:r>
      <w:r w:rsidRPr="00D90D03">
        <w:rPr>
          <w:rFonts w:cs="Arial"/>
        </w:rPr>
        <w:t xml:space="preserve">, 181, p.121784. </w:t>
      </w:r>
      <w:proofErr w:type="spellStart"/>
      <w:r w:rsidRPr="00D90D03">
        <w:rPr>
          <w:rFonts w:cs="Arial"/>
        </w:rPr>
        <w:t>doi</w:t>
      </w:r>
      <w:proofErr w:type="spellEnd"/>
      <w:r w:rsidRPr="00D90D03">
        <w:rPr>
          <w:rFonts w:cs="Arial"/>
        </w:rPr>
        <w:t>:</w:t>
      </w:r>
      <w:r w:rsidRPr="00070A0A">
        <w:rPr>
          <w:rFonts w:cs="Arial"/>
        </w:rPr>
        <w:t xml:space="preserve"> </w:t>
      </w:r>
      <w:hyperlink r:id="rId25" w:history="1">
        <w:r w:rsidRPr="00D90D03">
          <w:rPr>
            <w:rStyle w:val="Hyperlink"/>
            <w:rFonts w:cs="Arial"/>
          </w:rPr>
          <w:t>https://doi.org/10.1016/j.techfore.2022.121784</w:t>
        </w:r>
      </w:hyperlink>
      <w:r w:rsidRPr="00D90D03">
        <w:rPr>
          <w:rFonts w:cs="Arial"/>
        </w:rPr>
        <w:t>.</w:t>
      </w:r>
      <w:r w:rsidRPr="00070A0A">
        <w:rPr>
          <w:rFonts w:cs="Arial"/>
        </w:rPr>
        <w:t xml:space="preserve"> </w:t>
      </w:r>
    </w:p>
    <w:p w14:paraId="373CFA06" w14:textId="77777777" w:rsidR="006C371C" w:rsidRPr="00D90D03" w:rsidRDefault="006C371C" w:rsidP="00923F7A">
      <w:pPr>
        <w:spacing w:line="240" w:lineRule="auto"/>
        <w:ind w:left="720" w:hanging="720"/>
        <w:rPr>
          <w:rFonts w:cs="Arial"/>
        </w:rPr>
      </w:pPr>
      <w:r w:rsidRPr="00D90D03">
        <w:rPr>
          <w:rFonts w:cs="Arial"/>
        </w:rPr>
        <w:t xml:space="preserve">Huang, Y. and Qian, L. (2021). Consumer adoption of electric vehicles in alternative business models. </w:t>
      </w:r>
      <w:r w:rsidRPr="00D90D03">
        <w:rPr>
          <w:rFonts w:cs="Arial"/>
          <w:i/>
          <w:iCs/>
        </w:rPr>
        <w:t>Energy Policy</w:t>
      </w:r>
      <w:r w:rsidRPr="00D90D03">
        <w:rPr>
          <w:rFonts w:cs="Arial"/>
        </w:rPr>
        <w:t xml:space="preserve">, 155, p.112338. </w:t>
      </w:r>
      <w:proofErr w:type="spellStart"/>
      <w:r w:rsidRPr="00D90D03">
        <w:rPr>
          <w:rFonts w:cs="Arial"/>
        </w:rPr>
        <w:t>doi</w:t>
      </w:r>
      <w:proofErr w:type="spellEnd"/>
      <w:r w:rsidRPr="00D90D03">
        <w:rPr>
          <w:rFonts w:cs="Arial"/>
        </w:rPr>
        <w:t>:</w:t>
      </w:r>
      <w:r w:rsidRPr="00070A0A">
        <w:rPr>
          <w:rFonts w:cs="Arial"/>
        </w:rPr>
        <w:t xml:space="preserve"> </w:t>
      </w:r>
      <w:hyperlink r:id="rId26" w:history="1">
        <w:r w:rsidRPr="00D90D03">
          <w:rPr>
            <w:rStyle w:val="Hyperlink"/>
            <w:rFonts w:cs="Arial"/>
          </w:rPr>
          <w:t>https://doi.org/10.1016/j.enpol.2021.112338</w:t>
        </w:r>
      </w:hyperlink>
      <w:r w:rsidRPr="00D90D03">
        <w:rPr>
          <w:rFonts w:cs="Arial"/>
        </w:rPr>
        <w:t>.</w:t>
      </w:r>
      <w:r w:rsidRPr="00070A0A">
        <w:rPr>
          <w:rFonts w:cs="Arial"/>
        </w:rPr>
        <w:t xml:space="preserve"> </w:t>
      </w:r>
    </w:p>
    <w:p w14:paraId="395092B2" w14:textId="77777777" w:rsidR="006C371C" w:rsidRDefault="006C371C" w:rsidP="00923F7A">
      <w:pPr>
        <w:spacing w:line="240" w:lineRule="auto"/>
        <w:ind w:left="720" w:hanging="720"/>
        <w:rPr>
          <w:rFonts w:cs="Arial"/>
        </w:rPr>
      </w:pPr>
      <w:r w:rsidRPr="00D90D03">
        <w:rPr>
          <w:rFonts w:cs="Arial"/>
        </w:rPr>
        <w:t xml:space="preserve">SMMT (2025). </w:t>
      </w:r>
      <w:r w:rsidRPr="00D90D03">
        <w:rPr>
          <w:rFonts w:cs="Arial"/>
          <w:i/>
          <w:iCs/>
        </w:rPr>
        <w:t>Record EV market share but weak private demand frustrates ambition - SMMT</w:t>
      </w:r>
      <w:r w:rsidRPr="00D90D03">
        <w:rPr>
          <w:rFonts w:cs="Arial"/>
        </w:rPr>
        <w:t xml:space="preserve">. [online] SMMT. Available at: </w:t>
      </w:r>
      <w:hyperlink r:id="rId27" w:history="1">
        <w:r w:rsidRPr="00D90D03">
          <w:rPr>
            <w:rStyle w:val="Hyperlink"/>
            <w:rFonts w:cs="Arial"/>
          </w:rPr>
          <w:t>https://www.smmt.co.uk/record-ev-market-share-but-weak-private-demand-frustrates-ambition/</w:t>
        </w:r>
      </w:hyperlink>
      <w:r w:rsidRPr="00D90D03">
        <w:rPr>
          <w:rFonts w:cs="Arial"/>
        </w:rPr>
        <w:t>.</w:t>
      </w:r>
      <w:r w:rsidRPr="00070A0A">
        <w:rPr>
          <w:rFonts w:cs="Arial"/>
        </w:rPr>
        <w:t xml:space="preserve"> </w:t>
      </w:r>
    </w:p>
    <w:p w14:paraId="63187A53" w14:textId="77777777" w:rsidR="006C371C" w:rsidRPr="00D90D03" w:rsidRDefault="006C371C" w:rsidP="00336FAB">
      <w:pPr>
        <w:spacing w:line="240" w:lineRule="auto"/>
        <w:ind w:left="720" w:hanging="720"/>
        <w:rPr>
          <w:rFonts w:cs="Arial"/>
        </w:rPr>
      </w:pPr>
      <w:r w:rsidRPr="00336FAB">
        <w:rPr>
          <w:rFonts w:cs="Arial"/>
        </w:rPr>
        <w:t xml:space="preserve">Statista. (2025). </w:t>
      </w:r>
      <w:r w:rsidRPr="00336FAB">
        <w:rPr>
          <w:rFonts w:cs="Arial"/>
          <w:i/>
          <w:iCs/>
        </w:rPr>
        <w:t>BYD Surpasses Tesla in Global EV Deliveries</w:t>
      </w:r>
      <w:r w:rsidRPr="00336FAB">
        <w:rPr>
          <w:rFonts w:cs="Arial"/>
        </w:rPr>
        <w:t xml:space="preserve"> [online]. Available at: </w:t>
      </w:r>
      <w:hyperlink r:id="rId28" w:tgtFrame="_new" w:history="1">
        <w:r w:rsidRPr="00336FAB">
          <w:rPr>
            <w:rStyle w:val="Hyperlink"/>
            <w:rFonts w:cs="Arial"/>
          </w:rPr>
          <w:t>https://www.statista.com/chart/31496/global-battery-electric-vehicle-deliveries-sales-tesla-byd/</w:t>
        </w:r>
      </w:hyperlink>
      <w:r w:rsidRPr="00336FAB">
        <w:rPr>
          <w:rFonts w:cs="Arial"/>
        </w:rPr>
        <w:t xml:space="preserve"> (Accessed</w:t>
      </w:r>
      <w:r>
        <w:rPr>
          <w:rFonts w:cs="Arial"/>
        </w:rPr>
        <w:t>: 23</w:t>
      </w:r>
      <w:r w:rsidRPr="00336FAB">
        <w:rPr>
          <w:rFonts w:cs="Arial"/>
        </w:rPr>
        <w:t xml:space="preserve"> Feb 2026). </w:t>
      </w:r>
    </w:p>
    <w:p w14:paraId="3D199CD1" w14:textId="77777777" w:rsidR="006C371C" w:rsidRPr="006C371C" w:rsidRDefault="006C371C" w:rsidP="006C371C">
      <w:pPr>
        <w:spacing w:line="240" w:lineRule="auto"/>
        <w:ind w:left="720" w:hanging="720"/>
        <w:rPr>
          <w:rFonts w:cs="Arial"/>
        </w:rPr>
      </w:pPr>
      <w:r w:rsidRPr="006C371C">
        <w:rPr>
          <w:rFonts w:cs="Arial"/>
        </w:rPr>
        <w:t xml:space="preserve">StreetInsider.com (2021). </w:t>
      </w:r>
      <w:r w:rsidRPr="006C371C">
        <w:rPr>
          <w:rFonts w:cs="Arial"/>
          <w:i/>
          <w:iCs/>
        </w:rPr>
        <w:t>BYD Opens New Branch in Bristol and Warwick, UK, Marking a Milestone in Electric Vehicle Expansion</w:t>
      </w:r>
      <w:r w:rsidRPr="006C371C">
        <w:rPr>
          <w:rFonts w:cs="Arial"/>
        </w:rPr>
        <w:t xml:space="preserve">. [online] StreetInsider.com. Available at: </w:t>
      </w:r>
      <w:hyperlink r:id="rId29" w:history="1">
        <w:r w:rsidRPr="006C371C">
          <w:rPr>
            <w:rStyle w:val="Hyperlink"/>
            <w:rFonts w:cs="Arial"/>
          </w:rPr>
          <w:t>https://www.streetinsider.com/Globe%2BNewswire/BYD%2BOpens%2BNew%2BBranch%2Bin%2BBristol%2Band%2BWarwick%2C%2BUK%2C%2BMarking%2Ba%2BMilestone%2Bin%2BElectric%2BVehicle%2BExpansion/24123876.html</w:t>
        </w:r>
      </w:hyperlink>
      <w:r>
        <w:rPr>
          <w:rFonts w:cs="Arial"/>
        </w:rPr>
        <w:t xml:space="preserve"> </w:t>
      </w:r>
      <w:r w:rsidRPr="00336FAB">
        <w:rPr>
          <w:rFonts w:cs="Arial"/>
        </w:rPr>
        <w:t>(Accessed</w:t>
      </w:r>
      <w:r>
        <w:rPr>
          <w:rFonts w:cs="Arial"/>
        </w:rPr>
        <w:t>: 23</w:t>
      </w:r>
      <w:r w:rsidRPr="00336FAB">
        <w:rPr>
          <w:rFonts w:cs="Arial"/>
        </w:rPr>
        <w:t xml:space="preserve"> Feb 2026).</w:t>
      </w:r>
    </w:p>
    <w:p w14:paraId="1AA1CF86" w14:textId="77777777" w:rsidR="006C371C" w:rsidRPr="00D90D03" w:rsidRDefault="006C371C" w:rsidP="00923F7A">
      <w:pPr>
        <w:spacing w:line="240" w:lineRule="auto"/>
        <w:ind w:left="720" w:hanging="720"/>
        <w:rPr>
          <w:rFonts w:cs="Arial"/>
        </w:rPr>
      </w:pPr>
      <w:r w:rsidRPr="00D90D03">
        <w:rPr>
          <w:rFonts w:cs="Arial"/>
        </w:rPr>
        <w:t xml:space="preserve">Sun, J., Sun, S., Chen, B. and Hu, Y. (2024). Charging change: Analysing the UK’s electric vehicle infrastructure policies and market dynamics. </w:t>
      </w:r>
      <w:r w:rsidRPr="00D90D03">
        <w:rPr>
          <w:rFonts w:cs="Arial"/>
          <w:i/>
          <w:iCs/>
        </w:rPr>
        <w:t>Energy policy</w:t>
      </w:r>
      <w:r w:rsidRPr="00D90D03">
        <w:rPr>
          <w:rFonts w:cs="Arial"/>
        </w:rPr>
        <w:t xml:space="preserve">, [online] 191, pp.114178–114178. </w:t>
      </w:r>
      <w:proofErr w:type="spellStart"/>
      <w:r w:rsidRPr="00D90D03">
        <w:rPr>
          <w:rFonts w:cs="Arial"/>
        </w:rPr>
        <w:t>doi</w:t>
      </w:r>
      <w:proofErr w:type="spellEnd"/>
      <w:r w:rsidRPr="00D90D03">
        <w:rPr>
          <w:rFonts w:cs="Arial"/>
        </w:rPr>
        <w:t>:</w:t>
      </w:r>
      <w:r w:rsidRPr="00070A0A">
        <w:rPr>
          <w:rFonts w:cs="Arial"/>
        </w:rPr>
        <w:t xml:space="preserve"> </w:t>
      </w:r>
      <w:hyperlink r:id="rId30" w:history="1">
        <w:r w:rsidRPr="00D90D03">
          <w:rPr>
            <w:rStyle w:val="Hyperlink"/>
            <w:rFonts w:cs="Arial"/>
          </w:rPr>
          <w:t>https://doi.org/10.1016/j.enpol.2024.114178</w:t>
        </w:r>
      </w:hyperlink>
      <w:r w:rsidRPr="00D90D03">
        <w:rPr>
          <w:rFonts w:cs="Arial"/>
        </w:rPr>
        <w:t>.</w:t>
      </w:r>
      <w:r w:rsidRPr="00070A0A">
        <w:rPr>
          <w:rFonts w:cs="Arial"/>
        </w:rPr>
        <w:t xml:space="preserve"> </w:t>
      </w:r>
    </w:p>
    <w:p w14:paraId="4CA31A1A" w14:textId="77777777" w:rsidR="006C371C" w:rsidRPr="00D90D03" w:rsidRDefault="006C371C" w:rsidP="00923F7A">
      <w:pPr>
        <w:spacing w:line="240" w:lineRule="auto"/>
        <w:ind w:left="720" w:hanging="720"/>
        <w:rPr>
          <w:rFonts w:cs="Arial"/>
        </w:rPr>
      </w:pPr>
      <w:r w:rsidRPr="00D90D03">
        <w:rPr>
          <w:rFonts w:cs="Arial"/>
        </w:rPr>
        <w:t xml:space="preserve">Tesla (2024). </w:t>
      </w:r>
      <w:r w:rsidRPr="00D90D03">
        <w:rPr>
          <w:rFonts w:cs="Arial"/>
          <w:i/>
          <w:iCs/>
        </w:rPr>
        <w:t>Annual Report (Form 10-K) 2024</w:t>
      </w:r>
      <w:r w:rsidRPr="00D90D03">
        <w:rPr>
          <w:rFonts w:cs="Arial"/>
        </w:rPr>
        <w:t xml:space="preserve">. [online] Sec.gov. Available at: </w:t>
      </w:r>
      <w:hyperlink r:id="rId31" w:history="1">
        <w:r w:rsidRPr="00D90D03">
          <w:rPr>
            <w:rStyle w:val="Hyperlink"/>
            <w:rFonts w:cs="Arial"/>
          </w:rPr>
          <w:t>https://www.sec.gov/Archives/edgar/data/1318605/000162828025003063/tsla-20241231.htm</w:t>
        </w:r>
      </w:hyperlink>
      <w:r w:rsidRPr="00D90D03">
        <w:rPr>
          <w:rFonts w:cs="Arial"/>
        </w:rPr>
        <w:t>.</w:t>
      </w:r>
      <w:r w:rsidRPr="00070A0A">
        <w:rPr>
          <w:rFonts w:cs="Arial"/>
        </w:rPr>
        <w:t xml:space="preserve"> </w:t>
      </w:r>
      <w:r w:rsidRPr="00336FAB">
        <w:rPr>
          <w:rFonts w:cs="Arial"/>
        </w:rPr>
        <w:t>(Accessed</w:t>
      </w:r>
      <w:r>
        <w:rPr>
          <w:rFonts w:cs="Arial"/>
        </w:rPr>
        <w:t>: 23</w:t>
      </w:r>
      <w:r w:rsidRPr="00336FAB">
        <w:rPr>
          <w:rFonts w:cs="Arial"/>
        </w:rPr>
        <w:t xml:space="preserve"> Feb 2026).</w:t>
      </w:r>
    </w:p>
    <w:p w14:paraId="282D29CB" w14:textId="77777777" w:rsidR="006C371C" w:rsidRPr="00D90D03" w:rsidRDefault="006C371C" w:rsidP="00923F7A">
      <w:pPr>
        <w:spacing w:line="240" w:lineRule="auto"/>
        <w:ind w:left="720" w:hanging="720"/>
        <w:rPr>
          <w:rFonts w:cs="Arial"/>
        </w:rPr>
      </w:pPr>
      <w:proofErr w:type="spellStart"/>
      <w:r w:rsidRPr="00D90D03">
        <w:rPr>
          <w:rFonts w:cs="Arial"/>
        </w:rPr>
        <w:t>Tschiesner</w:t>
      </w:r>
      <w:proofErr w:type="spellEnd"/>
      <w:r w:rsidRPr="00D90D03">
        <w:rPr>
          <w:rFonts w:cs="Arial"/>
        </w:rPr>
        <w:t xml:space="preserve">, A., Hertzke, P., Schaufuss, P. and Heuss, R. (2024). </w:t>
      </w:r>
      <w:r w:rsidRPr="00D90D03">
        <w:rPr>
          <w:rFonts w:cs="Arial"/>
          <w:i/>
          <w:iCs/>
        </w:rPr>
        <w:t>Europe’s economic potential in the shift to electric vehicles</w:t>
      </w:r>
      <w:r w:rsidRPr="00D90D03">
        <w:rPr>
          <w:rFonts w:cs="Arial"/>
        </w:rPr>
        <w:t xml:space="preserve">. [online] McKinsey &amp; Company. Available at: </w:t>
      </w:r>
      <w:hyperlink r:id="rId32" w:history="1">
        <w:r w:rsidRPr="00D90D03">
          <w:rPr>
            <w:rStyle w:val="Hyperlink"/>
            <w:rFonts w:cs="Arial"/>
          </w:rPr>
          <w:t>https://www.mckinsey.com/industries/automotive-and-assembly/our-insights/europes-economic-potential-in-the-shift-to-electric-vehicles</w:t>
        </w:r>
      </w:hyperlink>
      <w:r w:rsidRPr="00D90D03">
        <w:rPr>
          <w:rFonts w:cs="Arial"/>
        </w:rPr>
        <w:t>.</w:t>
      </w:r>
      <w:r w:rsidRPr="00070A0A">
        <w:rPr>
          <w:rFonts w:cs="Arial"/>
        </w:rPr>
        <w:t xml:space="preserve"> </w:t>
      </w:r>
      <w:r w:rsidRPr="00336FAB">
        <w:rPr>
          <w:rFonts w:cs="Arial"/>
        </w:rPr>
        <w:t>(Accessed</w:t>
      </w:r>
      <w:r>
        <w:rPr>
          <w:rFonts w:cs="Arial"/>
        </w:rPr>
        <w:t>: 23</w:t>
      </w:r>
      <w:r w:rsidRPr="00336FAB">
        <w:rPr>
          <w:rFonts w:cs="Arial"/>
        </w:rPr>
        <w:t xml:space="preserve"> Feb 2026).</w:t>
      </w:r>
    </w:p>
    <w:p w14:paraId="67A91C1F" w14:textId="77777777" w:rsidR="006C371C" w:rsidRPr="00D90D03" w:rsidRDefault="006C371C" w:rsidP="00923F7A">
      <w:pPr>
        <w:spacing w:line="240" w:lineRule="auto"/>
        <w:ind w:left="720" w:hanging="720"/>
        <w:rPr>
          <w:rFonts w:cs="Arial"/>
        </w:rPr>
      </w:pPr>
      <w:r w:rsidRPr="00D90D03">
        <w:rPr>
          <w:rFonts w:cs="Arial"/>
        </w:rPr>
        <w:t xml:space="preserve">Zheng, Y., Liu, D., An, F., Wang, J., Gao, X. and Jia, N. (2025). Impact of Charging Infrastructure Construction on Electric Vehicle Diffusion based on a Multi-agent Model. </w:t>
      </w:r>
      <w:proofErr w:type="spellStart"/>
      <w:r w:rsidRPr="00D90D03">
        <w:rPr>
          <w:rFonts w:cs="Arial"/>
          <w:i/>
          <w:iCs/>
        </w:rPr>
        <w:t>iScience</w:t>
      </w:r>
      <w:proofErr w:type="spellEnd"/>
      <w:r w:rsidRPr="00D90D03">
        <w:rPr>
          <w:rFonts w:cs="Arial"/>
        </w:rPr>
        <w:t xml:space="preserve">, pp.112257–112257. </w:t>
      </w:r>
      <w:proofErr w:type="spellStart"/>
      <w:r w:rsidRPr="00D90D03">
        <w:rPr>
          <w:rFonts w:cs="Arial"/>
        </w:rPr>
        <w:t>doi</w:t>
      </w:r>
      <w:proofErr w:type="spellEnd"/>
      <w:r w:rsidRPr="00D90D03">
        <w:rPr>
          <w:rFonts w:cs="Arial"/>
        </w:rPr>
        <w:t>:</w:t>
      </w:r>
      <w:r w:rsidRPr="00070A0A">
        <w:rPr>
          <w:rFonts w:cs="Arial"/>
        </w:rPr>
        <w:t xml:space="preserve"> </w:t>
      </w:r>
      <w:hyperlink r:id="rId33" w:history="1">
        <w:r w:rsidRPr="00D90D03">
          <w:rPr>
            <w:rStyle w:val="Hyperlink"/>
            <w:rFonts w:cs="Arial"/>
          </w:rPr>
          <w:t>https://doi.org/10.1016/j.isci.2025.112257</w:t>
        </w:r>
      </w:hyperlink>
      <w:r w:rsidRPr="00D90D03">
        <w:rPr>
          <w:rFonts w:cs="Arial"/>
        </w:rPr>
        <w:t>.</w:t>
      </w:r>
      <w:r w:rsidRPr="00070A0A">
        <w:rPr>
          <w:rFonts w:cs="Arial"/>
        </w:rPr>
        <w:t xml:space="preserve"> </w:t>
      </w:r>
    </w:p>
    <w:p w14:paraId="5DA8C71F" w14:textId="77777777" w:rsidR="006C371C" w:rsidRDefault="006C371C" w:rsidP="00923F7A">
      <w:pPr>
        <w:spacing w:line="240" w:lineRule="auto"/>
        <w:ind w:left="720" w:hanging="720"/>
        <w:rPr>
          <w:rFonts w:cs="Arial"/>
        </w:rPr>
      </w:pPr>
      <w:proofErr w:type="spellStart"/>
      <w:r w:rsidRPr="00D90D03">
        <w:rPr>
          <w:rFonts w:cs="Arial"/>
        </w:rPr>
        <w:t>Zupic</w:t>
      </w:r>
      <w:proofErr w:type="spellEnd"/>
      <w:r w:rsidRPr="00D90D03">
        <w:rPr>
          <w:rFonts w:cs="Arial"/>
        </w:rPr>
        <w:t xml:space="preserve">, I., </w:t>
      </w:r>
      <w:proofErr w:type="spellStart"/>
      <w:r w:rsidRPr="00D90D03">
        <w:rPr>
          <w:rFonts w:cs="Arial"/>
        </w:rPr>
        <w:t>Čater</w:t>
      </w:r>
      <w:proofErr w:type="spellEnd"/>
      <w:r w:rsidRPr="00D90D03">
        <w:rPr>
          <w:rFonts w:cs="Arial"/>
        </w:rPr>
        <w:t xml:space="preserve">, T., Caputo, A. and Uršič, D. (2025). Mapping the Influence of Ansoff’s Corporate Strategy. </w:t>
      </w:r>
      <w:r w:rsidRPr="00D90D03">
        <w:rPr>
          <w:rFonts w:cs="Arial"/>
          <w:i/>
          <w:iCs/>
        </w:rPr>
        <w:t>Strategic Change</w:t>
      </w:r>
      <w:r w:rsidRPr="00D90D03">
        <w:rPr>
          <w:rFonts w:cs="Arial"/>
        </w:rPr>
        <w:t xml:space="preserve">. </w:t>
      </w:r>
      <w:proofErr w:type="spellStart"/>
      <w:r w:rsidRPr="00D90D03">
        <w:rPr>
          <w:rFonts w:cs="Arial"/>
        </w:rPr>
        <w:t>doi</w:t>
      </w:r>
      <w:proofErr w:type="spellEnd"/>
      <w:r w:rsidRPr="00D90D03">
        <w:rPr>
          <w:rFonts w:cs="Arial"/>
        </w:rPr>
        <w:t>:</w:t>
      </w:r>
      <w:r w:rsidRPr="00070A0A">
        <w:rPr>
          <w:rFonts w:cs="Arial"/>
        </w:rPr>
        <w:t xml:space="preserve"> </w:t>
      </w:r>
      <w:hyperlink r:id="rId34" w:history="1">
        <w:r w:rsidRPr="00D90D03">
          <w:rPr>
            <w:rStyle w:val="Hyperlink"/>
            <w:rFonts w:cs="Arial"/>
          </w:rPr>
          <w:t>https://doi.org/10.1002/jsc.70023</w:t>
        </w:r>
      </w:hyperlink>
      <w:r w:rsidRPr="00D90D03">
        <w:rPr>
          <w:rFonts w:cs="Arial"/>
        </w:rPr>
        <w:t>.</w:t>
      </w:r>
      <w:r w:rsidRPr="00070A0A">
        <w:rPr>
          <w:rFonts w:cs="Arial"/>
        </w:rPr>
        <w:t xml:space="preserve"> </w:t>
      </w:r>
    </w:p>
    <w:p w14:paraId="4FF54610" w14:textId="77777777" w:rsidR="006C371C" w:rsidRPr="00D90D03" w:rsidRDefault="006C371C" w:rsidP="00923F7A">
      <w:pPr>
        <w:spacing w:line="240" w:lineRule="auto"/>
        <w:ind w:left="720" w:hanging="720"/>
        <w:rPr>
          <w:rFonts w:cs="Arial"/>
        </w:rPr>
      </w:pPr>
    </w:p>
    <w:p w14:paraId="5737890B" w14:textId="77777777" w:rsidR="001512EF" w:rsidRPr="00070A0A" w:rsidRDefault="001512EF" w:rsidP="00CB0AAB">
      <w:pPr>
        <w:rPr>
          <w:rFonts w:cs="Arial"/>
        </w:rPr>
      </w:pPr>
    </w:p>
    <w:p w14:paraId="198D658F" w14:textId="77777777" w:rsidR="00CB0AAB" w:rsidRPr="00070A0A" w:rsidRDefault="00CB0AAB" w:rsidP="00CB0AAB">
      <w:pPr>
        <w:rPr>
          <w:rFonts w:cs="Arial"/>
        </w:rPr>
      </w:pPr>
    </w:p>
    <w:sectPr w:rsidR="00CB0AAB" w:rsidRPr="00070A0A">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CE5B5" w14:textId="77777777" w:rsidR="006D1C68" w:rsidRDefault="006D1C68" w:rsidP="0092167B">
      <w:pPr>
        <w:spacing w:after="0" w:line="240" w:lineRule="auto"/>
      </w:pPr>
      <w:r>
        <w:separator/>
      </w:r>
    </w:p>
  </w:endnote>
  <w:endnote w:type="continuationSeparator" w:id="0">
    <w:p w14:paraId="562B9C97" w14:textId="77777777" w:rsidR="006D1C68" w:rsidRDefault="006D1C68" w:rsidP="00921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4739781"/>
      <w:docPartObj>
        <w:docPartGallery w:val="Page Numbers (Bottom of Page)"/>
        <w:docPartUnique/>
      </w:docPartObj>
    </w:sdtPr>
    <w:sdtEndPr>
      <w:rPr>
        <w:noProof/>
      </w:rPr>
    </w:sdtEndPr>
    <w:sdtContent>
      <w:p w14:paraId="0287C45A" w14:textId="49884EBB" w:rsidR="0092167B" w:rsidRDefault="009216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93DDC" w14:textId="77777777" w:rsidR="0092167B" w:rsidRDefault="00921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E7002" w14:textId="77777777" w:rsidR="006D1C68" w:rsidRDefault="006D1C68" w:rsidP="0092167B">
      <w:pPr>
        <w:spacing w:after="0" w:line="240" w:lineRule="auto"/>
      </w:pPr>
      <w:r>
        <w:separator/>
      </w:r>
    </w:p>
  </w:footnote>
  <w:footnote w:type="continuationSeparator" w:id="0">
    <w:p w14:paraId="428EBB2D" w14:textId="77777777" w:rsidR="006D1C68" w:rsidRDefault="006D1C68" w:rsidP="009216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0027"/>
    <w:multiLevelType w:val="multilevel"/>
    <w:tmpl w:val="E934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43A72"/>
    <w:multiLevelType w:val="multilevel"/>
    <w:tmpl w:val="A9D4B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43B6F"/>
    <w:multiLevelType w:val="multilevel"/>
    <w:tmpl w:val="9A6A8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C6AF9"/>
    <w:multiLevelType w:val="multilevel"/>
    <w:tmpl w:val="3EEA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D40C0"/>
    <w:multiLevelType w:val="multilevel"/>
    <w:tmpl w:val="A086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B378F"/>
    <w:multiLevelType w:val="multilevel"/>
    <w:tmpl w:val="3B76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A60204"/>
    <w:multiLevelType w:val="multilevel"/>
    <w:tmpl w:val="FC8E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83493"/>
    <w:multiLevelType w:val="multilevel"/>
    <w:tmpl w:val="36DAC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640120"/>
    <w:multiLevelType w:val="multilevel"/>
    <w:tmpl w:val="9A16D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481D1D"/>
    <w:multiLevelType w:val="multilevel"/>
    <w:tmpl w:val="24E6E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BD1A30"/>
    <w:multiLevelType w:val="multilevel"/>
    <w:tmpl w:val="9286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C23B1E"/>
    <w:multiLevelType w:val="multilevel"/>
    <w:tmpl w:val="6812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EA2E8D"/>
    <w:multiLevelType w:val="multilevel"/>
    <w:tmpl w:val="414A2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B43EE0"/>
    <w:multiLevelType w:val="multilevel"/>
    <w:tmpl w:val="BC3A8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7F3586"/>
    <w:multiLevelType w:val="multilevel"/>
    <w:tmpl w:val="0424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0A3970"/>
    <w:multiLevelType w:val="multilevel"/>
    <w:tmpl w:val="9970D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D2195C"/>
    <w:multiLevelType w:val="multilevel"/>
    <w:tmpl w:val="3E6A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7D0ED0"/>
    <w:multiLevelType w:val="multilevel"/>
    <w:tmpl w:val="F9DCF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84215D"/>
    <w:multiLevelType w:val="multilevel"/>
    <w:tmpl w:val="29A6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A2718F"/>
    <w:multiLevelType w:val="multilevel"/>
    <w:tmpl w:val="A4AC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53652"/>
    <w:multiLevelType w:val="hybridMultilevel"/>
    <w:tmpl w:val="ECDC76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9DA7642"/>
    <w:multiLevelType w:val="multilevel"/>
    <w:tmpl w:val="326C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110233"/>
    <w:multiLevelType w:val="multilevel"/>
    <w:tmpl w:val="1AF800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976BB9"/>
    <w:multiLevelType w:val="multilevel"/>
    <w:tmpl w:val="EECA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6571BA"/>
    <w:multiLevelType w:val="multilevel"/>
    <w:tmpl w:val="7A42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5C74B9"/>
    <w:multiLevelType w:val="multilevel"/>
    <w:tmpl w:val="408A4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0D73AB"/>
    <w:multiLevelType w:val="hybridMultilevel"/>
    <w:tmpl w:val="191EE1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DF004E9"/>
    <w:multiLevelType w:val="multilevel"/>
    <w:tmpl w:val="2EFE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DE3B77"/>
    <w:multiLevelType w:val="multilevel"/>
    <w:tmpl w:val="116A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3B4244"/>
    <w:multiLevelType w:val="multilevel"/>
    <w:tmpl w:val="FEF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5E6DF5"/>
    <w:multiLevelType w:val="multilevel"/>
    <w:tmpl w:val="2C426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4B5AF1"/>
    <w:multiLevelType w:val="multilevel"/>
    <w:tmpl w:val="2B34B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BE2DFF"/>
    <w:multiLevelType w:val="multilevel"/>
    <w:tmpl w:val="7D3A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801DBE"/>
    <w:multiLevelType w:val="multilevel"/>
    <w:tmpl w:val="7FB8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F26F89"/>
    <w:multiLevelType w:val="multilevel"/>
    <w:tmpl w:val="6568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0957578">
    <w:abstractNumId w:val="9"/>
  </w:num>
  <w:num w:numId="2" w16cid:durableId="1371151899">
    <w:abstractNumId w:val="22"/>
  </w:num>
  <w:num w:numId="3" w16cid:durableId="535775785">
    <w:abstractNumId w:val="11"/>
  </w:num>
  <w:num w:numId="4" w16cid:durableId="535897179">
    <w:abstractNumId w:val="27"/>
  </w:num>
  <w:num w:numId="5" w16cid:durableId="313683582">
    <w:abstractNumId w:val="33"/>
  </w:num>
  <w:num w:numId="6" w16cid:durableId="1214807480">
    <w:abstractNumId w:val="6"/>
  </w:num>
  <w:num w:numId="7" w16cid:durableId="2061054359">
    <w:abstractNumId w:val="21"/>
  </w:num>
  <w:num w:numId="8" w16cid:durableId="2102949606">
    <w:abstractNumId w:val="16"/>
  </w:num>
  <w:num w:numId="9" w16cid:durableId="242881958">
    <w:abstractNumId w:val="12"/>
  </w:num>
  <w:num w:numId="10" w16cid:durableId="1797215985">
    <w:abstractNumId w:val="15"/>
  </w:num>
  <w:num w:numId="11" w16cid:durableId="1672366811">
    <w:abstractNumId w:val="10"/>
  </w:num>
  <w:num w:numId="12" w16cid:durableId="1742563303">
    <w:abstractNumId w:val="2"/>
  </w:num>
  <w:num w:numId="13" w16cid:durableId="1665402087">
    <w:abstractNumId w:val="25"/>
  </w:num>
  <w:num w:numId="14" w16cid:durableId="321008435">
    <w:abstractNumId w:val="17"/>
  </w:num>
  <w:num w:numId="15" w16cid:durableId="1321083478">
    <w:abstractNumId w:val="28"/>
  </w:num>
  <w:num w:numId="16" w16cid:durableId="1258054352">
    <w:abstractNumId w:val="30"/>
  </w:num>
  <w:num w:numId="17" w16cid:durableId="586156442">
    <w:abstractNumId w:val="8"/>
  </w:num>
  <w:num w:numId="18" w16cid:durableId="1104112346">
    <w:abstractNumId w:val="4"/>
  </w:num>
  <w:num w:numId="19" w16cid:durableId="241530557">
    <w:abstractNumId w:val="0"/>
  </w:num>
  <w:num w:numId="20" w16cid:durableId="208685143">
    <w:abstractNumId w:val="3"/>
  </w:num>
  <w:num w:numId="21" w16cid:durableId="330643960">
    <w:abstractNumId w:val="34"/>
  </w:num>
  <w:num w:numId="22" w16cid:durableId="1251279600">
    <w:abstractNumId w:val="7"/>
  </w:num>
  <w:num w:numId="23" w16cid:durableId="847717422">
    <w:abstractNumId w:val="29"/>
  </w:num>
  <w:num w:numId="24" w16cid:durableId="63795761">
    <w:abstractNumId w:val="13"/>
  </w:num>
  <w:num w:numId="25" w16cid:durableId="830873306">
    <w:abstractNumId w:val="1"/>
  </w:num>
  <w:num w:numId="26" w16cid:durableId="584798951">
    <w:abstractNumId w:val="19"/>
  </w:num>
  <w:num w:numId="27" w16cid:durableId="2077127610">
    <w:abstractNumId w:val="18"/>
  </w:num>
  <w:num w:numId="28" w16cid:durableId="312098705">
    <w:abstractNumId w:val="31"/>
  </w:num>
  <w:num w:numId="29" w16cid:durableId="1527331999">
    <w:abstractNumId w:val="24"/>
  </w:num>
  <w:num w:numId="30" w16cid:durableId="1319992897">
    <w:abstractNumId w:val="32"/>
  </w:num>
  <w:num w:numId="31" w16cid:durableId="1561945048">
    <w:abstractNumId w:val="23"/>
  </w:num>
  <w:num w:numId="32" w16cid:durableId="1130248126">
    <w:abstractNumId w:val="5"/>
  </w:num>
  <w:num w:numId="33" w16cid:durableId="1411462919">
    <w:abstractNumId w:val="14"/>
  </w:num>
  <w:num w:numId="34" w16cid:durableId="1475174517">
    <w:abstractNumId w:val="20"/>
  </w:num>
  <w:num w:numId="35" w16cid:durableId="91324636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67B"/>
    <w:rsid w:val="000479DD"/>
    <w:rsid w:val="00070A0A"/>
    <w:rsid w:val="00082275"/>
    <w:rsid w:val="000D24F8"/>
    <w:rsid w:val="000E0E84"/>
    <w:rsid w:val="001512EF"/>
    <w:rsid w:val="001F77CB"/>
    <w:rsid w:val="00246478"/>
    <w:rsid w:val="00246AF7"/>
    <w:rsid w:val="0028778F"/>
    <w:rsid w:val="00305939"/>
    <w:rsid w:val="00307A2E"/>
    <w:rsid w:val="00307D20"/>
    <w:rsid w:val="00321E2F"/>
    <w:rsid w:val="00336FAB"/>
    <w:rsid w:val="00375E17"/>
    <w:rsid w:val="00393DB4"/>
    <w:rsid w:val="00395D3A"/>
    <w:rsid w:val="003A5A71"/>
    <w:rsid w:val="003F1605"/>
    <w:rsid w:val="004171BF"/>
    <w:rsid w:val="00463ECD"/>
    <w:rsid w:val="004E5E62"/>
    <w:rsid w:val="0053516C"/>
    <w:rsid w:val="005403E3"/>
    <w:rsid w:val="00551168"/>
    <w:rsid w:val="00562441"/>
    <w:rsid w:val="00571947"/>
    <w:rsid w:val="00606BD1"/>
    <w:rsid w:val="00606DB8"/>
    <w:rsid w:val="006244A0"/>
    <w:rsid w:val="00636087"/>
    <w:rsid w:val="006924FA"/>
    <w:rsid w:val="006C371C"/>
    <w:rsid w:val="006D1C68"/>
    <w:rsid w:val="006E1F39"/>
    <w:rsid w:val="006E63B2"/>
    <w:rsid w:val="00751747"/>
    <w:rsid w:val="00767D27"/>
    <w:rsid w:val="00806BF8"/>
    <w:rsid w:val="00831CBF"/>
    <w:rsid w:val="0084319A"/>
    <w:rsid w:val="00866BF5"/>
    <w:rsid w:val="008D365F"/>
    <w:rsid w:val="0092167B"/>
    <w:rsid w:val="00923F7A"/>
    <w:rsid w:val="009B6D40"/>
    <w:rsid w:val="009D19F9"/>
    <w:rsid w:val="009F5C15"/>
    <w:rsid w:val="00A32926"/>
    <w:rsid w:val="00B073ED"/>
    <w:rsid w:val="00B96CE6"/>
    <w:rsid w:val="00BB1F91"/>
    <w:rsid w:val="00C35157"/>
    <w:rsid w:val="00C64A24"/>
    <w:rsid w:val="00C74AD2"/>
    <w:rsid w:val="00CA5749"/>
    <w:rsid w:val="00CA7F13"/>
    <w:rsid w:val="00CB0AAB"/>
    <w:rsid w:val="00CB7376"/>
    <w:rsid w:val="00D07AF1"/>
    <w:rsid w:val="00D1447A"/>
    <w:rsid w:val="00D76230"/>
    <w:rsid w:val="00D77F58"/>
    <w:rsid w:val="00D90D03"/>
    <w:rsid w:val="00DB3DB8"/>
    <w:rsid w:val="00E10760"/>
    <w:rsid w:val="00E2656C"/>
    <w:rsid w:val="00E81035"/>
    <w:rsid w:val="00E847EC"/>
    <w:rsid w:val="00E929AE"/>
    <w:rsid w:val="00EB25C4"/>
    <w:rsid w:val="00ED0B23"/>
    <w:rsid w:val="00EF2C01"/>
    <w:rsid w:val="00F00937"/>
    <w:rsid w:val="00F011B3"/>
    <w:rsid w:val="00F1489F"/>
    <w:rsid w:val="00F25C5B"/>
    <w:rsid w:val="00F63E9D"/>
    <w:rsid w:val="00F81FF6"/>
    <w:rsid w:val="00F95D31"/>
    <w:rsid w:val="00FA6CF7"/>
    <w:rsid w:val="00FC5CDD"/>
    <w:rsid w:val="00FE60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9845E"/>
  <w15:chartTrackingRefBased/>
  <w15:docId w15:val="{B80391FB-DEC0-4009-9FE2-18D9F1C9B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947"/>
    <w:pPr>
      <w:spacing w:line="360" w:lineRule="auto"/>
      <w:jc w:val="both"/>
    </w:pPr>
    <w:rPr>
      <w:rFonts w:ascii="Arial" w:hAnsi="Arial"/>
      <w:sz w:val="24"/>
    </w:rPr>
  </w:style>
  <w:style w:type="paragraph" w:styleId="Heading1">
    <w:name w:val="heading 1"/>
    <w:basedOn w:val="Normal"/>
    <w:next w:val="Normal"/>
    <w:link w:val="Heading1Char"/>
    <w:uiPriority w:val="9"/>
    <w:qFormat/>
    <w:rsid w:val="0057194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71947"/>
    <w:pPr>
      <w:keepNext/>
      <w:keepLines/>
      <w:spacing w:before="160" w:after="80"/>
      <w:outlineLvl w:val="1"/>
    </w:pPr>
    <w:rPr>
      <w:rFonts w:eastAsiaTheme="majorEastAsia" w:cstheme="majorBidi"/>
      <w:szCs w:val="32"/>
      <w:u w:val="single"/>
    </w:rPr>
  </w:style>
  <w:style w:type="paragraph" w:styleId="Heading3">
    <w:name w:val="heading 3"/>
    <w:basedOn w:val="Normal"/>
    <w:next w:val="Normal"/>
    <w:link w:val="Heading3Char"/>
    <w:uiPriority w:val="9"/>
    <w:unhideWhenUsed/>
    <w:qFormat/>
    <w:rsid w:val="0092167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167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2167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216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16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16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16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947"/>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571947"/>
    <w:rPr>
      <w:rFonts w:ascii="Arial" w:eastAsiaTheme="majorEastAsia" w:hAnsi="Arial" w:cstheme="majorBidi"/>
      <w:sz w:val="24"/>
      <w:szCs w:val="32"/>
      <w:u w:val="single"/>
    </w:rPr>
  </w:style>
  <w:style w:type="character" w:customStyle="1" w:styleId="Heading3Char">
    <w:name w:val="Heading 3 Char"/>
    <w:basedOn w:val="DefaultParagraphFont"/>
    <w:link w:val="Heading3"/>
    <w:uiPriority w:val="9"/>
    <w:rsid w:val="009216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167B"/>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92167B"/>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92167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2167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2167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2167B"/>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9216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6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16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16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67B"/>
    <w:pPr>
      <w:spacing w:before="160"/>
      <w:jc w:val="center"/>
    </w:pPr>
    <w:rPr>
      <w:i/>
      <w:iCs/>
      <w:color w:val="404040" w:themeColor="text1" w:themeTint="BF"/>
    </w:rPr>
  </w:style>
  <w:style w:type="character" w:customStyle="1" w:styleId="QuoteChar">
    <w:name w:val="Quote Char"/>
    <w:basedOn w:val="DefaultParagraphFont"/>
    <w:link w:val="Quote"/>
    <w:uiPriority w:val="29"/>
    <w:rsid w:val="0092167B"/>
    <w:rPr>
      <w:rFonts w:ascii="Times New Roman" w:hAnsi="Times New Roman"/>
      <w:i/>
      <w:iCs/>
      <w:color w:val="404040" w:themeColor="text1" w:themeTint="BF"/>
      <w:sz w:val="24"/>
    </w:rPr>
  </w:style>
  <w:style w:type="paragraph" w:styleId="ListParagraph">
    <w:name w:val="List Paragraph"/>
    <w:basedOn w:val="Normal"/>
    <w:uiPriority w:val="34"/>
    <w:qFormat/>
    <w:rsid w:val="0092167B"/>
    <w:pPr>
      <w:ind w:left="720"/>
      <w:contextualSpacing/>
    </w:pPr>
  </w:style>
  <w:style w:type="character" w:styleId="IntenseEmphasis">
    <w:name w:val="Intense Emphasis"/>
    <w:basedOn w:val="DefaultParagraphFont"/>
    <w:uiPriority w:val="21"/>
    <w:qFormat/>
    <w:rsid w:val="0092167B"/>
    <w:rPr>
      <w:i/>
      <w:iCs/>
      <w:color w:val="2F5496" w:themeColor="accent1" w:themeShade="BF"/>
    </w:rPr>
  </w:style>
  <w:style w:type="paragraph" w:styleId="IntenseQuote">
    <w:name w:val="Intense Quote"/>
    <w:basedOn w:val="Normal"/>
    <w:next w:val="Normal"/>
    <w:link w:val="IntenseQuoteChar"/>
    <w:uiPriority w:val="30"/>
    <w:qFormat/>
    <w:rsid w:val="009216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167B"/>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92167B"/>
    <w:rPr>
      <w:b/>
      <w:bCs/>
      <w:smallCaps/>
      <w:color w:val="2F5496" w:themeColor="accent1" w:themeShade="BF"/>
      <w:spacing w:val="5"/>
    </w:rPr>
  </w:style>
  <w:style w:type="table" w:styleId="TableGrid">
    <w:name w:val="Table Grid"/>
    <w:basedOn w:val="TableNormal"/>
    <w:uiPriority w:val="39"/>
    <w:rsid w:val="00921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2167B"/>
    <w:pPr>
      <w:spacing w:line="259" w:lineRule="auto"/>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92167B"/>
    <w:pPr>
      <w:spacing w:after="100"/>
    </w:pPr>
  </w:style>
  <w:style w:type="paragraph" w:styleId="TOC2">
    <w:name w:val="toc 2"/>
    <w:basedOn w:val="Normal"/>
    <w:next w:val="Normal"/>
    <w:autoRedefine/>
    <w:uiPriority w:val="39"/>
    <w:unhideWhenUsed/>
    <w:rsid w:val="0092167B"/>
    <w:pPr>
      <w:spacing w:after="100"/>
      <w:ind w:left="240"/>
    </w:pPr>
  </w:style>
  <w:style w:type="character" w:styleId="Hyperlink">
    <w:name w:val="Hyperlink"/>
    <w:basedOn w:val="DefaultParagraphFont"/>
    <w:uiPriority w:val="99"/>
    <w:unhideWhenUsed/>
    <w:rsid w:val="0092167B"/>
    <w:rPr>
      <w:color w:val="0563C1" w:themeColor="hyperlink"/>
      <w:u w:val="single"/>
    </w:rPr>
  </w:style>
  <w:style w:type="character" w:styleId="UnresolvedMention">
    <w:name w:val="Unresolved Mention"/>
    <w:basedOn w:val="DefaultParagraphFont"/>
    <w:uiPriority w:val="99"/>
    <w:semiHidden/>
    <w:unhideWhenUsed/>
    <w:rsid w:val="0092167B"/>
    <w:rPr>
      <w:color w:val="605E5C"/>
      <w:shd w:val="clear" w:color="auto" w:fill="E1DFDD"/>
    </w:rPr>
  </w:style>
  <w:style w:type="paragraph" w:styleId="Header">
    <w:name w:val="header"/>
    <w:basedOn w:val="Normal"/>
    <w:link w:val="HeaderChar"/>
    <w:uiPriority w:val="99"/>
    <w:unhideWhenUsed/>
    <w:rsid w:val="00921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67B"/>
    <w:rPr>
      <w:rFonts w:ascii="Times New Roman" w:hAnsi="Times New Roman"/>
      <w:sz w:val="24"/>
    </w:rPr>
  </w:style>
  <w:style w:type="paragraph" w:styleId="Footer">
    <w:name w:val="footer"/>
    <w:basedOn w:val="Normal"/>
    <w:link w:val="FooterChar"/>
    <w:uiPriority w:val="99"/>
    <w:unhideWhenUsed/>
    <w:rsid w:val="00921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67B"/>
    <w:rPr>
      <w:rFonts w:ascii="Times New Roman" w:hAnsi="Times New Roman"/>
      <w:sz w:val="24"/>
    </w:rPr>
  </w:style>
  <w:style w:type="paragraph" w:styleId="NormalWeb">
    <w:name w:val="Normal (Web)"/>
    <w:basedOn w:val="Normal"/>
    <w:uiPriority w:val="99"/>
    <w:semiHidden/>
    <w:unhideWhenUsed/>
    <w:rsid w:val="009F5C15"/>
    <w:rPr>
      <w:rFonts w:cs="Times New Roman"/>
      <w:szCs w:val="24"/>
    </w:rPr>
  </w:style>
  <w:style w:type="paragraph" w:styleId="Caption">
    <w:name w:val="caption"/>
    <w:basedOn w:val="Normal"/>
    <w:next w:val="Normal"/>
    <w:uiPriority w:val="35"/>
    <w:unhideWhenUsed/>
    <w:qFormat/>
    <w:rsid w:val="004E5E6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924F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ssjournal.com/files/sssjournal/e5935340-8b65-4cf6-a1c1-cf266026257d.pdf" TargetMode="External"/><Relationship Id="rId18" Type="http://schemas.openxmlformats.org/officeDocument/2006/relationships/hyperlink" Target="https://www.bydglobal.com/cn/en/BYD_ENInvestor/InvestorAnnals_mob.html" TargetMode="External"/><Relationship Id="rId26" Type="http://schemas.openxmlformats.org/officeDocument/2006/relationships/hyperlink" Target="https://doi.org/10.1016/j.enpol.2021.112338" TargetMode="External"/><Relationship Id="rId21" Type="http://schemas.openxmlformats.org/officeDocument/2006/relationships/hyperlink" Target="https://doi.org/10.1016/j.jclepro.2022.132559" TargetMode="External"/><Relationship Id="rId34" Type="http://schemas.openxmlformats.org/officeDocument/2006/relationships/hyperlink" Target="https://doi.org/10.1002/jsc.70023"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doi.org/10.1016/j.tbs.2024.100834" TargetMode="External"/><Relationship Id="rId25" Type="http://schemas.openxmlformats.org/officeDocument/2006/relationships/hyperlink" Target="https://doi.org/10.1016/j.techfore.2022.121784" TargetMode="External"/><Relationship Id="rId33" Type="http://schemas.openxmlformats.org/officeDocument/2006/relationships/hyperlink" Target="https://doi.org/10.1016/j.isci.2025.112257" TargetMode="External"/><Relationship Id="rId2" Type="http://schemas.openxmlformats.org/officeDocument/2006/relationships/numbering" Target="numbering.xml"/><Relationship Id="rId16" Type="http://schemas.openxmlformats.org/officeDocument/2006/relationships/hyperlink" Target="https://doi.org/10.1016/j.trd.2022.103530" TargetMode="External"/><Relationship Id="rId20" Type="http://schemas.openxmlformats.org/officeDocument/2006/relationships/hyperlink" Target="https://assets.publishing.service.gov.uk/media/679382182de28ea2d392f37f/phasing-out-the-sale-of-new-petrol-and-diesel-cars-from-2030-and-support-for-the-zero-emission-transition.pdf" TargetMode="External"/><Relationship Id="rId29" Type="http://schemas.openxmlformats.org/officeDocument/2006/relationships/hyperlink" Target="https://www.streetinsider.com/Globe%2BNewswire/BYD%2BOpens%2BNew%2BBranch%2Bin%2BBristol%2Band%2BWarwick%2C%2BUK%2C%2BMarking%2Ba%2BMilestone%2Bin%2BElectric%2BVehicle%2BExpansion/2412387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1016/j.rtbm.2022.100825" TargetMode="External"/><Relationship Id="rId32" Type="http://schemas.openxmlformats.org/officeDocument/2006/relationships/hyperlink" Target="https://www.mckinsey.com/industries/automotive-and-assembly/our-insights/europes-economic-potential-in-the-shift-to-electric-vehicle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90/en16010205" TargetMode="External"/><Relationship Id="rId23" Type="http://schemas.openxmlformats.org/officeDocument/2006/relationships/hyperlink" Target="https://www.faraday.ac.uk/wp-content/uploads/2022/11/Faraday_Insights_14_FINAL.pdf" TargetMode="External"/><Relationship Id="rId28" Type="http://schemas.openxmlformats.org/officeDocument/2006/relationships/hyperlink" Target="https://www.statista.com/chart/31496/global-battery-electric-vehicle-deliveries-sales-tesla-byd/"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bydukmedia.com/en/news-articles/byd-uk-continues-rapid-growth-in-2024.html" TargetMode="External"/><Relationship Id="rId31" Type="http://schemas.openxmlformats.org/officeDocument/2006/relationships/hyperlink" Target="https://www.sec.gov/Archives/edgar/data/1318605/000162828025003063/tsla-20241231.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bout.bnef.com/insights/clean-transport/electric-vehicle-outlook/" TargetMode="External"/><Relationship Id="rId22" Type="http://schemas.openxmlformats.org/officeDocument/2006/relationships/hyperlink" Target="https://www.topgear.com/car-news/Tesla-supercharger-network-uk" TargetMode="External"/><Relationship Id="rId27" Type="http://schemas.openxmlformats.org/officeDocument/2006/relationships/hyperlink" Target="https://www.smmt.co.uk/record-ev-market-share-but-weak-private-demand-frustrates-ambition/" TargetMode="External"/><Relationship Id="rId30" Type="http://schemas.openxmlformats.org/officeDocument/2006/relationships/hyperlink" Target="https://doi.org/10.1016/j.enpol.2024.114178"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649B2-4817-43C7-822C-5C7E8835A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4180</Words>
  <Characters>23831</Characters>
  <Application>Microsoft Office Word</Application>
  <DocSecurity>0</DocSecurity>
  <Lines>198</Lines>
  <Paragraphs>55</Paragraphs>
  <ScaleCrop>false</ScaleCrop>
  <Company/>
  <LinksUpToDate>false</LinksUpToDate>
  <CharactersWithSpaces>27956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Pulkit Bhardwaj</dc:creator>
  <cp:keywords/>
  <dc:description/>
  <cp:lastModifiedBy>Bhavya Shah</cp:lastModifiedBy>
  <cp:revision>2</cp:revision>
  <dcterms:created xsi:type="dcterms:W3CDTF">2026-02-25T19:18:00Z</dcterms:created>
  <dcterms:modified xsi:type="dcterms:W3CDTF">2026-02-25T19:18:00Z</dcterms:modified>
</cp:coreProperties>
</file>